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A18" w:rsidRDefault="00B26DEC">
      <w:pPr>
        <w:pStyle w:val="Heading1"/>
      </w:pPr>
      <w:r>
        <w:t xml:space="preserve">ENVIRONMENT AND </w:t>
      </w:r>
      <w:r w:rsidR="005C0A18">
        <w:t>Sustainable development directorate</w:t>
      </w:r>
    </w:p>
    <w:p w:rsidR="000D0038" w:rsidRDefault="000D0038" w:rsidP="000D0038">
      <w:pPr>
        <w:pStyle w:val="Heading3"/>
        <w:spacing w:before="0"/>
      </w:pPr>
      <w:r>
        <w:t>Purpose</w:t>
      </w:r>
    </w:p>
    <w:p w:rsidR="000D0038" w:rsidRDefault="000D0038" w:rsidP="000D0038">
      <w:pPr>
        <w:pStyle w:val="BodyText"/>
      </w:pPr>
      <w:r>
        <w:t>The Environment and Sustainable Development Directorate (the Directorate) promotes sustainable living and resource use, strengthens the Territory’s response to climate change and provides a</w:t>
      </w:r>
      <w:r w:rsidR="00C07166">
        <w:t>n integrated</w:t>
      </w:r>
      <w:r>
        <w:t xml:space="preserve"> planning and land use system that contributes to the sustainable development </w:t>
      </w:r>
      <w:r w:rsidR="00C07166">
        <w:t xml:space="preserve">and future </w:t>
      </w:r>
      <w:r>
        <w:t>of the ACT.</w:t>
      </w:r>
    </w:p>
    <w:p w:rsidR="000D0038" w:rsidRDefault="000D0038" w:rsidP="000D0038">
      <w:pPr>
        <w:pStyle w:val="BodyText"/>
      </w:pPr>
      <w:r>
        <w:t xml:space="preserve">The Directorate’s aim is to lead the Territory in developing and implementing targeted policies and programs that address environment protection and sustainability, nature conservation, heritage, water and energy security, </w:t>
      </w:r>
      <w:r w:rsidR="00C078C9">
        <w:t xml:space="preserve">building safety, </w:t>
      </w:r>
      <w:r>
        <w:t xml:space="preserve">sustainable urban design, and sustainable </w:t>
      </w:r>
      <w:r w:rsidR="00C07166">
        <w:t xml:space="preserve">and integrated </w:t>
      </w:r>
      <w:r>
        <w:t>transport and spatial planning</w:t>
      </w:r>
      <w:r w:rsidR="00FF654C">
        <w:t xml:space="preserve">, </w:t>
      </w:r>
      <w:r w:rsidR="00C07166">
        <w:t>policy and delivery</w:t>
      </w:r>
      <w:r>
        <w:t>.</w:t>
      </w:r>
    </w:p>
    <w:p w:rsidR="000D0038" w:rsidRDefault="000D0038" w:rsidP="000D0038">
      <w:pPr>
        <w:pStyle w:val="BodyText"/>
      </w:pPr>
      <w:r>
        <w:t xml:space="preserve">The functions of the Directorate are complemented by the regulatory capacity provided through the statutory functions of the </w:t>
      </w:r>
      <w:r>
        <w:rPr>
          <w:i/>
        </w:rPr>
        <w:t>Planning and Development Act 2007</w:t>
      </w:r>
      <w:r>
        <w:t xml:space="preserve">, </w:t>
      </w:r>
      <w:r w:rsidR="00C078C9">
        <w:t xml:space="preserve">the </w:t>
      </w:r>
      <w:r w:rsidR="00C078C9" w:rsidRPr="00C078C9">
        <w:rPr>
          <w:i/>
        </w:rPr>
        <w:t xml:space="preserve">Construction Occupations Licensing Act </w:t>
      </w:r>
      <w:r w:rsidR="00C078C9">
        <w:t>2</w:t>
      </w:r>
      <w:r w:rsidR="00C078C9">
        <w:rPr>
          <w:i/>
        </w:rPr>
        <w:t xml:space="preserve">004, </w:t>
      </w:r>
      <w:r w:rsidR="00C078C9" w:rsidRPr="00C078C9">
        <w:t xml:space="preserve">the </w:t>
      </w:r>
      <w:r w:rsidR="00C078C9">
        <w:rPr>
          <w:i/>
        </w:rPr>
        <w:t>Building Act 2004,</w:t>
      </w:r>
      <w:r w:rsidR="00C078C9" w:rsidRPr="00C078C9">
        <w:t xml:space="preserve"> the</w:t>
      </w:r>
      <w:r w:rsidR="00C078C9">
        <w:rPr>
          <w:i/>
        </w:rPr>
        <w:t xml:space="preserve"> Utilities Act 2000, </w:t>
      </w:r>
      <w:r w:rsidR="00C078C9">
        <w:t xml:space="preserve">the </w:t>
      </w:r>
      <w:r w:rsidR="00C078C9">
        <w:rPr>
          <w:i/>
        </w:rPr>
        <w:t xml:space="preserve">Electricity Safety Act 2001, </w:t>
      </w:r>
      <w:r w:rsidR="00C078C9" w:rsidRPr="00C078C9">
        <w:t>the</w:t>
      </w:r>
      <w:r w:rsidR="00C078C9">
        <w:rPr>
          <w:i/>
        </w:rPr>
        <w:t xml:space="preserve"> Water and Sewerage Act 200</w:t>
      </w:r>
      <w:r w:rsidR="00D337D9">
        <w:rPr>
          <w:i/>
        </w:rPr>
        <w:t>0</w:t>
      </w:r>
      <w:r w:rsidR="00C078C9">
        <w:rPr>
          <w:i/>
        </w:rPr>
        <w:t xml:space="preserve">, </w:t>
      </w:r>
      <w:r w:rsidR="00C078C9" w:rsidRPr="00C078C9">
        <w:t xml:space="preserve">the </w:t>
      </w:r>
      <w:r w:rsidR="00C078C9">
        <w:rPr>
          <w:i/>
        </w:rPr>
        <w:t xml:space="preserve">Gas Safety Act 2000, </w:t>
      </w:r>
      <w:r>
        <w:t xml:space="preserve">the Conservator of Flora and Fauna, the </w:t>
      </w:r>
      <w:r>
        <w:rPr>
          <w:i/>
        </w:rPr>
        <w:t>Environment Protection Act 1997</w:t>
      </w:r>
      <w:r w:rsidRPr="002A3C39">
        <w:t xml:space="preserve">, the </w:t>
      </w:r>
      <w:r>
        <w:rPr>
          <w:i/>
        </w:rPr>
        <w:t>Heritage Act 2004,</w:t>
      </w:r>
      <w:r>
        <w:t xml:space="preserve"> and the </w:t>
      </w:r>
      <w:r>
        <w:rPr>
          <w:i/>
        </w:rPr>
        <w:t>Clinical Waste Act 1990</w:t>
      </w:r>
      <w:r>
        <w:t>.</w:t>
      </w:r>
    </w:p>
    <w:p w:rsidR="000D0038" w:rsidRDefault="000D0038" w:rsidP="000D0038">
      <w:pPr>
        <w:pStyle w:val="Heading3"/>
      </w:pPr>
      <w:r>
        <w:t>201</w:t>
      </w:r>
      <w:r w:rsidR="00AA570A">
        <w:t>3</w:t>
      </w:r>
      <w:r>
        <w:t>-1</w:t>
      </w:r>
      <w:r w:rsidR="00AA570A">
        <w:t>4</w:t>
      </w:r>
      <w:r>
        <w:t xml:space="preserve"> Priorities</w:t>
      </w:r>
    </w:p>
    <w:p w:rsidR="000D0038" w:rsidRPr="00AF63FB" w:rsidRDefault="000D0038" w:rsidP="000D0038">
      <w:pPr>
        <w:pStyle w:val="BodyText"/>
        <w:rPr>
          <w:szCs w:val="24"/>
        </w:rPr>
      </w:pPr>
      <w:r w:rsidRPr="00AF63FB">
        <w:rPr>
          <w:iCs/>
          <w:szCs w:val="24"/>
        </w:rPr>
        <w:t>P</w:t>
      </w:r>
      <w:r w:rsidRPr="00AF63FB">
        <w:rPr>
          <w:szCs w:val="24"/>
        </w:rPr>
        <w:t>riorities to be pu</w:t>
      </w:r>
      <w:r w:rsidR="00AA570A" w:rsidRPr="00AF63FB">
        <w:rPr>
          <w:szCs w:val="24"/>
        </w:rPr>
        <w:t>rsued by the Directorate in 2013</w:t>
      </w:r>
      <w:r w:rsidRPr="00AF63FB">
        <w:rPr>
          <w:szCs w:val="24"/>
        </w:rPr>
        <w:t>-1</w:t>
      </w:r>
      <w:r w:rsidR="00AA570A" w:rsidRPr="00AF63FB">
        <w:rPr>
          <w:szCs w:val="24"/>
        </w:rPr>
        <w:t>4</w:t>
      </w:r>
      <w:r w:rsidRPr="00AF63FB">
        <w:rPr>
          <w:szCs w:val="24"/>
        </w:rPr>
        <w:t xml:space="preserve"> include</w:t>
      </w:r>
      <w:r w:rsidR="002423F6">
        <w:rPr>
          <w:szCs w:val="24"/>
        </w:rPr>
        <w:t>:</w:t>
      </w:r>
    </w:p>
    <w:p w:rsidR="00AF63FB" w:rsidRPr="00AF63FB" w:rsidRDefault="002423F6" w:rsidP="00AF63FB">
      <w:pPr>
        <w:pStyle w:val="BodyTextIndent"/>
      </w:pPr>
      <w:r>
        <w:t>i</w:t>
      </w:r>
      <w:r w:rsidR="00C078C9" w:rsidRPr="00AF63FB">
        <w:t>mplementing the ACT Planning Strategy</w:t>
      </w:r>
      <w:r w:rsidR="00D337D9">
        <w:t>,</w:t>
      </w:r>
      <w:r w:rsidR="00AF63FB">
        <w:t xml:space="preserve"> that proposes </w:t>
      </w:r>
      <w:r w:rsidR="00AF63FB" w:rsidRPr="00AF63FB">
        <w:t>changes to planning policy, including focussing on urban infill</w:t>
      </w:r>
      <w:r w:rsidR="00D337D9">
        <w:t xml:space="preserve"> development,</w:t>
      </w:r>
      <w:r w:rsidR="00AF63FB">
        <w:t xml:space="preserve"> with </w:t>
      </w:r>
      <w:r w:rsidR="00AF63FB" w:rsidRPr="00AF63FB">
        <w:t>growth focuse</w:t>
      </w:r>
      <w:r w:rsidR="00AF63FB">
        <w:t>d</w:t>
      </w:r>
      <w:r w:rsidR="00AF63FB" w:rsidRPr="00AF63FB">
        <w:t xml:space="preserve"> around </w:t>
      </w:r>
      <w:r w:rsidR="00D337D9">
        <w:t xml:space="preserve">commercial </w:t>
      </w:r>
      <w:r w:rsidR="00AF63FB" w:rsidRPr="00AF63FB">
        <w:t>centres and integrated with transport initiatives</w:t>
      </w:r>
      <w:r w:rsidR="00AF63FB">
        <w:t>.  The Strategy promotes d</w:t>
      </w:r>
      <w:r w:rsidR="00AF63FB" w:rsidRPr="00AF63FB">
        <w:t>evelopment of infrastructure that provides choice</w:t>
      </w:r>
      <w:r w:rsidR="00386B78">
        <w:t>s</w:t>
      </w:r>
      <w:r w:rsidR="00AF63FB" w:rsidRPr="00AF63FB">
        <w:t xml:space="preserve"> in how Canberrans liv</w:t>
      </w:r>
      <w:r>
        <w:t>e, travel and where they work;</w:t>
      </w:r>
    </w:p>
    <w:p w:rsidR="00AF63FB" w:rsidRPr="00AF63FB" w:rsidRDefault="002423F6" w:rsidP="000D0038">
      <w:pPr>
        <w:pStyle w:val="BodyTextIndent"/>
      </w:pPr>
      <w:r>
        <w:t>i</w:t>
      </w:r>
      <w:r w:rsidR="00C078C9" w:rsidRPr="00AF63FB">
        <w:t xml:space="preserve">mplementing the Government Transport Policy, </w:t>
      </w:r>
      <w:r w:rsidR="00C078C9" w:rsidRPr="00FF654C">
        <w:rPr>
          <w:i/>
        </w:rPr>
        <w:t>Transport for Canberra</w:t>
      </w:r>
      <w:r w:rsidR="00AF63FB" w:rsidRPr="00AF63FB">
        <w:t>, that integrates transport and land use planning to manage city growth</w:t>
      </w:r>
      <w:r w:rsidR="00D337D9">
        <w:t xml:space="preserve">.  This transport policy </w:t>
      </w:r>
      <w:r w:rsidR="00AF63FB">
        <w:t xml:space="preserve">outlines </w:t>
      </w:r>
      <w:r w:rsidR="00AF63FB" w:rsidRPr="00AF63FB">
        <w:t>Government actions on public transport, parking, vehicle movement and active travel (walking and cycling</w:t>
      </w:r>
      <w:r>
        <w:t>);</w:t>
      </w:r>
    </w:p>
    <w:p w:rsidR="000D0038" w:rsidRDefault="002423F6" w:rsidP="000D0038">
      <w:pPr>
        <w:pStyle w:val="BodyTextIndent"/>
      </w:pPr>
      <w:r>
        <w:t>i</w:t>
      </w:r>
      <w:r w:rsidR="00054B1B">
        <w:t>mplement</w:t>
      </w:r>
      <w:r w:rsidR="00386B78">
        <w:t>in</w:t>
      </w:r>
      <w:r w:rsidR="00386B78" w:rsidRPr="00FF654C">
        <w:rPr>
          <w:i/>
        </w:rPr>
        <w:t>g</w:t>
      </w:r>
      <w:r w:rsidR="000D0038" w:rsidRPr="00FF654C">
        <w:rPr>
          <w:i/>
        </w:rPr>
        <w:t xml:space="preserve"> Weathering the Chan</w:t>
      </w:r>
      <w:r w:rsidR="000D0038" w:rsidRPr="007C0920">
        <w:rPr>
          <w:i/>
        </w:rPr>
        <w:t>ge</w:t>
      </w:r>
      <w:r w:rsidR="000D0038" w:rsidRPr="00972D04">
        <w:t xml:space="preserve"> </w:t>
      </w:r>
      <w:r w:rsidR="000D0038" w:rsidRPr="00FF654C">
        <w:rPr>
          <w:i/>
        </w:rPr>
        <w:t>Action Plan 2</w:t>
      </w:r>
      <w:r w:rsidR="00034504">
        <w:t>,</w:t>
      </w:r>
      <w:r w:rsidR="000D0038" w:rsidRPr="00972D04">
        <w:t xml:space="preserve"> </w:t>
      </w:r>
      <w:r w:rsidR="00034504">
        <w:t>which aims to</w:t>
      </w:r>
      <w:r w:rsidR="000D0038" w:rsidRPr="00972D04">
        <w:t xml:space="preserve"> transition the ACT towards the Government’s policy objective of zero net emissions by 2060, and pursuing carbon neutrality in the Government’s </w:t>
      </w:r>
      <w:r>
        <w:t>operations and service delivery;</w:t>
      </w:r>
    </w:p>
    <w:p w:rsidR="000D0038" w:rsidRPr="00AA6DF7" w:rsidRDefault="002423F6" w:rsidP="000D0038">
      <w:pPr>
        <w:pStyle w:val="BodyTextIndent"/>
      </w:pPr>
      <w:r>
        <w:t>c</w:t>
      </w:r>
      <w:r w:rsidR="00386B78">
        <w:t>ontinuing to implement</w:t>
      </w:r>
      <w:r w:rsidR="00E719BC">
        <w:t xml:space="preserve"> </w:t>
      </w:r>
      <w:r w:rsidR="000D0038">
        <w:t xml:space="preserve">the </w:t>
      </w:r>
      <w:r w:rsidR="000D0038" w:rsidRPr="00FF654C">
        <w:rPr>
          <w:i/>
        </w:rPr>
        <w:t>Carbon Neutral ACT</w:t>
      </w:r>
      <w:r w:rsidR="00FF654C">
        <w:t xml:space="preserve"> f</w:t>
      </w:r>
      <w:r w:rsidR="000D0038">
        <w:t>ramework which will</w:t>
      </w:r>
      <w:r w:rsidR="000D0038" w:rsidRPr="00197831">
        <w:rPr>
          <w:rFonts w:ascii="Arial" w:hAnsi="Arial" w:cs="Arial"/>
          <w:sz w:val="20"/>
          <w:lang w:eastAsia="en-AU"/>
        </w:rPr>
        <w:t xml:space="preserve"> </w:t>
      </w:r>
      <w:r w:rsidR="000D0038" w:rsidRPr="00197831">
        <w:t xml:space="preserve">enhance the ability of </w:t>
      </w:r>
      <w:r w:rsidR="000D0038">
        <w:t xml:space="preserve">the Government to reduce greenhouse gas emissions </w:t>
      </w:r>
      <w:r w:rsidR="000D0038" w:rsidRPr="00197831">
        <w:t xml:space="preserve">from its operations and delivery of services and achieve the aim of zero Government emissions from </w:t>
      </w:r>
      <w:r w:rsidR="000D0038">
        <w:t>2020</w:t>
      </w:r>
      <w:r>
        <w:t>;</w:t>
      </w:r>
    </w:p>
    <w:p w:rsidR="000D0038" w:rsidRPr="00972D04" w:rsidRDefault="002423F6" w:rsidP="000D0038">
      <w:pPr>
        <w:pStyle w:val="BodyTextIndent"/>
      </w:pPr>
      <w:r>
        <w:t>d</w:t>
      </w:r>
      <w:r w:rsidR="000D0038" w:rsidRPr="00972D04">
        <w:t>elivering a range of strategic planning initiatives including:</w:t>
      </w:r>
    </w:p>
    <w:p w:rsidR="000D0038" w:rsidRDefault="000D0038" w:rsidP="000D0038">
      <w:pPr>
        <w:pStyle w:val="BodyTextIndent2"/>
      </w:pPr>
      <w:r>
        <w:t>detailed planning</w:t>
      </w:r>
      <w:r w:rsidR="00DB6180">
        <w:t>,</w:t>
      </w:r>
      <w:r>
        <w:t xml:space="preserve"> </w:t>
      </w:r>
      <w:r w:rsidR="00DB6180">
        <w:t xml:space="preserve">facilitating supported changes to the Territory Plan </w:t>
      </w:r>
      <w:r>
        <w:t>and engineering investigations as part of the land release program, with a focus on supporting housing affordability</w:t>
      </w:r>
      <w:r w:rsidR="00C07166">
        <w:t xml:space="preserve"> and accessible communities</w:t>
      </w:r>
      <w:r>
        <w:t>;</w:t>
      </w:r>
      <w:r w:rsidR="00C078C9">
        <w:t xml:space="preserve"> </w:t>
      </w:r>
    </w:p>
    <w:p w:rsidR="00C07166" w:rsidRDefault="000D0038" w:rsidP="000D0038">
      <w:pPr>
        <w:pStyle w:val="BodyTextIndent2"/>
      </w:pPr>
      <w:r>
        <w:lastRenderedPageBreak/>
        <w:t>work</w:t>
      </w:r>
      <w:r w:rsidR="00FF654C">
        <w:t>ing</w:t>
      </w:r>
      <w:r>
        <w:t xml:space="preserve"> on the master plan program to identify where infill development could occur in and around town and group centres and along transport corridors</w:t>
      </w:r>
      <w:r w:rsidR="00C07166">
        <w:t xml:space="preserve"> and how this development and change can be facilitated; </w:t>
      </w:r>
    </w:p>
    <w:p w:rsidR="00C07166" w:rsidRDefault="00FF654C" w:rsidP="000D0038">
      <w:pPr>
        <w:pStyle w:val="BodyTextIndent2"/>
      </w:pPr>
      <w:r>
        <w:t>participating</w:t>
      </w:r>
      <w:r w:rsidR="00C07166">
        <w:t xml:space="preserve"> </w:t>
      </w:r>
      <w:r>
        <w:t>in</w:t>
      </w:r>
      <w:r w:rsidR="00BE4FAE">
        <w:t>,</w:t>
      </w:r>
      <w:r>
        <w:t xml:space="preserve"> </w:t>
      </w:r>
      <w:r w:rsidR="00C07166">
        <w:t>and lead</w:t>
      </w:r>
      <w:r>
        <w:t>ing</w:t>
      </w:r>
      <w:r w:rsidR="00C07166">
        <w:t xml:space="preserve"> components of</w:t>
      </w:r>
      <w:r w:rsidR="00BE4FAE">
        <w:t>,</w:t>
      </w:r>
      <w:r w:rsidR="00C07166">
        <w:t xml:space="preserve"> regional planning in partnership with the NSW Department of Infrastructure and Planning; </w:t>
      </w:r>
    </w:p>
    <w:p w:rsidR="001345B6" w:rsidRDefault="00C07166" w:rsidP="000D0038">
      <w:pPr>
        <w:pStyle w:val="BodyTextIndent2"/>
      </w:pPr>
      <w:r>
        <w:t xml:space="preserve">participating </w:t>
      </w:r>
      <w:r w:rsidR="001345B6">
        <w:t>in national forums o</w:t>
      </w:r>
      <w:r>
        <w:t xml:space="preserve">n analysis and development of national transport </w:t>
      </w:r>
      <w:r w:rsidR="001345B6">
        <w:t xml:space="preserve">and infrastructure </w:t>
      </w:r>
      <w:r>
        <w:t>strategies</w:t>
      </w:r>
      <w:r w:rsidR="001345B6">
        <w:t xml:space="preserve"> and policies; and </w:t>
      </w:r>
    </w:p>
    <w:p w:rsidR="000D0038" w:rsidRDefault="00FF654C" w:rsidP="000D0038">
      <w:pPr>
        <w:pStyle w:val="BodyTextIndent2"/>
      </w:pPr>
      <w:r>
        <w:t>providing</w:t>
      </w:r>
      <w:r w:rsidR="001345B6">
        <w:t xml:space="preserve"> technical support </w:t>
      </w:r>
      <w:r w:rsidR="00745A57">
        <w:t>to</w:t>
      </w:r>
      <w:r w:rsidR="001345B6">
        <w:t xml:space="preserve"> the Capital Metro</w:t>
      </w:r>
      <w:r w:rsidR="00745A57">
        <w:t xml:space="preserve"> Agency</w:t>
      </w:r>
      <w:r w:rsidR="000D0038">
        <w:t>.</w:t>
      </w:r>
    </w:p>
    <w:p w:rsidR="000D0038" w:rsidRPr="00972D04" w:rsidRDefault="002423F6" w:rsidP="000D0038">
      <w:pPr>
        <w:pStyle w:val="BodyTextIndent"/>
      </w:pPr>
      <w:r>
        <w:t>c</w:t>
      </w:r>
      <w:r w:rsidR="000D0038">
        <w:t>ontinuing planning system and other regulatory reforms</w:t>
      </w:r>
      <w:r w:rsidR="00FF654C">
        <w:t xml:space="preserve"> by</w:t>
      </w:r>
      <w:r w:rsidR="000D0038">
        <w:t>:</w:t>
      </w:r>
    </w:p>
    <w:p w:rsidR="000D0038" w:rsidRDefault="000D0038" w:rsidP="000D0038">
      <w:pPr>
        <w:pStyle w:val="BodyTextIndent2"/>
      </w:pPr>
      <w:r>
        <w:t>work</w:t>
      </w:r>
      <w:r w:rsidR="00FF654C">
        <w:t>ing</w:t>
      </w:r>
      <w:r>
        <w:t xml:space="preserve"> with industry to further refine the eDevelopment platform; </w:t>
      </w:r>
      <w:r w:rsidR="00854AB0">
        <w:t>and</w:t>
      </w:r>
    </w:p>
    <w:p w:rsidR="000D0038" w:rsidRDefault="000D0038" w:rsidP="000D0038">
      <w:pPr>
        <w:pStyle w:val="BodyTextIndent2"/>
      </w:pPr>
      <w:r>
        <w:t>review</w:t>
      </w:r>
      <w:r w:rsidR="00FF654C">
        <w:t>ing</w:t>
      </w:r>
      <w:r>
        <w:t xml:space="preserve"> Part 5 of the </w:t>
      </w:r>
      <w:r w:rsidRPr="00000AA2">
        <w:rPr>
          <w:i/>
        </w:rPr>
        <w:t>Utilities Act 2000</w:t>
      </w:r>
      <w:r>
        <w:rPr>
          <w:i/>
        </w:rPr>
        <w:t xml:space="preserve"> </w:t>
      </w:r>
      <w:r w:rsidRPr="00D01AF0">
        <w:rPr>
          <w:rFonts w:cs="Calibri"/>
          <w:lang w:eastAsia="en-AU"/>
        </w:rPr>
        <w:t>to improve regulatory control of licensed utilities in the Territory</w:t>
      </w:r>
      <w:r w:rsidR="00854AB0">
        <w:t>.</w:t>
      </w:r>
    </w:p>
    <w:p w:rsidR="00DB6180" w:rsidRPr="00D337D9" w:rsidRDefault="002423F6"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m</w:t>
      </w:r>
      <w:r w:rsidR="00DB6180" w:rsidRPr="00D337D9">
        <w:t xml:space="preserve">onitoring and facilitating changes to the Territory Plan to ensure </w:t>
      </w:r>
      <w:r w:rsidR="00040387">
        <w:t>that it</w:t>
      </w:r>
      <w:r w:rsidR="00DB6180" w:rsidRPr="00D337D9">
        <w:t xml:space="preserve"> reflects Government policies relating to the management and planning for </w:t>
      </w:r>
      <w:r w:rsidR="00040387">
        <w:t xml:space="preserve">the </w:t>
      </w:r>
      <w:r w:rsidR="00DB6180" w:rsidRPr="00D337D9">
        <w:t>futur</w:t>
      </w:r>
      <w:r>
        <w:t>e sustainable growth of the ACT;</w:t>
      </w:r>
    </w:p>
    <w:p w:rsidR="00AF63FB" w:rsidRPr="00D337D9" w:rsidRDefault="002423F6"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w:t>
      </w:r>
      <w:r w:rsidR="00120385">
        <w:t>ssessing</w:t>
      </w:r>
      <w:r w:rsidR="00DB6180" w:rsidRPr="00D337D9">
        <w:t xml:space="preserve"> development proposals including lease </w:t>
      </w:r>
      <w:r w:rsidR="00D337D9">
        <w:t>variations</w:t>
      </w:r>
      <w:r w:rsidR="00DB6180" w:rsidRPr="00D337D9">
        <w:t xml:space="preserve"> in accor</w:t>
      </w:r>
      <w:r>
        <w:t>dance with the Territory Plan;</w:t>
      </w:r>
    </w:p>
    <w:p w:rsidR="000D0038" w:rsidRDefault="002423F6"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c</w:t>
      </w:r>
      <w:r w:rsidR="000D0038">
        <w:t>ontinuing an energy reform agenda at an ACT and national level and implementing the ACT Sustainable Energy Policy</w:t>
      </w:r>
      <w:r>
        <w:t>;</w:t>
      </w:r>
    </w:p>
    <w:p w:rsidR="000D0038" w:rsidRPr="009118BA" w:rsidRDefault="002423F6" w:rsidP="003B0755">
      <w:pPr>
        <w:pStyle w:val="BodyTextIndent"/>
      </w:pPr>
      <w:r>
        <w:t>a</w:t>
      </w:r>
      <w:r w:rsidR="000D0038" w:rsidRPr="009118BA">
        <w:t xml:space="preserve">ssisting industry to implement the </w:t>
      </w:r>
      <w:r w:rsidR="000D0038" w:rsidRPr="0060697F">
        <w:rPr>
          <w:i/>
        </w:rPr>
        <w:t>Energy Efficiency (Cost of Living) Scheme</w:t>
      </w:r>
      <w:r>
        <w:t>;</w:t>
      </w:r>
    </w:p>
    <w:p w:rsidR="000D0038" w:rsidRDefault="002423F6" w:rsidP="003B0755">
      <w:pPr>
        <w:pStyle w:val="BodyTextIndent"/>
      </w:pPr>
      <w:r>
        <w:t>c</w:t>
      </w:r>
      <w:r w:rsidR="000D0038">
        <w:t>ontinuing to develop strategies to protect and conserve threatened species and ecological communities</w:t>
      </w:r>
      <w:r>
        <w:t>;</w:t>
      </w:r>
    </w:p>
    <w:p w:rsidR="000D0038" w:rsidRPr="00AF63FB" w:rsidRDefault="002423F6" w:rsidP="003B0755">
      <w:pPr>
        <w:pStyle w:val="BodyTextIndent"/>
      </w:pPr>
      <w:r>
        <w:t>c</w:t>
      </w:r>
      <w:r w:rsidR="00054B1B" w:rsidRPr="00AF63FB">
        <w:t>ontinu</w:t>
      </w:r>
      <w:r w:rsidR="009838F1">
        <w:t>ing</w:t>
      </w:r>
      <w:r w:rsidR="00054B1B" w:rsidRPr="00AF63FB">
        <w:t xml:space="preserve"> the</w:t>
      </w:r>
      <w:r w:rsidR="000D0038" w:rsidRPr="00AF63FB">
        <w:t xml:space="preserve"> implementation of the </w:t>
      </w:r>
      <w:r w:rsidR="000D0038" w:rsidRPr="00AF63FB">
        <w:rPr>
          <w:i/>
        </w:rPr>
        <w:t xml:space="preserve">Think water, act water </w:t>
      </w:r>
      <w:r w:rsidR="000D0038" w:rsidRPr="00AF63FB">
        <w:t>strategy and implementing policies and programs which reduce demand for water and, where feasible, increase the use of non-potable water</w:t>
      </w:r>
      <w:r>
        <w:t>;</w:t>
      </w:r>
    </w:p>
    <w:p w:rsidR="000D0038" w:rsidRDefault="002423F6" w:rsidP="003B0755">
      <w:pPr>
        <w:pStyle w:val="BodyTextIndent"/>
      </w:pPr>
      <w:r>
        <w:t>i</w:t>
      </w:r>
      <w:r w:rsidR="000D0038">
        <w:t xml:space="preserve">mplementing the </w:t>
      </w:r>
      <w:r w:rsidR="000D0038" w:rsidRPr="00040387">
        <w:rPr>
          <w:i/>
        </w:rPr>
        <w:t xml:space="preserve">ACT Waste Management </w:t>
      </w:r>
      <w:r w:rsidR="000D0038" w:rsidRPr="002423F6">
        <w:rPr>
          <w:i/>
        </w:rPr>
        <w:t>Strategy 2011-2025</w:t>
      </w:r>
      <w:r w:rsidR="000D0038">
        <w:t>;</w:t>
      </w:r>
    </w:p>
    <w:p w:rsidR="000D0038" w:rsidRPr="002A3C39" w:rsidRDefault="002423F6" w:rsidP="003B0755">
      <w:pPr>
        <w:pStyle w:val="BodyTextIndent"/>
      </w:pPr>
      <w:r>
        <w:t>c</w:t>
      </w:r>
      <w:r w:rsidR="000D0038">
        <w:t xml:space="preserve">elebrating, </w:t>
      </w:r>
      <w:r w:rsidR="00AF63FB">
        <w:t xml:space="preserve">promoting, </w:t>
      </w:r>
      <w:r w:rsidR="000D0038">
        <w:t>caring for and conserving the ACT’s Cultural Heritage and information on local Indigenous heritage</w:t>
      </w:r>
      <w:r>
        <w:t>;</w:t>
      </w:r>
    </w:p>
    <w:p w:rsidR="000D0038"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support</w:t>
      </w:r>
      <w:r w:rsidR="002423F6">
        <w:t>ing</w:t>
      </w:r>
      <w:r>
        <w:t xml:space="preserve"> the Canberra and South East Region Environment Centre</w:t>
      </w:r>
      <w:r w:rsidR="00EC1ECD">
        <w:t>, the Conservation Council, SEE</w:t>
      </w:r>
      <w:r w:rsidR="00EC1ECD">
        <w:noBreakHyphen/>
      </w:r>
      <w:proofErr w:type="spellStart"/>
      <w:r>
        <w:t>Change</w:t>
      </w:r>
      <w:proofErr w:type="spellEnd"/>
      <w:r>
        <w:t xml:space="preserve"> ACT and community ventures with the ACT Government in regional environmental measures</w:t>
      </w:r>
      <w:r w:rsidR="002423F6">
        <w:t>; and</w:t>
      </w:r>
    </w:p>
    <w:p w:rsidR="000D0038"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work</w:t>
      </w:r>
      <w:r w:rsidR="002423F6">
        <w:t>ing</w:t>
      </w:r>
      <w:r>
        <w:t xml:space="preserve"> with the ACT Natural Resource Management Council, community, governments, landholders, industry, the local Indigenous community, and scientific and research organisations to improve our natural environment including through the Commonwealth Government’s </w:t>
      </w:r>
      <w:r w:rsidR="002423F6" w:rsidRPr="00083257">
        <w:rPr>
          <w:i/>
        </w:rPr>
        <w:t>Caring for our Country</w:t>
      </w:r>
      <w:r w:rsidR="002423F6">
        <w:t xml:space="preserve"> program.</w:t>
      </w:r>
    </w:p>
    <w:p w:rsidR="000D0038" w:rsidRDefault="000D0038" w:rsidP="00083257">
      <w:pPr>
        <w:pStyle w:val="Heading3"/>
        <w:spacing w:after="120"/>
      </w:pPr>
      <w:r>
        <w:lastRenderedPageBreak/>
        <w:t>Business and Corporate Strategies</w:t>
      </w:r>
    </w:p>
    <w:p w:rsidR="000D0038" w:rsidRDefault="000D0038" w:rsidP="00083257">
      <w:pPr>
        <w:pStyle w:val="BodyText"/>
      </w:pPr>
      <w:r>
        <w:t xml:space="preserve">The Directorate is guided by the Government’s Performance and Accountability Framework and seeks to integrate the Government’s strategic planning, as articulated in the </w:t>
      </w:r>
      <w:r w:rsidRPr="00083257">
        <w:rPr>
          <w:i/>
        </w:rPr>
        <w:t>Canberra Plan – Towards our Second Century</w:t>
      </w:r>
      <w:r w:rsidRPr="00B16445">
        <w:t>.</w:t>
      </w:r>
      <w:r>
        <w:t xml:space="preserve">  The Directorate’s policy initiatives are complemented by the regulation and enforcement capacity provided through the statutory functions of the Planning and Land Authority, the Environment Protection Authority, the Conservator of Flora and Fauna and supporting the Heritage Council.  </w:t>
      </w:r>
    </w:p>
    <w:p w:rsidR="000D0038" w:rsidRDefault="000D0038" w:rsidP="00F022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pPr>
      <w:r>
        <w:t xml:space="preserve">The Directorate is committed to:  </w:t>
      </w:r>
    </w:p>
    <w:p w:rsidR="000D0038" w:rsidRDefault="000D0038" w:rsidP="00083257">
      <w:pPr>
        <w:pStyle w:val="BodyTextIndent"/>
      </w:pPr>
      <w:r>
        <w:t>identifying the most effective and efficient use of available resources through an analysis of existing programs and new expenditure proposals;</w:t>
      </w:r>
    </w:p>
    <w:p w:rsidR="000D0038" w:rsidRDefault="000D0038" w:rsidP="00083257">
      <w:pPr>
        <w:pStyle w:val="BodyTextIndent"/>
      </w:pPr>
      <w:r>
        <w:t>maintaining the highest standards of ethical behaviour and leadership;</w:t>
      </w:r>
    </w:p>
    <w:p w:rsidR="000D0038" w:rsidRDefault="000D0038" w:rsidP="00083257">
      <w:pPr>
        <w:pStyle w:val="BodyTextIndent"/>
      </w:pPr>
      <w:r>
        <w:t>strengthening collaborative relationships within Government and</w:t>
      </w:r>
      <w:r w:rsidRPr="00C46F53">
        <w:t xml:space="preserve"> </w:t>
      </w:r>
      <w:r>
        <w:t>effective community engagement and customer service; and</w:t>
      </w:r>
    </w:p>
    <w:p w:rsidR="000D0038" w:rsidRPr="000C7A59" w:rsidRDefault="000D0038" w:rsidP="00083257">
      <w:pPr>
        <w:pStyle w:val="BodyTextIndent"/>
      </w:pPr>
      <w:r>
        <w:t>valuing our people through effective leadership, staff retention, an efficient recruitment process and staff learning and development.</w:t>
      </w:r>
    </w:p>
    <w:p w:rsidR="000D0038" w:rsidRPr="00972D04" w:rsidRDefault="000D0038" w:rsidP="00083257">
      <w:pPr>
        <w:pStyle w:val="Heading3"/>
        <w:spacing w:after="120"/>
      </w:pPr>
      <w:r w:rsidRPr="00972D04">
        <w:t>Estimated Employment Level</w:t>
      </w:r>
    </w:p>
    <w:tbl>
      <w:tblPr>
        <w:tblW w:w="9100" w:type="dxa"/>
        <w:tblLayout w:type="fixed"/>
        <w:tblCellMar>
          <w:left w:w="0" w:type="dxa"/>
          <w:right w:w="0" w:type="dxa"/>
        </w:tblCellMar>
        <w:tblLook w:val="0000"/>
      </w:tblPr>
      <w:tblGrid>
        <w:gridCol w:w="1638"/>
        <w:gridCol w:w="2545"/>
        <w:gridCol w:w="1639"/>
        <w:gridCol w:w="1639"/>
        <w:gridCol w:w="1639"/>
      </w:tblGrid>
      <w:tr w:rsidR="000D0038" w:rsidTr="00083257">
        <w:trPr>
          <w:trHeight w:hRule="exact" w:val="510"/>
        </w:trPr>
        <w:tc>
          <w:tcPr>
            <w:tcW w:w="1644" w:type="dxa"/>
            <w:tcBorders>
              <w:top w:val="single" w:sz="4" w:space="0" w:color="auto"/>
              <w:left w:val="nil"/>
              <w:bottom w:val="single" w:sz="4" w:space="0" w:color="auto"/>
              <w:right w:val="nil"/>
            </w:tcBorders>
            <w:vAlign w:val="center"/>
          </w:tcPr>
          <w:p w:rsidR="000D0038" w:rsidRPr="002F2E87" w:rsidRDefault="00AA570A" w:rsidP="00083257">
            <w:pPr>
              <w:pStyle w:val="TableTextRightBold-BP410pt"/>
              <w:rPr>
                <w:rFonts w:cs="Calibri"/>
              </w:rPr>
            </w:pPr>
            <w:r>
              <w:rPr>
                <w:rFonts w:cs="Calibri"/>
              </w:rPr>
              <w:t>2011-12</w:t>
            </w:r>
          </w:p>
          <w:p w:rsidR="000D0038" w:rsidRPr="002F2E87" w:rsidRDefault="000D0038" w:rsidP="00083257">
            <w:pPr>
              <w:pStyle w:val="TableTextRightBold-BP410pt"/>
              <w:rPr>
                <w:rFonts w:cs="Calibri"/>
              </w:rPr>
            </w:pPr>
            <w:r w:rsidRPr="00D01AF0">
              <w:rPr>
                <w:rFonts w:cs="Calibri"/>
              </w:rPr>
              <w:t xml:space="preserve">Actual Outcome </w:t>
            </w:r>
          </w:p>
        </w:tc>
        <w:tc>
          <w:tcPr>
            <w:tcW w:w="2552"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0D0038" w:rsidRPr="002F2E87" w:rsidRDefault="000D0038" w:rsidP="00083257">
            <w:pPr>
              <w:pStyle w:val="TableTextRightBold-BP410pt"/>
              <w:jc w:val="left"/>
              <w:rPr>
                <w:rFonts w:cs="Calibri"/>
                <w:bCs/>
              </w:rPr>
            </w:pPr>
          </w:p>
        </w:tc>
        <w:tc>
          <w:tcPr>
            <w:tcW w:w="1644" w:type="dxa"/>
            <w:tcBorders>
              <w:top w:val="single" w:sz="4" w:space="0" w:color="auto"/>
              <w:left w:val="nil"/>
              <w:bottom w:val="single" w:sz="4" w:space="0" w:color="auto"/>
              <w:right w:val="nil"/>
            </w:tcBorders>
            <w:vAlign w:val="center"/>
          </w:tcPr>
          <w:p w:rsidR="000D0038" w:rsidRPr="002F2E87" w:rsidRDefault="000D0038" w:rsidP="00083257">
            <w:pPr>
              <w:pStyle w:val="TableTextRightBold-BP410pt"/>
              <w:rPr>
                <w:rFonts w:cs="Calibri"/>
              </w:rPr>
            </w:pPr>
            <w:r w:rsidRPr="00D01AF0">
              <w:rPr>
                <w:rFonts w:cs="Calibri"/>
              </w:rPr>
              <w:t>201</w:t>
            </w:r>
            <w:r w:rsidR="00AA570A">
              <w:rPr>
                <w:rFonts w:cs="Calibri"/>
              </w:rPr>
              <w:t>2</w:t>
            </w:r>
            <w:r w:rsidRPr="00D01AF0">
              <w:rPr>
                <w:rFonts w:cs="Calibri"/>
              </w:rPr>
              <w:t>-1</w:t>
            </w:r>
            <w:r w:rsidR="00AA570A">
              <w:rPr>
                <w:rFonts w:cs="Calibri"/>
              </w:rPr>
              <w:t>3</w:t>
            </w:r>
          </w:p>
          <w:p w:rsidR="000D0038" w:rsidRPr="002F2E87" w:rsidRDefault="000D0038" w:rsidP="00083257">
            <w:pPr>
              <w:pStyle w:val="TableTextRightBold-BP410pt"/>
              <w:rPr>
                <w:rFonts w:cs="Calibri"/>
              </w:rPr>
            </w:pPr>
            <w:r w:rsidRPr="00D01AF0">
              <w:rPr>
                <w:rFonts w:cs="Calibri"/>
              </w:rPr>
              <w:t>Budget</w:t>
            </w:r>
          </w:p>
          <w:p w:rsidR="000D0038" w:rsidRPr="002F2E87" w:rsidRDefault="000D0038" w:rsidP="00083257">
            <w:pPr>
              <w:pStyle w:val="TableTextRightBold-BP410pt"/>
              <w:rPr>
                <w:rFonts w:cs="Calibri"/>
              </w:rPr>
            </w:pPr>
          </w:p>
        </w:tc>
        <w:tc>
          <w:tcPr>
            <w:tcW w:w="1644" w:type="dxa"/>
            <w:tcBorders>
              <w:top w:val="single" w:sz="4" w:space="0" w:color="auto"/>
              <w:left w:val="nil"/>
              <w:bottom w:val="single" w:sz="4" w:space="0" w:color="auto"/>
              <w:right w:val="nil"/>
            </w:tcBorders>
            <w:vAlign w:val="center"/>
          </w:tcPr>
          <w:p w:rsidR="000D0038" w:rsidRPr="002F2E87" w:rsidRDefault="000D0038" w:rsidP="00083257">
            <w:pPr>
              <w:pStyle w:val="TableTextRightBold-BP410pt"/>
              <w:rPr>
                <w:rFonts w:cs="Calibri"/>
              </w:rPr>
            </w:pPr>
            <w:r w:rsidRPr="00D01AF0">
              <w:rPr>
                <w:rFonts w:cs="Calibri"/>
              </w:rPr>
              <w:t>201</w:t>
            </w:r>
            <w:r w:rsidR="00AA570A">
              <w:rPr>
                <w:rFonts w:cs="Calibri"/>
              </w:rPr>
              <w:t>2</w:t>
            </w:r>
            <w:r w:rsidRPr="00D01AF0">
              <w:rPr>
                <w:rFonts w:cs="Calibri"/>
              </w:rPr>
              <w:t>-1</w:t>
            </w:r>
            <w:r w:rsidR="00AA570A">
              <w:rPr>
                <w:rFonts w:cs="Calibri"/>
              </w:rPr>
              <w:t>3</w:t>
            </w:r>
          </w:p>
          <w:p w:rsidR="000D0038" w:rsidRPr="00E00733" w:rsidRDefault="000D0038" w:rsidP="00083257">
            <w:pPr>
              <w:pStyle w:val="TableTextRightBold-BP410pt"/>
              <w:keepNext/>
              <w:keepLines/>
              <w:ind w:left="357"/>
              <w:rPr>
                <w:rFonts w:cs="Calibri"/>
              </w:rPr>
            </w:pPr>
            <w:r w:rsidRPr="00D01AF0">
              <w:rPr>
                <w:rFonts w:cs="Calibri"/>
              </w:rPr>
              <w:t>Est. Outcome</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0D0038" w:rsidRPr="002F2E87" w:rsidRDefault="000D0038" w:rsidP="00083257">
            <w:pPr>
              <w:pStyle w:val="TableTextRightBold-BP410pt"/>
              <w:keepNext/>
              <w:keepLines/>
              <w:rPr>
                <w:rFonts w:cs="Calibri"/>
              </w:rPr>
            </w:pPr>
            <w:r w:rsidRPr="00D01AF0">
              <w:rPr>
                <w:rFonts w:cs="Calibri"/>
              </w:rPr>
              <w:t>201</w:t>
            </w:r>
            <w:r w:rsidR="00AA570A">
              <w:rPr>
                <w:rFonts w:cs="Calibri"/>
              </w:rPr>
              <w:t>3</w:t>
            </w:r>
            <w:r w:rsidRPr="00D01AF0">
              <w:rPr>
                <w:rFonts w:cs="Calibri"/>
              </w:rPr>
              <w:t>-1</w:t>
            </w:r>
            <w:r w:rsidR="00AA570A">
              <w:rPr>
                <w:rFonts w:cs="Calibri"/>
              </w:rPr>
              <w:t>4</w:t>
            </w:r>
          </w:p>
          <w:p w:rsidR="000D0038" w:rsidRPr="002F2E87" w:rsidRDefault="000D0038" w:rsidP="00083257">
            <w:pPr>
              <w:pStyle w:val="TableTextRightBold-BP410pt"/>
              <w:keepNext/>
              <w:keepLines/>
              <w:ind w:left="357"/>
              <w:rPr>
                <w:rFonts w:cs="Calibri"/>
              </w:rPr>
            </w:pPr>
            <w:r w:rsidRPr="00D01AF0">
              <w:rPr>
                <w:rFonts w:cs="Calibri"/>
              </w:rPr>
              <w:t xml:space="preserve">Budget </w:t>
            </w:r>
          </w:p>
          <w:p w:rsidR="000D0038" w:rsidRPr="002F2E87" w:rsidRDefault="000D0038" w:rsidP="00083257">
            <w:pPr>
              <w:pStyle w:val="TableTextRightBold-BP410pt"/>
              <w:rPr>
                <w:rFonts w:cs="Calibri"/>
              </w:rPr>
            </w:pPr>
          </w:p>
        </w:tc>
      </w:tr>
      <w:tr w:rsidR="000D0038" w:rsidRPr="00C95720" w:rsidTr="00083257">
        <w:trPr>
          <w:trHeight w:val="392"/>
        </w:trPr>
        <w:tc>
          <w:tcPr>
            <w:tcW w:w="1644" w:type="dxa"/>
            <w:tcBorders>
              <w:top w:val="single" w:sz="4" w:space="0" w:color="auto"/>
              <w:left w:val="nil"/>
              <w:bottom w:val="single" w:sz="4" w:space="0" w:color="auto"/>
              <w:right w:val="nil"/>
            </w:tcBorders>
            <w:vAlign w:val="center"/>
          </w:tcPr>
          <w:p w:rsidR="000D0038" w:rsidRPr="00C95720" w:rsidRDefault="000D0038" w:rsidP="00083257">
            <w:pPr>
              <w:pStyle w:val="AITableText"/>
              <w:rPr>
                <w:rFonts w:cs="Calibri"/>
              </w:rPr>
            </w:pPr>
            <w:r w:rsidRPr="00C95720">
              <w:rPr>
                <w:rFonts w:cs="Calibri"/>
              </w:rPr>
              <w:t>4</w:t>
            </w:r>
            <w:r w:rsidR="00AA570A" w:rsidRPr="00C95720">
              <w:rPr>
                <w:rFonts w:cs="Calibri"/>
              </w:rPr>
              <w:t>67</w:t>
            </w:r>
          </w:p>
        </w:tc>
        <w:tc>
          <w:tcPr>
            <w:tcW w:w="2552" w:type="dxa"/>
            <w:tcBorders>
              <w:top w:val="single" w:sz="4" w:space="0" w:color="auto"/>
              <w:left w:val="nil"/>
              <w:bottom w:val="single" w:sz="4" w:space="0" w:color="auto"/>
              <w:right w:val="nil"/>
            </w:tcBorders>
            <w:tcMar>
              <w:top w:w="18" w:type="dxa"/>
              <w:left w:w="421" w:type="dxa"/>
              <w:bottom w:w="0" w:type="dxa"/>
              <w:right w:w="18" w:type="dxa"/>
            </w:tcMar>
            <w:vAlign w:val="center"/>
          </w:tcPr>
          <w:p w:rsidR="000D0038" w:rsidRPr="00C95720" w:rsidRDefault="000D0038" w:rsidP="00083257">
            <w:pPr>
              <w:pStyle w:val="TableTextLeftBold-BP410pt"/>
              <w:ind w:hanging="358"/>
              <w:rPr>
                <w:rFonts w:cs="Calibri"/>
                <w:vertAlign w:val="superscript"/>
              </w:rPr>
            </w:pPr>
            <w:r w:rsidRPr="00C95720">
              <w:rPr>
                <w:rFonts w:cs="Calibri"/>
              </w:rPr>
              <w:t>Staffing (FTE)</w:t>
            </w:r>
            <w:r w:rsidRPr="00C95720">
              <w:rPr>
                <w:rFonts w:cs="Calibri"/>
                <w:vertAlign w:val="superscript"/>
              </w:rPr>
              <w:t>1</w:t>
            </w:r>
          </w:p>
        </w:tc>
        <w:tc>
          <w:tcPr>
            <w:tcW w:w="1644" w:type="dxa"/>
            <w:tcBorders>
              <w:top w:val="single" w:sz="4" w:space="0" w:color="auto"/>
              <w:left w:val="nil"/>
              <w:bottom w:val="single" w:sz="4" w:space="0" w:color="auto"/>
              <w:right w:val="nil"/>
            </w:tcBorders>
            <w:vAlign w:val="center"/>
          </w:tcPr>
          <w:p w:rsidR="000D0038" w:rsidRPr="00C95720" w:rsidRDefault="000D0038" w:rsidP="00083257">
            <w:pPr>
              <w:pStyle w:val="TableTextRight-BP410pt"/>
              <w:rPr>
                <w:rFonts w:cs="Calibri"/>
              </w:rPr>
            </w:pPr>
            <w:r w:rsidRPr="00C95720">
              <w:rPr>
                <w:rFonts w:cs="Calibri"/>
              </w:rPr>
              <w:t>4</w:t>
            </w:r>
            <w:r w:rsidR="00AA570A" w:rsidRPr="00C95720">
              <w:rPr>
                <w:rFonts w:cs="Calibri"/>
              </w:rPr>
              <w:t>45</w:t>
            </w:r>
          </w:p>
        </w:tc>
        <w:tc>
          <w:tcPr>
            <w:tcW w:w="1644" w:type="dxa"/>
            <w:tcBorders>
              <w:top w:val="single" w:sz="4" w:space="0" w:color="auto"/>
              <w:left w:val="nil"/>
              <w:bottom w:val="single" w:sz="4" w:space="0" w:color="auto"/>
              <w:right w:val="nil"/>
            </w:tcBorders>
            <w:vAlign w:val="center"/>
          </w:tcPr>
          <w:p w:rsidR="000D0038" w:rsidRPr="00C95720" w:rsidRDefault="00C95720" w:rsidP="00083257">
            <w:pPr>
              <w:pStyle w:val="TableTextRight-BP410pt"/>
              <w:rPr>
                <w:rFonts w:cs="Calibri"/>
              </w:rPr>
            </w:pPr>
            <w:r>
              <w:rPr>
                <w:rFonts w:cs="Calibri"/>
              </w:rPr>
              <w:t>451</w:t>
            </w:r>
            <w:r w:rsidR="000D0038" w:rsidRPr="00C95720">
              <w:rPr>
                <w:rFonts w:cs="Calibri"/>
                <w:vertAlign w:val="superscript"/>
              </w:rPr>
              <w:t>2</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0D0038" w:rsidRPr="00C95720" w:rsidRDefault="00AA570A" w:rsidP="00083257">
            <w:pPr>
              <w:pStyle w:val="TableTextRight-BP410pt"/>
              <w:rPr>
                <w:rFonts w:cs="Calibri"/>
              </w:rPr>
            </w:pPr>
            <w:r w:rsidRPr="00C95720">
              <w:rPr>
                <w:rFonts w:cs="Calibri"/>
              </w:rPr>
              <w:t>422</w:t>
            </w:r>
            <w:r w:rsidR="000D0038" w:rsidRPr="00C95720">
              <w:rPr>
                <w:rFonts w:cs="Calibri"/>
                <w:vertAlign w:val="superscript"/>
              </w:rPr>
              <w:t>3</w:t>
            </w:r>
          </w:p>
        </w:tc>
      </w:tr>
    </w:tbl>
    <w:p w:rsidR="000D0038" w:rsidRPr="00C95720" w:rsidRDefault="000D0038" w:rsidP="000D0038">
      <w:pPr>
        <w:pStyle w:val="NoteHeading0"/>
      </w:pPr>
      <w:r w:rsidRPr="00C95720">
        <w:t>Notes:</w:t>
      </w:r>
    </w:p>
    <w:p w:rsidR="000D0038" w:rsidRPr="00C95720" w:rsidRDefault="000D0038" w:rsidP="000D0038">
      <w:pPr>
        <w:pStyle w:val="AINotes"/>
      </w:pPr>
      <w:r w:rsidRPr="00C95720">
        <w:t>Includes the Office of the Commissioner for Sustainability and the Environment.</w:t>
      </w:r>
    </w:p>
    <w:p w:rsidR="000D0038" w:rsidRPr="00C95720" w:rsidRDefault="00AA570A" w:rsidP="000D0038">
      <w:pPr>
        <w:pStyle w:val="AINotes"/>
      </w:pPr>
      <w:r w:rsidRPr="00C95720">
        <w:t xml:space="preserve">The increase </w:t>
      </w:r>
      <w:r w:rsidR="00745A57">
        <w:t xml:space="preserve">of 6 FTE in the 2012-13 estimate outcome from the 2012-13 Budget </w:t>
      </w:r>
      <w:r w:rsidRPr="00C95720">
        <w:t xml:space="preserve">is due to </w:t>
      </w:r>
      <w:r w:rsidR="00C95720" w:rsidRPr="00C95720">
        <w:t xml:space="preserve">savings not yet being fully realised. </w:t>
      </w:r>
    </w:p>
    <w:p w:rsidR="000D0038" w:rsidRPr="00C95720" w:rsidRDefault="000D0038" w:rsidP="000D0038">
      <w:pPr>
        <w:pStyle w:val="AINotes"/>
      </w:pPr>
      <w:r w:rsidRPr="00C95720">
        <w:t xml:space="preserve">The decrease of </w:t>
      </w:r>
      <w:r w:rsidR="00D043EA">
        <w:t>29</w:t>
      </w:r>
      <w:r w:rsidR="00D043EA" w:rsidRPr="00C95720">
        <w:t xml:space="preserve"> </w:t>
      </w:r>
      <w:r w:rsidR="00AA570A" w:rsidRPr="00C95720">
        <w:t>FTE in the 2013</w:t>
      </w:r>
      <w:r w:rsidRPr="00C95720">
        <w:noBreakHyphen/>
        <w:t>1</w:t>
      </w:r>
      <w:r w:rsidR="00AA570A" w:rsidRPr="00C95720">
        <w:t>4</w:t>
      </w:r>
      <w:r w:rsidRPr="00C95720">
        <w:t xml:space="preserve"> Budget from the 201</w:t>
      </w:r>
      <w:r w:rsidR="00AA570A" w:rsidRPr="00C95720">
        <w:t>2</w:t>
      </w:r>
      <w:r w:rsidRPr="00C95720">
        <w:noBreakHyphen/>
        <w:t>1</w:t>
      </w:r>
      <w:r w:rsidR="00AA570A" w:rsidRPr="00C95720">
        <w:t>3</w:t>
      </w:r>
      <w:r w:rsidRPr="00C95720">
        <w:t xml:space="preserve"> estimated outcome is due to savings </w:t>
      </w:r>
      <w:r w:rsidR="00BA519C" w:rsidRPr="00C95720">
        <w:t>initiatives</w:t>
      </w:r>
      <w:r w:rsidRPr="00C95720">
        <w:t>.</w:t>
      </w:r>
    </w:p>
    <w:p w:rsidR="000D0038" w:rsidRDefault="000D0038" w:rsidP="000D0038">
      <w:pPr>
        <w:pStyle w:val="Heading3"/>
      </w:pPr>
      <w:r>
        <w:t>Strategic Objectives and Indicators</w:t>
      </w:r>
    </w:p>
    <w:p w:rsidR="000D0038" w:rsidRPr="00AD5CD1" w:rsidRDefault="000D0038" w:rsidP="00171C6F">
      <w:pPr>
        <w:pStyle w:val="SI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r w:rsidRPr="00E635A0">
        <w:rPr>
          <w:rFonts w:cs="Arial"/>
        </w:rPr>
        <w:t>Strategic Objective 1</w:t>
      </w:r>
    </w:p>
    <w:p w:rsidR="000D0038" w:rsidRPr="00AD5CD1" w:rsidRDefault="000D0038" w:rsidP="000D0038">
      <w:pPr>
        <w:pStyle w:val="SI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r w:rsidRPr="00E635A0">
        <w:rPr>
          <w:rFonts w:cs="Arial"/>
        </w:rPr>
        <w:t>Leading the Community Towards Making Canberra a Zero-Net Carbon Emitter</w:t>
      </w:r>
    </w:p>
    <w:p w:rsidR="000D0038" w:rsidRPr="00972D04" w:rsidRDefault="000D0038" w:rsidP="000D0038">
      <w:pPr>
        <w:pStyle w:val="BodyText"/>
      </w:pPr>
      <w:r w:rsidRPr="00972D04">
        <w:t xml:space="preserve">The Government’s vision for Canberra is to set the benchmark for Australian cities in carbon neutrality and sustainability. </w:t>
      </w:r>
      <w:r w:rsidR="00342AA1">
        <w:t xml:space="preserve"> </w:t>
      </w:r>
      <w:r w:rsidRPr="00972D04">
        <w:t>The Directorate works across government, the business sector and the broader community to achieve greenhouse gas emission reductions.</w:t>
      </w:r>
    </w:p>
    <w:p w:rsidR="000D0038" w:rsidRPr="00972D04" w:rsidRDefault="000D0038" w:rsidP="000D0038">
      <w:pPr>
        <w:pStyle w:val="BodyText"/>
      </w:pPr>
      <w:r w:rsidRPr="00972D04">
        <w:t>The Directorate will raise awareness of climate change through engaging with the community, building partnerships in mitigation and adaptation and developing effective offset options.</w:t>
      </w:r>
    </w:p>
    <w:p w:rsidR="000D0038" w:rsidRPr="00972D04" w:rsidRDefault="000D0038" w:rsidP="000D0038">
      <w:pPr>
        <w:pStyle w:val="BodyText"/>
      </w:pPr>
      <w:r w:rsidRPr="00972D04">
        <w:t>The Directorate will:</w:t>
      </w:r>
    </w:p>
    <w:p w:rsidR="000D0038" w:rsidRPr="00386C29" w:rsidRDefault="00AA570A"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Pr>
          <w:rFonts w:cs="Calibri"/>
        </w:rPr>
        <w:t>implement</w:t>
      </w:r>
      <w:r w:rsidR="000D0038" w:rsidRPr="00386C29">
        <w:rPr>
          <w:rFonts w:cs="Calibri"/>
        </w:rPr>
        <w:t xml:space="preserve"> </w:t>
      </w:r>
      <w:r w:rsidR="000D0038" w:rsidRPr="00CF5292">
        <w:rPr>
          <w:i/>
        </w:rPr>
        <w:t xml:space="preserve">Weathering the Change </w:t>
      </w:r>
      <w:r w:rsidR="000D0038" w:rsidRPr="00083257">
        <w:rPr>
          <w:rFonts w:cs="Calibri"/>
          <w:i/>
        </w:rPr>
        <w:t>Action Plan 2</w:t>
      </w:r>
      <w:r w:rsidR="000D0038" w:rsidRPr="00386C29">
        <w:rPr>
          <w:rFonts w:cs="Calibri"/>
        </w:rPr>
        <w:t xml:space="preserve"> as a comprehensive road map to carbon neutrality;</w:t>
      </w:r>
    </w:p>
    <w:p w:rsidR="000D0038" w:rsidRPr="00386C29"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386C29">
        <w:rPr>
          <w:rFonts w:cs="Calibri"/>
        </w:rPr>
        <w:t>ensure the monitoring and reporting of greenhouse gas emissions against legislated targets and implement a carbon neutral framework for the Government;</w:t>
      </w:r>
    </w:p>
    <w:p w:rsidR="000D0038" w:rsidRPr="00386C29"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386C29">
        <w:rPr>
          <w:rFonts w:cs="Calibri"/>
        </w:rPr>
        <w:t>promote business and community engagement on climate change through the Climate Change Council and sectoral agreements; and</w:t>
      </w:r>
    </w:p>
    <w:p w:rsidR="000D0038" w:rsidRPr="00386C29"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Pr>
          <w:rFonts w:cs="Calibri"/>
        </w:rPr>
        <w:t>develop</w:t>
      </w:r>
      <w:r w:rsidRPr="00386C29">
        <w:rPr>
          <w:rFonts w:cs="Calibri"/>
        </w:rPr>
        <w:t xml:space="preserve"> a sustainable transport network</w:t>
      </w:r>
      <w:r>
        <w:rPr>
          <w:rFonts w:cs="Calibri"/>
        </w:rPr>
        <w:t xml:space="preserve"> through strategic planning</w:t>
      </w:r>
      <w:r w:rsidRPr="00386C29">
        <w:rPr>
          <w:rFonts w:cs="Calibri"/>
        </w:rPr>
        <w:t xml:space="preserve">. </w:t>
      </w:r>
    </w:p>
    <w:p w:rsidR="000D0038" w:rsidRDefault="000D0038" w:rsidP="000D0038">
      <w:pPr>
        <w:pStyle w:val="BodyTextIndent"/>
        <w:keepNext w:val="0"/>
        <w:keepLines w:val="0"/>
        <w:numPr>
          <w:ilvl w:val="0"/>
          <w:numId w:val="0"/>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rPr>
          <w:rFonts w:cs="Calibri"/>
          <w:b/>
        </w:rPr>
      </w:pPr>
      <w:r w:rsidRPr="00AD5CD1">
        <w:rPr>
          <w:rFonts w:ascii="Arial" w:hAnsi="Arial" w:cs="Arial"/>
          <w:b/>
          <w:sz w:val="20"/>
          <w:szCs w:val="20"/>
        </w:rPr>
        <w:lastRenderedPageBreak/>
        <w:t xml:space="preserve">Strategic Indicator 1: </w:t>
      </w:r>
      <w:r w:rsidRPr="00AD5CD1">
        <w:rPr>
          <w:rFonts w:ascii="Arial" w:hAnsi="Arial" w:cs="Arial"/>
          <w:b/>
          <w:sz w:val="20"/>
          <w:szCs w:val="20"/>
        </w:rPr>
        <w:tab/>
      </w:r>
      <w:r w:rsidRPr="00AD5CD1">
        <w:rPr>
          <w:rFonts w:ascii="Arial" w:hAnsi="Arial" w:cs="Arial"/>
          <w:sz w:val="20"/>
          <w:szCs w:val="20"/>
        </w:rPr>
        <w:t xml:space="preserve">Identify </w:t>
      </w:r>
      <w:r w:rsidR="00171C6F">
        <w:rPr>
          <w:rFonts w:ascii="Arial" w:hAnsi="Arial" w:cs="Arial"/>
          <w:sz w:val="20"/>
          <w:szCs w:val="20"/>
        </w:rPr>
        <w:t>Actions to D</w:t>
      </w:r>
      <w:r w:rsidRPr="00AD5CD1">
        <w:rPr>
          <w:rFonts w:ascii="Arial" w:hAnsi="Arial" w:cs="Arial"/>
          <w:sz w:val="20"/>
          <w:szCs w:val="20"/>
        </w:rPr>
        <w:t>eliver 40</w:t>
      </w:r>
      <w:r w:rsidR="003B0755">
        <w:rPr>
          <w:rFonts w:ascii="Arial" w:hAnsi="Arial" w:cs="Arial"/>
          <w:sz w:val="20"/>
          <w:szCs w:val="20"/>
        </w:rPr>
        <w:t> per cent</w:t>
      </w:r>
      <w:r w:rsidR="00171C6F">
        <w:rPr>
          <w:rFonts w:ascii="Arial" w:hAnsi="Arial" w:cs="Arial"/>
          <w:sz w:val="20"/>
          <w:szCs w:val="20"/>
        </w:rPr>
        <w:t xml:space="preserve"> G</w:t>
      </w:r>
      <w:r w:rsidRPr="00AD5CD1">
        <w:rPr>
          <w:rFonts w:ascii="Arial" w:hAnsi="Arial" w:cs="Arial"/>
          <w:sz w:val="20"/>
          <w:szCs w:val="20"/>
        </w:rPr>
        <w:t xml:space="preserve">reenhouse </w:t>
      </w:r>
      <w:r w:rsidR="00171C6F">
        <w:rPr>
          <w:rFonts w:ascii="Arial" w:hAnsi="Arial" w:cs="Arial"/>
          <w:sz w:val="20"/>
          <w:szCs w:val="20"/>
        </w:rPr>
        <w:t>G</w:t>
      </w:r>
      <w:r w:rsidR="00171C6F">
        <w:rPr>
          <w:rFonts w:ascii="Arial" w:hAnsi="Arial" w:cs="Arial"/>
          <w:sz w:val="20"/>
        </w:rPr>
        <w:t>as Emission R</w:t>
      </w:r>
      <w:r w:rsidRPr="00E635A0">
        <w:rPr>
          <w:rFonts w:ascii="Arial" w:hAnsi="Arial" w:cs="Arial"/>
          <w:sz w:val="20"/>
        </w:rPr>
        <w:t>eductions</w:t>
      </w:r>
      <w:r w:rsidRPr="00AD5CD1">
        <w:rPr>
          <w:rFonts w:ascii="Arial" w:hAnsi="Arial" w:cs="Arial"/>
          <w:b/>
          <w:sz w:val="20"/>
          <w:szCs w:val="20"/>
        </w:rPr>
        <w:t xml:space="preserve"> </w:t>
      </w:r>
      <w:r w:rsidR="00171C6F">
        <w:rPr>
          <w:rFonts w:ascii="Arial" w:hAnsi="Arial" w:cs="Arial"/>
          <w:sz w:val="20"/>
          <w:szCs w:val="20"/>
        </w:rPr>
        <w:t>C</w:t>
      </w:r>
      <w:r w:rsidRPr="00AD5CD1">
        <w:rPr>
          <w:rFonts w:ascii="Arial" w:hAnsi="Arial" w:cs="Arial"/>
          <w:sz w:val="20"/>
          <w:szCs w:val="20"/>
        </w:rPr>
        <w:t>ompared to 1990 levels by 2020</w:t>
      </w:r>
    </w:p>
    <w:p w:rsidR="000D0038" w:rsidRDefault="00C87C76" w:rsidP="000D0038">
      <w:pPr>
        <w:pStyle w:val="BodyTextIndent"/>
        <w:keepNext w:val="0"/>
        <w:keepLines w:val="0"/>
        <w:numPr>
          <w:ilvl w:val="0"/>
          <w:numId w:val="0"/>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cs="Calibri"/>
          <w:b/>
        </w:rPr>
      </w:pPr>
      <w:r>
        <w:rPr>
          <w:rFonts w:cs="Calibri"/>
          <w:b/>
          <w:noProof/>
          <w:lang w:eastAsia="en-AU"/>
        </w:rPr>
        <w:drawing>
          <wp:inline distT="0" distB="0" distL="0" distR="0">
            <wp:extent cx="4810125" cy="2481580"/>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810125" cy="2481580"/>
                    </a:xfrm>
                    <a:prstGeom prst="rect">
                      <a:avLst/>
                    </a:prstGeom>
                    <a:noFill/>
                  </pic:spPr>
                </pic:pic>
              </a:graphicData>
            </a:graphic>
          </wp:inline>
        </w:drawing>
      </w:r>
    </w:p>
    <w:p w:rsidR="00BA519C" w:rsidRDefault="00BA519C" w:rsidP="00BA519C">
      <w:pPr>
        <w:pStyle w:val="NoteHeading0"/>
      </w:pPr>
      <w:r>
        <w:t>Note:</w:t>
      </w:r>
    </w:p>
    <w:p w:rsidR="00BA519C" w:rsidRPr="00BA519C" w:rsidRDefault="00BA519C" w:rsidP="00BA519C">
      <w:pPr>
        <w:pStyle w:val="AINotes"/>
        <w:numPr>
          <w:ilvl w:val="0"/>
          <w:numId w:val="50"/>
        </w:numPr>
      </w:pPr>
      <w:r>
        <w:t>Carbon offsets are measured in metric tons of carbon-dioxide-equivalent (CO</w:t>
      </w:r>
      <w:r>
        <w:rPr>
          <w:vertAlign w:val="subscript"/>
        </w:rPr>
        <w:t>2</w:t>
      </w:r>
      <w:r>
        <w:t>-e)</w:t>
      </w:r>
    </w:p>
    <w:p w:rsidR="000D0038" w:rsidRPr="00E139EF" w:rsidRDefault="000D0038" w:rsidP="00E139EF">
      <w:pPr>
        <w:pStyle w:val="SIHeading1"/>
      </w:pPr>
      <w:r w:rsidRPr="00E139EF">
        <w:t>Strategic Objective 2</w:t>
      </w:r>
    </w:p>
    <w:p w:rsidR="000D0038" w:rsidRPr="00AD5CD1" w:rsidRDefault="000D0038" w:rsidP="000D0038">
      <w:pPr>
        <w:pStyle w:val="SI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r w:rsidRPr="00AD5CD1">
        <w:rPr>
          <w:rFonts w:cs="Arial"/>
        </w:rPr>
        <w:t>Promoting Sustainable, Secure and Equitable Energy Supply</w:t>
      </w:r>
    </w:p>
    <w:p w:rsidR="000D0038" w:rsidRPr="00386C29" w:rsidRDefault="000D0038" w:rsidP="00F022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Cs w:val="24"/>
        </w:rPr>
      </w:pPr>
      <w:r w:rsidRPr="00386C29">
        <w:rPr>
          <w:rFonts w:cs="Calibri"/>
          <w:szCs w:val="24"/>
        </w:rPr>
        <w:t>As part of the drive to carbon neutrality the Government has</w:t>
      </w:r>
      <w:r>
        <w:rPr>
          <w:rFonts w:cs="Calibri"/>
          <w:szCs w:val="24"/>
        </w:rPr>
        <w:t xml:space="preserve"> developed an</w:t>
      </w:r>
      <w:r w:rsidRPr="00386C29">
        <w:rPr>
          <w:rFonts w:cs="Calibri"/>
          <w:szCs w:val="24"/>
        </w:rPr>
        <w:t xml:space="preserve"> ACT Sustainable Energy Policy.  The pri</w:t>
      </w:r>
      <w:r>
        <w:rPr>
          <w:rFonts w:cs="Calibri"/>
          <w:szCs w:val="24"/>
        </w:rPr>
        <w:t>mary focus of the policy is</w:t>
      </w:r>
      <w:r w:rsidRPr="00386C29">
        <w:rPr>
          <w:rFonts w:cs="Calibri"/>
          <w:szCs w:val="24"/>
        </w:rPr>
        <w:t xml:space="preserve"> to reduce emissions associated with energy </w:t>
      </w:r>
      <w:r>
        <w:rPr>
          <w:rFonts w:cs="Calibri"/>
          <w:szCs w:val="24"/>
        </w:rPr>
        <w:t xml:space="preserve">use.  The policy </w:t>
      </w:r>
      <w:r w:rsidRPr="00386C29">
        <w:rPr>
          <w:rFonts w:cs="Calibri"/>
          <w:szCs w:val="24"/>
        </w:rPr>
        <w:t>contain</w:t>
      </w:r>
      <w:r>
        <w:rPr>
          <w:rFonts w:cs="Calibri"/>
          <w:szCs w:val="24"/>
        </w:rPr>
        <w:t>s</w:t>
      </w:r>
      <w:r w:rsidRPr="00386C29">
        <w:rPr>
          <w:rFonts w:cs="Calibri"/>
          <w:szCs w:val="24"/>
        </w:rPr>
        <w:t xml:space="preserve"> spe</w:t>
      </w:r>
      <w:r>
        <w:rPr>
          <w:rFonts w:cs="Calibri"/>
          <w:szCs w:val="24"/>
        </w:rPr>
        <w:t>cific and measurable targets to</w:t>
      </w:r>
      <w:r w:rsidRPr="00386C29">
        <w:rPr>
          <w:rFonts w:cs="Calibri"/>
          <w:szCs w:val="24"/>
        </w:rPr>
        <w:t xml:space="preserve"> ensure the equitable provision of energy and security of supply.  </w:t>
      </w:r>
      <w:r>
        <w:rPr>
          <w:rFonts w:cs="Calibri"/>
          <w:szCs w:val="24"/>
        </w:rPr>
        <w:t xml:space="preserve">Implementation will </w:t>
      </w:r>
      <w:r w:rsidR="00AA570A">
        <w:rPr>
          <w:rFonts w:cs="Calibri"/>
          <w:szCs w:val="24"/>
        </w:rPr>
        <w:t>continue</w:t>
      </w:r>
      <w:r>
        <w:rPr>
          <w:rFonts w:cs="Calibri"/>
          <w:szCs w:val="24"/>
        </w:rPr>
        <w:t xml:space="preserve"> i</w:t>
      </w:r>
      <w:r w:rsidRPr="00386C29">
        <w:rPr>
          <w:rFonts w:cs="Calibri"/>
          <w:szCs w:val="24"/>
        </w:rPr>
        <w:t>n 201</w:t>
      </w:r>
      <w:r w:rsidR="00AA570A">
        <w:rPr>
          <w:rFonts w:cs="Calibri"/>
          <w:szCs w:val="24"/>
        </w:rPr>
        <w:t>3</w:t>
      </w:r>
      <w:r w:rsidRPr="00386C29">
        <w:rPr>
          <w:rFonts w:cs="Calibri"/>
          <w:szCs w:val="24"/>
        </w:rPr>
        <w:t>-1</w:t>
      </w:r>
      <w:r w:rsidR="00AA570A">
        <w:rPr>
          <w:rFonts w:cs="Calibri"/>
          <w:szCs w:val="24"/>
        </w:rPr>
        <w:t>4</w:t>
      </w:r>
      <w:r>
        <w:rPr>
          <w:rFonts w:cs="Calibri"/>
          <w:szCs w:val="24"/>
        </w:rPr>
        <w:t xml:space="preserve"> where</w:t>
      </w:r>
      <w:r w:rsidRPr="00386C29">
        <w:rPr>
          <w:rFonts w:cs="Calibri"/>
          <w:szCs w:val="24"/>
        </w:rPr>
        <w:t xml:space="preserve"> the Directorate will:</w:t>
      </w:r>
    </w:p>
    <w:p w:rsidR="000D0038"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386C29">
        <w:rPr>
          <w:rFonts w:cs="Calibri"/>
        </w:rPr>
        <w:t>support the uptake of renewable ene</w:t>
      </w:r>
      <w:r>
        <w:rPr>
          <w:rFonts w:cs="Calibri"/>
        </w:rPr>
        <w:t>rgy such as GreenPower;</w:t>
      </w:r>
    </w:p>
    <w:p w:rsidR="000D0038" w:rsidRPr="00386C29"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Pr>
          <w:rFonts w:cs="Calibri"/>
        </w:rPr>
        <w:t>support the deployment of large scale renewable energy generation within the Territory;</w:t>
      </w:r>
      <w:r w:rsidR="000F7664">
        <w:rPr>
          <w:rFonts w:cs="Calibri"/>
        </w:rPr>
        <w:t> </w:t>
      </w:r>
      <w:r>
        <w:rPr>
          <w:rFonts w:cs="Calibri"/>
        </w:rPr>
        <w:t>and</w:t>
      </w:r>
    </w:p>
    <w:p w:rsidR="000D0038" w:rsidRPr="00386C29"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386C29">
        <w:rPr>
          <w:rFonts w:cs="Calibri"/>
        </w:rPr>
        <w:t>support increased energy efficiency in homes and businesses</w:t>
      </w:r>
      <w:r>
        <w:rPr>
          <w:rFonts w:cs="Calibri"/>
        </w:rPr>
        <w:t xml:space="preserve"> through the promotion of the </w:t>
      </w:r>
      <w:r w:rsidRPr="0060697F">
        <w:rPr>
          <w:rFonts w:cs="Calibri"/>
          <w:i/>
        </w:rPr>
        <w:t>Energy Efficiency (Cost of Living) Scheme</w:t>
      </w:r>
      <w:r w:rsidRPr="00386C29">
        <w:rPr>
          <w:rFonts w:cs="Calibri"/>
        </w:rPr>
        <w:t>.</w:t>
      </w:r>
    </w:p>
    <w:p w:rsidR="000D0038" w:rsidRPr="00294840" w:rsidRDefault="000D0038" w:rsidP="000D0038">
      <w:pPr>
        <w:pStyle w:val="BodyTextIndent"/>
        <w:keepNext w:val="0"/>
        <w:keepLines w:val="0"/>
        <w:numPr>
          <w:ilvl w:val="0"/>
          <w:numId w:val="0"/>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rPr>
          <w:rFonts w:ascii="Arial" w:hAnsi="Arial" w:cs="Arial"/>
          <w:b/>
          <w:sz w:val="20"/>
          <w:szCs w:val="20"/>
        </w:rPr>
      </w:pPr>
      <w:r w:rsidRPr="00294840">
        <w:rPr>
          <w:rFonts w:ascii="Arial" w:hAnsi="Arial" w:cs="Arial"/>
          <w:b/>
          <w:sz w:val="20"/>
          <w:szCs w:val="20"/>
        </w:rPr>
        <w:t xml:space="preserve">Strategic Indicator 2.1:  </w:t>
      </w:r>
      <w:r w:rsidR="00171C6F">
        <w:rPr>
          <w:rFonts w:ascii="Arial" w:hAnsi="Arial" w:cs="Arial"/>
          <w:sz w:val="20"/>
          <w:szCs w:val="20"/>
        </w:rPr>
        <w:t>Growth in Renewable Energy G</w:t>
      </w:r>
      <w:r w:rsidRPr="00294840">
        <w:rPr>
          <w:rFonts w:ascii="Arial" w:hAnsi="Arial" w:cs="Arial"/>
          <w:sz w:val="20"/>
          <w:szCs w:val="20"/>
        </w:rPr>
        <w:t>eneration in the Territory</w:t>
      </w:r>
    </w:p>
    <w:p w:rsidR="000D0038" w:rsidRPr="00AD5CD1" w:rsidRDefault="000D0038" w:rsidP="000D0038">
      <w:pPr>
        <w:pStyle w:val="BodyText"/>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ascii="Arial" w:hAnsi="Arial" w:cs="Arial"/>
          <w:sz w:val="20"/>
        </w:rPr>
      </w:pPr>
      <w:r w:rsidRPr="00AD5CD1">
        <w:rPr>
          <w:rFonts w:ascii="Arial" w:hAnsi="Arial" w:cs="Arial"/>
          <w:b/>
          <w:sz w:val="20"/>
        </w:rPr>
        <w:t xml:space="preserve">Strategic Indicator 2.2:  </w:t>
      </w:r>
      <w:r w:rsidRPr="00AD5CD1">
        <w:rPr>
          <w:rFonts w:ascii="Arial" w:hAnsi="Arial" w:cs="Arial"/>
          <w:sz w:val="20"/>
        </w:rPr>
        <w:t xml:space="preserve">Uptake of </w:t>
      </w:r>
      <w:r w:rsidR="002272D3" w:rsidRPr="002272D3">
        <w:rPr>
          <w:rFonts w:ascii="Arial" w:hAnsi="Arial" w:cs="Arial"/>
          <w:sz w:val="20"/>
        </w:rPr>
        <w:t>Energy Efficiency (Cost of Living) Scheme</w:t>
      </w:r>
    </w:p>
    <w:p w:rsidR="000D0038" w:rsidRPr="00171C6F" w:rsidRDefault="000D0038" w:rsidP="00171C6F">
      <w:pPr>
        <w:pStyle w:val="SIHeading1"/>
      </w:pPr>
      <w:r w:rsidRPr="00171C6F">
        <w:t>Strategic Objective 3</w:t>
      </w:r>
    </w:p>
    <w:p w:rsidR="000D0038" w:rsidRPr="00AD5CD1" w:rsidRDefault="000D0038" w:rsidP="000D0038">
      <w:pPr>
        <w:pStyle w:val="SIHeading2"/>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r w:rsidRPr="00AD5CD1">
        <w:rPr>
          <w:rFonts w:cs="Arial"/>
        </w:rPr>
        <w:t>Securing Sustainable Water Resources</w:t>
      </w:r>
    </w:p>
    <w:p w:rsidR="000D0038" w:rsidRPr="002F2E87" w:rsidRDefault="000D0038" w:rsidP="000D0038">
      <w:pPr>
        <w:pStyle w:val="BodyText"/>
        <w:keepNext w:val="0"/>
        <w:keepLines w:val="0"/>
      </w:pPr>
      <w:r w:rsidRPr="00D01AF0">
        <w:t>The Government will continue to explore and support cost effective ways to reduce demand for water, encourage sustainable water use through water sensitive urban design and pursue various options to reduce our reliance on potable water.</w:t>
      </w:r>
    </w:p>
    <w:p w:rsidR="000D0038" w:rsidRPr="00657229" w:rsidRDefault="000D0038" w:rsidP="000D0038">
      <w:pPr>
        <w:pStyle w:val="BodyText"/>
        <w:keepNext w:val="0"/>
        <w:keepLines w:val="0"/>
      </w:pPr>
      <w:r>
        <w:t>The Directorate will work across government and with ACTEW Corporation to secure the ACT’s water supply and with the broader community to achieve sustainability in water use.</w:t>
      </w:r>
    </w:p>
    <w:p w:rsidR="000D0038" w:rsidRPr="00972D04" w:rsidRDefault="000D0038" w:rsidP="000D0038">
      <w:pPr>
        <w:pStyle w:val="BodyText"/>
      </w:pPr>
      <w:r w:rsidRPr="00972D04">
        <w:t>The Directorate will:</w:t>
      </w:r>
    </w:p>
    <w:p w:rsidR="000D0038" w:rsidRPr="002F2E87"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D01AF0">
        <w:rPr>
          <w:rFonts w:cs="Calibri"/>
        </w:rPr>
        <w:t xml:space="preserve">implement a new </w:t>
      </w:r>
      <w:r w:rsidRPr="00CF5292">
        <w:rPr>
          <w:rFonts w:cs="Calibri"/>
          <w:i/>
        </w:rPr>
        <w:t>Think water, act water</w:t>
      </w:r>
      <w:r w:rsidRPr="00B16445">
        <w:rPr>
          <w:rFonts w:cs="Calibri"/>
        </w:rPr>
        <w:t xml:space="preserve"> s</w:t>
      </w:r>
      <w:r w:rsidRPr="00D01AF0">
        <w:rPr>
          <w:rFonts w:cs="Calibri"/>
        </w:rPr>
        <w:t>trategy to specifically address long term water usage and catchment management;</w:t>
      </w:r>
    </w:p>
    <w:p w:rsidR="000D0038" w:rsidRPr="002F2E87"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D01AF0">
        <w:rPr>
          <w:rFonts w:cs="Calibri"/>
        </w:rPr>
        <w:lastRenderedPageBreak/>
        <w:t>work with industry and the community to identify and implement water sensitive urban design including water savings measures, and promote water savings programs and technologies, including through rebates where appropriate;</w:t>
      </w:r>
    </w:p>
    <w:p w:rsidR="000D0038" w:rsidRPr="002F2E87"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D01AF0">
        <w:rPr>
          <w:rFonts w:cs="Calibri"/>
        </w:rPr>
        <w:t xml:space="preserve">review Environmental Flow Guidelines to ensure the continuing health of the ACT’s rivers and lakes; </w:t>
      </w:r>
      <w:r>
        <w:rPr>
          <w:rFonts w:cs="Calibri"/>
        </w:rPr>
        <w:t>and</w:t>
      </w:r>
    </w:p>
    <w:p w:rsidR="000D0038"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D01AF0">
        <w:rPr>
          <w:rFonts w:cs="Calibri"/>
        </w:rPr>
        <w:t>work with the Murray Darling Basin Authority to implement water reforms within the ACT’s part of the Murray Darling Basin to achieve long term water security as the city grows.</w:t>
      </w:r>
    </w:p>
    <w:p w:rsidR="003B0755" w:rsidRDefault="003B0755" w:rsidP="00FC3E73">
      <w:pPr>
        <w:pStyle w:val="BodyText"/>
        <w:keepNext w:val="0"/>
        <w:keepLines w:val="0"/>
        <w:spacing w:before="240"/>
        <w:rPr>
          <w:rFonts w:ascii="Arial" w:hAnsi="Arial" w:cs="Arial"/>
          <w:sz w:val="20"/>
        </w:rPr>
      </w:pPr>
      <w:r w:rsidRPr="00AD5CD1">
        <w:rPr>
          <w:rFonts w:ascii="Arial" w:hAnsi="Arial" w:cs="Arial"/>
          <w:b/>
          <w:sz w:val="20"/>
        </w:rPr>
        <w:t>Strategic Indicator 3:</w:t>
      </w:r>
      <w:r>
        <w:rPr>
          <w:rFonts w:ascii="Arial" w:hAnsi="Arial" w:cs="Arial"/>
          <w:b/>
          <w:sz w:val="20"/>
        </w:rPr>
        <w:t xml:space="preserve"> </w:t>
      </w:r>
      <w:r w:rsidRPr="00AD5CD1">
        <w:rPr>
          <w:rFonts w:ascii="Arial" w:hAnsi="Arial" w:cs="Arial"/>
          <w:b/>
          <w:sz w:val="20"/>
        </w:rPr>
        <w:t xml:space="preserve"> </w:t>
      </w:r>
      <w:r w:rsidR="00E139EF">
        <w:rPr>
          <w:rFonts w:ascii="Arial" w:hAnsi="Arial" w:cs="Arial"/>
          <w:sz w:val="20"/>
        </w:rPr>
        <w:t>Work with the Community on I</w:t>
      </w:r>
      <w:r w:rsidRPr="00AD5CD1">
        <w:rPr>
          <w:rFonts w:ascii="Arial" w:hAnsi="Arial" w:cs="Arial"/>
          <w:sz w:val="20"/>
        </w:rPr>
        <w:t>mplement</w:t>
      </w:r>
      <w:r>
        <w:rPr>
          <w:rFonts w:ascii="Arial" w:hAnsi="Arial" w:cs="Arial"/>
          <w:sz w:val="20"/>
        </w:rPr>
        <w:t>ing</w:t>
      </w:r>
      <w:r w:rsidRPr="00AD5CD1">
        <w:rPr>
          <w:rFonts w:ascii="Arial" w:hAnsi="Arial" w:cs="Arial"/>
          <w:sz w:val="20"/>
        </w:rPr>
        <w:t xml:space="preserve"> the Murray Darling Basin Plan</w:t>
      </w:r>
    </w:p>
    <w:p w:rsidR="000D0038" w:rsidRPr="00E139EF" w:rsidRDefault="000D0038" w:rsidP="00E139EF">
      <w:pPr>
        <w:pStyle w:val="SIHeading1"/>
      </w:pPr>
      <w:r w:rsidRPr="00E139EF">
        <w:t>Strategic Objective 4</w:t>
      </w:r>
    </w:p>
    <w:p w:rsidR="000D0038" w:rsidRPr="00AD5CD1" w:rsidRDefault="000D0038" w:rsidP="007F0056">
      <w:pPr>
        <w:pStyle w:val="SI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r w:rsidRPr="00AD5CD1">
        <w:rPr>
          <w:rFonts w:cs="Arial"/>
        </w:rPr>
        <w:t>Protecting our Environment and Promoting Contemporary, Best Practice Environmental Standards</w:t>
      </w:r>
    </w:p>
    <w:p w:rsidR="000D0038" w:rsidRPr="002F2E87" w:rsidRDefault="000D0038" w:rsidP="000D003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Cs w:val="24"/>
        </w:rPr>
      </w:pPr>
      <w:r w:rsidRPr="00D01AF0">
        <w:rPr>
          <w:rFonts w:cs="Calibri"/>
          <w:szCs w:val="24"/>
        </w:rPr>
        <w:t>The Directorate will continue to promote knowledge sharing and implementation of contemporary, best practice environmental standards.</w:t>
      </w:r>
    </w:p>
    <w:p w:rsidR="000D0038" w:rsidRPr="002F2E87" w:rsidRDefault="000D0038" w:rsidP="000D0038">
      <w:pPr>
        <w:pStyle w:val="BodyText"/>
        <w:rPr>
          <w:rFonts w:cs="Calibri"/>
          <w:szCs w:val="24"/>
        </w:rPr>
      </w:pPr>
      <w:r w:rsidRPr="00D01AF0">
        <w:rPr>
          <w:rFonts w:cs="Calibri"/>
          <w:szCs w:val="24"/>
        </w:rPr>
        <w:t>In 201</w:t>
      </w:r>
      <w:r w:rsidR="00AA570A">
        <w:rPr>
          <w:rFonts w:cs="Calibri"/>
          <w:szCs w:val="24"/>
        </w:rPr>
        <w:t>3</w:t>
      </w:r>
      <w:r w:rsidRPr="00D01AF0">
        <w:rPr>
          <w:rFonts w:cs="Calibri"/>
          <w:szCs w:val="24"/>
        </w:rPr>
        <w:t>-1</w:t>
      </w:r>
      <w:r w:rsidR="00AA570A">
        <w:rPr>
          <w:rFonts w:cs="Calibri"/>
          <w:szCs w:val="24"/>
        </w:rPr>
        <w:t>4</w:t>
      </w:r>
      <w:r w:rsidRPr="00D01AF0">
        <w:rPr>
          <w:rFonts w:cs="Calibri"/>
          <w:szCs w:val="24"/>
        </w:rPr>
        <w:t xml:space="preserve"> the Directorate will:</w:t>
      </w:r>
    </w:p>
    <w:p w:rsidR="000D0038" w:rsidRPr="002F2E87"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D01AF0">
        <w:rPr>
          <w:rFonts w:cs="Calibri"/>
        </w:rPr>
        <w:t>continue to protect the quality of the Territory’s air, land, water and environmental values under the regulatory provisions of the environment legislation;</w:t>
      </w:r>
    </w:p>
    <w:p w:rsidR="000D0038" w:rsidRPr="002F2E87"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D01AF0">
        <w:rPr>
          <w:rFonts w:cs="Calibri"/>
        </w:rPr>
        <w:t xml:space="preserve">review the </w:t>
      </w:r>
      <w:r w:rsidRPr="00D01AF0">
        <w:rPr>
          <w:rFonts w:cs="Calibri"/>
          <w:i/>
        </w:rPr>
        <w:t>Environment Protection Act 1997</w:t>
      </w:r>
      <w:r w:rsidRPr="00D01AF0">
        <w:rPr>
          <w:rFonts w:cs="Calibri"/>
        </w:rPr>
        <w:t>;</w:t>
      </w:r>
    </w:p>
    <w:p w:rsidR="000D0038" w:rsidRPr="002F2E87"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D01AF0">
        <w:rPr>
          <w:rFonts w:cs="Calibri"/>
        </w:rPr>
        <w:t xml:space="preserve">finalise the review and amendment of the </w:t>
      </w:r>
      <w:r w:rsidRPr="00D01AF0">
        <w:rPr>
          <w:rFonts w:cs="Calibri"/>
          <w:i/>
        </w:rPr>
        <w:t>Nature Conservation Act 1980</w:t>
      </w:r>
      <w:r w:rsidRPr="00D01AF0">
        <w:rPr>
          <w:rFonts w:cs="Calibri"/>
        </w:rPr>
        <w:t>;</w:t>
      </w:r>
    </w:p>
    <w:p w:rsidR="000D0038" w:rsidRPr="00253A00" w:rsidRDefault="00AA570A"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Pr>
          <w:rFonts w:cs="Calibri"/>
        </w:rPr>
        <w:t xml:space="preserve">continue to </w:t>
      </w:r>
      <w:r w:rsidR="000D0038" w:rsidRPr="00253A00">
        <w:rPr>
          <w:rFonts w:cs="Calibri"/>
        </w:rPr>
        <w:t>implement the ACT Waste Management Strategy;</w:t>
      </w:r>
    </w:p>
    <w:p w:rsidR="000D0038" w:rsidRPr="002F2E87"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F44419">
        <w:rPr>
          <w:rFonts w:cs="Calibri"/>
        </w:rPr>
        <w:t>protect and manage the ACT’s biodiversity</w:t>
      </w:r>
      <w:r w:rsidRPr="00D01AF0">
        <w:rPr>
          <w:rFonts w:cs="Calibri"/>
        </w:rPr>
        <w:t>;</w:t>
      </w:r>
    </w:p>
    <w:p w:rsidR="000D0038" w:rsidRPr="002F2E87"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D01AF0">
        <w:rPr>
          <w:rFonts w:cs="Calibri"/>
        </w:rPr>
        <w:t>increase community and industry awareness and engagement in protecting our natural and built environment;</w:t>
      </w:r>
    </w:p>
    <w:p w:rsidR="000D0038" w:rsidRPr="002F2E87"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D01AF0">
        <w:rPr>
          <w:rFonts w:cs="Calibri"/>
        </w:rPr>
        <w:t>support the COAG Standing Council on Environment and Water to implement consistent, innovative and best practice approaches to environmental protection and management;</w:t>
      </w:r>
      <w:r w:rsidR="00B81618">
        <w:rPr>
          <w:rFonts w:cs="Calibri"/>
        </w:rPr>
        <w:t> </w:t>
      </w:r>
      <w:r w:rsidRPr="00D01AF0">
        <w:rPr>
          <w:rFonts w:cs="Calibri"/>
        </w:rPr>
        <w:t xml:space="preserve">and </w:t>
      </w:r>
    </w:p>
    <w:p w:rsidR="000D0038" w:rsidRPr="00AD6A28" w:rsidRDefault="000D0038" w:rsidP="000D0038">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D01AF0">
        <w:rPr>
          <w:rFonts w:cs="Calibri"/>
        </w:rPr>
        <w:t>support the Natural Resources Management Council including policies and programs that preserve our natural environment.</w:t>
      </w:r>
    </w:p>
    <w:p w:rsidR="000D0038" w:rsidRPr="00E35E3C" w:rsidRDefault="000D0038" w:rsidP="000D0038">
      <w:pPr>
        <w:spacing w:before="240" w:after="120"/>
        <w:rPr>
          <w:rFonts w:ascii="Arial" w:hAnsi="Arial" w:cs="Arial"/>
          <w:sz w:val="20"/>
        </w:rPr>
      </w:pPr>
      <w:r w:rsidRPr="00E35E3C">
        <w:rPr>
          <w:rFonts w:ascii="Arial" w:hAnsi="Arial" w:cs="Arial"/>
          <w:b/>
          <w:sz w:val="20"/>
        </w:rPr>
        <w:t>Strategic Indicator 4:</w:t>
      </w:r>
      <w:r w:rsidRPr="00E35E3C">
        <w:rPr>
          <w:rFonts w:ascii="Arial" w:hAnsi="Arial" w:cs="Arial"/>
          <w:sz w:val="20"/>
        </w:rPr>
        <w:t xml:space="preserve">  </w:t>
      </w:r>
      <w:r>
        <w:rPr>
          <w:rFonts w:ascii="Arial" w:hAnsi="Arial" w:cs="Arial"/>
          <w:sz w:val="20"/>
        </w:rPr>
        <w:t>D</w:t>
      </w:r>
      <w:r w:rsidR="00E139EF">
        <w:rPr>
          <w:rFonts w:ascii="Arial" w:hAnsi="Arial" w:cs="Arial"/>
          <w:sz w:val="20"/>
        </w:rPr>
        <w:t>evelop and I</w:t>
      </w:r>
      <w:r w:rsidRPr="00E35E3C">
        <w:rPr>
          <w:rFonts w:ascii="Arial" w:hAnsi="Arial" w:cs="Arial"/>
          <w:sz w:val="20"/>
        </w:rPr>
        <w:t>mplement ACT</w:t>
      </w:r>
      <w:r w:rsidR="00755112">
        <w:rPr>
          <w:rFonts w:ascii="Arial" w:hAnsi="Arial" w:cs="Arial"/>
          <w:sz w:val="20"/>
        </w:rPr>
        <w:t xml:space="preserve"> </w:t>
      </w:r>
      <w:r w:rsidR="00E139EF">
        <w:rPr>
          <w:rFonts w:ascii="Arial" w:hAnsi="Arial" w:cs="Arial"/>
          <w:sz w:val="20"/>
        </w:rPr>
        <w:t>W</w:t>
      </w:r>
      <w:r w:rsidRPr="00E35E3C">
        <w:rPr>
          <w:rFonts w:ascii="Arial" w:hAnsi="Arial" w:cs="Arial"/>
          <w:sz w:val="20"/>
        </w:rPr>
        <w:t xml:space="preserve">ide </w:t>
      </w:r>
      <w:r w:rsidR="00E139EF">
        <w:rPr>
          <w:rFonts w:ascii="Arial" w:hAnsi="Arial" w:cs="Arial"/>
          <w:sz w:val="20"/>
        </w:rPr>
        <w:t>S</w:t>
      </w:r>
      <w:r w:rsidRPr="00E35E3C">
        <w:rPr>
          <w:rFonts w:ascii="Arial" w:hAnsi="Arial" w:cs="Arial"/>
          <w:sz w:val="20"/>
        </w:rPr>
        <w:t xml:space="preserve">ustainability </w:t>
      </w:r>
      <w:r w:rsidR="00E139EF">
        <w:rPr>
          <w:rFonts w:ascii="Arial" w:hAnsi="Arial" w:cs="Arial"/>
          <w:sz w:val="20"/>
        </w:rPr>
        <w:t>Policies Including Waste and Biodiversity C</w:t>
      </w:r>
      <w:r w:rsidRPr="00E35E3C">
        <w:rPr>
          <w:rFonts w:ascii="Arial" w:hAnsi="Arial" w:cs="Arial"/>
          <w:sz w:val="20"/>
        </w:rPr>
        <w:t>onservation</w:t>
      </w:r>
    </w:p>
    <w:p w:rsidR="00E139EF" w:rsidRDefault="00E139EF" w:rsidP="000D0038">
      <w:pPr>
        <w:pStyle w:val="SIHeading1"/>
        <w:rPr>
          <w:rFonts w:cs="Arial"/>
        </w:rPr>
        <w:sectPr w:rsidR="00E139EF" w:rsidSect="00384046">
          <w:headerReference w:type="even" r:id="rId9"/>
          <w:headerReference w:type="default" r:id="rId10"/>
          <w:footerReference w:type="even" r:id="rId11"/>
          <w:footerReference w:type="default" r:id="rId12"/>
          <w:headerReference w:type="first" r:id="rId13"/>
          <w:footerReference w:type="first" r:id="rId14"/>
          <w:pgSz w:w="11907" w:h="16840" w:code="9"/>
          <w:pgMar w:top="1151" w:right="1440" w:bottom="1729" w:left="1440" w:header="720" w:footer="720" w:gutter="0"/>
          <w:pgNumType w:start="247"/>
          <w:cols w:space="720"/>
        </w:sectPr>
      </w:pPr>
    </w:p>
    <w:p w:rsidR="000D0038" w:rsidRPr="00AD5CD1" w:rsidRDefault="000D0038" w:rsidP="000D0038">
      <w:pPr>
        <w:pStyle w:val="SIHeading1"/>
        <w:rPr>
          <w:rFonts w:cs="Arial"/>
          <w:lang w:val="en-GB"/>
        </w:rPr>
      </w:pPr>
      <w:r w:rsidRPr="00AD5CD1">
        <w:rPr>
          <w:rFonts w:cs="Arial"/>
        </w:rPr>
        <w:lastRenderedPageBreak/>
        <w:t>Strategic</w:t>
      </w:r>
      <w:r w:rsidRPr="00AD5CD1">
        <w:rPr>
          <w:rFonts w:cs="Arial"/>
          <w:lang w:val="en-GB"/>
        </w:rPr>
        <w:t xml:space="preserve"> Objective 5</w:t>
      </w:r>
    </w:p>
    <w:p w:rsidR="000D0038" w:rsidRPr="00AD5CD1" w:rsidRDefault="000D0038" w:rsidP="000D0038">
      <w:pPr>
        <w:pStyle w:val="SIHeading2"/>
        <w:rPr>
          <w:rFonts w:cs="Arial"/>
          <w:lang w:val="en-GB"/>
        </w:rPr>
      </w:pPr>
      <w:r w:rsidRPr="00AD5CD1">
        <w:rPr>
          <w:rFonts w:cs="Arial"/>
          <w:lang w:val="en-GB"/>
        </w:rPr>
        <w:t xml:space="preserve">Deliver Spatial Planning, Urban Design and Building </w:t>
      </w:r>
      <w:r w:rsidRPr="00AD5CD1">
        <w:rPr>
          <w:rFonts w:cs="Arial"/>
        </w:rPr>
        <w:t>Outcomes</w:t>
      </w:r>
      <w:r w:rsidRPr="00AD5CD1">
        <w:rPr>
          <w:rFonts w:cs="Arial"/>
          <w:lang w:val="en-GB"/>
        </w:rPr>
        <w:t xml:space="preserve"> for the Territory that Contribute to a Sustainable Canberra</w:t>
      </w:r>
    </w:p>
    <w:p w:rsidR="000D0038" w:rsidRPr="00B16445" w:rsidRDefault="000D0038" w:rsidP="000D0038">
      <w:pPr>
        <w:pStyle w:val="BodyText"/>
        <w:rPr>
          <w:rFonts w:cs="Calibri"/>
          <w:szCs w:val="24"/>
        </w:rPr>
      </w:pPr>
      <w:r w:rsidRPr="00D01AF0">
        <w:rPr>
          <w:rFonts w:cs="Calibri"/>
          <w:szCs w:val="24"/>
        </w:rPr>
        <w:t xml:space="preserve">This </w:t>
      </w:r>
      <w:r>
        <w:rPr>
          <w:rFonts w:cs="Calibri"/>
          <w:szCs w:val="24"/>
        </w:rPr>
        <w:t xml:space="preserve">objective </w:t>
      </w:r>
      <w:r w:rsidRPr="00D01AF0">
        <w:rPr>
          <w:rFonts w:cs="Calibri"/>
          <w:szCs w:val="24"/>
        </w:rPr>
        <w:t xml:space="preserve">will be achieved through the implementation of the goals underpinning </w:t>
      </w:r>
      <w:r w:rsidRPr="00B16445">
        <w:rPr>
          <w:rFonts w:cs="Calibri"/>
          <w:szCs w:val="24"/>
        </w:rPr>
        <w:t xml:space="preserve">the </w:t>
      </w:r>
      <w:r w:rsidR="001345B6">
        <w:rPr>
          <w:rFonts w:cs="Calibri"/>
          <w:i/>
          <w:szCs w:val="24"/>
        </w:rPr>
        <w:t>ACT Planning Strategy</w:t>
      </w:r>
      <w:r w:rsidRPr="00B16445">
        <w:rPr>
          <w:rFonts w:cs="Calibri"/>
          <w:szCs w:val="24"/>
        </w:rPr>
        <w:t xml:space="preserve">, the </w:t>
      </w:r>
      <w:r w:rsidR="001345B6">
        <w:rPr>
          <w:rFonts w:cs="Calibri"/>
          <w:i/>
          <w:szCs w:val="24"/>
        </w:rPr>
        <w:t>Transport for Canberra</w:t>
      </w:r>
      <w:r w:rsidRPr="00B16445">
        <w:rPr>
          <w:rFonts w:cs="Calibri"/>
          <w:szCs w:val="24"/>
        </w:rPr>
        <w:t xml:space="preserve"> and </w:t>
      </w:r>
      <w:r w:rsidRPr="00CF5292">
        <w:rPr>
          <w:rFonts w:cs="Calibri"/>
          <w:i/>
          <w:szCs w:val="24"/>
        </w:rPr>
        <w:t>Weathering the Change</w:t>
      </w:r>
      <w:r w:rsidR="001345B6">
        <w:rPr>
          <w:rFonts w:cs="Calibri"/>
          <w:i/>
          <w:szCs w:val="24"/>
        </w:rPr>
        <w:t xml:space="preserve"> </w:t>
      </w:r>
      <w:r w:rsidR="001345B6" w:rsidRPr="00755112">
        <w:rPr>
          <w:rFonts w:cs="Calibri"/>
          <w:szCs w:val="24"/>
        </w:rPr>
        <w:t>policies</w:t>
      </w:r>
      <w:r w:rsidRPr="00755112">
        <w:rPr>
          <w:rFonts w:cs="Calibri"/>
          <w:szCs w:val="24"/>
        </w:rPr>
        <w:t>.</w:t>
      </w:r>
    </w:p>
    <w:p w:rsidR="000D0038" w:rsidRPr="002F2E87" w:rsidRDefault="000D0038" w:rsidP="000D0038">
      <w:pPr>
        <w:pStyle w:val="BodyText"/>
        <w:rPr>
          <w:rFonts w:cs="Calibri"/>
          <w:szCs w:val="24"/>
        </w:rPr>
      </w:pPr>
      <w:r w:rsidRPr="00D01AF0">
        <w:rPr>
          <w:rFonts w:cs="Calibri"/>
          <w:szCs w:val="24"/>
        </w:rPr>
        <w:t>In 201</w:t>
      </w:r>
      <w:r w:rsidR="00AA570A">
        <w:rPr>
          <w:rFonts w:cs="Calibri"/>
          <w:szCs w:val="24"/>
        </w:rPr>
        <w:t>3</w:t>
      </w:r>
      <w:r w:rsidRPr="00D01AF0">
        <w:rPr>
          <w:rFonts w:cs="Calibri"/>
          <w:szCs w:val="24"/>
        </w:rPr>
        <w:t>-1</w:t>
      </w:r>
      <w:r w:rsidR="00AA570A">
        <w:rPr>
          <w:rFonts w:cs="Calibri"/>
          <w:szCs w:val="24"/>
        </w:rPr>
        <w:t>4</w:t>
      </w:r>
      <w:r w:rsidRPr="00D01AF0">
        <w:rPr>
          <w:rFonts w:cs="Calibri"/>
          <w:szCs w:val="24"/>
        </w:rPr>
        <w:t xml:space="preserve"> the Directorate will:</w:t>
      </w:r>
    </w:p>
    <w:p w:rsidR="00CE677B" w:rsidRDefault="001D7ACE">
      <w:pPr>
        <w:pStyle w:val="BodyTextIndent"/>
        <w:keepNext w:val="0"/>
        <w:keepLines w:val="0"/>
        <w:rPr>
          <w:rFonts w:cs="Calibri"/>
        </w:rPr>
      </w:pPr>
      <w:r>
        <w:rPr>
          <w:rFonts w:cs="Calibri"/>
        </w:rPr>
        <w:t>implement the</w:t>
      </w:r>
      <w:r w:rsidR="000D0038" w:rsidRPr="00D01AF0">
        <w:rPr>
          <w:rFonts w:cs="Calibri"/>
        </w:rPr>
        <w:t xml:space="preserve"> Planning Strategy</w:t>
      </w:r>
      <w:r w:rsidR="001345B6">
        <w:rPr>
          <w:rFonts w:cs="Calibri"/>
        </w:rPr>
        <w:t xml:space="preserve"> through a range of actions including</w:t>
      </w:r>
      <w:r w:rsidR="00B81618">
        <w:rPr>
          <w:rFonts w:cs="Calibri"/>
        </w:rPr>
        <w:t>:</w:t>
      </w:r>
    </w:p>
    <w:p w:rsidR="00CE677B" w:rsidRDefault="001345B6">
      <w:pPr>
        <w:pStyle w:val="BodyTextIndent2"/>
        <w:keepNext w:val="0"/>
        <w:ind w:left="714" w:hanging="357"/>
        <w:rPr>
          <w:rFonts w:cs="Calibri"/>
        </w:rPr>
      </w:pPr>
      <w:r w:rsidRPr="00B81618">
        <w:rPr>
          <w:rFonts w:cs="Calibri"/>
        </w:rPr>
        <w:t>master planning for centres to provide direction for future change and growth</w:t>
      </w:r>
      <w:r w:rsidR="00C0459B" w:rsidRPr="00B81618">
        <w:rPr>
          <w:rFonts w:cs="Calibri"/>
        </w:rPr>
        <w:t xml:space="preserve"> including sustainable design outcomes</w:t>
      </w:r>
      <w:r w:rsidR="00107618" w:rsidRPr="00107618">
        <w:rPr>
          <w:rFonts w:cs="Calibri"/>
        </w:rPr>
        <w:t>;</w:t>
      </w:r>
    </w:p>
    <w:p w:rsidR="00CE677B" w:rsidRDefault="001345B6">
      <w:pPr>
        <w:pStyle w:val="BodyTextIndent2"/>
        <w:keepNext w:val="0"/>
        <w:ind w:left="714" w:hanging="357"/>
        <w:rPr>
          <w:rFonts w:cs="Calibri"/>
        </w:rPr>
      </w:pPr>
      <w:r w:rsidRPr="00B81618">
        <w:rPr>
          <w:rFonts w:cs="Calibri"/>
        </w:rPr>
        <w:t xml:space="preserve">preparing a strategic planning framework for the city </w:t>
      </w:r>
      <w:r w:rsidR="00107618" w:rsidRPr="00107618">
        <w:rPr>
          <w:rFonts w:cs="Calibri"/>
        </w:rPr>
        <w:t>centre in the City Plan;</w:t>
      </w:r>
    </w:p>
    <w:p w:rsidR="00CE677B" w:rsidRDefault="00107618">
      <w:pPr>
        <w:pStyle w:val="BodyTextIndent2"/>
        <w:keepNext w:val="0"/>
        <w:ind w:left="714" w:hanging="357"/>
        <w:rPr>
          <w:rFonts w:cs="Calibri"/>
        </w:rPr>
      </w:pPr>
      <w:r>
        <w:rPr>
          <w:rFonts w:cs="Calibri"/>
        </w:rPr>
        <w:t>examini</w:t>
      </w:r>
      <w:r w:rsidR="00B81618">
        <w:rPr>
          <w:rFonts w:cs="Calibri"/>
        </w:rPr>
        <w:t>ng</w:t>
      </w:r>
      <w:r w:rsidR="00C0459B" w:rsidRPr="00B81618">
        <w:rPr>
          <w:rFonts w:cs="Calibri"/>
        </w:rPr>
        <w:t xml:space="preserve"> community facility planning to establish future policy positions;</w:t>
      </w:r>
    </w:p>
    <w:p w:rsidR="00CE677B" w:rsidRDefault="00B81618">
      <w:pPr>
        <w:pStyle w:val="BodyTextIndent2"/>
        <w:keepNext w:val="0"/>
        <w:ind w:left="714" w:hanging="357"/>
        <w:rPr>
          <w:rFonts w:cs="Calibri"/>
        </w:rPr>
      </w:pPr>
      <w:r w:rsidRPr="00B81618">
        <w:rPr>
          <w:rFonts w:cs="Calibri"/>
        </w:rPr>
        <w:t>analysi</w:t>
      </w:r>
      <w:r>
        <w:rPr>
          <w:rFonts w:cs="Calibri"/>
        </w:rPr>
        <w:t>ng</w:t>
      </w:r>
      <w:r w:rsidR="00C0459B" w:rsidRPr="00B81618">
        <w:rPr>
          <w:rFonts w:cs="Calibri"/>
        </w:rPr>
        <w:t xml:space="preserve"> benchmarks for sustainable urban design outcomes;</w:t>
      </w:r>
    </w:p>
    <w:p w:rsidR="00CE677B" w:rsidRDefault="00B81618">
      <w:pPr>
        <w:pStyle w:val="BodyTextIndent2"/>
        <w:keepNext w:val="0"/>
        <w:ind w:left="714" w:hanging="357"/>
        <w:rPr>
          <w:rFonts w:cs="Calibri"/>
        </w:rPr>
      </w:pPr>
      <w:r w:rsidRPr="00120385">
        <w:rPr>
          <w:rFonts w:cs="Calibri"/>
        </w:rPr>
        <w:t>ensuring</w:t>
      </w:r>
      <w:r w:rsidR="00DB6180" w:rsidRPr="00120385">
        <w:rPr>
          <w:rFonts w:cs="Calibri"/>
        </w:rPr>
        <w:t xml:space="preserve"> Territory Plan land uses reflect the broad structure of the Planning Strategy includi</w:t>
      </w:r>
      <w:r w:rsidR="00107618" w:rsidRPr="00120385">
        <w:rPr>
          <w:rFonts w:cs="Calibri"/>
        </w:rPr>
        <w:t>ng a review of the locations of medium and higher density residential zones</w:t>
      </w:r>
      <w:r w:rsidR="00604CB2" w:rsidRPr="00120385">
        <w:rPr>
          <w:rFonts w:cs="Calibri"/>
        </w:rPr>
        <w:t>; </w:t>
      </w:r>
      <w:r w:rsidRPr="00120385">
        <w:rPr>
          <w:rFonts w:cs="Calibri"/>
        </w:rPr>
        <w:t>and</w:t>
      </w:r>
    </w:p>
    <w:p w:rsidR="00120385" w:rsidRPr="00120385" w:rsidRDefault="00155D2F" w:rsidP="00120385">
      <w:pPr>
        <w:pStyle w:val="BodyTextIndent2"/>
        <w:keepNext w:val="0"/>
        <w:ind w:left="714" w:hanging="357"/>
        <w:rPr>
          <w:rFonts w:cs="Calibri"/>
        </w:rPr>
      </w:pPr>
      <w:r w:rsidRPr="00120385">
        <w:rPr>
          <w:rFonts w:cs="Calibri"/>
        </w:rPr>
        <w:t>d</w:t>
      </w:r>
      <w:r w:rsidR="00DB6180" w:rsidRPr="00120385">
        <w:rPr>
          <w:rFonts w:cs="Calibri"/>
        </w:rPr>
        <w:t>epending on the result of the Gungahlin Strategic Assessment, review the structure plans within the Territory Plan for the remaining development areas of Gungahlin</w:t>
      </w:r>
      <w:r w:rsidR="00B81618" w:rsidRPr="00120385">
        <w:rPr>
          <w:rFonts w:cs="Calibri"/>
        </w:rPr>
        <w:t>.</w:t>
      </w:r>
      <w:r w:rsidR="00DB6180" w:rsidRPr="00120385">
        <w:rPr>
          <w:rFonts w:cs="Calibri"/>
        </w:rPr>
        <w:t xml:space="preserve"> </w:t>
      </w:r>
    </w:p>
    <w:p w:rsidR="000D0038" w:rsidRPr="002F2E87" w:rsidRDefault="000D0038" w:rsidP="00755112">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sidRPr="00D01AF0">
        <w:rPr>
          <w:rFonts w:cs="Calibri"/>
        </w:rPr>
        <w:t>continue the review of commercial zones</w:t>
      </w:r>
      <w:r w:rsidR="00EC1ECD">
        <w:rPr>
          <w:rFonts w:cs="Calibri"/>
        </w:rPr>
        <w:t>’</w:t>
      </w:r>
      <w:r w:rsidRPr="00D01AF0">
        <w:rPr>
          <w:rFonts w:cs="Calibri"/>
        </w:rPr>
        <w:t xml:space="preserve"> development codes applying to group and local centres;</w:t>
      </w:r>
    </w:p>
    <w:p w:rsidR="000D0038" w:rsidRPr="002F2E87" w:rsidRDefault="00755112" w:rsidP="00755112">
      <w:pPr>
        <w:pStyle w:val="BodyTextIndent"/>
        <w:keepNext w:val="0"/>
        <w:keepLines w:val="0"/>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Calibri"/>
        </w:rPr>
      </w:pPr>
      <w:r>
        <w:rPr>
          <w:rFonts w:cs="Calibri"/>
        </w:rPr>
        <w:t xml:space="preserve">continue </w:t>
      </w:r>
      <w:r w:rsidR="001345B6">
        <w:rPr>
          <w:rFonts w:cs="Calibri"/>
        </w:rPr>
        <w:t xml:space="preserve">land investigation, </w:t>
      </w:r>
      <w:r w:rsidR="000D0038" w:rsidRPr="00D01AF0">
        <w:rPr>
          <w:rFonts w:cs="Calibri"/>
        </w:rPr>
        <w:t xml:space="preserve">planning and design of major infrastructure supporting urban </w:t>
      </w:r>
      <w:r w:rsidR="001345B6">
        <w:rPr>
          <w:rFonts w:cs="Calibri"/>
        </w:rPr>
        <w:t xml:space="preserve">and industrial </w:t>
      </w:r>
      <w:r w:rsidR="000D0038" w:rsidRPr="00D01AF0">
        <w:rPr>
          <w:rFonts w:cs="Calibri"/>
        </w:rPr>
        <w:t xml:space="preserve">development </w:t>
      </w:r>
      <w:r w:rsidR="00DB6180">
        <w:rPr>
          <w:rFonts w:cs="Calibri"/>
        </w:rPr>
        <w:t xml:space="preserve">adjacent to Fyshwick and </w:t>
      </w:r>
      <w:r w:rsidR="000D0038" w:rsidRPr="00D01AF0">
        <w:rPr>
          <w:rFonts w:cs="Calibri"/>
        </w:rPr>
        <w:t xml:space="preserve">in </w:t>
      </w:r>
      <w:r w:rsidR="001345B6">
        <w:rPr>
          <w:rFonts w:cs="Calibri"/>
        </w:rPr>
        <w:t>the western broadacre area</w:t>
      </w:r>
      <w:r w:rsidR="000D0038" w:rsidRPr="00D01AF0">
        <w:rPr>
          <w:rFonts w:cs="Calibri"/>
        </w:rPr>
        <w:t>;</w:t>
      </w:r>
    </w:p>
    <w:p w:rsidR="000D0038" w:rsidRDefault="001345B6" w:rsidP="00784309">
      <w:pPr>
        <w:pStyle w:val="BodyTextIndent"/>
        <w:keepNext w:val="0"/>
        <w:keepLines w:val="0"/>
        <w:rPr>
          <w:rFonts w:cs="Calibri"/>
          <w:lang w:eastAsia="en-AU"/>
        </w:rPr>
      </w:pPr>
      <w:r>
        <w:rPr>
          <w:rFonts w:cs="Calibri"/>
          <w:lang w:eastAsia="en-AU"/>
        </w:rPr>
        <w:t xml:space="preserve">prepare an implementation strategy for </w:t>
      </w:r>
      <w:r w:rsidR="0095531B">
        <w:rPr>
          <w:rFonts w:cs="Calibri"/>
          <w:lang w:eastAsia="en-AU"/>
        </w:rPr>
        <w:t xml:space="preserve">the </w:t>
      </w:r>
      <w:r>
        <w:rPr>
          <w:rFonts w:cs="Calibri"/>
          <w:lang w:eastAsia="en-AU"/>
        </w:rPr>
        <w:t>Molonglo Stage 2 area</w:t>
      </w:r>
      <w:r w:rsidR="000D0038" w:rsidRPr="00D01AF0">
        <w:rPr>
          <w:rFonts w:cs="Calibri"/>
          <w:lang w:eastAsia="en-AU"/>
        </w:rPr>
        <w:t>;</w:t>
      </w:r>
    </w:p>
    <w:p w:rsidR="00CE677B" w:rsidRDefault="00203198">
      <w:pPr>
        <w:pStyle w:val="BodyTextIndent"/>
        <w:keepNext w:val="0"/>
        <w:keepLines w:val="0"/>
        <w:rPr>
          <w:lang w:eastAsia="en-AU"/>
        </w:rPr>
      </w:pPr>
      <w:r>
        <w:rPr>
          <w:lang w:eastAsia="en-AU"/>
        </w:rPr>
        <w:t>c</w:t>
      </w:r>
      <w:r w:rsidR="00C0459B">
        <w:rPr>
          <w:lang w:eastAsia="en-AU"/>
        </w:rPr>
        <w:t>ontinue to work with surrounding local and State Government</w:t>
      </w:r>
      <w:r w:rsidR="00EC1ECD">
        <w:rPr>
          <w:lang w:eastAsia="en-AU"/>
        </w:rPr>
        <w:t>s</w:t>
      </w:r>
      <w:r w:rsidR="00C0459B">
        <w:rPr>
          <w:lang w:eastAsia="en-AU"/>
        </w:rPr>
        <w:t xml:space="preserve"> to develop region</w:t>
      </w:r>
      <w:r w:rsidR="00755112">
        <w:rPr>
          <w:lang w:eastAsia="en-AU"/>
        </w:rPr>
        <w:t>al planning for Canberra</w:t>
      </w:r>
      <w:r w:rsidR="00C0459B">
        <w:rPr>
          <w:lang w:eastAsia="en-AU"/>
        </w:rPr>
        <w:t>;</w:t>
      </w:r>
    </w:p>
    <w:p w:rsidR="00CE677B" w:rsidRDefault="00203198">
      <w:pPr>
        <w:pStyle w:val="BodyTextIndent"/>
        <w:keepNext w:val="0"/>
        <w:keepLines w:val="0"/>
        <w:rPr>
          <w:lang w:eastAsia="en-AU"/>
        </w:rPr>
      </w:pPr>
      <w:r>
        <w:rPr>
          <w:lang w:eastAsia="en-AU"/>
        </w:rPr>
        <w:t>p</w:t>
      </w:r>
      <w:r w:rsidR="00C0459B">
        <w:rPr>
          <w:lang w:eastAsia="en-AU"/>
        </w:rPr>
        <w:t xml:space="preserve">lan and implement a range of transport initiatives in </w:t>
      </w:r>
      <w:r w:rsidR="00243EE3" w:rsidRPr="00243EE3">
        <w:rPr>
          <w:i/>
          <w:lang w:eastAsia="en-AU"/>
        </w:rPr>
        <w:t>Transport for Canberra</w:t>
      </w:r>
      <w:r w:rsidR="00C0459B">
        <w:rPr>
          <w:lang w:eastAsia="en-AU"/>
        </w:rPr>
        <w:t xml:space="preserve"> including:</w:t>
      </w:r>
    </w:p>
    <w:p w:rsidR="00CE677B" w:rsidRDefault="00203198">
      <w:pPr>
        <w:pStyle w:val="BodyTextIndent2"/>
        <w:keepNext w:val="0"/>
        <w:ind w:left="714" w:hanging="357"/>
        <w:rPr>
          <w:rFonts w:cs="Calibri"/>
        </w:rPr>
      </w:pPr>
      <w:r>
        <w:rPr>
          <w:rFonts w:cs="Calibri"/>
        </w:rPr>
        <w:t>f</w:t>
      </w:r>
      <w:r w:rsidR="00C0459B">
        <w:rPr>
          <w:rFonts w:cs="Calibri"/>
        </w:rPr>
        <w:t>inalis</w:t>
      </w:r>
      <w:r>
        <w:rPr>
          <w:rFonts w:cs="Calibri"/>
        </w:rPr>
        <w:t>ing</w:t>
      </w:r>
      <w:r w:rsidR="00C0459B">
        <w:rPr>
          <w:rFonts w:cs="Calibri"/>
        </w:rPr>
        <w:t xml:space="preserve"> the </w:t>
      </w:r>
      <w:r w:rsidR="00C0459B" w:rsidRPr="00C0459B">
        <w:rPr>
          <w:rFonts w:cs="Calibri"/>
        </w:rPr>
        <w:t xml:space="preserve">Strategic </w:t>
      </w:r>
      <w:r w:rsidR="00C0459B">
        <w:rPr>
          <w:rFonts w:cs="Calibri"/>
        </w:rPr>
        <w:t>C</w:t>
      </w:r>
      <w:r w:rsidR="00C0459B" w:rsidRPr="00C0459B">
        <w:rPr>
          <w:rFonts w:cs="Calibri"/>
        </w:rPr>
        <w:t xml:space="preserve">ycle </w:t>
      </w:r>
      <w:r w:rsidR="00C0459B">
        <w:rPr>
          <w:rFonts w:cs="Calibri"/>
        </w:rPr>
        <w:t>N</w:t>
      </w:r>
      <w:r w:rsidR="00C0459B" w:rsidRPr="00C0459B">
        <w:rPr>
          <w:rFonts w:cs="Calibri"/>
        </w:rPr>
        <w:t xml:space="preserve">etwork </w:t>
      </w:r>
      <w:r w:rsidR="00C0459B">
        <w:rPr>
          <w:rFonts w:cs="Calibri"/>
        </w:rPr>
        <w:t xml:space="preserve">Plan </w:t>
      </w:r>
      <w:r w:rsidR="00C0459B" w:rsidRPr="00C0459B">
        <w:rPr>
          <w:rFonts w:cs="Calibri"/>
        </w:rPr>
        <w:t xml:space="preserve">for Canberra and </w:t>
      </w:r>
      <w:r w:rsidR="00C0459B">
        <w:rPr>
          <w:rFonts w:cs="Calibri"/>
        </w:rPr>
        <w:t xml:space="preserve">establish </w:t>
      </w:r>
      <w:r w:rsidR="00C0459B" w:rsidRPr="00C0459B">
        <w:rPr>
          <w:rFonts w:cs="Calibri"/>
        </w:rPr>
        <w:t>areas for design and upgrade;</w:t>
      </w:r>
    </w:p>
    <w:p w:rsidR="00CE677B" w:rsidRDefault="00203198">
      <w:pPr>
        <w:pStyle w:val="BodyTextIndent2"/>
        <w:keepNext w:val="0"/>
        <w:ind w:left="714" w:hanging="357"/>
        <w:rPr>
          <w:rFonts w:cs="Calibri"/>
        </w:rPr>
      </w:pPr>
      <w:r>
        <w:rPr>
          <w:rFonts w:cs="Calibri"/>
        </w:rPr>
        <w:t>m</w:t>
      </w:r>
      <w:r w:rsidR="00C0459B">
        <w:rPr>
          <w:rFonts w:cs="Calibri"/>
        </w:rPr>
        <w:t>onitor</w:t>
      </w:r>
      <w:r>
        <w:rPr>
          <w:rFonts w:cs="Calibri"/>
        </w:rPr>
        <w:t>ing</w:t>
      </w:r>
      <w:r w:rsidR="00C0459B">
        <w:rPr>
          <w:rFonts w:cs="Calibri"/>
        </w:rPr>
        <w:t xml:space="preserve"> and evaluat</w:t>
      </w:r>
      <w:r>
        <w:rPr>
          <w:rFonts w:cs="Calibri"/>
        </w:rPr>
        <w:t>ing</w:t>
      </w:r>
      <w:r w:rsidR="00C0459B">
        <w:rPr>
          <w:rFonts w:cs="Calibri"/>
        </w:rPr>
        <w:t xml:space="preserve"> networks and public transport to inform new network planning;</w:t>
      </w:r>
    </w:p>
    <w:p w:rsidR="00CE677B" w:rsidRDefault="00203198">
      <w:pPr>
        <w:pStyle w:val="BodyTextIndent2"/>
        <w:keepNext w:val="0"/>
        <w:ind w:left="714" w:hanging="357"/>
      </w:pPr>
      <w:r>
        <w:t>p</w:t>
      </w:r>
      <w:r w:rsidR="00C0459B">
        <w:t>rovid</w:t>
      </w:r>
      <w:r>
        <w:t>ing</w:t>
      </w:r>
      <w:r w:rsidR="00C0459B">
        <w:t xml:space="preserve"> technical support to the Capital Metro </w:t>
      </w:r>
      <w:r w:rsidR="00C01C50">
        <w:t>Agency</w:t>
      </w:r>
      <w:r w:rsidR="00C0459B">
        <w:t>;</w:t>
      </w:r>
      <w:r>
        <w:t xml:space="preserve"> and</w:t>
      </w:r>
    </w:p>
    <w:p w:rsidR="00CE677B" w:rsidRDefault="00203198">
      <w:pPr>
        <w:pStyle w:val="BodyTextIndent2"/>
        <w:keepNext w:val="0"/>
        <w:ind w:left="714" w:hanging="357"/>
      </w:pPr>
      <w:r>
        <w:t>i</w:t>
      </w:r>
      <w:r w:rsidR="00C0459B">
        <w:t>dentify</w:t>
      </w:r>
      <w:r>
        <w:t>ing</w:t>
      </w:r>
      <w:r w:rsidR="00C0459B">
        <w:t xml:space="preserve"> park and ride, bike and ride and </w:t>
      </w:r>
      <w:r w:rsidR="0056579A">
        <w:t>approaches to support achieving a higher mod</w:t>
      </w:r>
      <w:r w:rsidR="0095531B">
        <w:t>al split to public transport,</w:t>
      </w:r>
      <w:r w:rsidR="0056579A">
        <w:t xml:space="preserve"> cycling</w:t>
      </w:r>
      <w:r w:rsidR="0095531B">
        <w:t xml:space="preserve"> and walking</w:t>
      </w:r>
      <w:r>
        <w:t>.</w:t>
      </w:r>
    </w:p>
    <w:p w:rsidR="00CE677B" w:rsidRDefault="00203198">
      <w:pPr>
        <w:pStyle w:val="BodyTextIndent"/>
        <w:keepNext w:val="0"/>
        <w:keepLines w:val="0"/>
        <w:rPr>
          <w:rFonts w:cs="Calibri"/>
        </w:rPr>
      </w:pPr>
      <w:r>
        <w:rPr>
          <w:rFonts w:cs="Calibri"/>
        </w:rPr>
        <w:t>c</w:t>
      </w:r>
      <w:r w:rsidR="00C0459B">
        <w:rPr>
          <w:rFonts w:cs="Calibri"/>
        </w:rPr>
        <w:t>ontinue to participate in National forums to provide analysis and input to transport and infrastructure policy nationally and in the ACT</w:t>
      </w:r>
      <w:r w:rsidR="00082885">
        <w:rPr>
          <w:rFonts w:cs="Calibri"/>
        </w:rPr>
        <w:t>;</w:t>
      </w:r>
    </w:p>
    <w:p w:rsidR="000D0038" w:rsidRPr="002F2E87" w:rsidRDefault="000D0038" w:rsidP="00784309">
      <w:pPr>
        <w:pStyle w:val="BodyTextIndent"/>
        <w:keepNext w:val="0"/>
        <w:keepLines w:val="0"/>
        <w:rPr>
          <w:rFonts w:cs="Calibri"/>
          <w:lang w:eastAsia="en-AU"/>
        </w:rPr>
      </w:pPr>
      <w:r w:rsidRPr="00D01AF0">
        <w:rPr>
          <w:rFonts w:cs="Calibri"/>
          <w:lang w:eastAsia="en-AU"/>
        </w:rPr>
        <w:t>support the work of the Government Architect; and</w:t>
      </w:r>
    </w:p>
    <w:p w:rsidR="000D0038" w:rsidRPr="009118BA" w:rsidRDefault="000D0038" w:rsidP="00784309">
      <w:pPr>
        <w:pStyle w:val="BodyTextIndent"/>
        <w:keepNext w:val="0"/>
        <w:keepLines w:val="0"/>
      </w:pPr>
      <w:proofErr w:type="gramStart"/>
      <w:r w:rsidRPr="00972D04">
        <w:t>improve</w:t>
      </w:r>
      <w:proofErr w:type="gramEnd"/>
      <w:r w:rsidRPr="00972D04">
        <w:t xml:space="preserve"> the sustainability of </w:t>
      </w:r>
      <w:r w:rsidRPr="009118BA">
        <w:t>buildings</w:t>
      </w:r>
      <w:r w:rsidR="009118BA" w:rsidRPr="009118BA">
        <w:t xml:space="preserve"> through the application of building policy and compliance activities.</w:t>
      </w:r>
      <w:r w:rsidR="009118BA">
        <w:t xml:space="preserve">  </w:t>
      </w:r>
    </w:p>
    <w:p w:rsidR="000D0038" w:rsidRPr="00AD5CD1" w:rsidRDefault="000D0038" w:rsidP="000D0038">
      <w:pPr>
        <w:pStyle w:val="BodyTextIndent"/>
        <w:keepNext w:val="0"/>
        <w:keepLines w:val="0"/>
        <w:numPr>
          <w:ilvl w:val="0"/>
          <w:numId w:val="0"/>
        </w:numPr>
        <w:spacing w:before="240"/>
        <w:rPr>
          <w:rFonts w:ascii="Arial" w:hAnsi="Arial" w:cs="Arial"/>
          <w:sz w:val="20"/>
          <w:szCs w:val="20"/>
          <w:lang w:eastAsia="en-AU"/>
        </w:rPr>
      </w:pPr>
      <w:r w:rsidRPr="00AD5CD1">
        <w:rPr>
          <w:rFonts w:ascii="Arial" w:hAnsi="Arial" w:cs="Arial"/>
          <w:b/>
          <w:sz w:val="20"/>
          <w:szCs w:val="20"/>
        </w:rPr>
        <w:lastRenderedPageBreak/>
        <w:t xml:space="preserve">Strategic Indicator 5: </w:t>
      </w:r>
      <w:r w:rsidRPr="00AD5CD1">
        <w:rPr>
          <w:rFonts w:ascii="Arial" w:hAnsi="Arial" w:cs="Arial"/>
          <w:b/>
          <w:sz w:val="20"/>
          <w:szCs w:val="20"/>
        </w:rPr>
        <w:tab/>
      </w:r>
      <w:r w:rsidR="00E139EF">
        <w:rPr>
          <w:rFonts w:ascii="Arial" w:hAnsi="Arial" w:cs="Arial"/>
          <w:sz w:val="20"/>
          <w:szCs w:val="20"/>
        </w:rPr>
        <w:t>Amend Planning Legislation and Practices to Ensure D</w:t>
      </w:r>
      <w:r w:rsidRPr="00AD5CD1">
        <w:rPr>
          <w:rFonts w:ascii="Arial" w:hAnsi="Arial" w:cs="Arial"/>
          <w:sz w:val="20"/>
          <w:szCs w:val="20"/>
        </w:rPr>
        <w:t xml:space="preserve">elivery of </w:t>
      </w:r>
      <w:r w:rsidR="00E139EF">
        <w:rPr>
          <w:rFonts w:ascii="Arial" w:hAnsi="Arial" w:cs="Arial"/>
          <w:sz w:val="20"/>
          <w:szCs w:val="20"/>
        </w:rPr>
        <w:t>L</w:t>
      </w:r>
      <w:r w:rsidRPr="00AD5CD1">
        <w:rPr>
          <w:rFonts w:ascii="Arial" w:hAnsi="Arial" w:cs="Arial"/>
          <w:sz w:val="20"/>
          <w:szCs w:val="20"/>
        </w:rPr>
        <w:t xml:space="preserve">and </w:t>
      </w:r>
      <w:r w:rsidR="00E139EF">
        <w:rPr>
          <w:rFonts w:ascii="Arial" w:hAnsi="Arial" w:cs="Arial"/>
          <w:sz w:val="20"/>
          <w:szCs w:val="20"/>
        </w:rPr>
        <w:t>Supply, Housing Affordability and S</w:t>
      </w:r>
      <w:r w:rsidRPr="00AD5CD1">
        <w:rPr>
          <w:rFonts w:ascii="Arial" w:hAnsi="Arial" w:cs="Arial"/>
          <w:sz w:val="20"/>
          <w:szCs w:val="20"/>
        </w:rPr>
        <w:t xml:space="preserve">ustainable </w:t>
      </w:r>
      <w:r w:rsidR="00E139EF">
        <w:rPr>
          <w:rFonts w:ascii="Arial" w:hAnsi="Arial" w:cs="Arial"/>
          <w:sz w:val="20"/>
          <w:szCs w:val="20"/>
        </w:rPr>
        <w:t>Transport O</w:t>
      </w:r>
      <w:r w:rsidRPr="00AD5CD1">
        <w:rPr>
          <w:rFonts w:ascii="Arial" w:hAnsi="Arial" w:cs="Arial"/>
          <w:sz w:val="20"/>
          <w:szCs w:val="20"/>
        </w:rPr>
        <w:t>ptions</w:t>
      </w:r>
    </w:p>
    <w:p w:rsidR="000D0038" w:rsidRPr="00AD5CD1" w:rsidRDefault="000D0038" w:rsidP="000D0038">
      <w:pPr>
        <w:pStyle w:val="SIHeading1"/>
        <w:rPr>
          <w:rFonts w:cs="Arial"/>
        </w:rPr>
      </w:pPr>
      <w:r w:rsidRPr="00AD5CD1">
        <w:rPr>
          <w:rFonts w:cs="Arial"/>
        </w:rPr>
        <w:t>Strategic Objective 6</w:t>
      </w:r>
    </w:p>
    <w:p w:rsidR="000D0038" w:rsidRPr="00AD5CD1" w:rsidRDefault="000D0038" w:rsidP="000D0038">
      <w:pPr>
        <w:pStyle w:val="SIHeading2"/>
        <w:rPr>
          <w:rFonts w:cs="Arial"/>
          <w:lang w:val="en-GB"/>
        </w:rPr>
      </w:pPr>
      <w:r w:rsidRPr="00AD5CD1">
        <w:rPr>
          <w:rFonts w:cs="Arial"/>
          <w:lang w:val="en-GB"/>
        </w:rPr>
        <w:t xml:space="preserve">Achieve and Maintain </w:t>
      </w:r>
      <w:r w:rsidRPr="00AD5CD1">
        <w:rPr>
          <w:rFonts w:cs="Arial"/>
        </w:rPr>
        <w:t>Effective</w:t>
      </w:r>
      <w:r w:rsidRPr="00AD5CD1">
        <w:rPr>
          <w:rFonts w:cs="Arial"/>
          <w:lang w:val="en-GB"/>
        </w:rPr>
        <w:t xml:space="preserve"> Regulatory Systems</w:t>
      </w:r>
    </w:p>
    <w:p w:rsidR="000D0038" w:rsidRPr="002F2E87" w:rsidRDefault="000D0038" w:rsidP="000D0038">
      <w:pPr>
        <w:pStyle w:val="BodyText"/>
        <w:rPr>
          <w:rFonts w:cs="Calibri"/>
          <w:szCs w:val="24"/>
        </w:rPr>
      </w:pPr>
      <w:r w:rsidRPr="00D01AF0">
        <w:rPr>
          <w:rFonts w:cs="Calibri"/>
          <w:szCs w:val="24"/>
        </w:rPr>
        <w:t xml:space="preserve">This </w:t>
      </w:r>
      <w:r>
        <w:rPr>
          <w:rFonts w:cs="Calibri"/>
          <w:szCs w:val="24"/>
        </w:rPr>
        <w:t xml:space="preserve">objective </w:t>
      </w:r>
      <w:r w:rsidRPr="00D01AF0">
        <w:rPr>
          <w:rFonts w:cs="Calibri"/>
          <w:szCs w:val="24"/>
        </w:rPr>
        <w:t>will be achieved through continuous review and enhancement of the legislation administered by the Directorate and associated regulations, together with the Territory Plan, to deliver an effective regulatory framework.</w:t>
      </w:r>
    </w:p>
    <w:p w:rsidR="000D0038" w:rsidRPr="002F2E87" w:rsidRDefault="000D0038" w:rsidP="000D0038">
      <w:pPr>
        <w:pStyle w:val="BodyText"/>
        <w:rPr>
          <w:rFonts w:cs="Calibri"/>
          <w:szCs w:val="24"/>
        </w:rPr>
      </w:pPr>
      <w:r w:rsidRPr="00D01AF0">
        <w:rPr>
          <w:rFonts w:cs="Calibri"/>
          <w:szCs w:val="24"/>
        </w:rPr>
        <w:t>The Directorate will:</w:t>
      </w:r>
    </w:p>
    <w:p w:rsidR="000D0038" w:rsidRDefault="000D0038" w:rsidP="000D0038">
      <w:pPr>
        <w:pStyle w:val="BodyTextIndent"/>
        <w:keepNext w:val="0"/>
        <w:keepLines w:val="0"/>
        <w:numPr>
          <w:ilvl w:val="0"/>
          <w:numId w:val="8"/>
        </w:numPr>
        <w:rPr>
          <w:rFonts w:cs="Calibri"/>
        </w:rPr>
      </w:pPr>
      <w:r w:rsidRPr="00D01AF0">
        <w:rPr>
          <w:rFonts w:cs="Calibri"/>
        </w:rPr>
        <w:t>identify opportunities for better integration of the National Capital Plan and Territory Plan;</w:t>
      </w:r>
    </w:p>
    <w:p w:rsidR="00CE677B" w:rsidRDefault="0056579A">
      <w:pPr>
        <w:pStyle w:val="BodyTextIndent"/>
        <w:keepNext w:val="0"/>
        <w:keepLines w:val="0"/>
        <w:numPr>
          <w:ilvl w:val="0"/>
          <w:numId w:val="8"/>
        </w:numPr>
      </w:pPr>
      <w:r>
        <w:t>continue integrated land use and transport planning in Greenfield and Brownfield areas;</w:t>
      </w:r>
    </w:p>
    <w:p w:rsidR="00CE677B" w:rsidRDefault="00896A36">
      <w:pPr>
        <w:pStyle w:val="BodyTextIndent"/>
        <w:keepNext w:val="0"/>
        <w:keepLines w:val="0"/>
        <w:numPr>
          <w:ilvl w:val="0"/>
          <w:numId w:val="8"/>
        </w:numPr>
      </w:pPr>
      <w:r>
        <w:t>f</w:t>
      </w:r>
      <w:r w:rsidR="001D7ACE">
        <w:t>acilitate and manage growth and change within the City through the development assessment framework</w:t>
      </w:r>
      <w:r w:rsidR="00A972A1">
        <w:t xml:space="preserve"> and management of the leasehold system</w:t>
      </w:r>
      <w:r w:rsidR="001D7ACE">
        <w:t>;</w:t>
      </w:r>
    </w:p>
    <w:p w:rsidR="000D0038" w:rsidRPr="002F2E87" w:rsidRDefault="000D0038" w:rsidP="000D0038">
      <w:pPr>
        <w:pStyle w:val="BodyTextIndent"/>
        <w:keepNext w:val="0"/>
        <w:keepLines w:val="0"/>
        <w:numPr>
          <w:ilvl w:val="0"/>
          <w:numId w:val="8"/>
        </w:numPr>
        <w:rPr>
          <w:rFonts w:cs="Calibri"/>
        </w:rPr>
      </w:pPr>
      <w:r w:rsidRPr="00D01AF0">
        <w:rPr>
          <w:rFonts w:cs="Calibri"/>
          <w:lang w:eastAsia="en-AU"/>
        </w:rPr>
        <w:t>complete the implementation of first stage priority items for the Territory Plan policy review</w:t>
      </w:r>
      <w:r>
        <w:rPr>
          <w:rFonts w:cs="Calibri"/>
          <w:lang w:eastAsia="en-AU"/>
        </w:rPr>
        <w:t>;</w:t>
      </w:r>
      <w:r w:rsidRPr="00D01AF0">
        <w:rPr>
          <w:rFonts w:cs="Calibri"/>
          <w:lang w:eastAsia="en-AU"/>
        </w:rPr>
        <w:t xml:space="preserve"> </w:t>
      </w:r>
    </w:p>
    <w:p w:rsidR="000D0038" w:rsidRPr="002F2E87" w:rsidRDefault="000D0038" w:rsidP="000D0038">
      <w:pPr>
        <w:pStyle w:val="BodyTextIndent"/>
        <w:keepNext w:val="0"/>
        <w:keepLines w:val="0"/>
        <w:rPr>
          <w:rFonts w:cs="Calibri"/>
          <w:lang w:eastAsia="en-AU"/>
        </w:rPr>
      </w:pPr>
      <w:r w:rsidRPr="00D01AF0">
        <w:rPr>
          <w:rFonts w:cs="Calibri"/>
          <w:lang w:eastAsia="en-AU"/>
        </w:rPr>
        <w:t xml:space="preserve">continue to implement the outcomes of the Minister’s Building Quality Forum, including through the review and amendment of the </w:t>
      </w:r>
      <w:r w:rsidRPr="00D01AF0">
        <w:rPr>
          <w:rFonts w:cs="Calibri"/>
          <w:i/>
          <w:lang w:eastAsia="en-AU"/>
        </w:rPr>
        <w:t>Building Act 2004</w:t>
      </w:r>
      <w:r w:rsidRPr="00D01AF0">
        <w:rPr>
          <w:rFonts w:cs="Calibri"/>
          <w:lang w:eastAsia="en-AU"/>
        </w:rPr>
        <w:t>;</w:t>
      </w:r>
    </w:p>
    <w:p w:rsidR="000D0038" w:rsidRPr="002F2E87" w:rsidRDefault="000D0038" w:rsidP="000D0038">
      <w:pPr>
        <w:pStyle w:val="BodyTextIndent"/>
        <w:keepNext w:val="0"/>
        <w:keepLines w:val="0"/>
        <w:spacing w:before="240"/>
        <w:ind w:left="357" w:hanging="357"/>
        <w:rPr>
          <w:rFonts w:cs="Calibri"/>
          <w:lang w:eastAsia="en-AU"/>
        </w:rPr>
      </w:pPr>
      <w:r w:rsidRPr="00D01AF0">
        <w:rPr>
          <w:rFonts w:cs="Calibri"/>
          <w:lang w:eastAsia="en-AU"/>
        </w:rPr>
        <w:t xml:space="preserve">undertake a review of the </w:t>
      </w:r>
      <w:r w:rsidRPr="00D01AF0">
        <w:rPr>
          <w:rFonts w:cs="Calibri"/>
          <w:i/>
          <w:lang w:eastAsia="en-AU"/>
        </w:rPr>
        <w:t>Environment Protection Act 1997</w:t>
      </w:r>
      <w:r w:rsidRPr="00D01AF0">
        <w:rPr>
          <w:rFonts w:cs="Calibri"/>
          <w:lang w:eastAsia="en-AU"/>
        </w:rPr>
        <w:t xml:space="preserve"> and implement recommendations to improve the operation and effectiveness of the legislation;</w:t>
      </w:r>
    </w:p>
    <w:p w:rsidR="000D0038" w:rsidRPr="002F2E87" w:rsidRDefault="000D0038" w:rsidP="000D0038">
      <w:pPr>
        <w:pStyle w:val="BodyTextIndent"/>
        <w:keepNext w:val="0"/>
        <w:keepLines w:val="0"/>
        <w:rPr>
          <w:rFonts w:cs="Calibri"/>
          <w:lang w:eastAsia="en-AU"/>
        </w:rPr>
      </w:pPr>
      <w:r w:rsidRPr="00D01AF0">
        <w:rPr>
          <w:rFonts w:cs="Calibri"/>
          <w:lang w:eastAsia="en-AU"/>
        </w:rPr>
        <w:t xml:space="preserve">complete the review of Part 5 of the </w:t>
      </w:r>
      <w:r w:rsidRPr="00D01AF0">
        <w:rPr>
          <w:rFonts w:cs="Calibri"/>
          <w:i/>
          <w:lang w:eastAsia="en-AU"/>
        </w:rPr>
        <w:t>Utilities Act 2000</w:t>
      </w:r>
      <w:r>
        <w:rPr>
          <w:rFonts w:cs="Calibri"/>
          <w:i/>
          <w:lang w:eastAsia="en-AU"/>
        </w:rPr>
        <w:t>;</w:t>
      </w:r>
      <w:r w:rsidRPr="00D01AF0">
        <w:rPr>
          <w:rFonts w:cs="Calibri"/>
          <w:i/>
          <w:lang w:eastAsia="en-AU"/>
        </w:rPr>
        <w:t xml:space="preserve"> </w:t>
      </w:r>
    </w:p>
    <w:p w:rsidR="009118BA" w:rsidRPr="009118BA" w:rsidRDefault="009118BA" w:rsidP="009118BA">
      <w:pPr>
        <w:pStyle w:val="BodyTextIndent"/>
        <w:keepNext w:val="0"/>
        <w:keepLines w:val="0"/>
        <w:rPr>
          <w:rFonts w:cs="Calibri"/>
          <w:lang w:eastAsia="en-AU"/>
        </w:rPr>
      </w:pPr>
      <w:r w:rsidRPr="009118BA">
        <w:rPr>
          <w:rFonts w:cs="Calibri"/>
          <w:lang w:eastAsia="en-AU"/>
        </w:rPr>
        <w:t xml:space="preserve">ensure compliance (by audit) of building certifiers with their responsibilities under the </w:t>
      </w:r>
      <w:r w:rsidRPr="009118BA">
        <w:rPr>
          <w:rFonts w:cs="Calibri"/>
          <w:i/>
          <w:lang w:eastAsia="en-AU"/>
        </w:rPr>
        <w:t>Planning and Development Act 2007</w:t>
      </w:r>
      <w:r w:rsidRPr="009118BA">
        <w:rPr>
          <w:rFonts w:cs="Calibri"/>
          <w:lang w:eastAsia="en-AU"/>
        </w:rPr>
        <w:t xml:space="preserve">; </w:t>
      </w:r>
    </w:p>
    <w:p w:rsidR="000D0038" w:rsidRPr="002F2E87" w:rsidRDefault="000D0038" w:rsidP="000D0038">
      <w:pPr>
        <w:pStyle w:val="BodyTextIndent"/>
        <w:keepNext w:val="0"/>
        <w:keepLines w:val="0"/>
        <w:rPr>
          <w:rFonts w:cs="Calibri"/>
          <w:color w:val="000000"/>
          <w:lang w:eastAsia="en-AU"/>
        </w:rPr>
      </w:pPr>
      <w:r w:rsidRPr="00D01AF0">
        <w:rPr>
          <w:rFonts w:cs="Calibri"/>
          <w:color w:val="000000"/>
          <w:lang w:eastAsia="en-AU"/>
        </w:rPr>
        <w:t>implement initiatives announced by the Government on affordable housing; and</w:t>
      </w:r>
    </w:p>
    <w:p w:rsidR="000D0038" w:rsidRPr="00AD6A28" w:rsidRDefault="000D0038" w:rsidP="000D0038">
      <w:pPr>
        <w:pStyle w:val="BodyTextIndent"/>
        <w:keepNext w:val="0"/>
        <w:keepLines w:val="0"/>
        <w:rPr>
          <w:rFonts w:cs="Calibri"/>
          <w:lang w:eastAsia="en-AU"/>
        </w:rPr>
      </w:pPr>
      <w:r w:rsidRPr="00D01AF0">
        <w:rPr>
          <w:rFonts w:cs="Calibri"/>
          <w:lang w:eastAsia="en-AU"/>
        </w:rPr>
        <w:t xml:space="preserve">ensure compliance with the </w:t>
      </w:r>
      <w:r w:rsidRPr="00D01AF0">
        <w:rPr>
          <w:rFonts w:cs="Calibri"/>
          <w:i/>
          <w:lang w:eastAsia="en-AU"/>
        </w:rPr>
        <w:t>Heritage Act 2004</w:t>
      </w:r>
      <w:r w:rsidRPr="00D01AF0">
        <w:rPr>
          <w:rFonts w:cs="Calibri"/>
          <w:lang w:eastAsia="en-AU"/>
        </w:rPr>
        <w:t xml:space="preserve"> and associated regulations. </w:t>
      </w:r>
    </w:p>
    <w:p w:rsidR="000D0038" w:rsidRPr="00AD5CD1" w:rsidRDefault="000D0038" w:rsidP="000D0038">
      <w:pPr>
        <w:pStyle w:val="BodyTextIndent"/>
        <w:keepNext w:val="0"/>
        <w:keepLines w:val="0"/>
        <w:numPr>
          <w:ilvl w:val="0"/>
          <w:numId w:val="0"/>
        </w:numPr>
        <w:spacing w:before="240"/>
        <w:rPr>
          <w:rFonts w:ascii="Arial" w:hAnsi="Arial" w:cs="Arial"/>
          <w:color w:val="000000"/>
          <w:sz w:val="20"/>
          <w:szCs w:val="20"/>
          <w:lang w:eastAsia="en-AU"/>
        </w:rPr>
      </w:pPr>
      <w:r w:rsidRPr="00AD5CD1">
        <w:rPr>
          <w:rFonts w:ascii="Arial" w:hAnsi="Arial" w:cs="Arial"/>
          <w:b/>
          <w:sz w:val="20"/>
          <w:szCs w:val="20"/>
          <w:lang w:eastAsia="en-AU"/>
        </w:rPr>
        <w:t xml:space="preserve">Strategic Indicator 6: </w:t>
      </w:r>
      <w:r w:rsidRPr="00AD5CD1">
        <w:rPr>
          <w:rFonts w:ascii="Arial" w:hAnsi="Arial" w:cs="Arial"/>
          <w:b/>
          <w:sz w:val="20"/>
          <w:szCs w:val="20"/>
          <w:lang w:eastAsia="en-AU"/>
        </w:rPr>
        <w:tab/>
      </w:r>
      <w:r w:rsidRPr="00AD5CD1">
        <w:rPr>
          <w:rFonts w:ascii="Arial" w:hAnsi="Arial" w:cs="Arial"/>
          <w:sz w:val="20"/>
          <w:szCs w:val="20"/>
          <w:lang w:eastAsia="en-AU"/>
        </w:rPr>
        <w:t>Continuous review of regulatory policies, procedures and systems and ensuring that environment protection, heritage, nature conservation and construction activities are properly co-ordinated a</w:t>
      </w:r>
      <w:r w:rsidR="00A74547">
        <w:rPr>
          <w:rFonts w:ascii="Arial" w:hAnsi="Arial" w:cs="Arial"/>
          <w:sz w:val="20"/>
          <w:szCs w:val="20"/>
          <w:lang w:eastAsia="en-AU"/>
        </w:rPr>
        <w:t>nd effective in its application</w:t>
      </w:r>
      <w:r>
        <w:rPr>
          <w:rFonts w:ascii="Arial" w:hAnsi="Arial" w:cs="Arial"/>
          <w:sz w:val="20"/>
          <w:szCs w:val="20"/>
          <w:lang w:eastAsia="en-AU"/>
        </w:rPr>
        <w:t xml:space="preserve">  </w:t>
      </w:r>
    </w:p>
    <w:p w:rsidR="00CC5F2C" w:rsidRDefault="00CC5F2C">
      <w:pPr>
        <w:rPr>
          <w:rFonts w:ascii="Arial" w:hAnsi="Arial" w:cs="Arial"/>
          <w:b/>
          <w:bCs/>
          <w:szCs w:val="26"/>
        </w:rPr>
      </w:pPr>
      <w:r>
        <w:br w:type="page"/>
      </w:r>
    </w:p>
    <w:p w:rsidR="00E15E7E" w:rsidRPr="007C7552" w:rsidRDefault="00E15E7E" w:rsidP="00E15E7E">
      <w:pPr>
        <w:pStyle w:val="Heading3"/>
      </w:pPr>
      <w:r w:rsidRPr="007C7552">
        <w:lastRenderedPageBreak/>
        <w:t xml:space="preserve">Output Classes </w:t>
      </w:r>
    </w:p>
    <w:tbl>
      <w:tblPr>
        <w:tblW w:w="9100" w:type="dxa"/>
        <w:tblLayout w:type="fixed"/>
        <w:tblLook w:val="0000"/>
      </w:tblPr>
      <w:tblGrid>
        <w:gridCol w:w="3588"/>
        <w:gridCol w:w="1378"/>
        <w:gridCol w:w="1378"/>
        <w:gridCol w:w="1378"/>
        <w:gridCol w:w="1378"/>
      </w:tblGrid>
      <w:tr w:rsidR="00E15E7E" w:rsidTr="00755112">
        <w:tc>
          <w:tcPr>
            <w:tcW w:w="3544" w:type="dxa"/>
            <w:tcBorders>
              <w:top w:val="single" w:sz="4" w:space="0" w:color="auto"/>
              <w:left w:val="nil"/>
              <w:bottom w:val="nil"/>
              <w:right w:val="nil"/>
            </w:tcBorders>
          </w:tcPr>
          <w:p w:rsidR="00E15E7E" w:rsidRDefault="00E15E7E" w:rsidP="00C474F5">
            <w:pPr>
              <w:pStyle w:val="Heading2"/>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0"/>
              <w:ind w:left="357"/>
              <w:jc w:val="right"/>
              <w:rPr>
                <w:b w:val="0"/>
                <w:bCs/>
                <w:i/>
                <w:iCs/>
              </w:rPr>
            </w:pPr>
          </w:p>
        </w:tc>
        <w:tc>
          <w:tcPr>
            <w:tcW w:w="1361" w:type="dxa"/>
            <w:gridSpan w:val="2"/>
            <w:tcBorders>
              <w:top w:val="single" w:sz="4" w:space="0" w:color="auto"/>
              <w:left w:val="nil"/>
              <w:bottom w:val="single" w:sz="4" w:space="0" w:color="auto"/>
              <w:right w:val="nil"/>
            </w:tcBorders>
          </w:tcPr>
          <w:p w:rsidR="00E15E7E" w:rsidRPr="00F7087A" w:rsidRDefault="00E15E7E" w:rsidP="00E139EF">
            <w:pPr>
              <w:pStyle w:val="TableHeadingCentre-BP410pt"/>
              <w:spacing w:before="60" w:after="60"/>
              <w:rPr>
                <w:rFonts w:ascii="Times New Roman Bold" w:hAnsi="Times New Roman Bold"/>
                <w:vertAlign w:val="superscript"/>
              </w:rPr>
            </w:pPr>
            <w:r>
              <w:t>Total Cost</w:t>
            </w:r>
            <w:r>
              <w:rPr>
                <w:vertAlign w:val="superscript"/>
              </w:rPr>
              <w:t>1</w:t>
            </w:r>
          </w:p>
        </w:tc>
        <w:tc>
          <w:tcPr>
            <w:tcW w:w="1361" w:type="dxa"/>
            <w:gridSpan w:val="2"/>
            <w:tcBorders>
              <w:top w:val="single" w:sz="4" w:space="0" w:color="auto"/>
              <w:left w:val="nil"/>
              <w:bottom w:val="single" w:sz="4" w:space="0" w:color="auto"/>
              <w:right w:val="nil"/>
            </w:tcBorders>
          </w:tcPr>
          <w:p w:rsidR="00E15E7E" w:rsidRDefault="00E15E7E" w:rsidP="00E139EF">
            <w:pPr>
              <w:pStyle w:val="TableHeadingCentre-BP410pt"/>
              <w:spacing w:before="60" w:after="60"/>
            </w:pPr>
            <w:r>
              <w:t>Government Payment for Outputs</w:t>
            </w:r>
          </w:p>
        </w:tc>
      </w:tr>
      <w:tr w:rsidR="00E15E7E" w:rsidTr="00755112">
        <w:tc>
          <w:tcPr>
            <w:tcW w:w="3544" w:type="dxa"/>
            <w:tcBorders>
              <w:top w:val="nil"/>
              <w:left w:val="nil"/>
              <w:bottom w:val="single" w:sz="4" w:space="0" w:color="auto"/>
              <w:right w:val="nil"/>
            </w:tcBorders>
          </w:tcPr>
          <w:p w:rsidR="00E15E7E" w:rsidRDefault="00E15E7E" w:rsidP="00C474F5">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61" w:type="dxa"/>
            <w:tcBorders>
              <w:top w:val="single" w:sz="4" w:space="0" w:color="auto"/>
              <w:left w:val="nil"/>
              <w:bottom w:val="single" w:sz="4" w:space="0" w:color="auto"/>
              <w:right w:val="nil"/>
            </w:tcBorders>
          </w:tcPr>
          <w:p w:rsidR="00E15E7E" w:rsidRDefault="00E15E7E" w:rsidP="00C474F5">
            <w:pPr>
              <w:pStyle w:val="TableHeadingRight-BP410pt"/>
            </w:pPr>
            <w:r>
              <w:t>2012-13</w:t>
            </w:r>
          </w:p>
          <w:p w:rsidR="00E15E7E" w:rsidRDefault="00E15E7E" w:rsidP="00C474F5">
            <w:pPr>
              <w:pStyle w:val="TableHeadingRight-BP410pt"/>
            </w:pPr>
            <w:r>
              <w:t>Est. Outcome</w:t>
            </w:r>
          </w:p>
          <w:p w:rsidR="00E15E7E" w:rsidRDefault="00E15E7E" w:rsidP="00C474F5">
            <w:pPr>
              <w:pStyle w:val="TableHeadingRight-BP410pt"/>
            </w:pPr>
            <w:r>
              <w:t>$’000</w:t>
            </w:r>
          </w:p>
        </w:tc>
        <w:tc>
          <w:tcPr>
            <w:tcW w:w="1361" w:type="dxa"/>
            <w:tcBorders>
              <w:top w:val="single" w:sz="4" w:space="0" w:color="auto"/>
              <w:left w:val="nil"/>
              <w:bottom w:val="single" w:sz="4" w:space="0" w:color="auto"/>
              <w:right w:val="nil"/>
            </w:tcBorders>
          </w:tcPr>
          <w:p w:rsidR="00E15E7E" w:rsidRDefault="00E15E7E" w:rsidP="00C474F5">
            <w:pPr>
              <w:pStyle w:val="TableHeadingRight-BP410pt"/>
            </w:pPr>
            <w:r>
              <w:t>2013-14</w:t>
            </w:r>
          </w:p>
          <w:p w:rsidR="00E15E7E" w:rsidRDefault="00E15E7E" w:rsidP="00C474F5">
            <w:pPr>
              <w:pStyle w:val="TableHeadingRight-BP410pt"/>
            </w:pPr>
            <w:r>
              <w:t>Budget</w:t>
            </w:r>
          </w:p>
          <w:p w:rsidR="00E15E7E" w:rsidRDefault="00E15E7E" w:rsidP="00C474F5">
            <w:pPr>
              <w:pStyle w:val="TableHeadingRight-BP410pt"/>
              <w:rPr>
                <w:i/>
                <w:iCs/>
              </w:rPr>
            </w:pPr>
            <w:r>
              <w:t xml:space="preserve">$’000 </w:t>
            </w:r>
          </w:p>
        </w:tc>
        <w:tc>
          <w:tcPr>
            <w:tcW w:w="1361" w:type="dxa"/>
            <w:tcBorders>
              <w:top w:val="single" w:sz="4" w:space="0" w:color="auto"/>
              <w:left w:val="nil"/>
              <w:bottom w:val="single" w:sz="4" w:space="0" w:color="auto"/>
              <w:right w:val="nil"/>
            </w:tcBorders>
          </w:tcPr>
          <w:p w:rsidR="00E15E7E" w:rsidRDefault="00E15E7E" w:rsidP="00C474F5">
            <w:pPr>
              <w:pStyle w:val="TableHeadingRight-BP410pt"/>
            </w:pPr>
            <w:r>
              <w:t>2012-13</w:t>
            </w:r>
          </w:p>
          <w:p w:rsidR="00E15E7E" w:rsidRDefault="00E15E7E" w:rsidP="00C474F5">
            <w:pPr>
              <w:pStyle w:val="TableHeadingRight-BP410pt"/>
            </w:pPr>
            <w:r>
              <w:t>Est. Outcome</w:t>
            </w:r>
          </w:p>
          <w:p w:rsidR="00E15E7E" w:rsidRDefault="00E15E7E" w:rsidP="00C474F5">
            <w:pPr>
              <w:pStyle w:val="TableHeadingRight-BP410pt"/>
              <w:rPr>
                <w:i/>
                <w:iCs/>
              </w:rPr>
            </w:pPr>
            <w:r>
              <w:t xml:space="preserve">$’000 </w:t>
            </w:r>
          </w:p>
        </w:tc>
        <w:tc>
          <w:tcPr>
            <w:tcW w:w="1361" w:type="dxa"/>
            <w:tcBorders>
              <w:top w:val="single" w:sz="4" w:space="0" w:color="auto"/>
              <w:left w:val="nil"/>
              <w:bottom w:val="single" w:sz="4" w:space="0" w:color="auto"/>
              <w:right w:val="nil"/>
            </w:tcBorders>
          </w:tcPr>
          <w:p w:rsidR="00E15E7E" w:rsidRDefault="00E15E7E" w:rsidP="00C474F5">
            <w:pPr>
              <w:pStyle w:val="TableHeadingRight-BP410pt"/>
            </w:pPr>
            <w:r>
              <w:t>2013-14</w:t>
            </w:r>
          </w:p>
          <w:p w:rsidR="00E15E7E" w:rsidRDefault="00E15E7E" w:rsidP="00C474F5">
            <w:pPr>
              <w:pStyle w:val="TableHeadingRight-BP410pt"/>
            </w:pPr>
            <w:r>
              <w:t>Budget</w:t>
            </w:r>
          </w:p>
          <w:p w:rsidR="00E15E7E" w:rsidRDefault="00E15E7E" w:rsidP="00C474F5">
            <w:pPr>
              <w:pStyle w:val="TableHeadingRight-BP410pt"/>
            </w:pPr>
            <w:r>
              <w:t xml:space="preserve">$’000 </w:t>
            </w:r>
          </w:p>
        </w:tc>
      </w:tr>
      <w:tr w:rsidR="00E15E7E" w:rsidTr="00755112">
        <w:tc>
          <w:tcPr>
            <w:tcW w:w="3544" w:type="dxa"/>
            <w:tcBorders>
              <w:top w:val="single" w:sz="4" w:space="0" w:color="auto"/>
              <w:left w:val="nil"/>
              <w:bottom w:val="single" w:sz="4" w:space="0" w:color="auto"/>
              <w:right w:val="nil"/>
            </w:tcBorders>
          </w:tcPr>
          <w:p w:rsidR="00E15E7E" w:rsidRDefault="00E15E7E" w:rsidP="00C474F5">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Output Class 1</w:t>
            </w:r>
            <w:r w:rsidR="00E139EF">
              <w:t>:</w:t>
            </w:r>
          </w:p>
          <w:p w:rsidR="00E15E7E" w:rsidRDefault="00E15E7E" w:rsidP="00C474F5">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Environment and Sustainable Development</w:t>
            </w:r>
          </w:p>
        </w:tc>
        <w:tc>
          <w:tcPr>
            <w:tcW w:w="1361" w:type="dxa"/>
            <w:tcBorders>
              <w:top w:val="single" w:sz="4" w:space="0" w:color="auto"/>
              <w:left w:val="nil"/>
              <w:bottom w:val="single" w:sz="4" w:space="0" w:color="auto"/>
              <w:right w:val="nil"/>
            </w:tcBorders>
            <w:vAlign w:val="bottom"/>
          </w:tcPr>
          <w:p w:rsidR="00E15E7E" w:rsidRDefault="00C05B95" w:rsidP="00C474F5">
            <w:pPr>
              <w:pStyle w:val="TableTextRight-BP410pt"/>
            </w:pPr>
            <w:r>
              <w:t>93,633</w:t>
            </w:r>
          </w:p>
        </w:tc>
        <w:tc>
          <w:tcPr>
            <w:tcW w:w="1361" w:type="dxa"/>
            <w:tcBorders>
              <w:top w:val="single" w:sz="4" w:space="0" w:color="auto"/>
              <w:left w:val="nil"/>
              <w:bottom w:val="single" w:sz="4" w:space="0" w:color="auto"/>
              <w:right w:val="nil"/>
            </w:tcBorders>
            <w:vAlign w:val="bottom"/>
          </w:tcPr>
          <w:p w:rsidR="00E15E7E" w:rsidRDefault="00C96C2E" w:rsidP="00C474F5">
            <w:pPr>
              <w:pStyle w:val="TableTextRight-BP410pt"/>
            </w:pPr>
            <w:r>
              <w:t>108,288</w:t>
            </w:r>
            <w:r w:rsidR="00FA221E" w:rsidRPr="00FA221E">
              <w:rPr>
                <w:vertAlign w:val="superscript"/>
              </w:rPr>
              <w:t>2</w:t>
            </w:r>
          </w:p>
        </w:tc>
        <w:tc>
          <w:tcPr>
            <w:tcW w:w="1361" w:type="dxa"/>
            <w:tcBorders>
              <w:top w:val="single" w:sz="4" w:space="0" w:color="auto"/>
              <w:left w:val="nil"/>
              <w:bottom w:val="single" w:sz="4" w:space="0" w:color="auto"/>
              <w:right w:val="nil"/>
            </w:tcBorders>
            <w:vAlign w:val="bottom"/>
          </w:tcPr>
          <w:p w:rsidR="00E15E7E" w:rsidRDefault="00C96C2E" w:rsidP="00C474F5">
            <w:pPr>
              <w:pStyle w:val="TableTextRight-BP410pt"/>
            </w:pPr>
            <w:r>
              <w:t>76</w:t>
            </w:r>
            <w:r w:rsidR="0071795B">
              <w:t>,</w:t>
            </w:r>
            <w:r>
              <w:t>180</w:t>
            </w:r>
          </w:p>
        </w:tc>
        <w:tc>
          <w:tcPr>
            <w:tcW w:w="1361" w:type="dxa"/>
            <w:tcBorders>
              <w:top w:val="single" w:sz="4" w:space="0" w:color="auto"/>
              <w:left w:val="nil"/>
              <w:bottom w:val="single" w:sz="4" w:space="0" w:color="auto"/>
              <w:right w:val="nil"/>
            </w:tcBorders>
            <w:vAlign w:val="bottom"/>
          </w:tcPr>
          <w:p w:rsidR="00E15E7E" w:rsidRDefault="00C96C2E" w:rsidP="00C474F5">
            <w:pPr>
              <w:pStyle w:val="TableTextRight-BP410pt"/>
            </w:pPr>
            <w:r>
              <w:t>68,992</w:t>
            </w:r>
          </w:p>
        </w:tc>
      </w:tr>
      <w:tr w:rsidR="00E15E7E" w:rsidTr="00755112">
        <w:tc>
          <w:tcPr>
            <w:tcW w:w="3544" w:type="dxa"/>
            <w:tcBorders>
              <w:top w:val="single" w:sz="4" w:space="0" w:color="auto"/>
              <w:left w:val="nil"/>
              <w:bottom w:val="single" w:sz="4" w:space="0" w:color="auto"/>
              <w:right w:val="nil"/>
            </w:tcBorders>
          </w:tcPr>
          <w:p w:rsidR="00E15E7E" w:rsidRPr="00F7087A" w:rsidRDefault="00E15E7E" w:rsidP="00C474F5">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Bold" w:hAnsi="Times New Roman Bold" w:cs="Times New Roman Bold"/>
                <w:position w:val="5"/>
                <w:vertAlign w:val="superscript"/>
              </w:rPr>
            </w:pPr>
            <w:r>
              <w:t>Output 1.1:  Regulation and Services</w:t>
            </w:r>
            <w:r>
              <w:rPr>
                <w:vertAlign w:val="superscript"/>
              </w:rPr>
              <w:t>3</w:t>
            </w:r>
          </w:p>
        </w:tc>
        <w:tc>
          <w:tcPr>
            <w:tcW w:w="1361" w:type="dxa"/>
            <w:tcBorders>
              <w:top w:val="single" w:sz="4" w:space="0" w:color="auto"/>
              <w:left w:val="nil"/>
              <w:bottom w:val="single" w:sz="4" w:space="0" w:color="auto"/>
              <w:right w:val="nil"/>
            </w:tcBorders>
            <w:vAlign w:val="bottom"/>
          </w:tcPr>
          <w:p w:rsidR="00E15E7E" w:rsidRDefault="00C96C2E" w:rsidP="00C474F5">
            <w:pPr>
              <w:pStyle w:val="TableTextRight-BP410pt"/>
            </w:pPr>
            <w:r>
              <w:t>33,003</w:t>
            </w:r>
          </w:p>
        </w:tc>
        <w:tc>
          <w:tcPr>
            <w:tcW w:w="1361" w:type="dxa"/>
            <w:tcBorders>
              <w:top w:val="single" w:sz="4" w:space="0" w:color="auto"/>
              <w:left w:val="nil"/>
              <w:bottom w:val="single" w:sz="4" w:space="0" w:color="auto"/>
              <w:right w:val="nil"/>
            </w:tcBorders>
            <w:vAlign w:val="bottom"/>
          </w:tcPr>
          <w:p w:rsidR="00E15E7E" w:rsidRDefault="00C96C2E" w:rsidP="00C474F5">
            <w:pPr>
              <w:pStyle w:val="TableTextRight-BP410pt"/>
            </w:pPr>
            <w:r>
              <w:t>26,882</w:t>
            </w:r>
          </w:p>
        </w:tc>
        <w:tc>
          <w:tcPr>
            <w:tcW w:w="1361" w:type="dxa"/>
            <w:tcBorders>
              <w:top w:val="single" w:sz="4" w:space="0" w:color="auto"/>
              <w:left w:val="nil"/>
              <w:bottom w:val="single" w:sz="4" w:space="0" w:color="auto"/>
              <w:right w:val="nil"/>
            </w:tcBorders>
            <w:vAlign w:val="bottom"/>
          </w:tcPr>
          <w:p w:rsidR="00E15E7E" w:rsidRDefault="00C96C2E" w:rsidP="00C474F5">
            <w:pPr>
              <w:pStyle w:val="TableTextRight-BP410pt"/>
            </w:pPr>
            <w:r>
              <w:t>25,329</w:t>
            </w:r>
          </w:p>
        </w:tc>
        <w:tc>
          <w:tcPr>
            <w:tcW w:w="1361" w:type="dxa"/>
            <w:tcBorders>
              <w:top w:val="single" w:sz="4" w:space="0" w:color="auto"/>
              <w:left w:val="nil"/>
              <w:bottom w:val="single" w:sz="4" w:space="0" w:color="auto"/>
              <w:right w:val="nil"/>
            </w:tcBorders>
            <w:vAlign w:val="bottom"/>
          </w:tcPr>
          <w:p w:rsidR="00E15E7E" w:rsidRDefault="00C96C2E" w:rsidP="00C474F5">
            <w:pPr>
              <w:pStyle w:val="TableTextRight-BP410pt"/>
            </w:pPr>
            <w:r>
              <w:t>22,139</w:t>
            </w:r>
          </w:p>
        </w:tc>
      </w:tr>
    </w:tbl>
    <w:p w:rsidR="00E15E7E" w:rsidRPr="00D06867" w:rsidRDefault="00E15E7E" w:rsidP="00E15E7E">
      <w:pPr>
        <w:pStyle w:val="NoteHeading0"/>
        <w:rPr>
          <w:szCs w:val="16"/>
        </w:rPr>
      </w:pPr>
      <w:r w:rsidRPr="00344648">
        <w:rPr>
          <w:szCs w:val="16"/>
        </w:rPr>
        <w:t>Note</w:t>
      </w:r>
      <w:r>
        <w:rPr>
          <w:szCs w:val="16"/>
        </w:rPr>
        <w:t>s</w:t>
      </w:r>
      <w:r w:rsidRPr="00344648">
        <w:rPr>
          <w:szCs w:val="16"/>
        </w:rPr>
        <w:t>:</w:t>
      </w:r>
    </w:p>
    <w:p w:rsidR="00E15E7E" w:rsidRDefault="00E15E7E" w:rsidP="00E15E7E">
      <w:pPr>
        <w:pStyle w:val="AINotes"/>
        <w:numPr>
          <w:ilvl w:val="0"/>
          <w:numId w:val="43"/>
        </w:numPr>
      </w:pPr>
      <w:r>
        <w:t xml:space="preserve">Total cost includes </w:t>
      </w:r>
      <w:r w:rsidR="00600DC9">
        <w:t xml:space="preserve">depreciation and amortisation of $0.760 million in 2012-13 and $0.427 million in 2013-14.  Additionally, total cost includes </w:t>
      </w:r>
      <w:r>
        <w:t>impairment expenses of $1.2 million in 2012</w:t>
      </w:r>
      <w:r>
        <w:noBreakHyphen/>
        <w:t>13 estimated outcome.</w:t>
      </w:r>
    </w:p>
    <w:p w:rsidR="00E15E7E" w:rsidRDefault="00E15E7E" w:rsidP="00E15E7E">
      <w:pPr>
        <w:pStyle w:val="AINotes"/>
        <w:numPr>
          <w:ilvl w:val="0"/>
          <w:numId w:val="43"/>
        </w:numPr>
      </w:pPr>
      <w:r>
        <w:t>Total cost does not include transfer expenses of $1.779 million</w:t>
      </w:r>
      <w:r w:rsidR="00C05B95">
        <w:t xml:space="preserve"> in 2013-14</w:t>
      </w:r>
      <w:r>
        <w:t>.</w:t>
      </w:r>
    </w:p>
    <w:p w:rsidR="00E15E7E" w:rsidRPr="00D06867" w:rsidRDefault="00E15E7E" w:rsidP="00E15E7E">
      <w:pPr>
        <w:pStyle w:val="AINotes"/>
      </w:pPr>
      <w:r>
        <w:t>Own source revenue is retained by ESDD to supplement GPO.</w:t>
      </w:r>
    </w:p>
    <w:p w:rsidR="00E15E7E" w:rsidRDefault="00E15E7E" w:rsidP="00E15E7E">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Output Description</w:t>
      </w:r>
    </w:p>
    <w:p w:rsidR="00E15E7E" w:rsidRDefault="00E15E7E" w:rsidP="00E15E7E">
      <w:pPr>
        <w:pStyle w:val="BodyText"/>
        <w:keepNext w:val="0"/>
      </w:pPr>
      <w:r>
        <w:t>Provide regulatory guidance to the Building Industry through:</w:t>
      </w:r>
    </w:p>
    <w:p w:rsidR="00E15E7E" w:rsidRPr="00837F37" w:rsidRDefault="00E15E7E" w:rsidP="00E15E7E">
      <w:pPr>
        <w:pStyle w:val="BodyTextIndent"/>
      </w:pPr>
      <w:r w:rsidRPr="00837F37">
        <w:t>audits of the work of construction occupations;</w:t>
      </w:r>
    </w:p>
    <w:p w:rsidR="00E15E7E" w:rsidRPr="00837F37" w:rsidRDefault="00E15E7E" w:rsidP="00E15E7E">
      <w:pPr>
        <w:pStyle w:val="BodyTextIndent"/>
      </w:pPr>
      <w:r w:rsidRPr="00837F37">
        <w:t>investigation of complaints against construction occupation professionals; and</w:t>
      </w:r>
    </w:p>
    <w:p w:rsidR="00E15E7E" w:rsidRDefault="00E15E7E" w:rsidP="00E15E7E">
      <w:pPr>
        <w:pStyle w:val="BodyTextIndent"/>
        <w:spacing w:after="240"/>
        <w:ind w:left="357" w:hanging="357"/>
      </w:pPr>
      <w:proofErr w:type="gramStart"/>
      <w:r w:rsidRPr="00837F37">
        <w:t>inspection</w:t>
      </w:r>
      <w:proofErr w:type="gramEnd"/>
      <w:r w:rsidRPr="00837F37">
        <w:t xml:space="preserve"> of building, electrical, plumbing, drainage and gas-fitting works.</w:t>
      </w:r>
    </w:p>
    <w:tbl>
      <w:tblPr>
        <w:tblW w:w="9100" w:type="dxa"/>
        <w:tblLayout w:type="fixed"/>
        <w:tblLook w:val="0000"/>
      </w:tblPr>
      <w:tblGrid>
        <w:gridCol w:w="3588"/>
        <w:gridCol w:w="1378"/>
        <w:gridCol w:w="1378"/>
        <w:gridCol w:w="1378"/>
        <w:gridCol w:w="1378"/>
      </w:tblGrid>
      <w:tr w:rsidR="00EC1ECD" w:rsidTr="00EC1ECD">
        <w:tc>
          <w:tcPr>
            <w:tcW w:w="3588" w:type="dxa"/>
            <w:tcBorders>
              <w:top w:val="single" w:sz="4" w:space="0" w:color="auto"/>
              <w:left w:val="nil"/>
              <w:bottom w:val="nil"/>
              <w:right w:val="nil"/>
            </w:tcBorders>
          </w:tcPr>
          <w:p w:rsidR="00EC1ECD" w:rsidRPr="00E139EF" w:rsidRDefault="00EC1ECD" w:rsidP="00E139EF">
            <w:pPr>
              <w:pStyle w:val="TableHeadingCentre-BP410pt"/>
              <w:spacing w:before="60" w:after="60"/>
            </w:pPr>
          </w:p>
        </w:tc>
        <w:tc>
          <w:tcPr>
            <w:tcW w:w="2756" w:type="dxa"/>
            <w:gridSpan w:val="2"/>
            <w:tcBorders>
              <w:top w:val="single" w:sz="4" w:space="0" w:color="auto"/>
              <w:left w:val="nil"/>
              <w:bottom w:val="single" w:sz="4" w:space="0" w:color="auto"/>
              <w:right w:val="nil"/>
            </w:tcBorders>
          </w:tcPr>
          <w:p w:rsidR="00EC1ECD" w:rsidRPr="00E139EF" w:rsidRDefault="00EC1ECD" w:rsidP="00E139EF">
            <w:pPr>
              <w:pStyle w:val="TableHeadingCentre-BP410pt"/>
              <w:spacing w:before="60" w:after="60"/>
            </w:pPr>
            <w:r>
              <w:t>Total Cost</w:t>
            </w:r>
          </w:p>
        </w:tc>
        <w:tc>
          <w:tcPr>
            <w:tcW w:w="2756" w:type="dxa"/>
            <w:gridSpan w:val="2"/>
            <w:tcBorders>
              <w:top w:val="single" w:sz="4" w:space="0" w:color="auto"/>
              <w:left w:val="nil"/>
              <w:bottom w:val="single" w:sz="4" w:space="0" w:color="auto"/>
              <w:right w:val="nil"/>
            </w:tcBorders>
          </w:tcPr>
          <w:p w:rsidR="00EC1ECD" w:rsidRDefault="00EC1ECD" w:rsidP="00E139EF">
            <w:pPr>
              <w:pStyle w:val="TableHeadingCentre-BP410pt"/>
              <w:spacing w:before="60" w:after="60"/>
            </w:pPr>
            <w:r>
              <w:t>Government Payment for Outputs</w:t>
            </w:r>
          </w:p>
        </w:tc>
      </w:tr>
      <w:tr w:rsidR="00EC1ECD" w:rsidTr="00EC1ECD">
        <w:tc>
          <w:tcPr>
            <w:tcW w:w="3588" w:type="dxa"/>
            <w:tcBorders>
              <w:top w:val="nil"/>
              <w:left w:val="nil"/>
              <w:bottom w:val="single" w:sz="4" w:space="0" w:color="auto"/>
              <w:right w:val="nil"/>
            </w:tcBorders>
          </w:tcPr>
          <w:p w:rsidR="00EC1ECD" w:rsidRDefault="00EC1ECD" w:rsidP="00EC1ECD">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78" w:type="dxa"/>
            <w:tcBorders>
              <w:top w:val="single" w:sz="4" w:space="0" w:color="auto"/>
              <w:left w:val="nil"/>
              <w:bottom w:val="single" w:sz="4" w:space="0" w:color="auto"/>
              <w:right w:val="nil"/>
            </w:tcBorders>
          </w:tcPr>
          <w:p w:rsidR="00EC1ECD" w:rsidRDefault="00EC1ECD" w:rsidP="00EC1ECD">
            <w:pPr>
              <w:pStyle w:val="TableHeadingRight-BP410pt"/>
            </w:pPr>
            <w:r>
              <w:t>2012-13</w:t>
            </w:r>
          </w:p>
          <w:p w:rsidR="00EC1ECD" w:rsidRDefault="00EC1ECD" w:rsidP="00EC1ECD">
            <w:pPr>
              <w:pStyle w:val="TableHeadingRight-BP410pt"/>
            </w:pPr>
            <w:r>
              <w:t>Est. Outcome</w:t>
            </w:r>
          </w:p>
          <w:p w:rsidR="00EC1ECD" w:rsidRDefault="00EC1ECD" w:rsidP="00EC1ECD">
            <w:pPr>
              <w:pStyle w:val="TableHeadingRight-BP410pt"/>
            </w:pPr>
            <w:r>
              <w:t>$’000</w:t>
            </w:r>
          </w:p>
        </w:tc>
        <w:tc>
          <w:tcPr>
            <w:tcW w:w="1378" w:type="dxa"/>
            <w:tcBorders>
              <w:top w:val="single" w:sz="4" w:space="0" w:color="auto"/>
              <w:left w:val="nil"/>
              <w:bottom w:val="single" w:sz="4" w:space="0" w:color="auto"/>
              <w:right w:val="nil"/>
            </w:tcBorders>
          </w:tcPr>
          <w:p w:rsidR="00EC1ECD" w:rsidRDefault="00EC1ECD" w:rsidP="00EC1ECD">
            <w:pPr>
              <w:pStyle w:val="TableHeadingRight-BP410pt"/>
            </w:pPr>
            <w:r>
              <w:t>2013-14</w:t>
            </w:r>
          </w:p>
          <w:p w:rsidR="00EC1ECD" w:rsidRDefault="00EC1ECD" w:rsidP="00EC1ECD">
            <w:pPr>
              <w:pStyle w:val="TableHeadingRight-BP410pt"/>
            </w:pPr>
            <w:r>
              <w:t>Budget</w:t>
            </w:r>
          </w:p>
          <w:p w:rsidR="00EC1ECD" w:rsidRDefault="00EC1ECD" w:rsidP="00EC1ECD">
            <w:pPr>
              <w:pStyle w:val="TableHeadingRight-BP410pt"/>
              <w:rPr>
                <w:i/>
                <w:iCs/>
              </w:rPr>
            </w:pPr>
            <w:r>
              <w:t xml:space="preserve">$’000 </w:t>
            </w:r>
          </w:p>
        </w:tc>
        <w:tc>
          <w:tcPr>
            <w:tcW w:w="1378" w:type="dxa"/>
            <w:tcBorders>
              <w:top w:val="single" w:sz="4" w:space="0" w:color="auto"/>
              <w:left w:val="nil"/>
              <w:bottom w:val="single" w:sz="4" w:space="0" w:color="auto"/>
              <w:right w:val="nil"/>
            </w:tcBorders>
          </w:tcPr>
          <w:p w:rsidR="00EC1ECD" w:rsidRDefault="00EC1ECD" w:rsidP="00EC1ECD">
            <w:pPr>
              <w:pStyle w:val="TableHeadingRight-BP410pt"/>
            </w:pPr>
            <w:r>
              <w:t>2012-13</w:t>
            </w:r>
          </w:p>
          <w:p w:rsidR="00EC1ECD" w:rsidRDefault="00EC1ECD" w:rsidP="00EC1ECD">
            <w:pPr>
              <w:pStyle w:val="TableHeadingRight-BP410pt"/>
            </w:pPr>
            <w:r>
              <w:t>Est. Outcome</w:t>
            </w:r>
          </w:p>
          <w:p w:rsidR="00EC1ECD" w:rsidRDefault="00EC1ECD" w:rsidP="00EC1ECD">
            <w:pPr>
              <w:pStyle w:val="TableHeadingRight-BP410pt"/>
              <w:rPr>
                <w:i/>
                <w:iCs/>
              </w:rPr>
            </w:pPr>
            <w:r>
              <w:t xml:space="preserve">$’000 </w:t>
            </w:r>
          </w:p>
        </w:tc>
        <w:tc>
          <w:tcPr>
            <w:tcW w:w="1378" w:type="dxa"/>
            <w:tcBorders>
              <w:top w:val="single" w:sz="4" w:space="0" w:color="auto"/>
              <w:left w:val="nil"/>
              <w:bottom w:val="single" w:sz="4" w:space="0" w:color="auto"/>
              <w:right w:val="nil"/>
            </w:tcBorders>
          </w:tcPr>
          <w:p w:rsidR="00EC1ECD" w:rsidRDefault="00EC1ECD" w:rsidP="00EC1ECD">
            <w:pPr>
              <w:pStyle w:val="TableHeadingRight-BP410pt"/>
            </w:pPr>
            <w:r>
              <w:t>2013-14</w:t>
            </w:r>
          </w:p>
          <w:p w:rsidR="00EC1ECD" w:rsidRDefault="00EC1ECD" w:rsidP="00EC1ECD">
            <w:pPr>
              <w:pStyle w:val="TableHeadingRight-BP410pt"/>
            </w:pPr>
            <w:r>
              <w:t>Budget</w:t>
            </w:r>
          </w:p>
          <w:p w:rsidR="00EC1ECD" w:rsidRDefault="00EC1ECD" w:rsidP="00EC1ECD">
            <w:pPr>
              <w:pStyle w:val="TableHeadingRight-BP410pt"/>
            </w:pPr>
            <w:r>
              <w:t xml:space="preserve">$’000 </w:t>
            </w:r>
          </w:p>
        </w:tc>
      </w:tr>
      <w:tr w:rsidR="00EC1ECD" w:rsidTr="00EC1ECD">
        <w:tc>
          <w:tcPr>
            <w:tcW w:w="3588" w:type="dxa"/>
            <w:tcBorders>
              <w:top w:val="single" w:sz="4" w:space="0" w:color="auto"/>
              <w:left w:val="nil"/>
              <w:bottom w:val="single" w:sz="4" w:space="0" w:color="auto"/>
              <w:right w:val="nil"/>
            </w:tcBorders>
          </w:tcPr>
          <w:p w:rsidR="00EC1ECD" w:rsidRPr="00EC1ECD" w:rsidRDefault="00EC1ECD" w:rsidP="00BE4FAE">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0"/>
              </w:rPr>
            </w:pPr>
            <w:r w:rsidRPr="00EC1ECD">
              <w:t>Output 1.2</w:t>
            </w:r>
            <w:r w:rsidR="00BE4FAE">
              <w:t xml:space="preserve">:  </w:t>
            </w:r>
            <w:r w:rsidRPr="00EC1ECD">
              <w:t>Planning Delivery</w:t>
            </w:r>
          </w:p>
        </w:tc>
        <w:tc>
          <w:tcPr>
            <w:tcW w:w="1378" w:type="dxa"/>
            <w:tcBorders>
              <w:top w:val="single" w:sz="4" w:space="0" w:color="auto"/>
              <w:left w:val="nil"/>
              <w:bottom w:val="single" w:sz="4" w:space="0" w:color="auto"/>
              <w:right w:val="nil"/>
            </w:tcBorders>
            <w:vAlign w:val="bottom"/>
          </w:tcPr>
          <w:p w:rsidR="00EC1ECD" w:rsidRDefault="00EC1ECD" w:rsidP="00EC1ECD">
            <w:pPr>
              <w:pStyle w:val="TableTextRight-BP410pt"/>
            </w:pPr>
            <w:r>
              <w:t>11,257</w:t>
            </w:r>
          </w:p>
        </w:tc>
        <w:tc>
          <w:tcPr>
            <w:tcW w:w="1378" w:type="dxa"/>
            <w:tcBorders>
              <w:top w:val="single" w:sz="4" w:space="0" w:color="auto"/>
              <w:left w:val="nil"/>
              <w:bottom w:val="single" w:sz="4" w:space="0" w:color="auto"/>
              <w:right w:val="nil"/>
            </w:tcBorders>
            <w:vAlign w:val="bottom"/>
          </w:tcPr>
          <w:p w:rsidR="00EC1ECD" w:rsidRDefault="00EC1ECD" w:rsidP="00EC1ECD">
            <w:pPr>
              <w:pStyle w:val="TableTextRight-BP410pt"/>
            </w:pPr>
            <w:r>
              <w:t>10,487</w:t>
            </w:r>
          </w:p>
        </w:tc>
        <w:tc>
          <w:tcPr>
            <w:tcW w:w="1378" w:type="dxa"/>
            <w:tcBorders>
              <w:top w:val="single" w:sz="4" w:space="0" w:color="auto"/>
              <w:left w:val="nil"/>
              <w:bottom w:val="single" w:sz="4" w:space="0" w:color="auto"/>
              <w:right w:val="nil"/>
            </w:tcBorders>
            <w:vAlign w:val="bottom"/>
          </w:tcPr>
          <w:p w:rsidR="00EC1ECD" w:rsidRDefault="00EC1ECD" w:rsidP="00EC1ECD">
            <w:pPr>
              <w:pStyle w:val="TableTextRight-BP410pt"/>
            </w:pPr>
            <w:r>
              <w:t>10,489</w:t>
            </w:r>
          </w:p>
        </w:tc>
        <w:tc>
          <w:tcPr>
            <w:tcW w:w="1378" w:type="dxa"/>
            <w:tcBorders>
              <w:top w:val="single" w:sz="4" w:space="0" w:color="auto"/>
              <w:left w:val="nil"/>
              <w:bottom w:val="single" w:sz="4" w:space="0" w:color="auto"/>
              <w:right w:val="nil"/>
            </w:tcBorders>
            <w:vAlign w:val="bottom"/>
          </w:tcPr>
          <w:p w:rsidR="00EC1ECD" w:rsidRDefault="00EC1ECD" w:rsidP="00EC1ECD">
            <w:pPr>
              <w:pStyle w:val="TableTextRight-BP410pt"/>
            </w:pPr>
            <w:r>
              <w:t>10,294</w:t>
            </w:r>
          </w:p>
        </w:tc>
      </w:tr>
    </w:tbl>
    <w:p w:rsidR="00E15E7E" w:rsidRDefault="00E15E7E" w:rsidP="00E15E7E">
      <w:pPr>
        <w:pStyle w:val="Heading4"/>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Output Description</w:t>
      </w:r>
    </w:p>
    <w:p w:rsidR="00E15E7E" w:rsidRDefault="00E15E7E" w:rsidP="00E15E7E">
      <w:pPr>
        <w:pStyle w:val="BodyText"/>
        <w:spacing w:after="240"/>
        <w:rPr>
          <w:i/>
        </w:rPr>
      </w:pPr>
      <w:r>
        <w:t xml:space="preserve">Facilitate and manage growth and change within the </w:t>
      </w:r>
      <w:r w:rsidR="00585FCB">
        <w:t>ACT</w:t>
      </w:r>
      <w:r>
        <w:t xml:space="preserve"> through development assessment and </w:t>
      </w:r>
      <w:r w:rsidRPr="00FA478C">
        <w:t xml:space="preserve">leasehold management, with the overarching objective of promoting </w:t>
      </w:r>
      <w:r>
        <w:t xml:space="preserve">and facilitating economically productive, </w:t>
      </w:r>
      <w:r w:rsidRPr="00FA478C">
        <w:t>sustainable, attractive, safe and well-designed urban and rural environments in the ACT.</w:t>
      </w:r>
    </w:p>
    <w:tbl>
      <w:tblPr>
        <w:tblW w:w="9100" w:type="dxa"/>
        <w:tblLayout w:type="fixed"/>
        <w:tblLook w:val="0000"/>
      </w:tblPr>
      <w:tblGrid>
        <w:gridCol w:w="3588"/>
        <w:gridCol w:w="1378"/>
        <w:gridCol w:w="1378"/>
        <w:gridCol w:w="1378"/>
        <w:gridCol w:w="1378"/>
      </w:tblGrid>
      <w:tr w:rsidR="00E15E7E" w:rsidTr="00C474F5">
        <w:tc>
          <w:tcPr>
            <w:tcW w:w="3588" w:type="dxa"/>
            <w:tcBorders>
              <w:top w:val="single" w:sz="4" w:space="0" w:color="auto"/>
              <w:left w:val="nil"/>
              <w:bottom w:val="nil"/>
              <w:right w:val="nil"/>
            </w:tcBorders>
          </w:tcPr>
          <w:p w:rsidR="00E15E7E" w:rsidRPr="00E139EF" w:rsidRDefault="00E15E7E" w:rsidP="00E139EF">
            <w:pPr>
              <w:pStyle w:val="TableHeadingCentre-BP410pt"/>
              <w:spacing w:before="60" w:after="60"/>
            </w:pPr>
          </w:p>
        </w:tc>
        <w:tc>
          <w:tcPr>
            <w:tcW w:w="2756" w:type="dxa"/>
            <w:gridSpan w:val="2"/>
            <w:tcBorders>
              <w:top w:val="single" w:sz="4" w:space="0" w:color="auto"/>
              <w:left w:val="nil"/>
              <w:bottom w:val="single" w:sz="4" w:space="0" w:color="auto"/>
              <w:right w:val="nil"/>
            </w:tcBorders>
          </w:tcPr>
          <w:p w:rsidR="00E15E7E" w:rsidRDefault="00E15E7E" w:rsidP="00E139EF">
            <w:pPr>
              <w:pStyle w:val="TableHeadingCentre-BP410pt"/>
              <w:spacing w:before="60" w:after="60"/>
            </w:pPr>
            <w:r>
              <w:t>Total Cost</w:t>
            </w:r>
          </w:p>
        </w:tc>
        <w:tc>
          <w:tcPr>
            <w:tcW w:w="2756" w:type="dxa"/>
            <w:gridSpan w:val="2"/>
            <w:tcBorders>
              <w:top w:val="single" w:sz="4" w:space="0" w:color="auto"/>
              <w:left w:val="nil"/>
              <w:bottom w:val="single" w:sz="4" w:space="0" w:color="auto"/>
              <w:right w:val="nil"/>
            </w:tcBorders>
          </w:tcPr>
          <w:p w:rsidR="00E15E7E" w:rsidRDefault="00E15E7E" w:rsidP="00E139EF">
            <w:pPr>
              <w:pStyle w:val="TableHeadingCentre-BP410pt"/>
              <w:spacing w:before="60" w:after="60"/>
            </w:pPr>
            <w:r>
              <w:t>Government Payment for Outputs</w:t>
            </w:r>
          </w:p>
        </w:tc>
      </w:tr>
      <w:tr w:rsidR="00E15E7E" w:rsidTr="00AD3213">
        <w:tc>
          <w:tcPr>
            <w:tcW w:w="3588" w:type="dxa"/>
            <w:tcBorders>
              <w:top w:val="nil"/>
              <w:left w:val="nil"/>
              <w:bottom w:val="single" w:sz="4" w:space="0" w:color="auto"/>
              <w:right w:val="nil"/>
            </w:tcBorders>
          </w:tcPr>
          <w:p w:rsidR="00E15E7E" w:rsidRDefault="00E15E7E" w:rsidP="00C474F5">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78" w:type="dxa"/>
            <w:tcBorders>
              <w:top w:val="single" w:sz="4" w:space="0" w:color="auto"/>
              <w:left w:val="nil"/>
              <w:bottom w:val="single" w:sz="4" w:space="0" w:color="auto"/>
              <w:right w:val="nil"/>
            </w:tcBorders>
          </w:tcPr>
          <w:p w:rsidR="00E15E7E" w:rsidRDefault="00E15E7E" w:rsidP="00AD3213">
            <w:pPr>
              <w:pStyle w:val="TableTextRightBold-BP410pt"/>
            </w:pPr>
            <w:r>
              <w:t>2012-13</w:t>
            </w:r>
          </w:p>
          <w:p w:rsidR="00E15E7E" w:rsidRDefault="00E15E7E" w:rsidP="00AD3213">
            <w:pPr>
              <w:pStyle w:val="TableTextRightBold-BP410pt"/>
            </w:pPr>
            <w:r>
              <w:t>Est. Outcome</w:t>
            </w:r>
          </w:p>
          <w:p w:rsidR="00E15E7E" w:rsidRDefault="00E15E7E" w:rsidP="00AD3213">
            <w:pPr>
              <w:pStyle w:val="TableTextRightBold-BP410pt"/>
            </w:pPr>
            <w:r>
              <w:t>$’000</w:t>
            </w:r>
          </w:p>
        </w:tc>
        <w:tc>
          <w:tcPr>
            <w:tcW w:w="1378" w:type="dxa"/>
            <w:tcBorders>
              <w:top w:val="single" w:sz="4" w:space="0" w:color="auto"/>
              <w:left w:val="nil"/>
              <w:bottom w:val="single" w:sz="4" w:space="0" w:color="auto"/>
              <w:right w:val="nil"/>
            </w:tcBorders>
          </w:tcPr>
          <w:p w:rsidR="00E15E7E" w:rsidRDefault="00E15E7E" w:rsidP="00AD3213">
            <w:pPr>
              <w:pStyle w:val="TableTextRightBold-BP410pt"/>
            </w:pPr>
            <w:r>
              <w:t>2013-14</w:t>
            </w:r>
          </w:p>
          <w:p w:rsidR="00E15E7E" w:rsidRDefault="00E15E7E" w:rsidP="00AD3213">
            <w:pPr>
              <w:pStyle w:val="TableTextRightBold-BP410pt"/>
            </w:pPr>
            <w:r>
              <w:t>Budget</w:t>
            </w:r>
          </w:p>
          <w:p w:rsidR="00E15E7E" w:rsidRDefault="00E15E7E" w:rsidP="00AD3213">
            <w:pPr>
              <w:pStyle w:val="TableTextRightBold-BP410pt"/>
              <w:rPr>
                <w:i/>
                <w:iCs/>
              </w:rPr>
            </w:pPr>
            <w:r>
              <w:t xml:space="preserve">$’000 </w:t>
            </w:r>
          </w:p>
        </w:tc>
        <w:tc>
          <w:tcPr>
            <w:tcW w:w="1378" w:type="dxa"/>
            <w:tcBorders>
              <w:top w:val="single" w:sz="4" w:space="0" w:color="auto"/>
              <w:left w:val="nil"/>
              <w:bottom w:val="single" w:sz="4" w:space="0" w:color="auto"/>
              <w:right w:val="nil"/>
            </w:tcBorders>
          </w:tcPr>
          <w:p w:rsidR="00E15E7E" w:rsidRDefault="00E15E7E" w:rsidP="00AD3213">
            <w:pPr>
              <w:pStyle w:val="TableTextRightBold-BP410pt"/>
            </w:pPr>
            <w:r>
              <w:t>2012-13</w:t>
            </w:r>
          </w:p>
          <w:p w:rsidR="00E15E7E" w:rsidRDefault="00E15E7E" w:rsidP="00AD3213">
            <w:pPr>
              <w:pStyle w:val="TableTextRightBold-BP410pt"/>
            </w:pPr>
            <w:r>
              <w:t>Est. Outcome</w:t>
            </w:r>
          </w:p>
          <w:p w:rsidR="00E15E7E" w:rsidRDefault="00E15E7E" w:rsidP="00AD3213">
            <w:pPr>
              <w:pStyle w:val="TableTextRightBold-BP410pt"/>
              <w:rPr>
                <w:i/>
                <w:iCs/>
              </w:rPr>
            </w:pPr>
            <w:r>
              <w:t xml:space="preserve">$’000 </w:t>
            </w:r>
          </w:p>
        </w:tc>
        <w:tc>
          <w:tcPr>
            <w:tcW w:w="1378" w:type="dxa"/>
            <w:tcBorders>
              <w:top w:val="single" w:sz="4" w:space="0" w:color="auto"/>
              <w:left w:val="nil"/>
              <w:bottom w:val="single" w:sz="4" w:space="0" w:color="auto"/>
              <w:right w:val="nil"/>
            </w:tcBorders>
          </w:tcPr>
          <w:p w:rsidR="00E15E7E" w:rsidRDefault="00E15E7E" w:rsidP="00AD3213">
            <w:pPr>
              <w:pStyle w:val="TableTextRightBold-BP410pt"/>
            </w:pPr>
            <w:r>
              <w:t>2013-14</w:t>
            </w:r>
          </w:p>
          <w:p w:rsidR="00E15E7E" w:rsidRDefault="00E15E7E" w:rsidP="00AD3213">
            <w:pPr>
              <w:pStyle w:val="TableTextRightBold-BP410pt"/>
            </w:pPr>
            <w:r>
              <w:t>Budget</w:t>
            </w:r>
          </w:p>
          <w:p w:rsidR="00E15E7E" w:rsidRDefault="00E15E7E" w:rsidP="00AD3213">
            <w:pPr>
              <w:pStyle w:val="TableTextRightBold-BP410pt"/>
            </w:pPr>
            <w:r>
              <w:t xml:space="preserve">$’000 </w:t>
            </w:r>
          </w:p>
        </w:tc>
      </w:tr>
      <w:tr w:rsidR="00E15E7E" w:rsidTr="00AD3213">
        <w:tc>
          <w:tcPr>
            <w:tcW w:w="3588" w:type="dxa"/>
            <w:tcBorders>
              <w:top w:val="single" w:sz="4" w:space="0" w:color="auto"/>
              <w:left w:val="nil"/>
              <w:bottom w:val="single" w:sz="4" w:space="0" w:color="auto"/>
              <w:right w:val="nil"/>
            </w:tcBorders>
          </w:tcPr>
          <w:p w:rsidR="00E15E7E" w:rsidRDefault="00E15E7E" w:rsidP="00C474F5">
            <w:pPr>
              <w:pStyle w:val="TableHeadingLeft-BP410pt"/>
              <w:keepNext w:val="0"/>
              <w:rPr>
                <w:rFonts w:ascii="Times New Roman Bold" w:hAnsi="Times New Roman Bold" w:cs="Times New Roman Bold"/>
                <w:position w:val="5"/>
              </w:rPr>
            </w:pPr>
            <w:r>
              <w:t>Output 1.3:  Planning Policy</w:t>
            </w:r>
            <w:r w:rsidRPr="000D3EE3">
              <w:rPr>
                <w:vertAlign w:val="superscript"/>
              </w:rPr>
              <w:t>1</w:t>
            </w:r>
          </w:p>
        </w:tc>
        <w:tc>
          <w:tcPr>
            <w:tcW w:w="1378" w:type="dxa"/>
            <w:tcBorders>
              <w:top w:val="single" w:sz="4" w:space="0" w:color="auto"/>
              <w:left w:val="nil"/>
              <w:bottom w:val="single" w:sz="4" w:space="0" w:color="auto"/>
              <w:right w:val="nil"/>
            </w:tcBorders>
          </w:tcPr>
          <w:p w:rsidR="00E15E7E" w:rsidRDefault="00C96C2E" w:rsidP="00AD3213">
            <w:pPr>
              <w:pStyle w:val="TableTextRight-BP410pt"/>
            </w:pPr>
            <w:r>
              <w:t>21,465</w:t>
            </w:r>
          </w:p>
        </w:tc>
        <w:tc>
          <w:tcPr>
            <w:tcW w:w="1378" w:type="dxa"/>
            <w:tcBorders>
              <w:top w:val="single" w:sz="4" w:space="0" w:color="auto"/>
              <w:left w:val="nil"/>
              <w:bottom w:val="single" w:sz="4" w:space="0" w:color="auto"/>
              <w:right w:val="nil"/>
            </w:tcBorders>
          </w:tcPr>
          <w:p w:rsidR="00E15E7E" w:rsidRDefault="00C96C2E" w:rsidP="00AD3213">
            <w:pPr>
              <w:pStyle w:val="TableTextRight-BP410pt"/>
            </w:pPr>
            <w:r>
              <w:t>47,589</w:t>
            </w:r>
          </w:p>
        </w:tc>
        <w:tc>
          <w:tcPr>
            <w:tcW w:w="1378" w:type="dxa"/>
            <w:tcBorders>
              <w:top w:val="single" w:sz="4" w:space="0" w:color="auto"/>
              <w:left w:val="nil"/>
              <w:bottom w:val="single" w:sz="4" w:space="0" w:color="auto"/>
              <w:right w:val="nil"/>
            </w:tcBorders>
          </w:tcPr>
          <w:p w:rsidR="00E15E7E" w:rsidRDefault="00C96C2E" w:rsidP="00AD3213">
            <w:pPr>
              <w:pStyle w:val="TableTextRight-BP410pt"/>
            </w:pPr>
            <w:r>
              <w:t>15,316</w:t>
            </w:r>
          </w:p>
        </w:tc>
        <w:tc>
          <w:tcPr>
            <w:tcW w:w="1378" w:type="dxa"/>
            <w:tcBorders>
              <w:top w:val="single" w:sz="4" w:space="0" w:color="auto"/>
              <w:left w:val="nil"/>
              <w:bottom w:val="single" w:sz="4" w:space="0" w:color="auto"/>
              <w:right w:val="nil"/>
            </w:tcBorders>
          </w:tcPr>
          <w:p w:rsidR="00E15E7E" w:rsidRDefault="00C96C2E" w:rsidP="00AD3213">
            <w:pPr>
              <w:pStyle w:val="TableTextRight-BP410pt"/>
            </w:pPr>
            <w:r>
              <w:t>14,320</w:t>
            </w:r>
          </w:p>
        </w:tc>
      </w:tr>
    </w:tbl>
    <w:p w:rsidR="00E15E7E" w:rsidRPr="00D06867" w:rsidRDefault="00E15E7E" w:rsidP="00E15E7E">
      <w:pPr>
        <w:pStyle w:val="BodyText"/>
        <w:spacing w:after="0"/>
        <w:rPr>
          <w:b/>
          <w:sz w:val="16"/>
          <w:szCs w:val="16"/>
        </w:rPr>
      </w:pPr>
      <w:r w:rsidRPr="00D06867">
        <w:rPr>
          <w:b/>
          <w:sz w:val="16"/>
          <w:szCs w:val="16"/>
        </w:rPr>
        <w:t>Note:</w:t>
      </w:r>
    </w:p>
    <w:p w:rsidR="00E15E7E" w:rsidRPr="00D06867" w:rsidRDefault="00E15E7E" w:rsidP="00E15E7E">
      <w:pPr>
        <w:pStyle w:val="Note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60"/>
        <w:rPr>
          <w:szCs w:val="16"/>
        </w:rPr>
      </w:pPr>
      <w:r>
        <w:rPr>
          <w:szCs w:val="16"/>
        </w:rPr>
        <w:t>Total cost includes transfer of assets of $3.079 million and expensing of feasibility studies of $2.039 million in 2012</w:t>
      </w:r>
      <w:r>
        <w:rPr>
          <w:szCs w:val="16"/>
        </w:rPr>
        <w:noBreakHyphen/>
        <w:t xml:space="preserve">13 estimated outcome. </w:t>
      </w:r>
      <w:r w:rsidR="00BE4FAE">
        <w:rPr>
          <w:szCs w:val="16"/>
        </w:rPr>
        <w:t xml:space="preserve"> </w:t>
      </w:r>
      <w:r>
        <w:rPr>
          <w:szCs w:val="16"/>
        </w:rPr>
        <w:t>Total cost in 2013</w:t>
      </w:r>
      <w:r>
        <w:rPr>
          <w:szCs w:val="16"/>
        </w:rPr>
        <w:noBreakHyphen/>
        <w:t>14 includes the transfer of assets of $33.231 million.</w:t>
      </w:r>
    </w:p>
    <w:p w:rsidR="00E15E7E" w:rsidRPr="00B10688" w:rsidRDefault="00E15E7E" w:rsidP="00E15E7E">
      <w:pPr>
        <w:pStyle w:val="Heading4"/>
      </w:pPr>
      <w:r w:rsidRPr="00B10688">
        <w:t>Output Description</w:t>
      </w:r>
    </w:p>
    <w:p w:rsidR="00E15E7E" w:rsidRDefault="00E15E7E" w:rsidP="00E15E7E">
      <w:pPr>
        <w:pStyle w:val="BodyText"/>
      </w:pPr>
      <w:proofErr w:type="gramStart"/>
      <w:r w:rsidRPr="00837F37">
        <w:t>Provision of high quality professional services in strategic and land planning, sustainable transport planning and planning for land release</w:t>
      </w:r>
      <w:r>
        <w:t xml:space="preserve"> that encourages high quality urban design</w:t>
      </w:r>
      <w:r w:rsidRPr="00837F37">
        <w:t>.</w:t>
      </w:r>
      <w:proofErr w:type="gramEnd"/>
    </w:p>
    <w:p w:rsidR="00E15E7E" w:rsidRDefault="00E15E7E" w:rsidP="00E15E7E">
      <w:r>
        <w:br w:type="page"/>
      </w:r>
    </w:p>
    <w:p w:rsidR="00E15E7E" w:rsidRPr="00837F37" w:rsidRDefault="00E15E7E" w:rsidP="00E15E7E">
      <w:pPr>
        <w:pStyle w:val="Heading3"/>
      </w:pPr>
      <w:r>
        <w:lastRenderedPageBreak/>
        <w:t>Output Classes cont.</w:t>
      </w:r>
    </w:p>
    <w:tbl>
      <w:tblPr>
        <w:tblW w:w="9100" w:type="dxa"/>
        <w:tblLayout w:type="fixed"/>
        <w:tblLook w:val="0000"/>
      </w:tblPr>
      <w:tblGrid>
        <w:gridCol w:w="3588"/>
        <w:gridCol w:w="1378"/>
        <w:gridCol w:w="1378"/>
        <w:gridCol w:w="1378"/>
        <w:gridCol w:w="1378"/>
      </w:tblGrid>
      <w:tr w:rsidR="00E15E7E" w:rsidTr="00C474F5">
        <w:tc>
          <w:tcPr>
            <w:tcW w:w="3588" w:type="dxa"/>
            <w:tcBorders>
              <w:top w:val="single" w:sz="4" w:space="0" w:color="auto"/>
              <w:left w:val="nil"/>
              <w:bottom w:val="nil"/>
              <w:right w:val="nil"/>
            </w:tcBorders>
          </w:tcPr>
          <w:p w:rsidR="00E15E7E" w:rsidRPr="00E139EF" w:rsidRDefault="00E15E7E" w:rsidP="00E139EF">
            <w:pPr>
              <w:pStyle w:val="TableHeadingCentre-BP410pt"/>
              <w:spacing w:before="60" w:after="60"/>
            </w:pPr>
          </w:p>
        </w:tc>
        <w:tc>
          <w:tcPr>
            <w:tcW w:w="2756" w:type="dxa"/>
            <w:gridSpan w:val="2"/>
            <w:tcBorders>
              <w:top w:val="single" w:sz="4" w:space="0" w:color="auto"/>
              <w:left w:val="nil"/>
              <w:bottom w:val="single" w:sz="4" w:space="0" w:color="auto"/>
              <w:right w:val="nil"/>
            </w:tcBorders>
          </w:tcPr>
          <w:p w:rsidR="00E15E7E" w:rsidRDefault="00E15E7E" w:rsidP="00E139EF">
            <w:pPr>
              <w:pStyle w:val="TableHeadingCentre-BP410pt"/>
              <w:spacing w:before="60" w:after="60"/>
            </w:pPr>
            <w:r>
              <w:t>Total Cost</w:t>
            </w:r>
          </w:p>
        </w:tc>
        <w:tc>
          <w:tcPr>
            <w:tcW w:w="2756" w:type="dxa"/>
            <w:gridSpan w:val="2"/>
            <w:tcBorders>
              <w:top w:val="single" w:sz="4" w:space="0" w:color="auto"/>
              <w:left w:val="nil"/>
              <w:bottom w:val="single" w:sz="4" w:space="0" w:color="auto"/>
              <w:right w:val="nil"/>
            </w:tcBorders>
          </w:tcPr>
          <w:p w:rsidR="00E15E7E" w:rsidRDefault="00E15E7E" w:rsidP="00E139EF">
            <w:pPr>
              <w:pStyle w:val="TableHeadingCentre-BP410pt"/>
              <w:spacing w:before="60" w:after="60"/>
            </w:pPr>
            <w:r>
              <w:t>Government Payment for Outputs</w:t>
            </w:r>
          </w:p>
        </w:tc>
      </w:tr>
      <w:tr w:rsidR="00E15E7E" w:rsidTr="00AD3213">
        <w:tc>
          <w:tcPr>
            <w:tcW w:w="3588" w:type="dxa"/>
            <w:tcBorders>
              <w:top w:val="nil"/>
              <w:left w:val="nil"/>
              <w:bottom w:val="single" w:sz="4" w:space="0" w:color="auto"/>
              <w:right w:val="nil"/>
            </w:tcBorders>
          </w:tcPr>
          <w:p w:rsidR="00E15E7E" w:rsidRDefault="00E15E7E" w:rsidP="00C474F5">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78" w:type="dxa"/>
            <w:tcBorders>
              <w:top w:val="single" w:sz="4" w:space="0" w:color="auto"/>
              <w:left w:val="nil"/>
              <w:bottom w:val="single" w:sz="4" w:space="0" w:color="auto"/>
              <w:right w:val="nil"/>
            </w:tcBorders>
          </w:tcPr>
          <w:p w:rsidR="00E15E7E" w:rsidRDefault="00E15E7E" w:rsidP="00AD3213">
            <w:pPr>
              <w:pStyle w:val="TableTextRightBold-BP410pt"/>
            </w:pPr>
            <w:r>
              <w:t>2012-13</w:t>
            </w:r>
          </w:p>
          <w:p w:rsidR="00E15E7E" w:rsidRDefault="00E15E7E" w:rsidP="00AD3213">
            <w:pPr>
              <w:pStyle w:val="TableTextRightBold-BP410pt"/>
            </w:pPr>
            <w:r>
              <w:t>Est. Outcome</w:t>
            </w:r>
          </w:p>
          <w:p w:rsidR="00E15E7E" w:rsidRDefault="00E15E7E" w:rsidP="00AD3213">
            <w:pPr>
              <w:pStyle w:val="TableTextRightBold-BP410pt"/>
            </w:pPr>
            <w:r>
              <w:t>$’000</w:t>
            </w:r>
          </w:p>
        </w:tc>
        <w:tc>
          <w:tcPr>
            <w:tcW w:w="1378" w:type="dxa"/>
            <w:tcBorders>
              <w:top w:val="single" w:sz="4" w:space="0" w:color="auto"/>
              <w:left w:val="nil"/>
              <w:bottom w:val="single" w:sz="4" w:space="0" w:color="auto"/>
              <w:right w:val="nil"/>
            </w:tcBorders>
          </w:tcPr>
          <w:p w:rsidR="00E15E7E" w:rsidRDefault="00E15E7E" w:rsidP="00AD3213">
            <w:pPr>
              <w:pStyle w:val="TableTextRightBold-BP410pt"/>
            </w:pPr>
            <w:r>
              <w:t>2013-14</w:t>
            </w:r>
          </w:p>
          <w:p w:rsidR="00E15E7E" w:rsidRDefault="00E15E7E" w:rsidP="00AD3213">
            <w:pPr>
              <w:pStyle w:val="TableTextRightBold-BP410pt"/>
            </w:pPr>
            <w:r>
              <w:t>Budget</w:t>
            </w:r>
          </w:p>
          <w:p w:rsidR="00E15E7E" w:rsidRDefault="00E15E7E" w:rsidP="00AD3213">
            <w:pPr>
              <w:pStyle w:val="TableTextRightBold-BP410pt"/>
              <w:rPr>
                <w:i/>
                <w:iCs/>
              </w:rPr>
            </w:pPr>
            <w:r>
              <w:t xml:space="preserve">$’000 </w:t>
            </w:r>
          </w:p>
        </w:tc>
        <w:tc>
          <w:tcPr>
            <w:tcW w:w="1378" w:type="dxa"/>
            <w:tcBorders>
              <w:top w:val="single" w:sz="4" w:space="0" w:color="auto"/>
              <w:left w:val="nil"/>
              <w:bottom w:val="single" w:sz="4" w:space="0" w:color="auto"/>
              <w:right w:val="nil"/>
            </w:tcBorders>
          </w:tcPr>
          <w:p w:rsidR="00E15E7E" w:rsidRDefault="00E15E7E" w:rsidP="00AD3213">
            <w:pPr>
              <w:pStyle w:val="TableTextRightBold-BP410pt"/>
            </w:pPr>
            <w:r>
              <w:t>2012-13</w:t>
            </w:r>
          </w:p>
          <w:p w:rsidR="00E15E7E" w:rsidRDefault="00E15E7E" w:rsidP="00AD3213">
            <w:pPr>
              <w:pStyle w:val="TableTextRightBold-BP410pt"/>
            </w:pPr>
            <w:r>
              <w:t>Est. Outcome</w:t>
            </w:r>
          </w:p>
          <w:p w:rsidR="00E15E7E" w:rsidRDefault="00E15E7E" w:rsidP="00AD3213">
            <w:pPr>
              <w:pStyle w:val="TableTextRightBold-BP410pt"/>
              <w:rPr>
                <w:i/>
                <w:iCs/>
              </w:rPr>
            </w:pPr>
            <w:r>
              <w:t xml:space="preserve">$’000 </w:t>
            </w:r>
          </w:p>
        </w:tc>
        <w:tc>
          <w:tcPr>
            <w:tcW w:w="1378" w:type="dxa"/>
            <w:tcBorders>
              <w:top w:val="single" w:sz="4" w:space="0" w:color="auto"/>
              <w:left w:val="nil"/>
              <w:bottom w:val="single" w:sz="4" w:space="0" w:color="auto"/>
              <w:right w:val="nil"/>
            </w:tcBorders>
          </w:tcPr>
          <w:p w:rsidR="00E15E7E" w:rsidRDefault="00E15E7E" w:rsidP="00AD3213">
            <w:pPr>
              <w:pStyle w:val="TableTextRightBold-BP410pt"/>
            </w:pPr>
            <w:r>
              <w:t>2013-14</w:t>
            </w:r>
          </w:p>
          <w:p w:rsidR="00E15E7E" w:rsidRDefault="00E15E7E" w:rsidP="00AD3213">
            <w:pPr>
              <w:pStyle w:val="TableTextRightBold-BP410pt"/>
            </w:pPr>
            <w:r>
              <w:t>Budget</w:t>
            </w:r>
          </w:p>
          <w:p w:rsidR="00E15E7E" w:rsidRDefault="00E15E7E" w:rsidP="00AD3213">
            <w:pPr>
              <w:pStyle w:val="TableTextRightBold-BP410pt"/>
            </w:pPr>
            <w:r>
              <w:t xml:space="preserve">$’000 </w:t>
            </w:r>
          </w:p>
        </w:tc>
      </w:tr>
      <w:tr w:rsidR="00E15E7E" w:rsidTr="00AD3213">
        <w:tc>
          <w:tcPr>
            <w:tcW w:w="3588" w:type="dxa"/>
            <w:tcBorders>
              <w:top w:val="single" w:sz="4" w:space="0" w:color="auto"/>
              <w:left w:val="nil"/>
              <w:bottom w:val="single" w:sz="4" w:space="0" w:color="auto"/>
              <w:right w:val="nil"/>
            </w:tcBorders>
          </w:tcPr>
          <w:p w:rsidR="00E15E7E" w:rsidRDefault="00E15E7E" w:rsidP="00C474F5">
            <w:pPr>
              <w:pStyle w:val="TableHeadingLeft-BP410pt"/>
              <w:keepNext w:val="0"/>
              <w:rPr>
                <w:rFonts w:ascii="Times New Roman Bold" w:hAnsi="Times New Roman Bold" w:cs="Times New Roman Bold"/>
                <w:position w:val="5"/>
              </w:rPr>
            </w:pPr>
            <w:r>
              <w:t>Output 1.4:  Heritage</w:t>
            </w:r>
          </w:p>
        </w:tc>
        <w:tc>
          <w:tcPr>
            <w:tcW w:w="1378" w:type="dxa"/>
            <w:tcBorders>
              <w:top w:val="single" w:sz="4" w:space="0" w:color="auto"/>
              <w:left w:val="nil"/>
              <w:bottom w:val="single" w:sz="4" w:space="0" w:color="auto"/>
              <w:right w:val="nil"/>
            </w:tcBorders>
          </w:tcPr>
          <w:p w:rsidR="00E15E7E" w:rsidRDefault="00C96C2E" w:rsidP="00AD3213">
            <w:pPr>
              <w:pStyle w:val="TableTextRight-BP410pt"/>
            </w:pPr>
            <w:r>
              <w:t>2,047</w:t>
            </w:r>
          </w:p>
        </w:tc>
        <w:tc>
          <w:tcPr>
            <w:tcW w:w="1378" w:type="dxa"/>
            <w:tcBorders>
              <w:top w:val="single" w:sz="4" w:space="0" w:color="auto"/>
              <w:left w:val="nil"/>
              <w:bottom w:val="single" w:sz="4" w:space="0" w:color="auto"/>
              <w:right w:val="nil"/>
            </w:tcBorders>
          </w:tcPr>
          <w:p w:rsidR="00E15E7E" w:rsidRDefault="00C96C2E" w:rsidP="00AD3213">
            <w:pPr>
              <w:pStyle w:val="TableTextRight-BP410pt"/>
            </w:pPr>
            <w:r>
              <w:t>1,847</w:t>
            </w:r>
          </w:p>
        </w:tc>
        <w:tc>
          <w:tcPr>
            <w:tcW w:w="1378" w:type="dxa"/>
            <w:tcBorders>
              <w:top w:val="single" w:sz="4" w:space="0" w:color="auto"/>
              <w:left w:val="nil"/>
              <w:bottom w:val="single" w:sz="4" w:space="0" w:color="auto"/>
              <w:right w:val="nil"/>
            </w:tcBorders>
          </w:tcPr>
          <w:p w:rsidR="00E15E7E" w:rsidRDefault="00C96C2E" w:rsidP="00AD3213">
            <w:pPr>
              <w:pStyle w:val="TableTextRight-BP410pt"/>
            </w:pPr>
            <w:r>
              <w:t>1,909</w:t>
            </w:r>
          </w:p>
        </w:tc>
        <w:tc>
          <w:tcPr>
            <w:tcW w:w="1378" w:type="dxa"/>
            <w:tcBorders>
              <w:top w:val="single" w:sz="4" w:space="0" w:color="auto"/>
              <w:left w:val="nil"/>
              <w:bottom w:val="single" w:sz="4" w:space="0" w:color="auto"/>
              <w:right w:val="nil"/>
            </w:tcBorders>
          </w:tcPr>
          <w:p w:rsidR="00E15E7E" w:rsidRDefault="00C96C2E" w:rsidP="00AD3213">
            <w:pPr>
              <w:pStyle w:val="TableTextRight-BP410pt"/>
            </w:pPr>
            <w:r>
              <w:t>1,721</w:t>
            </w:r>
          </w:p>
        </w:tc>
      </w:tr>
    </w:tbl>
    <w:p w:rsidR="00E15E7E" w:rsidRDefault="00E15E7E" w:rsidP="00E15E7E">
      <w:pPr>
        <w:pStyle w:val="Heading4"/>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Output Description</w:t>
      </w:r>
    </w:p>
    <w:p w:rsidR="00E15E7E" w:rsidRDefault="00E15E7E" w:rsidP="00E15E7E">
      <w:pPr>
        <w:pStyle w:val="BodyText"/>
        <w:spacing w:after="240"/>
      </w:pPr>
      <w:r>
        <w:t>A</w:t>
      </w:r>
      <w:r w:rsidRPr="00837F37">
        <w:t>dminist</w:t>
      </w:r>
      <w:r>
        <w:t>ration of</w:t>
      </w:r>
      <w:r w:rsidRPr="00837F37">
        <w:t xml:space="preserve"> the heritage provisions of the </w:t>
      </w:r>
      <w:r w:rsidRPr="007549C4">
        <w:rPr>
          <w:i/>
        </w:rPr>
        <w:t>Heritage Act 2004</w:t>
      </w:r>
      <w:r w:rsidRPr="00837F37">
        <w:t xml:space="preserve"> and assist</w:t>
      </w:r>
      <w:r>
        <w:t>ance</w:t>
      </w:r>
      <w:r w:rsidRPr="00837F37">
        <w:t xml:space="preserve"> in the conservation of the ACT’s heritage assets to ensure their identification, preservation, protection, maintenance and enhancement where appropriate.  </w:t>
      </w:r>
      <w:r w:rsidR="00B64025">
        <w:t>ACT</w:t>
      </w:r>
      <w:r w:rsidRPr="009118BA">
        <w:t xml:space="preserve"> </w:t>
      </w:r>
      <w:r w:rsidR="00B64025">
        <w:t>H</w:t>
      </w:r>
      <w:r w:rsidRPr="009118BA">
        <w:t>eritage area</w:t>
      </w:r>
      <w:r w:rsidRPr="00837F37">
        <w:t xml:space="preserve"> provides administrative and operational support to the ACT Heritage Council and its projects, and administers the annual funding of the ACT Heritage Grants Program.</w:t>
      </w:r>
      <w:r>
        <w:t xml:space="preserve">  A key function is also the promotion and education of the community regarding heritage assets of the ACT</w:t>
      </w:r>
      <w:r w:rsidR="00DD143A">
        <w:t>.</w:t>
      </w:r>
    </w:p>
    <w:tbl>
      <w:tblPr>
        <w:tblW w:w="9100" w:type="dxa"/>
        <w:tblLayout w:type="fixed"/>
        <w:tblLook w:val="0000"/>
      </w:tblPr>
      <w:tblGrid>
        <w:gridCol w:w="3588"/>
        <w:gridCol w:w="1378"/>
        <w:gridCol w:w="1378"/>
        <w:gridCol w:w="1378"/>
        <w:gridCol w:w="1378"/>
      </w:tblGrid>
      <w:tr w:rsidR="00E15E7E" w:rsidTr="00C474F5">
        <w:tc>
          <w:tcPr>
            <w:tcW w:w="3588" w:type="dxa"/>
            <w:tcBorders>
              <w:top w:val="single" w:sz="4" w:space="0" w:color="auto"/>
              <w:left w:val="nil"/>
              <w:bottom w:val="nil"/>
              <w:right w:val="nil"/>
            </w:tcBorders>
          </w:tcPr>
          <w:p w:rsidR="00E15E7E" w:rsidRPr="00E139EF" w:rsidRDefault="00E15E7E" w:rsidP="00E139EF">
            <w:pPr>
              <w:pStyle w:val="TableHeadingCentre-BP410pt"/>
              <w:spacing w:before="60" w:after="60"/>
            </w:pPr>
          </w:p>
        </w:tc>
        <w:tc>
          <w:tcPr>
            <w:tcW w:w="2756" w:type="dxa"/>
            <w:gridSpan w:val="2"/>
            <w:tcBorders>
              <w:top w:val="single" w:sz="4" w:space="0" w:color="auto"/>
              <w:left w:val="nil"/>
              <w:bottom w:val="single" w:sz="4" w:space="0" w:color="auto"/>
              <w:right w:val="nil"/>
            </w:tcBorders>
          </w:tcPr>
          <w:p w:rsidR="00E15E7E" w:rsidRDefault="00E15E7E" w:rsidP="00E139EF">
            <w:pPr>
              <w:pStyle w:val="TableHeadingCentre-BP410pt"/>
              <w:spacing w:before="60" w:after="60"/>
            </w:pPr>
            <w:r>
              <w:t>Total Cost</w:t>
            </w:r>
          </w:p>
        </w:tc>
        <w:tc>
          <w:tcPr>
            <w:tcW w:w="2756" w:type="dxa"/>
            <w:gridSpan w:val="2"/>
            <w:tcBorders>
              <w:top w:val="single" w:sz="4" w:space="0" w:color="auto"/>
              <w:left w:val="nil"/>
              <w:bottom w:val="single" w:sz="4" w:space="0" w:color="auto"/>
              <w:right w:val="nil"/>
            </w:tcBorders>
          </w:tcPr>
          <w:p w:rsidR="00E15E7E" w:rsidRDefault="00E15E7E" w:rsidP="00E139EF">
            <w:pPr>
              <w:pStyle w:val="TableHeadingCentre-BP410pt"/>
              <w:spacing w:before="60" w:after="60"/>
            </w:pPr>
            <w:r>
              <w:t>Government Payment for Outputs</w:t>
            </w:r>
          </w:p>
        </w:tc>
      </w:tr>
      <w:tr w:rsidR="00E15E7E" w:rsidTr="00C474F5">
        <w:tc>
          <w:tcPr>
            <w:tcW w:w="3588" w:type="dxa"/>
            <w:tcBorders>
              <w:top w:val="nil"/>
              <w:left w:val="nil"/>
              <w:bottom w:val="single" w:sz="4" w:space="0" w:color="auto"/>
              <w:right w:val="nil"/>
            </w:tcBorders>
          </w:tcPr>
          <w:p w:rsidR="00E15E7E" w:rsidRDefault="00E15E7E" w:rsidP="00C474F5">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78" w:type="dxa"/>
            <w:tcBorders>
              <w:top w:val="single" w:sz="4" w:space="0" w:color="auto"/>
              <w:left w:val="nil"/>
              <w:bottom w:val="single" w:sz="4" w:space="0" w:color="auto"/>
              <w:right w:val="nil"/>
            </w:tcBorders>
          </w:tcPr>
          <w:p w:rsidR="00E15E7E" w:rsidRDefault="00E15E7E" w:rsidP="00C474F5">
            <w:pPr>
              <w:pStyle w:val="TableTextRightBold-BP410pt"/>
            </w:pPr>
            <w:r>
              <w:t>2012-13</w:t>
            </w:r>
          </w:p>
          <w:p w:rsidR="00E15E7E" w:rsidRDefault="00E15E7E" w:rsidP="00C474F5">
            <w:pPr>
              <w:pStyle w:val="TableTextRightBold-BP410pt"/>
            </w:pPr>
            <w:r>
              <w:t>Est. Outcome</w:t>
            </w:r>
          </w:p>
          <w:p w:rsidR="00E15E7E" w:rsidRDefault="00E15E7E" w:rsidP="00C474F5">
            <w:pPr>
              <w:pStyle w:val="TableTextRightBold-BP410pt"/>
            </w:pPr>
            <w:r>
              <w:t>$’000</w:t>
            </w:r>
          </w:p>
        </w:tc>
        <w:tc>
          <w:tcPr>
            <w:tcW w:w="1378" w:type="dxa"/>
            <w:tcBorders>
              <w:top w:val="single" w:sz="4" w:space="0" w:color="auto"/>
              <w:left w:val="nil"/>
              <w:bottom w:val="single" w:sz="4" w:space="0" w:color="auto"/>
              <w:right w:val="nil"/>
            </w:tcBorders>
          </w:tcPr>
          <w:p w:rsidR="00E15E7E" w:rsidRDefault="00E15E7E" w:rsidP="00C474F5">
            <w:pPr>
              <w:pStyle w:val="TableTextRightBold-BP410pt"/>
            </w:pPr>
            <w:r>
              <w:t>2013-14</w:t>
            </w:r>
          </w:p>
          <w:p w:rsidR="00E15E7E" w:rsidRDefault="00E15E7E" w:rsidP="00C474F5">
            <w:pPr>
              <w:pStyle w:val="TableTextRightBold-BP410pt"/>
            </w:pPr>
            <w:r>
              <w:t>Budget</w:t>
            </w:r>
          </w:p>
          <w:p w:rsidR="00E15E7E" w:rsidRDefault="00E15E7E" w:rsidP="00C474F5">
            <w:pPr>
              <w:pStyle w:val="TableTextRightBold-BP410pt"/>
              <w:rPr>
                <w:i/>
                <w:iCs/>
              </w:rPr>
            </w:pPr>
            <w:r>
              <w:t xml:space="preserve">$’000 </w:t>
            </w:r>
          </w:p>
        </w:tc>
        <w:tc>
          <w:tcPr>
            <w:tcW w:w="1378" w:type="dxa"/>
            <w:tcBorders>
              <w:top w:val="single" w:sz="4" w:space="0" w:color="auto"/>
              <w:left w:val="nil"/>
              <w:bottom w:val="single" w:sz="4" w:space="0" w:color="auto"/>
              <w:right w:val="nil"/>
            </w:tcBorders>
          </w:tcPr>
          <w:p w:rsidR="00E15E7E" w:rsidRDefault="00E15E7E" w:rsidP="00C474F5">
            <w:pPr>
              <w:pStyle w:val="TableTextRightBold-BP410pt"/>
            </w:pPr>
            <w:r>
              <w:t>2012-13</w:t>
            </w:r>
          </w:p>
          <w:p w:rsidR="00E15E7E" w:rsidRDefault="00E15E7E" w:rsidP="00C474F5">
            <w:pPr>
              <w:pStyle w:val="TableTextRightBold-BP410pt"/>
            </w:pPr>
            <w:r>
              <w:t>Est. Outcome</w:t>
            </w:r>
          </w:p>
          <w:p w:rsidR="00E15E7E" w:rsidRDefault="00E15E7E" w:rsidP="00C474F5">
            <w:pPr>
              <w:pStyle w:val="TableTextRightBold-BP410pt"/>
              <w:rPr>
                <w:i/>
                <w:iCs/>
              </w:rPr>
            </w:pPr>
            <w:r>
              <w:t xml:space="preserve">$’000 </w:t>
            </w:r>
          </w:p>
        </w:tc>
        <w:tc>
          <w:tcPr>
            <w:tcW w:w="1378" w:type="dxa"/>
            <w:tcBorders>
              <w:top w:val="single" w:sz="4" w:space="0" w:color="auto"/>
              <w:left w:val="nil"/>
              <w:bottom w:val="single" w:sz="4" w:space="0" w:color="auto"/>
              <w:right w:val="nil"/>
            </w:tcBorders>
          </w:tcPr>
          <w:p w:rsidR="00E15E7E" w:rsidRDefault="00E15E7E" w:rsidP="00C474F5">
            <w:pPr>
              <w:pStyle w:val="TableTextRightBold-BP410pt"/>
            </w:pPr>
            <w:r>
              <w:t>2013-14</w:t>
            </w:r>
          </w:p>
          <w:p w:rsidR="00E15E7E" w:rsidRDefault="00E15E7E" w:rsidP="00C474F5">
            <w:pPr>
              <w:pStyle w:val="TableTextRightBold-BP410pt"/>
            </w:pPr>
            <w:r>
              <w:t>Budget</w:t>
            </w:r>
          </w:p>
          <w:p w:rsidR="00E15E7E" w:rsidRDefault="00E15E7E" w:rsidP="00C474F5">
            <w:pPr>
              <w:pStyle w:val="TableTextRightBold-BP410pt"/>
            </w:pPr>
            <w:r>
              <w:t xml:space="preserve">$’000 </w:t>
            </w:r>
          </w:p>
        </w:tc>
      </w:tr>
      <w:tr w:rsidR="00E15E7E" w:rsidTr="00C474F5">
        <w:tc>
          <w:tcPr>
            <w:tcW w:w="3588" w:type="dxa"/>
            <w:tcBorders>
              <w:top w:val="single" w:sz="4" w:space="0" w:color="auto"/>
              <w:left w:val="nil"/>
              <w:bottom w:val="single" w:sz="4" w:space="0" w:color="auto"/>
              <w:right w:val="nil"/>
            </w:tcBorders>
          </w:tcPr>
          <w:p w:rsidR="00E15E7E" w:rsidRDefault="00E15E7E" w:rsidP="00C474F5">
            <w:pPr>
              <w:pStyle w:val="TableHeadingLeft-BP410pt"/>
              <w:keepNext w:val="0"/>
              <w:rPr>
                <w:rFonts w:ascii="Times New Roman Bold" w:hAnsi="Times New Roman Bold" w:cs="Times New Roman Bold"/>
                <w:position w:val="5"/>
              </w:rPr>
            </w:pPr>
            <w:r>
              <w:t>Output 1.5:  Environment Policy</w:t>
            </w:r>
            <w:r w:rsidRPr="00837189">
              <w:rPr>
                <w:vertAlign w:val="superscript"/>
              </w:rPr>
              <w:t>1</w:t>
            </w:r>
          </w:p>
        </w:tc>
        <w:tc>
          <w:tcPr>
            <w:tcW w:w="1378" w:type="dxa"/>
            <w:tcBorders>
              <w:top w:val="single" w:sz="4" w:space="0" w:color="auto"/>
              <w:left w:val="nil"/>
              <w:bottom w:val="single" w:sz="4" w:space="0" w:color="auto"/>
              <w:right w:val="nil"/>
            </w:tcBorders>
            <w:vAlign w:val="bottom"/>
          </w:tcPr>
          <w:p w:rsidR="00E15E7E" w:rsidRDefault="00C96C2E" w:rsidP="00C474F5">
            <w:pPr>
              <w:pStyle w:val="TableTextRight-BP410pt"/>
            </w:pPr>
            <w:r>
              <w:t>20,317</w:t>
            </w:r>
          </w:p>
        </w:tc>
        <w:tc>
          <w:tcPr>
            <w:tcW w:w="1378" w:type="dxa"/>
            <w:tcBorders>
              <w:top w:val="single" w:sz="4" w:space="0" w:color="auto"/>
              <w:left w:val="nil"/>
              <w:bottom w:val="single" w:sz="4" w:space="0" w:color="auto"/>
              <w:right w:val="nil"/>
            </w:tcBorders>
            <w:vAlign w:val="bottom"/>
          </w:tcPr>
          <w:p w:rsidR="00E15E7E" w:rsidRDefault="00C96C2E" w:rsidP="00C474F5">
            <w:pPr>
              <w:pStyle w:val="TableTextRight-BP410pt"/>
            </w:pPr>
            <w:r>
              <w:t>16,294</w:t>
            </w:r>
          </w:p>
        </w:tc>
        <w:tc>
          <w:tcPr>
            <w:tcW w:w="1378" w:type="dxa"/>
            <w:tcBorders>
              <w:top w:val="single" w:sz="4" w:space="0" w:color="auto"/>
              <w:left w:val="nil"/>
              <w:bottom w:val="single" w:sz="4" w:space="0" w:color="auto"/>
              <w:right w:val="nil"/>
            </w:tcBorders>
            <w:vAlign w:val="bottom"/>
          </w:tcPr>
          <w:p w:rsidR="00E15E7E" w:rsidRDefault="00C96C2E" w:rsidP="00C237D1">
            <w:pPr>
              <w:pStyle w:val="TableTextRight-BP410pt"/>
            </w:pPr>
            <w:r>
              <w:t>17,955</w:t>
            </w:r>
          </w:p>
        </w:tc>
        <w:tc>
          <w:tcPr>
            <w:tcW w:w="1378" w:type="dxa"/>
            <w:tcBorders>
              <w:top w:val="single" w:sz="4" w:space="0" w:color="auto"/>
              <w:left w:val="nil"/>
              <w:bottom w:val="single" w:sz="4" w:space="0" w:color="auto"/>
              <w:right w:val="nil"/>
            </w:tcBorders>
            <w:vAlign w:val="bottom"/>
          </w:tcPr>
          <w:p w:rsidR="00E15E7E" w:rsidRDefault="00C96C2E" w:rsidP="00C474F5">
            <w:pPr>
              <w:pStyle w:val="TableTextRight-BP410pt"/>
            </w:pPr>
            <w:r>
              <w:t>15,433</w:t>
            </w:r>
          </w:p>
        </w:tc>
      </w:tr>
    </w:tbl>
    <w:p w:rsidR="00E15E7E" w:rsidRPr="00837F37" w:rsidRDefault="00E15E7E" w:rsidP="00C244F4">
      <w:pPr>
        <w:pStyle w:val="NoteHeading0"/>
      </w:pPr>
      <w:r w:rsidRPr="00837F37">
        <w:t>Note:</w:t>
      </w:r>
    </w:p>
    <w:p w:rsidR="00E15E7E" w:rsidRPr="009249F7" w:rsidRDefault="00E15E7E" w:rsidP="00E15E7E">
      <w:pPr>
        <w:pStyle w:val="NoteText"/>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60"/>
        <w:rPr>
          <w:szCs w:val="16"/>
        </w:rPr>
      </w:pPr>
      <w:r>
        <w:rPr>
          <w:szCs w:val="16"/>
        </w:rPr>
        <w:t>2012</w:t>
      </w:r>
      <w:r>
        <w:rPr>
          <w:szCs w:val="16"/>
        </w:rPr>
        <w:noBreakHyphen/>
        <w:t>13 total cost</w:t>
      </w:r>
      <w:r w:rsidRPr="009249F7">
        <w:rPr>
          <w:szCs w:val="16"/>
        </w:rPr>
        <w:t xml:space="preserve"> </w:t>
      </w:r>
      <w:r>
        <w:rPr>
          <w:szCs w:val="16"/>
        </w:rPr>
        <w:t xml:space="preserve">is supplemented by revenue received from the Commonwealth Government. </w:t>
      </w:r>
    </w:p>
    <w:p w:rsidR="00E15E7E" w:rsidRDefault="00E15E7E" w:rsidP="00E15E7E">
      <w:pPr>
        <w:pStyle w:val="Heading4"/>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Output Description</w:t>
      </w:r>
    </w:p>
    <w:p w:rsidR="00E15E7E" w:rsidRDefault="00E15E7E" w:rsidP="00E15E7E">
      <w:pPr>
        <w:pStyle w:val="BodyText"/>
      </w:pPr>
      <w:r>
        <w:t>Provision of policy advice on:</w:t>
      </w:r>
    </w:p>
    <w:p w:rsidR="00E15E7E" w:rsidRPr="00804CB1" w:rsidRDefault="00E15E7E" w:rsidP="00E15E7E">
      <w:pPr>
        <w:pStyle w:val="BodyText"/>
        <w:numPr>
          <w:ilvl w:val="0"/>
          <w:numId w:val="12"/>
        </w:numPr>
        <w:ind w:left="360"/>
      </w:pPr>
      <w:r>
        <w:t xml:space="preserve">sustainable use of water including </w:t>
      </w:r>
      <w:r w:rsidRPr="00034DCE">
        <w:rPr>
          <w:i/>
        </w:rPr>
        <w:t>Think water, act water</w:t>
      </w:r>
      <w:r w:rsidRPr="00804CB1">
        <w:t>;</w:t>
      </w:r>
    </w:p>
    <w:p w:rsidR="00E15E7E" w:rsidRDefault="00E15E7E" w:rsidP="00E15E7E">
      <w:pPr>
        <w:pStyle w:val="BodyText"/>
        <w:numPr>
          <w:ilvl w:val="0"/>
          <w:numId w:val="12"/>
        </w:numPr>
        <w:ind w:left="360"/>
      </w:pPr>
      <w:r>
        <w:t>energy efficiency measures;</w:t>
      </w:r>
    </w:p>
    <w:p w:rsidR="00E15E7E" w:rsidRDefault="00E15E7E" w:rsidP="00E15E7E">
      <w:pPr>
        <w:pStyle w:val="BodyText"/>
        <w:numPr>
          <w:ilvl w:val="0"/>
          <w:numId w:val="12"/>
        </w:numPr>
        <w:ind w:left="360"/>
      </w:pPr>
      <w:r>
        <w:t xml:space="preserve">reductions in waste; </w:t>
      </w:r>
    </w:p>
    <w:p w:rsidR="00E15E7E" w:rsidRDefault="00E15E7E" w:rsidP="00E15E7E">
      <w:pPr>
        <w:pStyle w:val="BodyText"/>
        <w:numPr>
          <w:ilvl w:val="0"/>
          <w:numId w:val="12"/>
        </w:numPr>
        <w:ind w:left="360"/>
      </w:pPr>
      <w:r>
        <w:t>climate change</w:t>
      </w:r>
      <w:r w:rsidR="00BE4FAE">
        <w:t>,</w:t>
      </w:r>
      <w:r>
        <w:t xml:space="preserve"> including </w:t>
      </w:r>
      <w:r w:rsidRPr="00034DCE">
        <w:rPr>
          <w:i/>
        </w:rPr>
        <w:t>Weathering the Change</w:t>
      </w:r>
      <w:r w:rsidRPr="00804CB1">
        <w:t>;</w:t>
      </w:r>
      <w:r>
        <w:t xml:space="preserve"> and </w:t>
      </w:r>
    </w:p>
    <w:p w:rsidR="00E15E7E" w:rsidRDefault="00E15E7E" w:rsidP="00E15E7E">
      <w:pPr>
        <w:pStyle w:val="BodyText"/>
        <w:numPr>
          <w:ilvl w:val="0"/>
          <w:numId w:val="12"/>
        </w:numPr>
        <w:ind w:left="360"/>
      </w:pPr>
      <w:proofErr w:type="gramStart"/>
      <w:r>
        <w:t>the</w:t>
      </w:r>
      <w:proofErr w:type="gramEnd"/>
      <w:r>
        <w:t xml:space="preserve"> natural environment including the implementation of programs responding to natural resource management as part of the Commonwealth’s </w:t>
      </w:r>
      <w:r w:rsidRPr="00585FCB">
        <w:rPr>
          <w:i/>
        </w:rPr>
        <w:t>Caring for our Country</w:t>
      </w:r>
      <w:r w:rsidR="00585FCB">
        <w:t xml:space="preserve"> p</w:t>
      </w:r>
      <w:r>
        <w:t>rogram.</w:t>
      </w:r>
    </w:p>
    <w:p w:rsidR="00E15E7E" w:rsidRDefault="00E15E7E" w:rsidP="00E15E7E">
      <w:r>
        <w:br w:type="page"/>
      </w:r>
    </w:p>
    <w:p w:rsidR="00E15E7E" w:rsidRPr="00837F37" w:rsidRDefault="00E15E7E" w:rsidP="00E15E7E">
      <w:pPr>
        <w:pStyle w:val="Heading3"/>
      </w:pPr>
      <w:r>
        <w:lastRenderedPageBreak/>
        <w:t>Output Classes cont.</w:t>
      </w:r>
    </w:p>
    <w:tbl>
      <w:tblPr>
        <w:tblW w:w="9356" w:type="dxa"/>
        <w:tblLayout w:type="fixed"/>
        <w:tblLook w:val="0000"/>
      </w:tblPr>
      <w:tblGrid>
        <w:gridCol w:w="3688"/>
        <w:gridCol w:w="1417"/>
        <w:gridCol w:w="1417"/>
        <w:gridCol w:w="1417"/>
        <w:gridCol w:w="1417"/>
      </w:tblGrid>
      <w:tr w:rsidR="00E15E7E" w:rsidTr="00D95738">
        <w:tc>
          <w:tcPr>
            <w:tcW w:w="3588" w:type="dxa"/>
            <w:tcBorders>
              <w:top w:val="single" w:sz="4" w:space="0" w:color="auto"/>
              <w:left w:val="nil"/>
              <w:bottom w:val="nil"/>
              <w:right w:val="nil"/>
            </w:tcBorders>
          </w:tcPr>
          <w:p w:rsidR="00E15E7E" w:rsidRPr="00E139EF" w:rsidRDefault="00E15E7E" w:rsidP="00E139EF">
            <w:pPr>
              <w:pStyle w:val="TableHeadingCentre-BP410pt"/>
              <w:spacing w:before="60" w:after="60"/>
            </w:pPr>
          </w:p>
        </w:tc>
        <w:tc>
          <w:tcPr>
            <w:tcW w:w="2756" w:type="dxa"/>
            <w:gridSpan w:val="2"/>
            <w:tcBorders>
              <w:top w:val="single" w:sz="4" w:space="0" w:color="auto"/>
              <w:left w:val="nil"/>
              <w:bottom w:val="single" w:sz="4" w:space="0" w:color="auto"/>
              <w:right w:val="nil"/>
            </w:tcBorders>
          </w:tcPr>
          <w:p w:rsidR="00E15E7E" w:rsidRDefault="00E15E7E" w:rsidP="00E139EF">
            <w:pPr>
              <w:pStyle w:val="TableHeadingCentre-BP410pt"/>
              <w:spacing w:before="60" w:after="60"/>
            </w:pPr>
            <w:r>
              <w:t>Total Cost</w:t>
            </w:r>
          </w:p>
        </w:tc>
        <w:tc>
          <w:tcPr>
            <w:tcW w:w="2756" w:type="dxa"/>
            <w:gridSpan w:val="2"/>
            <w:tcBorders>
              <w:top w:val="single" w:sz="4" w:space="0" w:color="auto"/>
              <w:left w:val="nil"/>
              <w:bottom w:val="single" w:sz="4" w:space="0" w:color="auto"/>
              <w:right w:val="nil"/>
            </w:tcBorders>
          </w:tcPr>
          <w:p w:rsidR="00E15E7E" w:rsidRDefault="00E15E7E" w:rsidP="00E139EF">
            <w:pPr>
              <w:pStyle w:val="TableHeadingCentre-BP410pt"/>
              <w:spacing w:before="60" w:after="60"/>
            </w:pPr>
            <w:r>
              <w:t>Government Payment for Outputs</w:t>
            </w:r>
          </w:p>
        </w:tc>
      </w:tr>
      <w:tr w:rsidR="00E15E7E" w:rsidTr="00D95738">
        <w:tc>
          <w:tcPr>
            <w:tcW w:w="3588" w:type="dxa"/>
            <w:tcBorders>
              <w:top w:val="nil"/>
              <w:left w:val="nil"/>
              <w:bottom w:val="single" w:sz="4" w:space="0" w:color="auto"/>
              <w:right w:val="nil"/>
            </w:tcBorders>
          </w:tcPr>
          <w:p w:rsidR="00E15E7E" w:rsidRDefault="00E15E7E" w:rsidP="00C474F5">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78" w:type="dxa"/>
            <w:tcBorders>
              <w:top w:val="single" w:sz="4" w:space="0" w:color="auto"/>
              <w:left w:val="nil"/>
              <w:bottom w:val="single" w:sz="4" w:space="0" w:color="auto"/>
              <w:right w:val="nil"/>
            </w:tcBorders>
          </w:tcPr>
          <w:p w:rsidR="00E15E7E" w:rsidRDefault="00E15E7E" w:rsidP="00C474F5">
            <w:pPr>
              <w:pStyle w:val="TableTextRightBold-BP410pt"/>
            </w:pPr>
            <w:r>
              <w:t>2012-13</w:t>
            </w:r>
          </w:p>
          <w:p w:rsidR="00E15E7E" w:rsidRDefault="00E15E7E" w:rsidP="00C474F5">
            <w:pPr>
              <w:pStyle w:val="TableTextRightBold-BP410pt"/>
            </w:pPr>
            <w:r>
              <w:t>Est. Outcome</w:t>
            </w:r>
          </w:p>
          <w:p w:rsidR="00E15E7E" w:rsidRDefault="00E15E7E" w:rsidP="00C474F5">
            <w:pPr>
              <w:pStyle w:val="TableTextRightBold-BP410pt"/>
            </w:pPr>
            <w:r>
              <w:t>$’000</w:t>
            </w:r>
          </w:p>
        </w:tc>
        <w:tc>
          <w:tcPr>
            <w:tcW w:w="1378" w:type="dxa"/>
            <w:tcBorders>
              <w:top w:val="single" w:sz="4" w:space="0" w:color="auto"/>
              <w:left w:val="nil"/>
              <w:bottom w:val="single" w:sz="4" w:space="0" w:color="auto"/>
              <w:right w:val="nil"/>
            </w:tcBorders>
          </w:tcPr>
          <w:p w:rsidR="00E15E7E" w:rsidRDefault="00E15E7E" w:rsidP="00C474F5">
            <w:pPr>
              <w:pStyle w:val="TableTextRightBold-BP410pt"/>
            </w:pPr>
            <w:r>
              <w:t>2013-14</w:t>
            </w:r>
          </w:p>
          <w:p w:rsidR="00E15E7E" w:rsidRDefault="00E15E7E" w:rsidP="00C474F5">
            <w:pPr>
              <w:pStyle w:val="TableTextRightBold-BP410pt"/>
            </w:pPr>
            <w:r>
              <w:t>Budget</w:t>
            </w:r>
          </w:p>
          <w:p w:rsidR="00E15E7E" w:rsidRDefault="00E15E7E" w:rsidP="00C474F5">
            <w:pPr>
              <w:pStyle w:val="TableTextRightBold-BP410pt"/>
              <w:rPr>
                <w:i/>
                <w:iCs/>
              </w:rPr>
            </w:pPr>
            <w:r>
              <w:t xml:space="preserve">$’000 </w:t>
            </w:r>
          </w:p>
        </w:tc>
        <w:tc>
          <w:tcPr>
            <w:tcW w:w="1378" w:type="dxa"/>
            <w:tcBorders>
              <w:top w:val="single" w:sz="4" w:space="0" w:color="auto"/>
              <w:left w:val="nil"/>
              <w:bottom w:val="single" w:sz="4" w:space="0" w:color="auto"/>
              <w:right w:val="nil"/>
            </w:tcBorders>
          </w:tcPr>
          <w:p w:rsidR="00E15E7E" w:rsidRDefault="00E15E7E" w:rsidP="00C474F5">
            <w:pPr>
              <w:pStyle w:val="TableTextRightBold-BP410pt"/>
            </w:pPr>
            <w:r>
              <w:t>2012-13</w:t>
            </w:r>
          </w:p>
          <w:p w:rsidR="00E15E7E" w:rsidRDefault="00E15E7E" w:rsidP="00C474F5">
            <w:pPr>
              <w:pStyle w:val="TableTextRightBold-BP410pt"/>
            </w:pPr>
            <w:r>
              <w:t>Est. Outcome</w:t>
            </w:r>
          </w:p>
          <w:p w:rsidR="00E15E7E" w:rsidRDefault="00E15E7E" w:rsidP="00C474F5">
            <w:pPr>
              <w:pStyle w:val="TableTextRightBold-BP410pt"/>
              <w:rPr>
                <w:i/>
                <w:iCs/>
              </w:rPr>
            </w:pPr>
            <w:r>
              <w:t xml:space="preserve">$’000 </w:t>
            </w:r>
          </w:p>
        </w:tc>
        <w:tc>
          <w:tcPr>
            <w:tcW w:w="1378" w:type="dxa"/>
            <w:tcBorders>
              <w:top w:val="single" w:sz="4" w:space="0" w:color="auto"/>
              <w:left w:val="nil"/>
              <w:bottom w:val="single" w:sz="4" w:space="0" w:color="auto"/>
              <w:right w:val="nil"/>
            </w:tcBorders>
          </w:tcPr>
          <w:p w:rsidR="00E15E7E" w:rsidRDefault="00E15E7E" w:rsidP="00C474F5">
            <w:pPr>
              <w:pStyle w:val="TableTextRightBold-BP410pt"/>
            </w:pPr>
            <w:r>
              <w:t>2013-14</w:t>
            </w:r>
          </w:p>
          <w:p w:rsidR="00E15E7E" w:rsidRDefault="00E15E7E" w:rsidP="00C474F5">
            <w:pPr>
              <w:pStyle w:val="TableTextRightBold-BP410pt"/>
            </w:pPr>
            <w:r>
              <w:t>Budget</w:t>
            </w:r>
          </w:p>
          <w:p w:rsidR="00E15E7E" w:rsidRDefault="00E15E7E" w:rsidP="00C474F5">
            <w:pPr>
              <w:pStyle w:val="TableTextRightBold-BP410pt"/>
            </w:pPr>
            <w:r>
              <w:t xml:space="preserve">$’000 </w:t>
            </w:r>
          </w:p>
        </w:tc>
      </w:tr>
      <w:tr w:rsidR="00E15E7E" w:rsidTr="00D95738">
        <w:tc>
          <w:tcPr>
            <w:tcW w:w="3588" w:type="dxa"/>
            <w:tcBorders>
              <w:top w:val="single" w:sz="4" w:space="0" w:color="auto"/>
              <w:left w:val="nil"/>
              <w:bottom w:val="single" w:sz="4" w:space="0" w:color="auto"/>
              <w:right w:val="nil"/>
            </w:tcBorders>
          </w:tcPr>
          <w:p w:rsidR="00E15E7E" w:rsidRDefault="00E15E7E" w:rsidP="00E139EF">
            <w:pPr>
              <w:pStyle w:val="TableHeadingLeft-BP410pt"/>
              <w:keepNext w:val="0"/>
              <w:rPr>
                <w:rFonts w:ascii="Times New Roman Bold" w:hAnsi="Times New Roman Bold" w:cs="Times New Roman Bold"/>
                <w:position w:val="5"/>
              </w:rPr>
            </w:pPr>
            <w:r>
              <w:t>Output 1.6:  Environment Protection and Water Regulation</w:t>
            </w:r>
          </w:p>
        </w:tc>
        <w:tc>
          <w:tcPr>
            <w:tcW w:w="1378" w:type="dxa"/>
            <w:tcBorders>
              <w:top w:val="single" w:sz="4" w:space="0" w:color="auto"/>
              <w:left w:val="nil"/>
              <w:bottom w:val="single" w:sz="4" w:space="0" w:color="auto"/>
              <w:right w:val="nil"/>
            </w:tcBorders>
            <w:vAlign w:val="bottom"/>
          </w:tcPr>
          <w:p w:rsidR="00E15E7E" w:rsidRDefault="00AD670E" w:rsidP="00C474F5">
            <w:pPr>
              <w:pStyle w:val="TableTextRight-BP410pt"/>
            </w:pPr>
            <w:r>
              <w:t>5,574</w:t>
            </w:r>
          </w:p>
        </w:tc>
        <w:tc>
          <w:tcPr>
            <w:tcW w:w="1378" w:type="dxa"/>
            <w:tcBorders>
              <w:top w:val="single" w:sz="4" w:space="0" w:color="auto"/>
              <w:left w:val="nil"/>
              <w:bottom w:val="single" w:sz="4" w:space="0" w:color="auto"/>
              <w:right w:val="nil"/>
            </w:tcBorders>
            <w:vAlign w:val="bottom"/>
          </w:tcPr>
          <w:p w:rsidR="00E15E7E" w:rsidRDefault="00AD670E" w:rsidP="00C474F5">
            <w:pPr>
              <w:pStyle w:val="TableTextRight-BP410pt"/>
            </w:pPr>
            <w:r>
              <w:t>5,189</w:t>
            </w:r>
          </w:p>
        </w:tc>
        <w:tc>
          <w:tcPr>
            <w:tcW w:w="1378" w:type="dxa"/>
            <w:tcBorders>
              <w:top w:val="single" w:sz="4" w:space="0" w:color="auto"/>
              <w:left w:val="nil"/>
              <w:bottom w:val="single" w:sz="4" w:space="0" w:color="auto"/>
              <w:right w:val="nil"/>
            </w:tcBorders>
            <w:vAlign w:val="bottom"/>
          </w:tcPr>
          <w:p w:rsidR="00E15E7E" w:rsidRDefault="00AD670E" w:rsidP="00C474F5">
            <w:pPr>
              <w:pStyle w:val="TableTextRight-BP410pt"/>
            </w:pPr>
            <w:r>
              <w:t>5,182</w:t>
            </w:r>
          </w:p>
        </w:tc>
        <w:tc>
          <w:tcPr>
            <w:tcW w:w="1378" w:type="dxa"/>
            <w:tcBorders>
              <w:top w:val="single" w:sz="4" w:space="0" w:color="auto"/>
              <w:left w:val="nil"/>
              <w:bottom w:val="single" w:sz="4" w:space="0" w:color="auto"/>
              <w:right w:val="nil"/>
            </w:tcBorders>
            <w:vAlign w:val="bottom"/>
          </w:tcPr>
          <w:p w:rsidR="00E15E7E" w:rsidRDefault="00AD670E" w:rsidP="00C474F5">
            <w:pPr>
              <w:pStyle w:val="TableTextRight-BP410pt"/>
            </w:pPr>
            <w:r>
              <w:t>5,085</w:t>
            </w:r>
          </w:p>
        </w:tc>
      </w:tr>
    </w:tbl>
    <w:p w:rsidR="00E15E7E" w:rsidRPr="002F2E87" w:rsidRDefault="00E15E7E" w:rsidP="00E15E7E">
      <w:pPr>
        <w:pStyle w:val="Heading4"/>
        <w:rPr>
          <w:szCs w:val="24"/>
        </w:rPr>
      </w:pPr>
      <w:r w:rsidRPr="002F2E87">
        <w:rPr>
          <w:szCs w:val="24"/>
        </w:rPr>
        <w:t>Output Description</w:t>
      </w:r>
    </w:p>
    <w:p w:rsidR="00E15E7E" w:rsidRPr="00837F37" w:rsidRDefault="00E15E7E" w:rsidP="00E15E7E">
      <w:pPr>
        <w:pStyle w:val="BodyText"/>
      </w:pPr>
      <w:r w:rsidRPr="00837F37">
        <w:t>Administration of regulatory activities to protect and enhance the natural and built environment.</w:t>
      </w:r>
    </w:p>
    <w:p w:rsidR="00E15E7E" w:rsidRDefault="00E15E7E" w:rsidP="00E15E7E">
      <w:pPr>
        <w:pStyle w:val="BodyText"/>
      </w:pPr>
      <w:r w:rsidRPr="00837F37">
        <w:t>Environment Protection and Water provide</w:t>
      </w:r>
      <w:r>
        <w:t>s</w:t>
      </w:r>
      <w:r w:rsidRPr="00837F37">
        <w:t xml:space="preserve"> advice and deliver</w:t>
      </w:r>
      <w:r>
        <w:t>s</w:t>
      </w:r>
      <w:r w:rsidRPr="00837F37">
        <w:t xml:space="preserve"> education, compliance and enforcement services to the Government and community</w:t>
      </w:r>
      <w:r>
        <w:t>.</w:t>
      </w:r>
      <w:r w:rsidRPr="00837F37">
        <w:t xml:space="preserve">  </w:t>
      </w:r>
    </w:p>
    <w:p w:rsidR="00E15E7E" w:rsidRPr="00837F37" w:rsidRDefault="00E15E7E" w:rsidP="00E15E7E">
      <w:pPr>
        <w:pStyle w:val="BodyText"/>
      </w:pPr>
    </w:p>
    <w:tbl>
      <w:tblPr>
        <w:tblW w:w="9356" w:type="dxa"/>
        <w:tblLayout w:type="fixed"/>
        <w:tblLook w:val="0000"/>
      </w:tblPr>
      <w:tblGrid>
        <w:gridCol w:w="3688"/>
        <w:gridCol w:w="1417"/>
        <w:gridCol w:w="1417"/>
        <w:gridCol w:w="1417"/>
        <w:gridCol w:w="1417"/>
      </w:tblGrid>
      <w:tr w:rsidR="00E15E7E" w:rsidTr="00D95738">
        <w:tc>
          <w:tcPr>
            <w:tcW w:w="3588" w:type="dxa"/>
            <w:tcBorders>
              <w:top w:val="single" w:sz="4" w:space="0" w:color="auto"/>
              <w:left w:val="nil"/>
              <w:bottom w:val="nil"/>
              <w:right w:val="nil"/>
            </w:tcBorders>
          </w:tcPr>
          <w:p w:rsidR="00E15E7E" w:rsidRPr="00E139EF" w:rsidRDefault="00E15E7E" w:rsidP="00E139EF">
            <w:pPr>
              <w:pStyle w:val="TableHeadingCentre-BP410pt"/>
              <w:spacing w:before="60" w:after="60"/>
            </w:pPr>
          </w:p>
        </w:tc>
        <w:tc>
          <w:tcPr>
            <w:tcW w:w="2756" w:type="dxa"/>
            <w:gridSpan w:val="2"/>
            <w:tcBorders>
              <w:top w:val="single" w:sz="4" w:space="0" w:color="auto"/>
              <w:left w:val="nil"/>
              <w:bottom w:val="single" w:sz="4" w:space="0" w:color="auto"/>
              <w:right w:val="nil"/>
            </w:tcBorders>
          </w:tcPr>
          <w:p w:rsidR="00E15E7E" w:rsidRPr="00E139EF" w:rsidRDefault="00E15E7E" w:rsidP="00E139EF">
            <w:pPr>
              <w:pStyle w:val="TableHeadingCentre-BP410pt"/>
              <w:spacing w:before="60" w:after="60"/>
            </w:pPr>
            <w:r>
              <w:t>Total Cost</w:t>
            </w:r>
          </w:p>
        </w:tc>
        <w:tc>
          <w:tcPr>
            <w:tcW w:w="2756" w:type="dxa"/>
            <w:gridSpan w:val="2"/>
            <w:tcBorders>
              <w:top w:val="single" w:sz="4" w:space="0" w:color="auto"/>
              <w:left w:val="nil"/>
              <w:bottom w:val="single" w:sz="4" w:space="0" w:color="auto"/>
              <w:right w:val="nil"/>
            </w:tcBorders>
          </w:tcPr>
          <w:p w:rsidR="00E15E7E" w:rsidRDefault="00E15E7E" w:rsidP="00E139EF">
            <w:pPr>
              <w:pStyle w:val="TableHeadingCentre-BP410pt"/>
              <w:spacing w:before="60" w:after="60"/>
            </w:pPr>
            <w:r>
              <w:t>EBT Payment for Outputs</w:t>
            </w:r>
          </w:p>
        </w:tc>
      </w:tr>
      <w:tr w:rsidR="00E15E7E" w:rsidTr="00D95738">
        <w:tc>
          <w:tcPr>
            <w:tcW w:w="3588" w:type="dxa"/>
            <w:tcBorders>
              <w:top w:val="nil"/>
              <w:left w:val="nil"/>
              <w:bottom w:val="single" w:sz="4" w:space="0" w:color="auto"/>
              <w:right w:val="nil"/>
            </w:tcBorders>
          </w:tcPr>
          <w:p w:rsidR="00E15E7E" w:rsidRDefault="00E15E7E" w:rsidP="00C474F5">
            <w:pPr>
              <w:pStyle w:val="SinglePa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tc>
        <w:tc>
          <w:tcPr>
            <w:tcW w:w="1378" w:type="dxa"/>
            <w:tcBorders>
              <w:top w:val="single" w:sz="4" w:space="0" w:color="auto"/>
              <w:left w:val="nil"/>
              <w:bottom w:val="single" w:sz="4" w:space="0" w:color="auto"/>
              <w:right w:val="nil"/>
            </w:tcBorders>
          </w:tcPr>
          <w:p w:rsidR="00E15E7E" w:rsidRDefault="00E15E7E" w:rsidP="00C474F5">
            <w:pPr>
              <w:pStyle w:val="TableTextLeftBold-BP410pt"/>
              <w:jc w:val="right"/>
            </w:pPr>
            <w:r>
              <w:t>2012-13</w:t>
            </w:r>
          </w:p>
          <w:p w:rsidR="00E15E7E" w:rsidRDefault="00E15E7E" w:rsidP="00C474F5">
            <w:pPr>
              <w:pStyle w:val="TableTextLeftBold-BP410pt"/>
              <w:jc w:val="right"/>
            </w:pPr>
            <w:r>
              <w:t>Est. Outcome</w:t>
            </w:r>
          </w:p>
          <w:p w:rsidR="00E15E7E" w:rsidRDefault="00E15E7E" w:rsidP="00C474F5">
            <w:pPr>
              <w:pStyle w:val="TableTextLeftBold-BP410pt"/>
              <w:jc w:val="right"/>
            </w:pPr>
            <w:r>
              <w:t>$’000</w:t>
            </w:r>
          </w:p>
        </w:tc>
        <w:tc>
          <w:tcPr>
            <w:tcW w:w="1378" w:type="dxa"/>
            <w:tcBorders>
              <w:top w:val="single" w:sz="4" w:space="0" w:color="auto"/>
              <w:left w:val="nil"/>
              <w:bottom w:val="single" w:sz="4" w:space="0" w:color="auto"/>
              <w:right w:val="nil"/>
            </w:tcBorders>
          </w:tcPr>
          <w:p w:rsidR="00E15E7E" w:rsidRDefault="00E15E7E" w:rsidP="00C474F5">
            <w:pPr>
              <w:pStyle w:val="TableTextLeftBold-BP410pt"/>
              <w:jc w:val="right"/>
            </w:pPr>
            <w:r>
              <w:t>2013-14</w:t>
            </w:r>
          </w:p>
          <w:p w:rsidR="00E15E7E" w:rsidRDefault="00E15E7E" w:rsidP="00C474F5">
            <w:pPr>
              <w:pStyle w:val="TableTextLeftBold-BP410pt"/>
              <w:jc w:val="right"/>
            </w:pPr>
            <w:r>
              <w:t>Budget</w:t>
            </w:r>
          </w:p>
          <w:p w:rsidR="00E15E7E" w:rsidRDefault="00E15E7E" w:rsidP="00C474F5">
            <w:pPr>
              <w:pStyle w:val="TableTextLeftBold-BP410pt"/>
              <w:jc w:val="right"/>
            </w:pPr>
            <w:r>
              <w:t xml:space="preserve">$’000 </w:t>
            </w:r>
          </w:p>
        </w:tc>
        <w:tc>
          <w:tcPr>
            <w:tcW w:w="1378" w:type="dxa"/>
            <w:tcBorders>
              <w:top w:val="single" w:sz="4" w:space="0" w:color="auto"/>
              <w:left w:val="nil"/>
              <w:bottom w:val="single" w:sz="4" w:space="0" w:color="auto"/>
              <w:right w:val="nil"/>
            </w:tcBorders>
          </w:tcPr>
          <w:p w:rsidR="00E15E7E" w:rsidRDefault="00E15E7E" w:rsidP="00C474F5">
            <w:pPr>
              <w:pStyle w:val="TableTextLeftBold-BP410pt"/>
              <w:jc w:val="right"/>
            </w:pPr>
            <w:r>
              <w:t>2012-13</w:t>
            </w:r>
          </w:p>
          <w:p w:rsidR="00E15E7E" w:rsidRDefault="00E15E7E" w:rsidP="00C474F5">
            <w:pPr>
              <w:pStyle w:val="TableTextLeftBold-BP410pt"/>
              <w:jc w:val="right"/>
            </w:pPr>
            <w:r>
              <w:t>Est. Outcome</w:t>
            </w:r>
          </w:p>
          <w:p w:rsidR="00E15E7E" w:rsidRDefault="00E15E7E" w:rsidP="00C474F5">
            <w:pPr>
              <w:pStyle w:val="TableTextLeftBold-BP410pt"/>
              <w:jc w:val="right"/>
            </w:pPr>
            <w:r>
              <w:t xml:space="preserve">$’000 </w:t>
            </w:r>
          </w:p>
        </w:tc>
        <w:tc>
          <w:tcPr>
            <w:tcW w:w="1378" w:type="dxa"/>
            <w:tcBorders>
              <w:top w:val="single" w:sz="4" w:space="0" w:color="auto"/>
              <w:left w:val="nil"/>
              <w:bottom w:val="single" w:sz="4" w:space="0" w:color="auto"/>
              <w:right w:val="nil"/>
            </w:tcBorders>
          </w:tcPr>
          <w:p w:rsidR="00E15E7E" w:rsidRDefault="00E15E7E" w:rsidP="00C474F5">
            <w:pPr>
              <w:pStyle w:val="TableTextLeftBold-BP410pt"/>
              <w:jc w:val="right"/>
            </w:pPr>
            <w:r>
              <w:t>2013-14</w:t>
            </w:r>
          </w:p>
          <w:p w:rsidR="00E15E7E" w:rsidRDefault="00E15E7E" w:rsidP="00C474F5">
            <w:pPr>
              <w:pStyle w:val="TableTextLeftBold-BP410pt"/>
              <w:jc w:val="right"/>
            </w:pPr>
            <w:r>
              <w:t>Budget</w:t>
            </w:r>
          </w:p>
          <w:p w:rsidR="00E15E7E" w:rsidRDefault="00E15E7E" w:rsidP="00C474F5">
            <w:pPr>
              <w:pStyle w:val="TableTextLeftBold-BP410pt"/>
              <w:jc w:val="right"/>
            </w:pPr>
            <w:r>
              <w:t xml:space="preserve">$’000 </w:t>
            </w:r>
          </w:p>
        </w:tc>
      </w:tr>
      <w:tr w:rsidR="00E15E7E" w:rsidTr="00D95738">
        <w:tc>
          <w:tcPr>
            <w:tcW w:w="3588" w:type="dxa"/>
            <w:tcBorders>
              <w:top w:val="single" w:sz="4" w:space="0" w:color="auto"/>
              <w:left w:val="nil"/>
              <w:bottom w:val="single" w:sz="4" w:space="0" w:color="auto"/>
              <w:right w:val="nil"/>
            </w:tcBorders>
          </w:tcPr>
          <w:p w:rsidR="00E15E7E" w:rsidRPr="007C7552" w:rsidRDefault="00E15E7E" w:rsidP="00E139EF">
            <w:pPr>
              <w:pStyle w:val="TableHeadingLeft-BP410pt"/>
              <w:keepNext w:val="0"/>
              <w:rPr>
                <w:rFonts w:cs="Calibri"/>
                <w:position w:val="5"/>
              </w:rPr>
            </w:pPr>
            <w:r w:rsidRPr="00D01AF0">
              <w:rPr>
                <w:rFonts w:cs="Calibri"/>
              </w:rPr>
              <w:t>EBT Office of the Commissioner for Sustainability and the Environment</w:t>
            </w:r>
          </w:p>
        </w:tc>
        <w:tc>
          <w:tcPr>
            <w:tcW w:w="1378" w:type="dxa"/>
            <w:tcBorders>
              <w:top w:val="single" w:sz="4" w:space="0" w:color="auto"/>
              <w:left w:val="nil"/>
              <w:bottom w:val="single" w:sz="4" w:space="0" w:color="auto"/>
              <w:right w:val="nil"/>
            </w:tcBorders>
            <w:vAlign w:val="bottom"/>
          </w:tcPr>
          <w:p w:rsidR="00E15E7E" w:rsidRDefault="00AB191F" w:rsidP="00C474F5">
            <w:pPr>
              <w:pStyle w:val="TableTextRight-BP410pt"/>
            </w:pPr>
            <w:r>
              <w:t>1,439</w:t>
            </w:r>
          </w:p>
        </w:tc>
        <w:tc>
          <w:tcPr>
            <w:tcW w:w="1378" w:type="dxa"/>
            <w:tcBorders>
              <w:top w:val="single" w:sz="4" w:space="0" w:color="auto"/>
              <w:left w:val="nil"/>
              <w:bottom w:val="single" w:sz="4" w:space="0" w:color="auto"/>
              <w:right w:val="nil"/>
            </w:tcBorders>
            <w:vAlign w:val="bottom"/>
          </w:tcPr>
          <w:p w:rsidR="00E15E7E" w:rsidRDefault="00C25123" w:rsidP="00C474F5">
            <w:pPr>
              <w:pStyle w:val="TableTextRight-BP410pt"/>
            </w:pPr>
            <w:r>
              <w:t>1</w:t>
            </w:r>
            <w:r w:rsidR="00AB191F">
              <w:t>,306</w:t>
            </w:r>
          </w:p>
        </w:tc>
        <w:tc>
          <w:tcPr>
            <w:tcW w:w="1378" w:type="dxa"/>
            <w:tcBorders>
              <w:top w:val="single" w:sz="4" w:space="0" w:color="auto"/>
              <w:left w:val="nil"/>
              <w:bottom w:val="single" w:sz="4" w:space="0" w:color="auto"/>
              <w:right w:val="nil"/>
            </w:tcBorders>
            <w:vAlign w:val="bottom"/>
          </w:tcPr>
          <w:p w:rsidR="00E15E7E" w:rsidRDefault="00AB191F" w:rsidP="00C474F5">
            <w:pPr>
              <w:pStyle w:val="TableTextRight-BP410pt"/>
            </w:pPr>
            <w:r>
              <w:t>1,438</w:t>
            </w:r>
          </w:p>
        </w:tc>
        <w:tc>
          <w:tcPr>
            <w:tcW w:w="1378" w:type="dxa"/>
            <w:tcBorders>
              <w:top w:val="single" w:sz="4" w:space="0" w:color="auto"/>
              <w:left w:val="nil"/>
              <w:bottom w:val="single" w:sz="4" w:space="0" w:color="auto"/>
              <w:right w:val="nil"/>
            </w:tcBorders>
            <w:vAlign w:val="bottom"/>
          </w:tcPr>
          <w:p w:rsidR="00E15E7E" w:rsidRDefault="00AB191F" w:rsidP="00C474F5">
            <w:pPr>
              <w:pStyle w:val="TableTextRight-BP410pt"/>
            </w:pPr>
            <w:r>
              <w:t>1,306</w:t>
            </w:r>
          </w:p>
        </w:tc>
      </w:tr>
    </w:tbl>
    <w:p w:rsidR="00E15E7E" w:rsidRDefault="00E15E7E" w:rsidP="00E15E7E">
      <w:pPr>
        <w:pStyle w:val="Heading4"/>
      </w:pPr>
      <w:r>
        <w:t>Output Description</w:t>
      </w:r>
    </w:p>
    <w:p w:rsidR="00E15E7E" w:rsidRPr="00837F37" w:rsidRDefault="00E15E7E" w:rsidP="00D95738">
      <w:pPr>
        <w:pStyle w:val="BodyText"/>
      </w:pPr>
      <w:r w:rsidRPr="00837F37">
        <w:t>Publication of the State of the Environment Report, investigation of complaints by Ministerial direction, or where a Territory agency’s actions may have a substantial impact on the environment.</w:t>
      </w:r>
    </w:p>
    <w:p w:rsidR="00E15E7E" w:rsidRDefault="00E15E7E">
      <w:pPr>
        <w:rPr>
          <w:rFonts w:ascii="Arial" w:hAnsi="Arial" w:cs="Arial"/>
          <w:b/>
          <w:bCs/>
          <w:szCs w:val="26"/>
        </w:rPr>
      </w:pPr>
      <w:r>
        <w:br w:type="page"/>
      </w:r>
    </w:p>
    <w:p w:rsidR="00D745DC" w:rsidRDefault="00D745DC" w:rsidP="00D745DC">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pPr>
      <w:r>
        <w:lastRenderedPageBreak/>
        <w:t>Accountability Indicators</w:t>
      </w:r>
    </w:p>
    <w:tbl>
      <w:tblPr>
        <w:tblW w:w="9100" w:type="dxa"/>
        <w:tblLook w:val="0000"/>
      </w:tblPr>
      <w:tblGrid>
        <w:gridCol w:w="4956"/>
        <w:gridCol w:w="1377"/>
        <w:gridCol w:w="1390"/>
        <w:gridCol w:w="1377"/>
      </w:tblGrid>
      <w:tr w:rsidR="00D745DC" w:rsidRPr="00CF1A8C" w:rsidTr="00B960DF">
        <w:tc>
          <w:tcPr>
            <w:tcW w:w="5063" w:type="dxa"/>
            <w:tcBorders>
              <w:top w:val="single" w:sz="4" w:space="0" w:color="auto"/>
              <w:bottom w:val="single" w:sz="4" w:space="0" w:color="auto"/>
            </w:tcBorders>
          </w:tcPr>
          <w:p w:rsidR="00D745DC" w:rsidRPr="00CF1A8C" w:rsidRDefault="00D745DC" w:rsidP="00D745DC">
            <w:pPr>
              <w:pStyle w:val="Heading6"/>
            </w:pP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Targets</w:t>
            </w: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Est. Outcome</w:t>
            </w:r>
          </w:p>
        </w:tc>
        <w:tc>
          <w:tcPr>
            <w:tcW w:w="1429" w:type="dxa"/>
            <w:tcBorders>
              <w:top w:val="single" w:sz="4" w:space="0" w:color="auto"/>
              <w:bottom w:val="single" w:sz="4" w:space="0" w:color="auto"/>
            </w:tcBorders>
          </w:tcPr>
          <w:p w:rsidR="00D745DC" w:rsidRPr="00CF1A8C" w:rsidRDefault="00D745DC" w:rsidP="00D745DC">
            <w:pPr>
              <w:pStyle w:val="Heading6"/>
            </w:pPr>
            <w:r>
              <w:t>2013-14</w:t>
            </w:r>
          </w:p>
          <w:p w:rsidR="00D745DC" w:rsidRPr="00CF1A8C" w:rsidRDefault="00D745DC" w:rsidP="00D745DC">
            <w:pPr>
              <w:pStyle w:val="Heading6"/>
            </w:pPr>
            <w:r w:rsidRPr="00CF1A8C">
              <w:t>Targets</w:t>
            </w:r>
          </w:p>
        </w:tc>
      </w:tr>
      <w:tr w:rsidR="00D745DC" w:rsidRPr="00CF1A8C" w:rsidTr="00B960DF">
        <w:tc>
          <w:tcPr>
            <w:tcW w:w="5063" w:type="dxa"/>
            <w:gridSpan w:val="2"/>
            <w:tcBorders>
              <w:top w:val="single" w:sz="4" w:space="0" w:color="auto"/>
              <w:bottom w:val="single" w:sz="4" w:space="0" w:color="auto"/>
            </w:tcBorders>
          </w:tcPr>
          <w:p w:rsidR="00D745DC" w:rsidRPr="00CF1A8C" w:rsidRDefault="00D745DC" w:rsidP="00D745DC">
            <w:pPr>
              <w:pStyle w:val="Heading6"/>
              <w:jc w:val="left"/>
            </w:pPr>
            <w:r w:rsidRPr="00CF1A8C">
              <w:t xml:space="preserve">Output Class 1: </w:t>
            </w:r>
            <w:r>
              <w:t>Environment and Sustainable Development</w:t>
            </w:r>
          </w:p>
        </w:tc>
        <w:tc>
          <w:tcPr>
            <w:tcW w:w="1429" w:type="dxa"/>
            <w:tcBorders>
              <w:top w:val="single" w:sz="4" w:space="0" w:color="auto"/>
              <w:bottom w:val="single" w:sz="4" w:space="0" w:color="auto"/>
            </w:tcBorders>
          </w:tcPr>
          <w:p w:rsidR="00D745DC" w:rsidRPr="00CF1A8C" w:rsidRDefault="00D745DC" w:rsidP="00D745DC">
            <w:pPr>
              <w:pStyle w:val="Heading6"/>
            </w:pPr>
          </w:p>
        </w:tc>
        <w:tc>
          <w:tcPr>
            <w:tcW w:w="1429" w:type="dxa"/>
            <w:tcBorders>
              <w:top w:val="single" w:sz="4" w:space="0" w:color="auto"/>
              <w:bottom w:val="single" w:sz="4" w:space="0" w:color="auto"/>
            </w:tcBorders>
          </w:tcPr>
          <w:p w:rsidR="00D745DC" w:rsidRPr="00CF1A8C" w:rsidRDefault="00D745DC" w:rsidP="00D745DC">
            <w:pPr>
              <w:pStyle w:val="Heading6"/>
            </w:pPr>
          </w:p>
        </w:tc>
      </w:tr>
      <w:tr w:rsidR="00D745DC" w:rsidRPr="00CF1A8C" w:rsidTr="00B960DF">
        <w:tc>
          <w:tcPr>
            <w:tcW w:w="5063" w:type="dxa"/>
            <w:gridSpan w:val="4"/>
            <w:tcBorders>
              <w:top w:val="single" w:sz="4" w:space="0" w:color="auto"/>
              <w:bottom w:val="single" w:sz="4" w:space="0" w:color="auto"/>
            </w:tcBorders>
          </w:tcPr>
          <w:p w:rsidR="00D745DC" w:rsidRPr="00CF1A8C" w:rsidRDefault="00D745DC" w:rsidP="00D745DC">
            <w:pPr>
              <w:pStyle w:val="Heading7"/>
            </w:pPr>
            <w:r>
              <w:t>Output 1.1</w:t>
            </w:r>
            <w:r w:rsidRPr="00CF1A8C">
              <w:t xml:space="preserve">: </w:t>
            </w:r>
            <w:r>
              <w:t>Regulation and Services</w:t>
            </w:r>
          </w:p>
        </w:tc>
      </w:tr>
      <w:tr w:rsidR="00D745DC" w:rsidRPr="00CF1A8C" w:rsidTr="00B960DF">
        <w:tc>
          <w:tcPr>
            <w:tcW w:w="5063" w:type="dxa"/>
          </w:tcPr>
          <w:p w:rsidR="00D745DC" w:rsidRDefault="00D745DC" w:rsidP="00D745DC">
            <w:pPr>
              <w:pStyle w:val="ListParagraph"/>
              <w:numPr>
                <w:ilvl w:val="0"/>
                <w:numId w:val="10"/>
              </w:numPr>
              <w:contextualSpacing/>
              <w:rPr>
                <w:sz w:val="20"/>
                <w:szCs w:val="20"/>
              </w:rPr>
            </w:pPr>
            <w:r w:rsidRPr="00CC0041">
              <w:rPr>
                <w:sz w:val="20"/>
                <w:szCs w:val="20"/>
              </w:rPr>
              <w:t>Percentage of audits/investigations undertaken in respect to:</w:t>
            </w:r>
          </w:p>
          <w:p w:rsidR="00D745DC" w:rsidRDefault="00D745DC" w:rsidP="00D745DC">
            <w:pPr>
              <w:pStyle w:val="ListParagraph"/>
              <w:numPr>
                <w:ilvl w:val="1"/>
                <w:numId w:val="10"/>
              </w:numPr>
              <w:ind w:left="737"/>
              <w:contextualSpacing/>
              <w:rPr>
                <w:sz w:val="20"/>
                <w:szCs w:val="20"/>
              </w:rPr>
            </w:pPr>
            <w:r>
              <w:rPr>
                <w:sz w:val="20"/>
                <w:szCs w:val="20"/>
              </w:rPr>
              <w:t>b</w:t>
            </w:r>
            <w:r w:rsidRPr="00CC0041">
              <w:rPr>
                <w:sz w:val="20"/>
                <w:szCs w:val="20"/>
              </w:rPr>
              <w:t xml:space="preserve">uilding applications </w:t>
            </w:r>
            <w:r w:rsidRPr="00C55327">
              <w:rPr>
                <w:sz w:val="20"/>
                <w:szCs w:val="20"/>
              </w:rPr>
              <w:t>lodged</w:t>
            </w:r>
          </w:p>
          <w:p w:rsidR="00D745DC" w:rsidRDefault="00D745DC" w:rsidP="00D745DC">
            <w:pPr>
              <w:pStyle w:val="ListParagraph"/>
              <w:numPr>
                <w:ilvl w:val="1"/>
                <w:numId w:val="10"/>
              </w:numPr>
              <w:ind w:left="737"/>
              <w:contextualSpacing/>
              <w:rPr>
                <w:sz w:val="20"/>
                <w:szCs w:val="20"/>
              </w:rPr>
            </w:pPr>
            <w:r>
              <w:rPr>
                <w:sz w:val="20"/>
                <w:szCs w:val="20"/>
              </w:rPr>
              <w:t>new electrical installations</w:t>
            </w:r>
          </w:p>
          <w:p w:rsidR="00D745DC" w:rsidRDefault="00D745DC" w:rsidP="00D745DC">
            <w:pPr>
              <w:pStyle w:val="ListParagraph"/>
              <w:numPr>
                <w:ilvl w:val="1"/>
                <w:numId w:val="10"/>
              </w:numPr>
              <w:ind w:left="737"/>
              <w:contextualSpacing/>
              <w:rPr>
                <w:sz w:val="20"/>
                <w:szCs w:val="20"/>
              </w:rPr>
            </w:pPr>
            <w:r>
              <w:rPr>
                <w:sz w:val="20"/>
                <w:szCs w:val="20"/>
              </w:rPr>
              <w:t>new commercial gas installations</w:t>
            </w:r>
          </w:p>
          <w:p w:rsidR="00D745DC" w:rsidRDefault="00D745DC" w:rsidP="00D745DC">
            <w:pPr>
              <w:pStyle w:val="ListParagraph"/>
              <w:numPr>
                <w:ilvl w:val="1"/>
                <w:numId w:val="10"/>
              </w:numPr>
              <w:ind w:left="737"/>
              <w:contextualSpacing/>
              <w:rPr>
                <w:sz w:val="20"/>
                <w:szCs w:val="20"/>
              </w:rPr>
            </w:pPr>
            <w:r>
              <w:rPr>
                <w:sz w:val="20"/>
                <w:szCs w:val="20"/>
              </w:rPr>
              <w:t>new sewerage connections</w:t>
            </w:r>
          </w:p>
          <w:p w:rsidR="00D745DC" w:rsidRDefault="00D745DC" w:rsidP="00D745DC">
            <w:pPr>
              <w:pStyle w:val="ListParagraph"/>
              <w:numPr>
                <w:ilvl w:val="1"/>
                <w:numId w:val="10"/>
              </w:numPr>
              <w:ind w:left="737"/>
              <w:contextualSpacing/>
              <w:rPr>
                <w:iCs/>
              </w:rPr>
            </w:pPr>
            <w:r>
              <w:rPr>
                <w:sz w:val="20"/>
                <w:szCs w:val="20"/>
              </w:rPr>
              <w:t>new photovoltaic installations</w:t>
            </w:r>
            <w:r>
              <w:rPr>
                <w:sz w:val="20"/>
                <w:szCs w:val="20"/>
                <w:vertAlign w:val="superscript"/>
              </w:rPr>
              <w:t>1</w:t>
            </w:r>
          </w:p>
        </w:tc>
        <w:tc>
          <w:tcPr>
            <w:tcW w:w="1429" w:type="dxa"/>
          </w:tcPr>
          <w:p w:rsidR="00D745DC" w:rsidRDefault="00D745DC" w:rsidP="00D745DC">
            <w:pPr>
              <w:jc w:val="right"/>
              <w:rPr>
                <w:sz w:val="20"/>
              </w:rPr>
            </w:pPr>
          </w:p>
          <w:p w:rsidR="00D745DC" w:rsidRDefault="00D745DC" w:rsidP="00D745DC">
            <w:pPr>
              <w:jc w:val="right"/>
              <w:rPr>
                <w:sz w:val="20"/>
              </w:rPr>
            </w:pPr>
          </w:p>
          <w:p w:rsidR="00D745DC" w:rsidRPr="00CC0041" w:rsidRDefault="00D745DC" w:rsidP="00D745DC">
            <w:pPr>
              <w:jc w:val="right"/>
              <w:rPr>
                <w:sz w:val="20"/>
              </w:rPr>
            </w:pPr>
            <w:r w:rsidRPr="00CC0041">
              <w:rPr>
                <w:sz w:val="20"/>
              </w:rPr>
              <w:t>10%</w:t>
            </w:r>
          </w:p>
          <w:p w:rsidR="00D745DC" w:rsidRPr="00CC0041" w:rsidRDefault="00D745DC" w:rsidP="00D745DC">
            <w:pPr>
              <w:jc w:val="right"/>
              <w:rPr>
                <w:sz w:val="20"/>
              </w:rPr>
            </w:pPr>
            <w:r w:rsidRPr="00CC0041">
              <w:rPr>
                <w:sz w:val="20"/>
              </w:rPr>
              <w:t>100%</w:t>
            </w:r>
          </w:p>
          <w:p w:rsidR="00D745DC" w:rsidRPr="00CC0041" w:rsidRDefault="00D745DC" w:rsidP="00D745DC">
            <w:pPr>
              <w:jc w:val="right"/>
              <w:rPr>
                <w:sz w:val="20"/>
              </w:rPr>
            </w:pPr>
            <w:r w:rsidRPr="00CC0041">
              <w:rPr>
                <w:sz w:val="20"/>
              </w:rPr>
              <w:t>100%</w:t>
            </w:r>
          </w:p>
          <w:p w:rsidR="00D745DC" w:rsidRPr="00CC0041" w:rsidRDefault="00D745DC" w:rsidP="00D745DC">
            <w:pPr>
              <w:jc w:val="right"/>
              <w:rPr>
                <w:sz w:val="20"/>
              </w:rPr>
            </w:pPr>
            <w:r w:rsidRPr="00CC0041">
              <w:rPr>
                <w:sz w:val="20"/>
              </w:rPr>
              <w:t>100%</w:t>
            </w:r>
          </w:p>
          <w:p w:rsidR="00D745DC" w:rsidRPr="00CF1A8C" w:rsidRDefault="00D745DC" w:rsidP="00D745DC">
            <w:pPr>
              <w:pStyle w:val="AITableText"/>
            </w:pPr>
            <w:r w:rsidRPr="00CC0041">
              <w:t>100%</w:t>
            </w:r>
          </w:p>
        </w:tc>
        <w:tc>
          <w:tcPr>
            <w:tcW w:w="1429" w:type="dxa"/>
          </w:tcPr>
          <w:p w:rsidR="00D745DC" w:rsidRDefault="00D745DC" w:rsidP="00D745DC">
            <w:pPr>
              <w:pStyle w:val="AITableText"/>
            </w:pPr>
          </w:p>
          <w:p w:rsidR="00D745DC" w:rsidRDefault="00D745DC" w:rsidP="00D745DC">
            <w:pPr>
              <w:pStyle w:val="AITableText"/>
            </w:pPr>
          </w:p>
          <w:p w:rsidR="00D745DC" w:rsidRDefault="00D745DC" w:rsidP="00D745DC">
            <w:pPr>
              <w:pStyle w:val="AITableText"/>
            </w:pPr>
            <w:r>
              <w:t>10%</w:t>
            </w:r>
          </w:p>
          <w:p w:rsidR="00D745DC" w:rsidRDefault="00D745DC" w:rsidP="00D745DC">
            <w:pPr>
              <w:pStyle w:val="AITableText"/>
            </w:pPr>
            <w:r>
              <w:t>97%</w:t>
            </w:r>
          </w:p>
          <w:p w:rsidR="00D745DC" w:rsidRDefault="00D745DC" w:rsidP="00D745DC">
            <w:pPr>
              <w:pStyle w:val="AITableText"/>
            </w:pPr>
            <w:r>
              <w:t>97%</w:t>
            </w:r>
          </w:p>
          <w:p w:rsidR="00D745DC" w:rsidRDefault="00D745DC" w:rsidP="00D745DC">
            <w:pPr>
              <w:pStyle w:val="AITableText"/>
            </w:pPr>
            <w:r>
              <w:t>97%</w:t>
            </w:r>
          </w:p>
          <w:p w:rsidR="00D745DC" w:rsidRPr="00CF1A8C" w:rsidRDefault="00D745DC" w:rsidP="00D745DC">
            <w:pPr>
              <w:pStyle w:val="AITableText"/>
            </w:pPr>
            <w:r>
              <w:t>92%</w:t>
            </w:r>
          </w:p>
        </w:tc>
        <w:tc>
          <w:tcPr>
            <w:tcW w:w="1429" w:type="dxa"/>
          </w:tcPr>
          <w:p w:rsidR="00D745DC" w:rsidRDefault="00D745DC" w:rsidP="00D745DC">
            <w:pPr>
              <w:jc w:val="right"/>
              <w:rPr>
                <w:sz w:val="20"/>
              </w:rPr>
            </w:pPr>
          </w:p>
          <w:p w:rsidR="00D745DC" w:rsidRDefault="00D745DC" w:rsidP="00D745DC">
            <w:pPr>
              <w:jc w:val="right"/>
              <w:rPr>
                <w:sz w:val="20"/>
              </w:rPr>
            </w:pPr>
          </w:p>
          <w:p w:rsidR="00D745DC" w:rsidRPr="00CC0041" w:rsidRDefault="00D745DC" w:rsidP="00D745DC">
            <w:pPr>
              <w:jc w:val="right"/>
              <w:rPr>
                <w:sz w:val="20"/>
              </w:rPr>
            </w:pPr>
            <w:r w:rsidRPr="00CC0041">
              <w:rPr>
                <w:sz w:val="20"/>
              </w:rPr>
              <w:t>10%</w:t>
            </w:r>
          </w:p>
          <w:p w:rsidR="00D745DC" w:rsidRPr="00CC0041" w:rsidRDefault="00D745DC" w:rsidP="00D745DC">
            <w:pPr>
              <w:jc w:val="right"/>
              <w:rPr>
                <w:sz w:val="20"/>
              </w:rPr>
            </w:pPr>
            <w:r w:rsidRPr="00CC0041">
              <w:rPr>
                <w:sz w:val="20"/>
              </w:rPr>
              <w:t>100%</w:t>
            </w:r>
          </w:p>
          <w:p w:rsidR="00D745DC" w:rsidRPr="00CC0041" w:rsidRDefault="00D745DC" w:rsidP="00D745DC">
            <w:pPr>
              <w:jc w:val="right"/>
              <w:rPr>
                <w:sz w:val="20"/>
              </w:rPr>
            </w:pPr>
            <w:r w:rsidRPr="00CC0041">
              <w:rPr>
                <w:sz w:val="20"/>
              </w:rPr>
              <w:t>100%</w:t>
            </w:r>
          </w:p>
          <w:p w:rsidR="00D745DC" w:rsidRPr="00CC0041" w:rsidRDefault="00D745DC" w:rsidP="00D745DC">
            <w:pPr>
              <w:jc w:val="right"/>
              <w:rPr>
                <w:sz w:val="20"/>
              </w:rPr>
            </w:pPr>
            <w:r w:rsidRPr="00CC0041">
              <w:rPr>
                <w:sz w:val="20"/>
              </w:rPr>
              <w:t>100%</w:t>
            </w:r>
          </w:p>
          <w:p w:rsidR="00D745DC" w:rsidRPr="00CF1A8C" w:rsidRDefault="00D745DC" w:rsidP="00D745DC">
            <w:pPr>
              <w:pStyle w:val="AITableText"/>
            </w:pPr>
            <w:r w:rsidRPr="00CC0041">
              <w:t>100%</w:t>
            </w:r>
          </w:p>
        </w:tc>
      </w:tr>
      <w:tr w:rsidR="00D745DC" w:rsidRPr="00CF1A8C" w:rsidTr="00B960DF">
        <w:tc>
          <w:tcPr>
            <w:tcW w:w="5063" w:type="dxa"/>
          </w:tcPr>
          <w:p w:rsidR="00D745DC" w:rsidRDefault="00D745DC" w:rsidP="00D745DC">
            <w:pPr>
              <w:pStyle w:val="AIIndent"/>
              <w:numPr>
                <w:ilvl w:val="0"/>
                <w:numId w:val="10"/>
              </w:numPr>
            </w:pPr>
            <w:r w:rsidRPr="00CC0041">
              <w:t xml:space="preserve">Formal written complaints made under the </w:t>
            </w:r>
            <w:r w:rsidRPr="00CC0041">
              <w:rPr>
                <w:i/>
              </w:rPr>
              <w:t>Planning</w:t>
            </w:r>
            <w:r w:rsidR="00BB349F">
              <w:rPr>
                <w:i/>
              </w:rPr>
              <w:t> </w:t>
            </w:r>
            <w:r w:rsidRPr="00CC0041">
              <w:rPr>
                <w:i/>
              </w:rPr>
              <w:t>and</w:t>
            </w:r>
            <w:r w:rsidR="00BB349F">
              <w:rPr>
                <w:i/>
              </w:rPr>
              <w:t> </w:t>
            </w:r>
            <w:r w:rsidRPr="00CC0041">
              <w:rPr>
                <w:i/>
              </w:rPr>
              <w:t>Development</w:t>
            </w:r>
            <w:r w:rsidR="00BB349F">
              <w:rPr>
                <w:i/>
              </w:rPr>
              <w:t> </w:t>
            </w:r>
            <w:r w:rsidRPr="00CC0041">
              <w:rPr>
                <w:i/>
              </w:rPr>
              <w:t>Act</w:t>
            </w:r>
            <w:r w:rsidR="00BB349F">
              <w:rPr>
                <w:i/>
              </w:rPr>
              <w:t> </w:t>
            </w:r>
            <w:r w:rsidRPr="00CC0041">
              <w:rPr>
                <w:i/>
              </w:rPr>
              <w:t>2007</w:t>
            </w:r>
            <w:r w:rsidRPr="00CC0041">
              <w:t xml:space="preserve"> and the </w:t>
            </w:r>
            <w:r w:rsidRPr="00CC0041">
              <w:rPr>
                <w:i/>
              </w:rPr>
              <w:t>Construction</w:t>
            </w:r>
            <w:r w:rsidR="00BB349F">
              <w:rPr>
                <w:i/>
              </w:rPr>
              <w:t> </w:t>
            </w:r>
            <w:r w:rsidRPr="00CC0041">
              <w:rPr>
                <w:i/>
              </w:rPr>
              <w:t>Occupants</w:t>
            </w:r>
            <w:r w:rsidR="00BB349F">
              <w:rPr>
                <w:i/>
              </w:rPr>
              <w:t> </w:t>
            </w:r>
            <w:r w:rsidRPr="00CC0041">
              <w:rPr>
                <w:i/>
              </w:rPr>
              <w:t>(Licensing)</w:t>
            </w:r>
            <w:r w:rsidR="00BB349F">
              <w:rPr>
                <w:i/>
              </w:rPr>
              <w:t> </w:t>
            </w:r>
            <w:r w:rsidRPr="00CC0041">
              <w:rPr>
                <w:i/>
              </w:rPr>
              <w:t>Act</w:t>
            </w:r>
            <w:r w:rsidR="00BB349F">
              <w:rPr>
                <w:i/>
              </w:rPr>
              <w:t> </w:t>
            </w:r>
            <w:r w:rsidRPr="00CC0041">
              <w:rPr>
                <w:i/>
              </w:rPr>
              <w:t>2004</w:t>
            </w:r>
            <w:r w:rsidRPr="00CC0041">
              <w:t xml:space="preserve"> are acknowledged within 10 working days</w:t>
            </w:r>
          </w:p>
        </w:tc>
        <w:tc>
          <w:tcPr>
            <w:tcW w:w="1429" w:type="dxa"/>
          </w:tcPr>
          <w:p w:rsidR="00D745DC" w:rsidRPr="00CF1A8C" w:rsidRDefault="00D745DC" w:rsidP="00D745DC">
            <w:pPr>
              <w:pStyle w:val="AITableText"/>
            </w:pPr>
            <w:r>
              <w:t>90%</w:t>
            </w:r>
          </w:p>
        </w:tc>
        <w:tc>
          <w:tcPr>
            <w:tcW w:w="1429" w:type="dxa"/>
          </w:tcPr>
          <w:p w:rsidR="00D745DC" w:rsidRPr="00CF1A8C" w:rsidRDefault="00D745DC" w:rsidP="00D745DC">
            <w:pPr>
              <w:pStyle w:val="AITableText"/>
            </w:pPr>
            <w:r>
              <w:t>92%</w:t>
            </w:r>
          </w:p>
        </w:tc>
        <w:tc>
          <w:tcPr>
            <w:tcW w:w="1429" w:type="dxa"/>
          </w:tcPr>
          <w:p w:rsidR="00D745DC" w:rsidRPr="00CF1A8C" w:rsidRDefault="00D745DC" w:rsidP="00D745DC">
            <w:pPr>
              <w:pStyle w:val="AITableText"/>
            </w:pPr>
            <w:r>
              <w:t>90%</w:t>
            </w:r>
          </w:p>
        </w:tc>
      </w:tr>
      <w:tr w:rsidR="00D745DC" w:rsidRPr="00CF1A8C" w:rsidTr="00B960DF">
        <w:tc>
          <w:tcPr>
            <w:tcW w:w="5063" w:type="dxa"/>
          </w:tcPr>
          <w:p w:rsidR="00D745DC" w:rsidRDefault="00D745DC" w:rsidP="00D745DC">
            <w:pPr>
              <w:pStyle w:val="AIIndent"/>
              <w:numPr>
                <w:ilvl w:val="0"/>
                <w:numId w:val="10"/>
              </w:numPr>
            </w:pPr>
            <w:r w:rsidRPr="00CC0041">
              <w:t>Level of satisfaction with the Directorate’s customer services and products</w:t>
            </w:r>
          </w:p>
        </w:tc>
        <w:tc>
          <w:tcPr>
            <w:tcW w:w="1429" w:type="dxa"/>
          </w:tcPr>
          <w:p w:rsidR="00D745DC" w:rsidRPr="00CF1A8C" w:rsidRDefault="00D745DC" w:rsidP="00D745DC">
            <w:pPr>
              <w:pStyle w:val="AITableText"/>
            </w:pPr>
            <w:r>
              <w:t>80%</w:t>
            </w:r>
          </w:p>
        </w:tc>
        <w:tc>
          <w:tcPr>
            <w:tcW w:w="1429" w:type="dxa"/>
          </w:tcPr>
          <w:p w:rsidR="00D745DC" w:rsidRPr="00CF1A8C" w:rsidRDefault="00D745DC" w:rsidP="00D745DC">
            <w:pPr>
              <w:pStyle w:val="AITableText"/>
            </w:pPr>
            <w:r>
              <w:t>78%</w:t>
            </w:r>
          </w:p>
        </w:tc>
        <w:tc>
          <w:tcPr>
            <w:tcW w:w="1429" w:type="dxa"/>
          </w:tcPr>
          <w:p w:rsidR="00D745DC" w:rsidRPr="00CF1A8C" w:rsidRDefault="00D745DC" w:rsidP="00D745DC">
            <w:pPr>
              <w:pStyle w:val="AITableText"/>
            </w:pPr>
            <w:r>
              <w:t>80%</w:t>
            </w:r>
          </w:p>
        </w:tc>
      </w:tr>
      <w:tr w:rsidR="00D745DC" w:rsidRPr="00CF1A8C" w:rsidTr="00B960DF">
        <w:tc>
          <w:tcPr>
            <w:tcW w:w="5063" w:type="dxa"/>
          </w:tcPr>
          <w:p w:rsidR="00D745DC" w:rsidRDefault="00D745DC" w:rsidP="00D745DC">
            <w:pPr>
              <w:pStyle w:val="AIIndent"/>
              <w:numPr>
                <w:ilvl w:val="0"/>
                <w:numId w:val="10"/>
              </w:numPr>
            </w:pPr>
            <w:r w:rsidRPr="00CC0041">
              <w:t>Determine through audit which gree</w:t>
            </w:r>
            <w:r>
              <w:t>nfield residential leases have ‘</w:t>
            </w:r>
            <w:r w:rsidRPr="00CC0041">
              <w:t>commence and complete</w:t>
            </w:r>
            <w:r>
              <w:t>’</w:t>
            </w:r>
            <w:r w:rsidRPr="00CC0041">
              <w:t xml:space="preserve"> covenants which expired on, or after, 1 July 2011.  Leaseholds identified as being in breach will be notified of the breach</w:t>
            </w:r>
          </w:p>
        </w:tc>
        <w:tc>
          <w:tcPr>
            <w:tcW w:w="1429" w:type="dxa"/>
          </w:tcPr>
          <w:p w:rsidR="00D745DC" w:rsidRPr="00CF1A8C" w:rsidRDefault="00D745DC" w:rsidP="00D745DC">
            <w:pPr>
              <w:pStyle w:val="AITableText"/>
            </w:pPr>
            <w:r>
              <w:t>100%</w:t>
            </w:r>
          </w:p>
        </w:tc>
        <w:tc>
          <w:tcPr>
            <w:tcW w:w="1429" w:type="dxa"/>
          </w:tcPr>
          <w:p w:rsidR="00D745DC" w:rsidRPr="00CF1A8C" w:rsidRDefault="00D745DC" w:rsidP="00D745DC">
            <w:pPr>
              <w:pStyle w:val="AITableText"/>
            </w:pPr>
            <w:r>
              <w:t>100%</w:t>
            </w:r>
          </w:p>
        </w:tc>
        <w:tc>
          <w:tcPr>
            <w:tcW w:w="1429" w:type="dxa"/>
          </w:tcPr>
          <w:p w:rsidR="00D745DC" w:rsidRPr="00CF1A8C" w:rsidRDefault="00D745DC" w:rsidP="00D745DC">
            <w:pPr>
              <w:pStyle w:val="AITableText"/>
            </w:pPr>
            <w:r>
              <w:t>100%</w:t>
            </w:r>
          </w:p>
        </w:tc>
      </w:tr>
      <w:tr w:rsidR="00D745DC" w:rsidRPr="00CF1A8C" w:rsidTr="00B960DF">
        <w:tc>
          <w:tcPr>
            <w:tcW w:w="5063" w:type="dxa"/>
            <w:tcBorders>
              <w:bottom w:val="single" w:sz="4" w:space="0" w:color="auto"/>
            </w:tcBorders>
          </w:tcPr>
          <w:p w:rsidR="00D745DC" w:rsidRPr="00330FC4" w:rsidRDefault="00D745DC" w:rsidP="00D745DC">
            <w:pPr>
              <w:pStyle w:val="AIIndent"/>
              <w:numPr>
                <w:ilvl w:val="0"/>
                <w:numId w:val="10"/>
              </w:numPr>
            </w:pPr>
            <w:r w:rsidRPr="00330FC4">
              <w:t>Assess data and prepare a public report on the use and quality of the water resources of the ACT annually published on the Directorate’s website</w:t>
            </w:r>
            <w:r w:rsidRPr="00330FC4">
              <w:rPr>
                <w:vertAlign w:val="superscript"/>
              </w:rPr>
              <w:t>2</w:t>
            </w:r>
          </w:p>
        </w:tc>
        <w:tc>
          <w:tcPr>
            <w:tcW w:w="1429" w:type="dxa"/>
            <w:tcBorders>
              <w:bottom w:val="single" w:sz="4" w:space="0" w:color="auto"/>
            </w:tcBorders>
          </w:tcPr>
          <w:p w:rsidR="00D745DC" w:rsidRPr="00330FC4" w:rsidRDefault="00D745DC" w:rsidP="00D745DC">
            <w:pPr>
              <w:pStyle w:val="AITableText"/>
            </w:pPr>
            <w:r w:rsidRPr="00330FC4">
              <w:t>Oct 2012</w:t>
            </w:r>
          </w:p>
        </w:tc>
        <w:tc>
          <w:tcPr>
            <w:tcW w:w="1429" w:type="dxa"/>
            <w:tcBorders>
              <w:bottom w:val="single" w:sz="4" w:space="0" w:color="auto"/>
            </w:tcBorders>
          </w:tcPr>
          <w:p w:rsidR="00D745DC" w:rsidRPr="00330FC4" w:rsidRDefault="00D745DC" w:rsidP="00D95738">
            <w:pPr>
              <w:pStyle w:val="AITableText"/>
            </w:pPr>
            <w:r w:rsidRPr="00330FC4">
              <w:t>Apr 2013</w:t>
            </w:r>
          </w:p>
        </w:tc>
        <w:tc>
          <w:tcPr>
            <w:tcW w:w="1429" w:type="dxa"/>
            <w:tcBorders>
              <w:bottom w:val="single" w:sz="4" w:space="0" w:color="auto"/>
            </w:tcBorders>
          </w:tcPr>
          <w:p w:rsidR="00D745DC" w:rsidRPr="00330FC4" w:rsidRDefault="00D745DC" w:rsidP="00D745DC">
            <w:pPr>
              <w:pStyle w:val="AITableText"/>
            </w:pPr>
            <w:r w:rsidRPr="00330FC4">
              <w:t>n/a</w:t>
            </w:r>
          </w:p>
        </w:tc>
      </w:tr>
    </w:tbl>
    <w:p w:rsidR="00D745DC" w:rsidRPr="001A4AF4" w:rsidRDefault="00D745DC" w:rsidP="00D745DC">
      <w:pPr>
        <w:pStyle w:val="NoteHeading0"/>
      </w:pPr>
      <w:r w:rsidRPr="001A4AF4">
        <w:t xml:space="preserve">Notes: </w:t>
      </w:r>
    </w:p>
    <w:p w:rsidR="002272D3" w:rsidRDefault="00D745DC" w:rsidP="002272D3">
      <w:pPr>
        <w:pStyle w:val="AINotes"/>
        <w:numPr>
          <w:ilvl w:val="0"/>
          <w:numId w:val="53"/>
        </w:numPr>
        <w:rPr>
          <w:rStyle w:val="NoteTextChar"/>
          <w:sz w:val="20"/>
          <w:szCs w:val="16"/>
        </w:rPr>
      </w:pPr>
      <w:r>
        <w:rPr>
          <w:rStyle w:val="NoteTextChar"/>
          <w:szCs w:val="16"/>
        </w:rPr>
        <w:t>2012</w:t>
      </w:r>
      <w:r w:rsidRPr="00837F37">
        <w:rPr>
          <w:rStyle w:val="NoteTextChar"/>
          <w:szCs w:val="16"/>
        </w:rPr>
        <w:t>-1</w:t>
      </w:r>
      <w:r>
        <w:rPr>
          <w:rStyle w:val="NoteTextChar"/>
          <w:szCs w:val="16"/>
        </w:rPr>
        <w:t>3</w:t>
      </w:r>
      <w:r w:rsidRPr="00837F37">
        <w:rPr>
          <w:rStyle w:val="NoteTextChar"/>
          <w:szCs w:val="16"/>
        </w:rPr>
        <w:t xml:space="preserve"> estimated </w:t>
      </w:r>
      <w:proofErr w:type="gramStart"/>
      <w:r w:rsidRPr="00837F37">
        <w:rPr>
          <w:rStyle w:val="NoteTextChar"/>
          <w:szCs w:val="16"/>
        </w:rPr>
        <w:t>outcome</w:t>
      </w:r>
      <w:proofErr w:type="gramEnd"/>
      <w:r w:rsidRPr="00837F37">
        <w:rPr>
          <w:rStyle w:val="NoteTextChar"/>
          <w:szCs w:val="16"/>
        </w:rPr>
        <w:t xml:space="preserve"> is due to high non-compliance rate</w:t>
      </w:r>
      <w:r w:rsidR="005672F1">
        <w:rPr>
          <w:rStyle w:val="NoteTextChar"/>
          <w:szCs w:val="16"/>
        </w:rPr>
        <w:t>s</w:t>
      </w:r>
      <w:r w:rsidRPr="00837F37">
        <w:rPr>
          <w:rStyle w:val="NoteTextChar"/>
          <w:szCs w:val="16"/>
        </w:rPr>
        <w:t xml:space="preserve"> and the need for reinspections prior to the completion of an audit/investigation.  Rectification work can take time to complete which delays final approvals by inspectors.  </w:t>
      </w:r>
    </w:p>
    <w:p w:rsidR="00D745DC" w:rsidRPr="00837F37" w:rsidRDefault="00D745DC" w:rsidP="00D745DC">
      <w:pPr>
        <w:pStyle w:val="AINotes"/>
        <w:numPr>
          <w:ilvl w:val="0"/>
          <w:numId w:val="43"/>
        </w:numPr>
        <w:rPr>
          <w:rStyle w:val="NoteTextChar"/>
          <w:iCs/>
          <w:szCs w:val="16"/>
        </w:rPr>
      </w:pPr>
      <w:r w:rsidRPr="00837F37">
        <w:rPr>
          <w:rStyle w:val="NoteTextChar"/>
          <w:szCs w:val="16"/>
        </w:rPr>
        <w:t xml:space="preserve">The indicator </w:t>
      </w:r>
      <w:r>
        <w:rPr>
          <w:rStyle w:val="NoteTextChar"/>
          <w:szCs w:val="16"/>
        </w:rPr>
        <w:t>(e</w:t>
      </w:r>
      <w:r w:rsidRPr="00837F37">
        <w:rPr>
          <w:rStyle w:val="NoteTextChar"/>
          <w:szCs w:val="16"/>
        </w:rPr>
        <w:t xml:space="preserve">) </w:t>
      </w:r>
      <w:r>
        <w:rPr>
          <w:rStyle w:val="NoteTextChar"/>
          <w:szCs w:val="16"/>
        </w:rPr>
        <w:t xml:space="preserve">has been transferred to Output 1.5. </w:t>
      </w:r>
      <w:r w:rsidR="00AB416F">
        <w:rPr>
          <w:rStyle w:val="NoteTextChar"/>
          <w:szCs w:val="16"/>
        </w:rPr>
        <w:t xml:space="preserve"> </w:t>
      </w:r>
      <w:r>
        <w:rPr>
          <w:rStyle w:val="NoteTextChar"/>
          <w:szCs w:val="16"/>
        </w:rPr>
        <w:t xml:space="preserve">The delay in reporting was due to a refinement of the data provided in the report. </w:t>
      </w:r>
    </w:p>
    <w:p w:rsidR="00D745DC" w:rsidRPr="00120385" w:rsidRDefault="00D745DC" w:rsidP="00120385">
      <w:pPr>
        <w:rPr>
          <w:rFonts w:ascii="Arial" w:hAnsi="Arial" w:cs="Arial"/>
          <w:b/>
          <w:bCs/>
          <w:szCs w:val="26"/>
        </w:rPr>
      </w:pPr>
    </w:p>
    <w:tbl>
      <w:tblPr>
        <w:tblW w:w="9100" w:type="dxa"/>
        <w:tblLook w:val="0000"/>
      </w:tblPr>
      <w:tblGrid>
        <w:gridCol w:w="4901"/>
        <w:gridCol w:w="1397"/>
        <w:gridCol w:w="1405"/>
        <w:gridCol w:w="1397"/>
      </w:tblGrid>
      <w:tr w:rsidR="00D745DC" w:rsidRPr="00CF1A8C" w:rsidTr="00B960DF">
        <w:tc>
          <w:tcPr>
            <w:tcW w:w="5063" w:type="dxa"/>
            <w:tcBorders>
              <w:top w:val="single" w:sz="4" w:space="0" w:color="auto"/>
              <w:bottom w:val="single" w:sz="4" w:space="0" w:color="auto"/>
            </w:tcBorders>
          </w:tcPr>
          <w:p w:rsidR="00D745DC" w:rsidRPr="00CF1A8C" w:rsidRDefault="00D745DC" w:rsidP="00D745DC">
            <w:pPr>
              <w:pStyle w:val="Heading6"/>
            </w:pP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Targets</w:t>
            </w: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Est. Outcome</w:t>
            </w:r>
          </w:p>
        </w:tc>
        <w:tc>
          <w:tcPr>
            <w:tcW w:w="1429" w:type="dxa"/>
            <w:tcBorders>
              <w:top w:val="single" w:sz="4" w:space="0" w:color="auto"/>
              <w:bottom w:val="single" w:sz="4" w:space="0" w:color="auto"/>
            </w:tcBorders>
          </w:tcPr>
          <w:p w:rsidR="00D745DC" w:rsidRPr="00CF1A8C" w:rsidRDefault="00D745DC" w:rsidP="00D745DC">
            <w:pPr>
              <w:pStyle w:val="Heading6"/>
            </w:pPr>
            <w:r>
              <w:t>2013-14</w:t>
            </w:r>
          </w:p>
          <w:p w:rsidR="00D745DC" w:rsidRPr="00CF1A8C" w:rsidRDefault="00D745DC" w:rsidP="00D745DC">
            <w:pPr>
              <w:pStyle w:val="Heading6"/>
            </w:pPr>
            <w:r w:rsidRPr="00CF1A8C">
              <w:t>Targets</w:t>
            </w:r>
          </w:p>
        </w:tc>
      </w:tr>
      <w:tr w:rsidR="00D745DC" w:rsidRPr="00CF1A8C" w:rsidTr="00B960DF">
        <w:tc>
          <w:tcPr>
            <w:tcW w:w="5063" w:type="dxa"/>
            <w:gridSpan w:val="4"/>
            <w:tcBorders>
              <w:top w:val="single" w:sz="4" w:space="0" w:color="auto"/>
              <w:bottom w:val="single" w:sz="4" w:space="0" w:color="auto"/>
            </w:tcBorders>
          </w:tcPr>
          <w:p w:rsidR="00D745DC" w:rsidRPr="00CF1A8C" w:rsidRDefault="00D745DC" w:rsidP="00D745DC">
            <w:pPr>
              <w:pStyle w:val="Heading7"/>
            </w:pPr>
            <w:r>
              <w:t>Output 1.2</w:t>
            </w:r>
            <w:r w:rsidRPr="00CF1A8C">
              <w:t xml:space="preserve">: </w:t>
            </w:r>
            <w:r>
              <w:t>Planning Delivery</w:t>
            </w:r>
          </w:p>
        </w:tc>
      </w:tr>
      <w:tr w:rsidR="00D745DC" w:rsidRPr="00CF1A8C" w:rsidTr="00B960DF">
        <w:trPr>
          <w:trHeight w:val="738"/>
        </w:trPr>
        <w:tc>
          <w:tcPr>
            <w:tcW w:w="5063" w:type="dxa"/>
          </w:tcPr>
          <w:p w:rsidR="00D745DC" w:rsidRDefault="00D745DC" w:rsidP="00D745DC">
            <w:pPr>
              <w:pStyle w:val="ListParagraph"/>
              <w:numPr>
                <w:ilvl w:val="0"/>
                <w:numId w:val="15"/>
              </w:numPr>
              <w:contextualSpacing/>
              <w:rPr>
                <w:sz w:val="20"/>
                <w:szCs w:val="20"/>
              </w:rPr>
            </w:pPr>
            <w:r>
              <w:rPr>
                <w:sz w:val="20"/>
                <w:szCs w:val="20"/>
              </w:rPr>
              <w:t>Development application processing times</w:t>
            </w:r>
            <w:r w:rsidRPr="00CC0041">
              <w:rPr>
                <w:sz w:val="20"/>
                <w:szCs w:val="20"/>
              </w:rPr>
              <w:t>:</w:t>
            </w:r>
          </w:p>
          <w:p w:rsidR="00D745DC" w:rsidRDefault="00D745DC" w:rsidP="00D745DC">
            <w:pPr>
              <w:pStyle w:val="ListParagraph"/>
              <w:numPr>
                <w:ilvl w:val="1"/>
                <w:numId w:val="15"/>
              </w:numPr>
              <w:ind w:left="737"/>
              <w:contextualSpacing/>
              <w:rPr>
                <w:sz w:val="20"/>
                <w:szCs w:val="20"/>
              </w:rPr>
            </w:pPr>
            <w:r>
              <w:rPr>
                <w:sz w:val="20"/>
                <w:szCs w:val="20"/>
              </w:rPr>
              <w:t>average processing time in working da</w:t>
            </w:r>
            <w:r w:rsidRPr="00C15A7A">
              <w:rPr>
                <w:sz w:val="20"/>
                <w:szCs w:val="20"/>
              </w:rPr>
              <w:t>ys</w:t>
            </w:r>
            <w:r w:rsidRPr="00C15A7A">
              <w:rPr>
                <w:sz w:val="20"/>
                <w:szCs w:val="20"/>
                <w:vertAlign w:val="superscript"/>
              </w:rPr>
              <w:t>1</w:t>
            </w:r>
          </w:p>
          <w:p w:rsidR="00D745DC" w:rsidRDefault="00D745DC" w:rsidP="00D745DC">
            <w:pPr>
              <w:pStyle w:val="ListParagraph"/>
              <w:numPr>
                <w:ilvl w:val="1"/>
                <w:numId w:val="15"/>
              </w:numPr>
              <w:ind w:left="737"/>
              <w:contextualSpacing/>
              <w:rPr>
                <w:sz w:val="20"/>
                <w:szCs w:val="20"/>
              </w:rPr>
            </w:pPr>
            <w:r>
              <w:rPr>
                <w:sz w:val="20"/>
                <w:szCs w:val="20"/>
              </w:rPr>
              <w:t>median processing time in working days</w:t>
            </w:r>
          </w:p>
        </w:tc>
        <w:tc>
          <w:tcPr>
            <w:tcW w:w="1429" w:type="dxa"/>
          </w:tcPr>
          <w:p w:rsidR="00D745DC" w:rsidRDefault="00D745DC" w:rsidP="00D745DC">
            <w:pPr>
              <w:pStyle w:val="AITableText"/>
            </w:pPr>
          </w:p>
          <w:p w:rsidR="00D745DC" w:rsidRDefault="00D745DC" w:rsidP="00D745DC">
            <w:pPr>
              <w:pStyle w:val="AITableText"/>
            </w:pPr>
            <w:r>
              <w:t>40</w:t>
            </w:r>
          </w:p>
          <w:p w:rsidR="00D745DC" w:rsidRPr="00974672" w:rsidRDefault="00D745DC" w:rsidP="00D745DC">
            <w:pPr>
              <w:pStyle w:val="AITableText"/>
            </w:pPr>
            <w:r>
              <w:t>35</w:t>
            </w:r>
          </w:p>
        </w:tc>
        <w:tc>
          <w:tcPr>
            <w:tcW w:w="1429" w:type="dxa"/>
          </w:tcPr>
          <w:p w:rsidR="00D745DC" w:rsidRDefault="00D745DC" w:rsidP="00D745DC">
            <w:pPr>
              <w:pStyle w:val="AITableText"/>
            </w:pPr>
          </w:p>
          <w:p w:rsidR="00D745DC" w:rsidRDefault="00D745DC" w:rsidP="00D745DC">
            <w:pPr>
              <w:pStyle w:val="AITableText"/>
            </w:pPr>
            <w:r>
              <w:t>46</w:t>
            </w:r>
          </w:p>
          <w:p w:rsidR="00D745DC" w:rsidRPr="00974672" w:rsidRDefault="00D745DC" w:rsidP="00D745DC">
            <w:pPr>
              <w:pStyle w:val="AITableText"/>
            </w:pPr>
            <w:r>
              <w:t>30</w:t>
            </w:r>
          </w:p>
        </w:tc>
        <w:tc>
          <w:tcPr>
            <w:tcW w:w="1429" w:type="dxa"/>
          </w:tcPr>
          <w:p w:rsidR="00D745DC" w:rsidRDefault="00D745DC" w:rsidP="00D745DC">
            <w:pPr>
              <w:pStyle w:val="AITableText"/>
            </w:pPr>
          </w:p>
          <w:p w:rsidR="00D745DC" w:rsidRDefault="00D745DC" w:rsidP="00D745DC">
            <w:pPr>
              <w:pStyle w:val="AITableText"/>
            </w:pPr>
            <w:r>
              <w:t>40</w:t>
            </w:r>
          </w:p>
          <w:p w:rsidR="00D745DC" w:rsidRPr="00974672" w:rsidRDefault="00D745DC" w:rsidP="00D745DC">
            <w:pPr>
              <w:pStyle w:val="AITableText"/>
            </w:pPr>
            <w:r>
              <w:t>35</w:t>
            </w:r>
          </w:p>
        </w:tc>
      </w:tr>
      <w:tr w:rsidR="00D745DC" w:rsidRPr="00CF1A8C" w:rsidTr="00B960DF">
        <w:tc>
          <w:tcPr>
            <w:tcW w:w="5063" w:type="dxa"/>
          </w:tcPr>
          <w:p w:rsidR="00D745DC" w:rsidRDefault="00D745DC" w:rsidP="00D745DC">
            <w:pPr>
              <w:pStyle w:val="ListParagraph"/>
              <w:numPr>
                <w:ilvl w:val="0"/>
                <w:numId w:val="15"/>
              </w:numPr>
              <w:contextualSpacing/>
              <w:rPr>
                <w:sz w:val="20"/>
                <w:szCs w:val="20"/>
              </w:rPr>
            </w:pPr>
            <w:r w:rsidRPr="00AA0B1A">
              <w:rPr>
                <w:sz w:val="20"/>
                <w:szCs w:val="20"/>
              </w:rPr>
              <w:t>Percentage of development application decisions made within statutory timeframe</w:t>
            </w:r>
          </w:p>
        </w:tc>
        <w:tc>
          <w:tcPr>
            <w:tcW w:w="1429" w:type="dxa"/>
          </w:tcPr>
          <w:p w:rsidR="00D745DC" w:rsidRPr="00CF1A8C" w:rsidRDefault="00D745DC" w:rsidP="00D745DC">
            <w:pPr>
              <w:pStyle w:val="AITableText"/>
            </w:pPr>
            <w:r>
              <w:t>75%</w:t>
            </w:r>
          </w:p>
        </w:tc>
        <w:tc>
          <w:tcPr>
            <w:tcW w:w="1429" w:type="dxa"/>
          </w:tcPr>
          <w:p w:rsidR="00D745DC" w:rsidRPr="00CF1A8C" w:rsidRDefault="00D745DC" w:rsidP="00D745DC">
            <w:pPr>
              <w:pStyle w:val="AITableText"/>
            </w:pPr>
            <w:r>
              <w:t>74%</w:t>
            </w:r>
          </w:p>
        </w:tc>
        <w:tc>
          <w:tcPr>
            <w:tcW w:w="1429" w:type="dxa"/>
          </w:tcPr>
          <w:p w:rsidR="00D745DC" w:rsidRPr="00CF1A8C" w:rsidRDefault="00D745DC" w:rsidP="00D745DC">
            <w:pPr>
              <w:pStyle w:val="AITableText"/>
            </w:pPr>
            <w:r>
              <w:t>75%</w:t>
            </w:r>
          </w:p>
        </w:tc>
      </w:tr>
      <w:tr w:rsidR="00D745DC" w:rsidRPr="00CF1A8C" w:rsidTr="00B960DF">
        <w:tc>
          <w:tcPr>
            <w:tcW w:w="5063" w:type="dxa"/>
          </w:tcPr>
          <w:p w:rsidR="00D745DC" w:rsidRDefault="00D745DC" w:rsidP="00D745DC">
            <w:pPr>
              <w:pStyle w:val="ListParagraph"/>
              <w:numPr>
                <w:ilvl w:val="0"/>
                <w:numId w:val="15"/>
              </w:numPr>
              <w:contextualSpacing/>
              <w:rPr>
                <w:sz w:val="20"/>
                <w:szCs w:val="20"/>
              </w:rPr>
            </w:pPr>
            <w:r w:rsidRPr="00AA0B1A">
              <w:rPr>
                <w:sz w:val="20"/>
                <w:szCs w:val="20"/>
              </w:rPr>
              <w:t>Percentage of development application appeals resolved by mediation in relation to development proposals</w:t>
            </w:r>
          </w:p>
        </w:tc>
        <w:tc>
          <w:tcPr>
            <w:tcW w:w="1429" w:type="dxa"/>
          </w:tcPr>
          <w:p w:rsidR="00D745DC" w:rsidRDefault="00D745DC" w:rsidP="00D745DC">
            <w:pPr>
              <w:pStyle w:val="AITableText"/>
            </w:pPr>
            <w:r>
              <w:t>35%</w:t>
            </w:r>
          </w:p>
        </w:tc>
        <w:tc>
          <w:tcPr>
            <w:tcW w:w="1429" w:type="dxa"/>
          </w:tcPr>
          <w:p w:rsidR="00D745DC" w:rsidRDefault="00D745DC" w:rsidP="00D745DC">
            <w:pPr>
              <w:pStyle w:val="AITableText"/>
            </w:pPr>
            <w:r>
              <w:t>25%</w:t>
            </w:r>
          </w:p>
        </w:tc>
        <w:tc>
          <w:tcPr>
            <w:tcW w:w="1429" w:type="dxa"/>
          </w:tcPr>
          <w:p w:rsidR="00D745DC" w:rsidRDefault="00D745DC" w:rsidP="00D745DC">
            <w:pPr>
              <w:pStyle w:val="AITableText"/>
            </w:pPr>
            <w:r>
              <w:t>35%</w:t>
            </w:r>
          </w:p>
        </w:tc>
      </w:tr>
      <w:tr w:rsidR="00D745DC" w:rsidRPr="00CF1A8C" w:rsidTr="00B960DF">
        <w:tc>
          <w:tcPr>
            <w:tcW w:w="5063" w:type="dxa"/>
          </w:tcPr>
          <w:p w:rsidR="00D745DC" w:rsidRDefault="00D745DC" w:rsidP="00D745DC">
            <w:pPr>
              <w:pStyle w:val="ListParagraph"/>
              <w:numPr>
                <w:ilvl w:val="0"/>
                <w:numId w:val="15"/>
              </w:numPr>
              <w:contextualSpacing/>
              <w:rPr>
                <w:sz w:val="20"/>
                <w:szCs w:val="20"/>
              </w:rPr>
            </w:pPr>
            <w:r w:rsidRPr="00AA0B1A">
              <w:rPr>
                <w:sz w:val="20"/>
                <w:szCs w:val="20"/>
              </w:rPr>
              <w:t>Percentage of ACT Civil and Administrative Tribunal (ACAT) decisions which uphold the Directorate’s original decision</w:t>
            </w:r>
          </w:p>
        </w:tc>
        <w:tc>
          <w:tcPr>
            <w:tcW w:w="1429" w:type="dxa"/>
          </w:tcPr>
          <w:p w:rsidR="00D745DC" w:rsidRDefault="00D745DC" w:rsidP="00D745DC">
            <w:pPr>
              <w:pStyle w:val="AITableText"/>
            </w:pPr>
            <w:r>
              <w:t>85%</w:t>
            </w:r>
          </w:p>
        </w:tc>
        <w:tc>
          <w:tcPr>
            <w:tcW w:w="1429" w:type="dxa"/>
          </w:tcPr>
          <w:p w:rsidR="00D745DC" w:rsidRDefault="00D745DC" w:rsidP="00D745DC">
            <w:pPr>
              <w:pStyle w:val="AITableText"/>
            </w:pPr>
            <w:r>
              <w:t>95%</w:t>
            </w:r>
          </w:p>
        </w:tc>
        <w:tc>
          <w:tcPr>
            <w:tcW w:w="1429" w:type="dxa"/>
          </w:tcPr>
          <w:p w:rsidR="00D745DC" w:rsidRDefault="00D745DC" w:rsidP="00D745DC">
            <w:pPr>
              <w:pStyle w:val="AITableText"/>
            </w:pPr>
            <w:r>
              <w:t>85%</w:t>
            </w:r>
          </w:p>
        </w:tc>
      </w:tr>
      <w:tr w:rsidR="00D745DC" w:rsidRPr="00CF1A8C" w:rsidTr="00B960DF">
        <w:tc>
          <w:tcPr>
            <w:tcW w:w="5063" w:type="dxa"/>
          </w:tcPr>
          <w:p w:rsidR="00D745DC" w:rsidRPr="005320AB" w:rsidRDefault="00D745DC" w:rsidP="00D745DC">
            <w:pPr>
              <w:pStyle w:val="ListParagraph"/>
              <w:numPr>
                <w:ilvl w:val="0"/>
                <w:numId w:val="15"/>
              </w:numPr>
              <w:contextualSpacing/>
              <w:rPr>
                <w:sz w:val="20"/>
                <w:szCs w:val="20"/>
              </w:rPr>
            </w:pPr>
            <w:r w:rsidRPr="005320AB">
              <w:rPr>
                <w:sz w:val="20"/>
                <w:szCs w:val="20"/>
              </w:rPr>
              <w:t>Percentage of Development Services Assurance Program completed</w:t>
            </w:r>
            <w:r w:rsidRPr="005320AB">
              <w:rPr>
                <w:sz w:val="20"/>
                <w:szCs w:val="20"/>
                <w:vertAlign w:val="superscript"/>
              </w:rPr>
              <w:t>2</w:t>
            </w:r>
          </w:p>
        </w:tc>
        <w:tc>
          <w:tcPr>
            <w:tcW w:w="1429" w:type="dxa"/>
          </w:tcPr>
          <w:p w:rsidR="00D745DC" w:rsidRPr="005320AB" w:rsidRDefault="00D745DC" w:rsidP="00D745DC">
            <w:pPr>
              <w:pStyle w:val="AITableText"/>
            </w:pPr>
            <w:r w:rsidRPr="005320AB">
              <w:t>90%</w:t>
            </w:r>
          </w:p>
        </w:tc>
        <w:tc>
          <w:tcPr>
            <w:tcW w:w="1429" w:type="dxa"/>
          </w:tcPr>
          <w:p w:rsidR="00D745DC" w:rsidRPr="005320AB" w:rsidRDefault="00D745DC" w:rsidP="00AB7C56">
            <w:pPr>
              <w:pStyle w:val="AITableText"/>
            </w:pPr>
            <w:r w:rsidRPr="005320AB">
              <w:t xml:space="preserve">Not </w:t>
            </w:r>
            <w:r w:rsidR="00BE4FAE">
              <w:t>ach</w:t>
            </w:r>
            <w:r w:rsidR="00AB7C56">
              <w:t>ie</w:t>
            </w:r>
            <w:r w:rsidR="00BE4FAE">
              <w:t>ved</w:t>
            </w:r>
          </w:p>
        </w:tc>
        <w:tc>
          <w:tcPr>
            <w:tcW w:w="1429" w:type="dxa"/>
          </w:tcPr>
          <w:p w:rsidR="00D745DC" w:rsidRPr="005320AB" w:rsidRDefault="00D745DC" w:rsidP="00D745DC">
            <w:pPr>
              <w:pStyle w:val="AITableText"/>
            </w:pPr>
            <w:r w:rsidRPr="005320AB">
              <w:t>n/a</w:t>
            </w:r>
          </w:p>
        </w:tc>
      </w:tr>
      <w:tr w:rsidR="00D745DC" w:rsidRPr="00CF1A8C" w:rsidTr="00B960DF">
        <w:tc>
          <w:tcPr>
            <w:tcW w:w="5063" w:type="dxa"/>
            <w:tcBorders>
              <w:bottom w:val="single" w:sz="4" w:space="0" w:color="auto"/>
            </w:tcBorders>
          </w:tcPr>
          <w:p w:rsidR="00D745DC" w:rsidRPr="005320AB" w:rsidRDefault="00D745DC" w:rsidP="00D745DC">
            <w:pPr>
              <w:pStyle w:val="ListParagraph"/>
              <w:numPr>
                <w:ilvl w:val="0"/>
                <w:numId w:val="15"/>
              </w:numPr>
              <w:contextualSpacing/>
              <w:rPr>
                <w:sz w:val="20"/>
                <w:szCs w:val="20"/>
              </w:rPr>
            </w:pPr>
            <w:r w:rsidRPr="005320AB">
              <w:rPr>
                <w:sz w:val="20"/>
                <w:szCs w:val="20"/>
              </w:rPr>
              <w:t>Percentage of EIS Scoping documents prepared within statutory timeframes</w:t>
            </w:r>
            <w:r w:rsidRPr="005320AB">
              <w:rPr>
                <w:sz w:val="20"/>
                <w:szCs w:val="20"/>
                <w:vertAlign w:val="superscript"/>
              </w:rPr>
              <w:t>3</w:t>
            </w:r>
          </w:p>
        </w:tc>
        <w:tc>
          <w:tcPr>
            <w:tcW w:w="1429" w:type="dxa"/>
            <w:tcBorders>
              <w:bottom w:val="single" w:sz="4" w:space="0" w:color="auto"/>
            </w:tcBorders>
          </w:tcPr>
          <w:p w:rsidR="00D745DC" w:rsidRPr="005320AB" w:rsidRDefault="00D745DC" w:rsidP="00D745DC">
            <w:pPr>
              <w:pStyle w:val="AITableText"/>
            </w:pPr>
            <w:r w:rsidRPr="005320AB">
              <w:t>75%</w:t>
            </w:r>
          </w:p>
        </w:tc>
        <w:tc>
          <w:tcPr>
            <w:tcW w:w="1429" w:type="dxa"/>
            <w:tcBorders>
              <w:bottom w:val="single" w:sz="4" w:space="0" w:color="auto"/>
            </w:tcBorders>
          </w:tcPr>
          <w:p w:rsidR="00D745DC" w:rsidRPr="005320AB" w:rsidRDefault="00D745DC" w:rsidP="00D745DC">
            <w:pPr>
              <w:pStyle w:val="AITableText"/>
            </w:pPr>
            <w:r w:rsidRPr="005320AB">
              <w:t>n/a</w:t>
            </w:r>
          </w:p>
        </w:tc>
        <w:tc>
          <w:tcPr>
            <w:tcW w:w="1429" w:type="dxa"/>
            <w:tcBorders>
              <w:bottom w:val="single" w:sz="4" w:space="0" w:color="auto"/>
            </w:tcBorders>
          </w:tcPr>
          <w:p w:rsidR="00D745DC" w:rsidRPr="005320AB" w:rsidRDefault="00D745DC" w:rsidP="00D745DC">
            <w:pPr>
              <w:pStyle w:val="AITableText"/>
            </w:pPr>
            <w:r w:rsidRPr="005320AB">
              <w:t>75%</w:t>
            </w:r>
          </w:p>
        </w:tc>
      </w:tr>
    </w:tbl>
    <w:p w:rsidR="00D745DC" w:rsidRPr="00946B2A" w:rsidRDefault="00D745DC" w:rsidP="00D745DC">
      <w:pPr>
        <w:pStyle w:val="NoteHeading0"/>
      </w:pPr>
      <w:r w:rsidRPr="00946B2A">
        <w:t>Notes:</w:t>
      </w:r>
    </w:p>
    <w:p w:rsidR="00D745DC" w:rsidRPr="004B2D58" w:rsidRDefault="00D745DC" w:rsidP="004B2D58">
      <w:pPr>
        <w:pStyle w:val="AINotes"/>
        <w:numPr>
          <w:ilvl w:val="0"/>
          <w:numId w:val="52"/>
        </w:numPr>
        <w:rPr>
          <w:rStyle w:val="NoteTextChar"/>
          <w:szCs w:val="16"/>
        </w:rPr>
      </w:pPr>
      <w:r w:rsidRPr="004B2D58">
        <w:rPr>
          <w:rStyle w:val="NoteTextChar"/>
          <w:szCs w:val="16"/>
        </w:rPr>
        <w:t>2012-13 estimated outcome is primarily the result of the complexity of several large applications received during the year.</w:t>
      </w:r>
    </w:p>
    <w:p w:rsidR="00D745DC" w:rsidRDefault="00D745DC" w:rsidP="00D745DC">
      <w:pPr>
        <w:pStyle w:val="AINotes"/>
        <w:numPr>
          <w:ilvl w:val="0"/>
          <w:numId w:val="43"/>
        </w:numPr>
        <w:rPr>
          <w:rStyle w:val="NoteTextChar"/>
          <w:szCs w:val="16"/>
        </w:rPr>
      </w:pPr>
      <w:r>
        <w:rPr>
          <w:rStyle w:val="NoteTextChar"/>
          <w:szCs w:val="16"/>
        </w:rPr>
        <w:t>Indicator discontinued as s</w:t>
      </w:r>
      <w:r w:rsidRPr="005320AB">
        <w:rPr>
          <w:rStyle w:val="NoteTextChar"/>
          <w:szCs w:val="16"/>
        </w:rPr>
        <w:t>tructural changes have meant that the Development Services Assurance Program has undergone revision in the early part of the year</w:t>
      </w:r>
      <w:r>
        <w:rPr>
          <w:rStyle w:val="NoteTextChar"/>
          <w:szCs w:val="16"/>
        </w:rPr>
        <w:t xml:space="preserve"> and has been incorporated into the Directorate’s governance services. </w:t>
      </w:r>
    </w:p>
    <w:p w:rsidR="00D745DC" w:rsidRDefault="00D745DC" w:rsidP="00D745DC">
      <w:pPr>
        <w:pStyle w:val="AINotes"/>
        <w:numPr>
          <w:ilvl w:val="0"/>
          <w:numId w:val="43"/>
        </w:numPr>
        <w:rPr>
          <w:rStyle w:val="NoteTextChar"/>
          <w:szCs w:val="16"/>
        </w:rPr>
      </w:pPr>
      <w:r w:rsidRPr="00837F37">
        <w:rPr>
          <w:rStyle w:val="NoteTextChar"/>
          <w:szCs w:val="16"/>
        </w:rPr>
        <w:t xml:space="preserve">The statutory timeframe is prescribed under s214 of the </w:t>
      </w:r>
      <w:r w:rsidRPr="00837F37">
        <w:rPr>
          <w:rStyle w:val="NoteTextChar"/>
          <w:i/>
          <w:szCs w:val="16"/>
        </w:rPr>
        <w:t>Planning Development Act 2007</w:t>
      </w:r>
      <w:r w:rsidRPr="00837F37">
        <w:rPr>
          <w:rStyle w:val="NoteTextChar"/>
          <w:szCs w:val="16"/>
        </w:rPr>
        <w:t>, as 30 working days or a further period if approved by the Chief Planning Executive.</w:t>
      </w:r>
      <w:r>
        <w:rPr>
          <w:rStyle w:val="NoteTextChar"/>
          <w:szCs w:val="16"/>
        </w:rPr>
        <w:t xml:space="preserve"> </w:t>
      </w:r>
      <w:r w:rsidR="00587FA5">
        <w:rPr>
          <w:rStyle w:val="NoteTextChar"/>
          <w:szCs w:val="16"/>
        </w:rPr>
        <w:t xml:space="preserve"> </w:t>
      </w:r>
      <w:r>
        <w:rPr>
          <w:rStyle w:val="NoteTextChar"/>
          <w:szCs w:val="16"/>
        </w:rPr>
        <w:t>No EIS scoping documents were required in 2012-13.</w:t>
      </w:r>
    </w:p>
    <w:p w:rsidR="00D745DC" w:rsidRDefault="00D745DC" w:rsidP="00D745DC">
      <w:pPr>
        <w:pStyle w:val="AINotes"/>
        <w:numPr>
          <w:ilvl w:val="0"/>
          <w:numId w:val="0"/>
        </w:numPr>
        <w:ind w:left="357"/>
        <w:rPr>
          <w:rStyle w:val="NoteTextChar"/>
          <w:szCs w:val="16"/>
        </w:rPr>
      </w:pPr>
    </w:p>
    <w:p w:rsidR="00120385" w:rsidRDefault="00120385" w:rsidP="00120385">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pPr>
      <w:r>
        <w:lastRenderedPageBreak/>
        <w:t>Accountability Indicators cont.</w:t>
      </w:r>
    </w:p>
    <w:p w:rsidR="00120385" w:rsidRPr="00837F37" w:rsidRDefault="00120385" w:rsidP="00D745DC">
      <w:pPr>
        <w:pStyle w:val="AINotes"/>
        <w:numPr>
          <w:ilvl w:val="0"/>
          <w:numId w:val="0"/>
        </w:numPr>
        <w:ind w:left="357"/>
        <w:rPr>
          <w:rStyle w:val="NoteTextChar"/>
          <w:szCs w:val="16"/>
        </w:rPr>
      </w:pPr>
    </w:p>
    <w:tbl>
      <w:tblPr>
        <w:tblW w:w="9356" w:type="dxa"/>
        <w:tblLook w:val="0000"/>
      </w:tblPr>
      <w:tblGrid>
        <w:gridCol w:w="5066"/>
        <w:gridCol w:w="1430"/>
        <w:gridCol w:w="1430"/>
        <w:gridCol w:w="1430"/>
      </w:tblGrid>
      <w:tr w:rsidR="00D745DC" w:rsidRPr="00CF1A8C" w:rsidTr="001D5644">
        <w:tc>
          <w:tcPr>
            <w:tcW w:w="5063" w:type="dxa"/>
            <w:tcBorders>
              <w:top w:val="single" w:sz="4" w:space="0" w:color="auto"/>
              <w:bottom w:val="single" w:sz="4" w:space="0" w:color="auto"/>
            </w:tcBorders>
          </w:tcPr>
          <w:p w:rsidR="00D745DC" w:rsidRPr="00CF1A8C" w:rsidRDefault="00D745DC" w:rsidP="00D745DC">
            <w:pPr>
              <w:pStyle w:val="Heading6"/>
            </w:pP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Targets</w:t>
            </w: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Est. Outcome</w:t>
            </w:r>
          </w:p>
        </w:tc>
        <w:tc>
          <w:tcPr>
            <w:tcW w:w="1429" w:type="dxa"/>
            <w:tcBorders>
              <w:top w:val="single" w:sz="4" w:space="0" w:color="auto"/>
              <w:bottom w:val="single" w:sz="4" w:space="0" w:color="auto"/>
            </w:tcBorders>
          </w:tcPr>
          <w:p w:rsidR="00D745DC" w:rsidRPr="00CF1A8C" w:rsidRDefault="00D745DC" w:rsidP="00D745DC">
            <w:pPr>
              <w:pStyle w:val="Heading6"/>
            </w:pPr>
            <w:r>
              <w:t>2013-14</w:t>
            </w:r>
          </w:p>
          <w:p w:rsidR="00D745DC" w:rsidRPr="00CF1A8C" w:rsidRDefault="00D745DC" w:rsidP="00D745DC">
            <w:pPr>
              <w:pStyle w:val="Heading6"/>
            </w:pPr>
            <w:r w:rsidRPr="00CF1A8C">
              <w:t>Targets</w:t>
            </w:r>
          </w:p>
        </w:tc>
      </w:tr>
      <w:tr w:rsidR="00D745DC" w:rsidRPr="00CF1A8C" w:rsidTr="001D5644">
        <w:tc>
          <w:tcPr>
            <w:tcW w:w="1429" w:type="dxa"/>
            <w:gridSpan w:val="4"/>
            <w:tcBorders>
              <w:top w:val="single" w:sz="4" w:space="0" w:color="auto"/>
              <w:bottom w:val="single" w:sz="4" w:space="0" w:color="auto"/>
            </w:tcBorders>
          </w:tcPr>
          <w:p w:rsidR="00D745DC" w:rsidRPr="00CF1A8C" w:rsidRDefault="00D745DC" w:rsidP="00D745DC">
            <w:pPr>
              <w:pStyle w:val="Heading7"/>
            </w:pPr>
            <w:r w:rsidRPr="00CF1A8C">
              <w:t>Output 1.</w:t>
            </w:r>
            <w:r>
              <w:t>3</w:t>
            </w:r>
            <w:r w:rsidRPr="00CF1A8C">
              <w:t xml:space="preserve">: </w:t>
            </w:r>
            <w:r>
              <w:t>Planning Policy</w:t>
            </w:r>
          </w:p>
        </w:tc>
      </w:tr>
      <w:tr w:rsidR="00D745DC" w:rsidRPr="0015507A" w:rsidTr="001D5644">
        <w:tc>
          <w:tcPr>
            <w:tcW w:w="5063" w:type="dxa"/>
          </w:tcPr>
          <w:p w:rsidR="00D745DC" w:rsidRPr="0015507A" w:rsidRDefault="00D745DC" w:rsidP="00D745DC">
            <w:pPr>
              <w:pStyle w:val="AIIndent"/>
              <w:numPr>
                <w:ilvl w:val="0"/>
                <w:numId w:val="13"/>
              </w:numPr>
            </w:pPr>
            <w:r w:rsidRPr="0015507A">
              <w:t>Commence data collection and evaluation processes as outlined in the ACT Planning Strategy</w:t>
            </w:r>
            <w:r w:rsidRPr="0015507A">
              <w:rPr>
                <w:vertAlign w:val="superscript"/>
              </w:rPr>
              <w:t>1</w:t>
            </w:r>
          </w:p>
        </w:tc>
        <w:tc>
          <w:tcPr>
            <w:tcW w:w="1429" w:type="dxa"/>
          </w:tcPr>
          <w:p w:rsidR="00D745DC" w:rsidRPr="0015507A" w:rsidRDefault="00D745DC" w:rsidP="00D745DC">
            <w:pPr>
              <w:pStyle w:val="AITableText"/>
            </w:pPr>
            <w:r w:rsidRPr="0015507A">
              <w:t>Jun 2013</w:t>
            </w:r>
          </w:p>
        </w:tc>
        <w:tc>
          <w:tcPr>
            <w:tcW w:w="1429" w:type="dxa"/>
          </w:tcPr>
          <w:p w:rsidR="00D745DC" w:rsidRPr="0015507A" w:rsidRDefault="00A60069" w:rsidP="00D745DC">
            <w:pPr>
              <w:pStyle w:val="AITableText"/>
            </w:pPr>
            <w:r>
              <w:t>Jun</w:t>
            </w:r>
            <w:r w:rsidR="00D745DC" w:rsidRPr="0015507A">
              <w:t xml:space="preserve"> 2013</w:t>
            </w:r>
          </w:p>
        </w:tc>
        <w:tc>
          <w:tcPr>
            <w:tcW w:w="1429" w:type="dxa"/>
          </w:tcPr>
          <w:p w:rsidR="00D745DC" w:rsidRPr="0015507A" w:rsidRDefault="00D745DC" w:rsidP="00D745DC">
            <w:pPr>
              <w:pStyle w:val="AITableText"/>
            </w:pPr>
            <w:r w:rsidRPr="0015507A">
              <w:t>n/a</w:t>
            </w:r>
          </w:p>
        </w:tc>
      </w:tr>
      <w:tr w:rsidR="00D745DC" w:rsidRPr="0015507A" w:rsidTr="001D5644">
        <w:tc>
          <w:tcPr>
            <w:tcW w:w="5063" w:type="dxa"/>
          </w:tcPr>
          <w:p w:rsidR="00D745DC" w:rsidRPr="0015507A" w:rsidRDefault="00D745DC" w:rsidP="00D745DC">
            <w:pPr>
              <w:pStyle w:val="AIIndent"/>
              <w:numPr>
                <w:ilvl w:val="0"/>
                <w:numId w:val="13"/>
              </w:numPr>
            </w:pPr>
            <w:r w:rsidRPr="0015507A">
              <w:t>Achievement of the key actions for 2012-13 as outlined in the Transport for Canberra Policy</w:t>
            </w:r>
            <w:r w:rsidRPr="0015507A">
              <w:rPr>
                <w:vertAlign w:val="superscript"/>
              </w:rPr>
              <w:t>2</w:t>
            </w:r>
          </w:p>
        </w:tc>
        <w:tc>
          <w:tcPr>
            <w:tcW w:w="1429" w:type="dxa"/>
          </w:tcPr>
          <w:p w:rsidR="00D745DC" w:rsidRPr="0015507A" w:rsidRDefault="00A60069" w:rsidP="00D745DC">
            <w:pPr>
              <w:pStyle w:val="AITableText"/>
            </w:pPr>
            <w:r>
              <w:t>Jun</w:t>
            </w:r>
            <w:r w:rsidR="00D745DC" w:rsidRPr="0015507A">
              <w:t xml:space="preserve"> 2013</w:t>
            </w:r>
          </w:p>
        </w:tc>
        <w:tc>
          <w:tcPr>
            <w:tcW w:w="1429" w:type="dxa"/>
          </w:tcPr>
          <w:p w:rsidR="00D745DC" w:rsidRPr="0015507A" w:rsidRDefault="00A60069" w:rsidP="00D745DC">
            <w:pPr>
              <w:pStyle w:val="AITableText"/>
            </w:pPr>
            <w:r>
              <w:t>Jun</w:t>
            </w:r>
            <w:r w:rsidR="00D745DC" w:rsidRPr="0015507A">
              <w:t xml:space="preserve"> 2013</w:t>
            </w:r>
          </w:p>
        </w:tc>
        <w:tc>
          <w:tcPr>
            <w:tcW w:w="1429" w:type="dxa"/>
          </w:tcPr>
          <w:p w:rsidR="00D745DC" w:rsidRPr="0015507A" w:rsidRDefault="00D745DC" w:rsidP="00D745DC">
            <w:pPr>
              <w:pStyle w:val="AITableText"/>
            </w:pPr>
            <w:r w:rsidRPr="0015507A">
              <w:t>n/a</w:t>
            </w:r>
          </w:p>
        </w:tc>
      </w:tr>
      <w:tr w:rsidR="00D745DC" w:rsidRPr="00CF1A8C" w:rsidTr="001D5644">
        <w:tc>
          <w:tcPr>
            <w:tcW w:w="5063" w:type="dxa"/>
          </w:tcPr>
          <w:p w:rsidR="00D745DC" w:rsidRPr="0015507A" w:rsidRDefault="00D745DC" w:rsidP="00D745DC">
            <w:pPr>
              <w:pStyle w:val="AIIndent"/>
              <w:numPr>
                <w:ilvl w:val="0"/>
                <w:numId w:val="13"/>
              </w:numPr>
            </w:pPr>
            <w:r w:rsidRPr="0015507A">
              <w:t>Provision of greenfields residential land, ready for Estate Development Plan preparation, equivalent to five years demand</w:t>
            </w:r>
            <w:r w:rsidRPr="0015507A">
              <w:rPr>
                <w:vertAlign w:val="superscript"/>
              </w:rPr>
              <w:t>3</w:t>
            </w:r>
          </w:p>
        </w:tc>
        <w:tc>
          <w:tcPr>
            <w:tcW w:w="1429" w:type="dxa"/>
          </w:tcPr>
          <w:p w:rsidR="00D745DC" w:rsidRPr="0015507A" w:rsidRDefault="00D745DC" w:rsidP="00D745DC">
            <w:pPr>
              <w:pStyle w:val="AITableText"/>
            </w:pPr>
            <w:r w:rsidRPr="0015507A">
              <w:t>8,000</w:t>
            </w:r>
          </w:p>
        </w:tc>
        <w:tc>
          <w:tcPr>
            <w:tcW w:w="1429" w:type="dxa"/>
          </w:tcPr>
          <w:p w:rsidR="00D745DC" w:rsidRPr="0015507A" w:rsidRDefault="00D745DC" w:rsidP="00D745DC">
            <w:pPr>
              <w:pStyle w:val="AITableText"/>
            </w:pPr>
            <w:r w:rsidRPr="0015507A">
              <w:t>9,931</w:t>
            </w:r>
          </w:p>
          <w:p w:rsidR="00D745DC" w:rsidRPr="0015507A" w:rsidRDefault="00D745DC" w:rsidP="00D745DC">
            <w:pPr>
              <w:pStyle w:val="AITableText"/>
            </w:pPr>
          </w:p>
        </w:tc>
        <w:tc>
          <w:tcPr>
            <w:tcW w:w="1429" w:type="dxa"/>
          </w:tcPr>
          <w:p w:rsidR="00D745DC" w:rsidRPr="00CF1A8C" w:rsidRDefault="00D745DC" w:rsidP="00D745DC">
            <w:pPr>
              <w:pStyle w:val="AITableText"/>
            </w:pPr>
            <w:r w:rsidRPr="0015507A">
              <w:t>n/a</w:t>
            </w:r>
          </w:p>
        </w:tc>
      </w:tr>
      <w:tr w:rsidR="00D745DC" w:rsidRPr="00CF1A8C" w:rsidTr="001D5644">
        <w:tc>
          <w:tcPr>
            <w:tcW w:w="5063" w:type="dxa"/>
          </w:tcPr>
          <w:p w:rsidR="00D745DC" w:rsidRDefault="00D745DC" w:rsidP="00D745DC">
            <w:pPr>
              <w:pStyle w:val="AIIndent"/>
              <w:numPr>
                <w:ilvl w:val="0"/>
                <w:numId w:val="13"/>
              </w:numPr>
            </w:pPr>
            <w:r>
              <w:t>Achievement of the key actions for 2013-14 as outlined in the Transport for Canberra Policy</w:t>
            </w:r>
            <w:r w:rsidRPr="005320AB">
              <w:rPr>
                <w:vertAlign w:val="superscript"/>
              </w:rPr>
              <w:t>4</w:t>
            </w:r>
            <w:r>
              <w:t xml:space="preserve"> </w:t>
            </w:r>
          </w:p>
        </w:tc>
        <w:tc>
          <w:tcPr>
            <w:tcW w:w="1429" w:type="dxa"/>
          </w:tcPr>
          <w:p w:rsidR="00D745DC" w:rsidRPr="00CF1A8C" w:rsidRDefault="00D745DC" w:rsidP="00D745DC">
            <w:pPr>
              <w:pStyle w:val="AITableText"/>
            </w:pPr>
            <w:r>
              <w:t>n/a</w:t>
            </w:r>
          </w:p>
        </w:tc>
        <w:tc>
          <w:tcPr>
            <w:tcW w:w="1429" w:type="dxa"/>
          </w:tcPr>
          <w:p w:rsidR="00D745DC" w:rsidRPr="00CF1A8C" w:rsidRDefault="00D745DC" w:rsidP="00D745DC">
            <w:pPr>
              <w:pStyle w:val="AITableText"/>
            </w:pPr>
            <w:r>
              <w:t>n/a</w:t>
            </w:r>
          </w:p>
        </w:tc>
        <w:tc>
          <w:tcPr>
            <w:tcW w:w="1429" w:type="dxa"/>
          </w:tcPr>
          <w:p w:rsidR="00D745DC" w:rsidRPr="00CF1A8C" w:rsidRDefault="00A60069" w:rsidP="00D745DC">
            <w:pPr>
              <w:pStyle w:val="AITableText"/>
            </w:pPr>
            <w:r>
              <w:t>Jun</w:t>
            </w:r>
            <w:r w:rsidR="00D745DC">
              <w:t xml:space="preserve"> 2014</w:t>
            </w:r>
          </w:p>
        </w:tc>
      </w:tr>
      <w:tr w:rsidR="00D745DC" w:rsidRPr="00CF1A8C" w:rsidTr="001D5644">
        <w:tc>
          <w:tcPr>
            <w:tcW w:w="5063" w:type="dxa"/>
            <w:tcBorders>
              <w:bottom w:val="single" w:sz="4" w:space="0" w:color="auto"/>
            </w:tcBorders>
          </w:tcPr>
          <w:p w:rsidR="00D745DC" w:rsidRDefault="00D745DC" w:rsidP="00D745DC">
            <w:pPr>
              <w:pStyle w:val="AIIndent"/>
              <w:numPr>
                <w:ilvl w:val="0"/>
                <w:numId w:val="13"/>
              </w:numPr>
            </w:pPr>
            <w:r>
              <w:t>Implement evaluation process of ACT Planning Strategy and report against actions</w:t>
            </w:r>
            <w:r w:rsidRPr="005320AB">
              <w:rPr>
                <w:vertAlign w:val="superscript"/>
              </w:rPr>
              <w:t>5</w:t>
            </w:r>
          </w:p>
        </w:tc>
        <w:tc>
          <w:tcPr>
            <w:tcW w:w="1429" w:type="dxa"/>
            <w:tcBorders>
              <w:bottom w:val="single" w:sz="4" w:space="0" w:color="auto"/>
            </w:tcBorders>
          </w:tcPr>
          <w:p w:rsidR="00D745DC" w:rsidRDefault="00D745DC" w:rsidP="00D745DC">
            <w:pPr>
              <w:pStyle w:val="AITableText"/>
            </w:pPr>
            <w:r>
              <w:t>n/a</w:t>
            </w:r>
          </w:p>
        </w:tc>
        <w:tc>
          <w:tcPr>
            <w:tcW w:w="1429" w:type="dxa"/>
            <w:tcBorders>
              <w:bottom w:val="single" w:sz="4" w:space="0" w:color="auto"/>
            </w:tcBorders>
          </w:tcPr>
          <w:p w:rsidR="00D745DC" w:rsidRDefault="00D745DC" w:rsidP="00D745DC">
            <w:pPr>
              <w:pStyle w:val="AITableText"/>
            </w:pPr>
            <w:r>
              <w:t>n/a</w:t>
            </w:r>
          </w:p>
        </w:tc>
        <w:tc>
          <w:tcPr>
            <w:tcW w:w="1429" w:type="dxa"/>
            <w:tcBorders>
              <w:bottom w:val="single" w:sz="4" w:space="0" w:color="auto"/>
            </w:tcBorders>
          </w:tcPr>
          <w:p w:rsidR="00D745DC" w:rsidRDefault="00A60069" w:rsidP="00D745DC">
            <w:pPr>
              <w:pStyle w:val="AITableText"/>
            </w:pPr>
            <w:r>
              <w:t>Jun</w:t>
            </w:r>
            <w:r w:rsidR="00D745DC">
              <w:t xml:space="preserve"> 2014</w:t>
            </w:r>
          </w:p>
        </w:tc>
      </w:tr>
    </w:tbl>
    <w:p w:rsidR="00D745DC" w:rsidRPr="005320AB" w:rsidRDefault="00D745DC" w:rsidP="00D745DC">
      <w:pPr>
        <w:pStyle w:val="NoteHeading0"/>
        <w:rPr>
          <w:rStyle w:val="NoteTextChar"/>
        </w:rPr>
      </w:pPr>
      <w:r w:rsidRPr="00E72314">
        <w:t>Notes:</w:t>
      </w:r>
    </w:p>
    <w:p w:rsidR="00D745DC" w:rsidRPr="00AF2AD9" w:rsidRDefault="00D745DC" w:rsidP="00AF2AD9">
      <w:pPr>
        <w:pStyle w:val="AINotes"/>
        <w:numPr>
          <w:ilvl w:val="0"/>
          <w:numId w:val="80"/>
        </w:numPr>
        <w:rPr>
          <w:rStyle w:val="NoteTextChar"/>
          <w:iCs/>
          <w:szCs w:val="16"/>
        </w:rPr>
      </w:pPr>
      <w:r w:rsidRPr="00AF2AD9">
        <w:rPr>
          <w:rStyle w:val="NoteTextChar"/>
          <w:szCs w:val="16"/>
        </w:rPr>
        <w:t>Indicator discontinued and replaced with indicator (e).</w:t>
      </w:r>
    </w:p>
    <w:p w:rsidR="00D745DC" w:rsidRPr="005320AB" w:rsidRDefault="00D745DC" w:rsidP="00D745DC">
      <w:pPr>
        <w:pStyle w:val="AINotes"/>
        <w:rPr>
          <w:rStyle w:val="NoteTextChar"/>
          <w:iCs/>
          <w:szCs w:val="16"/>
        </w:rPr>
      </w:pPr>
      <w:r>
        <w:rPr>
          <w:rStyle w:val="NoteTextChar"/>
          <w:iCs/>
          <w:szCs w:val="16"/>
        </w:rPr>
        <w:t>Indicator discontinued and replaced with indictor (d).</w:t>
      </w:r>
    </w:p>
    <w:p w:rsidR="00D745DC" w:rsidRPr="0015507A" w:rsidRDefault="00D745DC" w:rsidP="00D745DC">
      <w:pPr>
        <w:pStyle w:val="AINotes"/>
        <w:rPr>
          <w:rStyle w:val="NoteTextChar"/>
          <w:iCs/>
          <w:szCs w:val="16"/>
        </w:rPr>
      </w:pPr>
      <w:r w:rsidRPr="00E61653">
        <w:rPr>
          <w:rStyle w:val="NoteTextChar"/>
          <w:szCs w:val="16"/>
        </w:rPr>
        <w:t xml:space="preserve">The measure indicates number of dwellings.  </w:t>
      </w:r>
      <w:r>
        <w:rPr>
          <w:rStyle w:val="NoteTextChar"/>
          <w:szCs w:val="16"/>
        </w:rPr>
        <w:t>2012-13 estimated o</w:t>
      </w:r>
      <w:r w:rsidRPr="00E61653">
        <w:rPr>
          <w:rStyle w:val="NoteTextChar"/>
          <w:szCs w:val="16"/>
        </w:rPr>
        <w:t xml:space="preserve">utcome reflects the need to supply additional land in response to an undersupply of serviced greenfields land since 2006.  </w:t>
      </w:r>
      <w:r>
        <w:rPr>
          <w:rStyle w:val="NoteTextChar"/>
          <w:szCs w:val="16"/>
        </w:rPr>
        <w:t>This indicator has bee</w:t>
      </w:r>
      <w:r w:rsidR="001C48DE">
        <w:rPr>
          <w:rStyle w:val="NoteTextChar"/>
          <w:szCs w:val="16"/>
        </w:rPr>
        <w:t>n discontinued.</w:t>
      </w:r>
    </w:p>
    <w:p w:rsidR="00D745DC" w:rsidRPr="0015507A" w:rsidRDefault="00D745DC" w:rsidP="00D745DC">
      <w:pPr>
        <w:pStyle w:val="AINotes"/>
        <w:rPr>
          <w:rStyle w:val="NoteTextChar"/>
          <w:iCs/>
          <w:szCs w:val="16"/>
        </w:rPr>
      </w:pPr>
      <w:r>
        <w:rPr>
          <w:rStyle w:val="NoteTextChar"/>
          <w:szCs w:val="16"/>
        </w:rPr>
        <w:t>New indicator which replaces indicator (b).</w:t>
      </w:r>
    </w:p>
    <w:p w:rsidR="00D745DC" w:rsidRPr="00E61653" w:rsidRDefault="00D745DC" w:rsidP="00D745DC">
      <w:pPr>
        <w:pStyle w:val="AINotes"/>
        <w:rPr>
          <w:rStyle w:val="NoteTextChar"/>
          <w:iCs/>
          <w:szCs w:val="16"/>
        </w:rPr>
      </w:pPr>
      <w:r>
        <w:rPr>
          <w:rStyle w:val="NoteTextChar"/>
          <w:szCs w:val="16"/>
        </w:rPr>
        <w:t xml:space="preserve">New indicator which replaced indicator (a). </w:t>
      </w:r>
    </w:p>
    <w:p w:rsidR="00D745DC" w:rsidRDefault="00D745DC" w:rsidP="00D745DC">
      <w:pPr>
        <w:pStyle w:val="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60"/>
        <w:ind w:left="385" w:hanging="357"/>
        <w:rPr>
          <w:rStyle w:val="NoteTextChar"/>
        </w:rPr>
      </w:pPr>
    </w:p>
    <w:p w:rsidR="00D745DC" w:rsidRPr="00120385" w:rsidRDefault="00D745DC" w:rsidP="00120385">
      <w:pPr>
        <w:rPr>
          <w:rFonts w:ascii="Arial" w:hAnsi="Arial" w:cs="Arial"/>
          <w:b/>
          <w:bCs/>
          <w:szCs w:val="26"/>
        </w:rPr>
      </w:pPr>
    </w:p>
    <w:tbl>
      <w:tblPr>
        <w:tblW w:w="9356" w:type="dxa"/>
        <w:tblLook w:val="0000"/>
      </w:tblPr>
      <w:tblGrid>
        <w:gridCol w:w="5066"/>
        <w:gridCol w:w="1430"/>
        <w:gridCol w:w="1430"/>
        <w:gridCol w:w="1430"/>
      </w:tblGrid>
      <w:tr w:rsidR="00D745DC" w:rsidRPr="00CF1A8C" w:rsidTr="001D5644">
        <w:tc>
          <w:tcPr>
            <w:tcW w:w="5063" w:type="dxa"/>
            <w:tcBorders>
              <w:top w:val="single" w:sz="4" w:space="0" w:color="auto"/>
              <w:bottom w:val="single" w:sz="4" w:space="0" w:color="auto"/>
            </w:tcBorders>
          </w:tcPr>
          <w:p w:rsidR="00D745DC" w:rsidRPr="00CF1A8C" w:rsidRDefault="00D745DC" w:rsidP="00D745DC">
            <w:pPr>
              <w:pStyle w:val="Heading6"/>
            </w:pP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Targets</w:t>
            </w: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Est. Outcome</w:t>
            </w:r>
          </w:p>
        </w:tc>
        <w:tc>
          <w:tcPr>
            <w:tcW w:w="1429" w:type="dxa"/>
            <w:tcBorders>
              <w:top w:val="single" w:sz="4" w:space="0" w:color="auto"/>
              <w:bottom w:val="single" w:sz="4" w:space="0" w:color="auto"/>
            </w:tcBorders>
          </w:tcPr>
          <w:p w:rsidR="00D745DC" w:rsidRPr="00CF1A8C" w:rsidRDefault="00D745DC" w:rsidP="00D745DC">
            <w:pPr>
              <w:pStyle w:val="Heading6"/>
            </w:pPr>
            <w:r>
              <w:t>2013-14</w:t>
            </w:r>
          </w:p>
          <w:p w:rsidR="00D745DC" w:rsidRPr="00CF1A8C" w:rsidRDefault="00D745DC" w:rsidP="00D745DC">
            <w:pPr>
              <w:pStyle w:val="Heading6"/>
            </w:pPr>
            <w:r w:rsidRPr="00CF1A8C">
              <w:t>Targets</w:t>
            </w:r>
          </w:p>
        </w:tc>
      </w:tr>
      <w:tr w:rsidR="00D745DC" w:rsidRPr="00CF1A8C" w:rsidTr="001D5644">
        <w:tc>
          <w:tcPr>
            <w:tcW w:w="5063" w:type="dxa"/>
            <w:gridSpan w:val="4"/>
            <w:tcBorders>
              <w:top w:val="single" w:sz="4" w:space="0" w:color="auto"/>
              <w:bottom w:val="single" w:sz="4" w:space="0" w:color="auto"/>
            </w:tcBorders>
          </w:tcPr>
          <w:p w:rsidR="00D745DC" w:rsidRPr="00CF1A8C" w:rsidRDefault="00D745DC" w:rsidP="00D745DC">
            <w:pPr>
              <w:pStyle w:val="Heading7"/>
            </w:pPr>
            <w:r>
              <w:t>Output 1.4</w:t>
            </w:r>
            <w:r w:rsidRPr="00CF1A8C">
              <w:t xml:space="preserve">: </w:t>
            </w:r>
            <w:r>
              <w:t>Heritage</w:t>
            </w:r>
          </w:p>
        </w:tc>
      </w:tr>
      <w:tr w:rsidR="00D745DC" w:rsidRPr="00CF1A8C" w:rsidTr="001D5644">
        <w:tc>
          <w:tcPr>
            <w:tcW w:w="5063" w:type="dxa"/>
            <w:tcBorders>
              <w:bottom w:val="single" w:sz="4" w:space="0" w:color="auto"/>
            </w:tcBorders>
          </w:tcPr>
          <w:p w:rsidR="00D745DC" w:rsidRPr="001A134B" w:rsidRDefault="00D745DC" w:rsidP="00D745DC">
            <w:pPr>
              <w:pStyle w:val="AIIndent"/>
              <w:numPr>
                <w:ilvl w:val="0"/>
                <w:numId w:val="16"/>
              </w:numPr>
            </w:pPr>
            <w:r w:rsidRPr="001A134B">
              <w:t xml:space="preserve">Finalise legislation arising from the review of the </w:t>
            </w:r>
            <w:r w:rsidRPr="001A134B">
              <w:rPr>
                <w:i/>
              </w:rPr>
              <w:t>Heritage Act 2004</w:t>
            </w:r>
            <w:r w:rsidRPr="001A134B">
              <w:rPr>
                <w:vertAlign w:val="superscript"/>
              </w:rPr>
              <w:t>1</w:t>
            </w:r>
          </w:p>
        </w:tc>
        <w:tc>
          <w:tcPr>
            <w:tcW w:w="1429" w:type="dxa"/>
            <w:tcBorders>
              <w:bottom w:val="single" w:sz="4" w:space="0" w:color="auto"/>
            </w:tcBorders>
          </w:tcPr>
          <w:p w:rsidR="00D745DC" w:rsidRPr="001A134B" w:rsidRDefault="00A60069" w:rsidP="00D745DC">
            <w:pPr>
              <w:pStyle w:val="AITableText"/>
            </w:pPr>
            <w:r>
              <w:t>Jun</w:t>
            </w:r>
            <w:r w:rsidR="00D745DC" w:rsidRPr="001A134B">
              <w:t xml:space="preserve"> 2013</w:t>
            </w:r>
          </w:p>
        </w:tc>
        <w:tc>
          <w:tcPr>
            <w:tcW w:w="1429" w:type="dxa"/>
            <w:tcBorders>
              <w:bottom w:val="single" w:sz="4" w:space="0" w:color="auto"/>
            </w:tcBorders>
          </w:tcPr>
          <w:p w:rsidR="00D745DC" w:rsidRPr="001A134B" w:rsidRDefault="00D745DC" w:rsidP="00AB7C56">
            <w:pPr>
              <w:pStyle w:val="AITableText"/>
            </w:pPr>
            <w:r w:rsidRPr="001A134B">
              <w:t xml:space="preserve">Not </w:t>
            </w:r>
            <w:r w:rsidR="00BE4FAE">
              <w:t>ach</w:t>
            </w:r>
            <w:r w:rsidR="00AB7C56">
              <w:t>ie</w:t>
            </w:r>
            <w:r w:rsidR="00BE4FAE">
              <w:t>ved</w:t>
            </w:r>
          </w:p>
        </w:tc>
        <w:tc>
          <w:tcPr>
            <w:tcW w:w="1429" w:type="dxa"/>
            <w:tcBorders>
              <w:bottom w:val="single" w:sz="4" w:space="0" w:color="auto"/>
            </w:tcBorders>
          </w:tcPr>
          <w:p w:rsidR="00D745DC" w:rsidRPr="001A134B" w:rsidRDefault="00D745DC" w:rsidP="00D745DC">
            <w:pPr>
              <w:pStyle w:val="AITableText"/>
            </w:pPr>
            <w:r w:rsidRPr="001A134B">
              <w:t>Oct 2013</w:t>
            </w:r>
          </w:p>
        </w:tc>
      </w:tr>
    </w:tbl>
    <w:p w:rsidR="00D745DC" w:rsidRPr="00151C3F" w:rsidRDefault="00D745DC" w:rsidP="00D745DC">
      <w:pPr>
        <w:pStyle w:val="NoteHeading0"/>
      </w:pPr>
      <w:r w:rsidRPr="00151C3F">
        <w:t xml:space="preserve">Note: </w:t>
      </w:r>
    </w:p>
    <w:p w:rsidR="00D745DC" w:rsidRPr="004B2D58" w:rsidRDefault="00D745DC" w:rsidP="004B2D58">
      <w:pPr>
        <w:pStyle w:val="AINotes"/>
        <w:numPr>
          <w:ilvl w:val="0"/>
          <w:numId w:val="54"/>
        </w:numPr>
        <w:rPr>
          <w:rStyle w:val="NoteTextChar"/>
          <w:szCs w:val="24"/>
        </w:rPr>
      </w:pPr>
      <w:r w:rsidRPr="004432F6">
        <w:rPr>
          <w:rStyle w:val="NoteTextChar"/>
        </w:rPr>
        <w:t>Legislation is expected to</w:t>
      </w:r>
      <w:r>
        <w:rPr>
          <w:rStyle w:val="NoteTextChar"/>
        </w:rPr>
        <w:t xml:space="preserve"> be</w:t>
      </w:r>
      <w:r w:rsidRPr="004432F6">
        <w:rPr>
          <w:rStyle w:val="NoteTextChar"/>
        </w:rPr>
        <w:t xml:space="preserve"> finalised </w:t>
      </w:r>
      <w:r>
        <w:rPr>
          <w:rStyle w:val="NoteTextChar"/>
        </w:rPr>
        <w:t>in</w:t>
      </w:r>
      <w:r w:rsidRPr="004432F6">
        <w:rPr>
          <w:rStyle w:val="NoteTextChar"/>
        </w:rPr>
        <w:t xml:space="preserve"> October 2013.</w:t>
      </w:r>
    </w:p>
    <w:p w:rsidR="00A524B3" w:rsidRDefault="00A524B3">
      <w:pPr>
        <w:rPr>
          <w:rFonts w:ascii="Arial" w:hAnsi="Arial" w:cs="Arial"/>
          <w:b/>
          <w:bCs/>
          <w:szCs w:val="26"/>
        </w:rPr>
      </w:pPr>
      <w:r>
        <w:br w:type="page"/>
      </w:r>
    </w:p>
    <w:p w:rsidR="00120385" w:rsidRPr="00120385" w:rsidRDefault="00120385" w:rsidP="00120385">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pPr>
      <w:r>
        <w:lastRenderedPageBreak/>
        <w:t>Accountability Indicators cont.</w:t>
      </w:r>
    </w:p>
    <w:tbl>
      <w:tblPr>
        <w:tblW w:w="9356" w:type="dxa"/>
        <w:tblLook w:val="0000"/>
      </w:tblPr>
      <w:tblGrid>
        <w:gridCol w:w="5066"/>
        <w:gridCol w:w="1430"/>
        <w:gridCol w:w="1430"/>
        <w:gridCol w:w="1430"/>
      </w:tblGrid>
      <w:tr w:rsidR="00D745DC" w:rsidRPr="00CF1A8C" w:rsidTr="001D5644">
        <w:tc>
          <w:tcPr>
            <w:tcW w:w="5063" w:type="dxa"/>
            <w:tcBorders>
              <w:top w:val="single" w:sz="4" w:space="0" w:color="auto"/>
              <w:bottom w:val="single" w:sz="4" w:space="0" w:color="auto"/>
            </w:tcBorders>
          </w:tcPr>
          <w:p w:rsidR="00D745DC" w:rsidRPr="00CF1A8C" w:rsidRDefault="00D745DC" w:rsidP="00D745DC">
            <w:pPr>
              <w:pStyle w:val="Heading6"/>
            </w:pP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Targets</w:t>
            </w: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Est. Outcome</w:t>
            </w:r>
          </w:p>
        </w:tc>
        <w:tc>
          <w:tcPr>
            <w:tcW w:w="1429" w:type="dxa"/>
            <w:tcBorders>
              <w:top w:val="single" w:sz="4" w:space="0" w:color="auto"/>
              <w:bottom w:val="single" w:sz="4" w:space="0" w:color="auto"/>
            </w:tcBorders>
          </w:tcPr>
          <w:p w:rsidR="00D745DC" w:rsidRPr="00CF1A8C" w:rsidRDefault="00D745DC" w:rsidP="00D745DC">
            <w:pPr>
              <w:pStyle w:val="Heading6"/>
            </w:pPr>
            <w:r>
              <w:t>2013-14</w:t>
            </w:r>
          </w:p>
          <w:p w:rsidR="00D745DC" w:rsidRPr="00CF1A8C" w:rsidRDefault="00D745DC" w:rsidP="00D745DC">
            <w:pPr>
              <w:pStyle w:val="Heading6"/>
            </w:pPr>
            <w:r w:rsidRPr="00CF1A8C">
              <w:t>Targets</w:t>
            </w:r>
          </w:p>
        </w:tc>
      </w:tr>
      <w:tr w:rsidR="00D745DC" w:rsidRPr="00CF1A8C" w:rsidTr="001D5644">
        <w:tc>
          <w:tcPr>
            <w:tcW w:w="5063" w:type="dxa"/>
            <w:gridSpan w:val="4"/>
            <w:tcBorders>
              <w:top w:val="single" w:sz="4" w:space="0" w:color="auto"/>
              <w:bottom w:val="single" w:sz="4" w:space="0" w:color="auto"/>
            </w:tcBorders>
          </w:tcPr>
          <w:p w:rsidR="00D745DC" w:rsidRPr="00F42263" w:rsidRDefault="00D745DC" w:rsidP="00D745DC">
            <w:pPr>
              <w:pStyle w:val="Heading7"/>
              <w:rPr>
                <w:vertAlign w:val="superscript"/>
              </w:rPr>
            </w:pPr>
            <w:r>
              <w:t>Output 1.5</w:t>
            </w:r>
            <w:r w:rsidRPr="00CF1A8C">
              <w:t xml:space="preserve">: </w:t>
            </w:r>
            <w:r w:rsidR="003E0055">
              <w:t xml:space="preserve">Environment </w:t>
            </w:r>
            <w:r>
              <w:t>Policy</w:t>
            </w:r>
            <w:r w:rsidR="007E1F81">
              <w:rPr>
                <w:vertAlign w:val="superscript"/>
              </w:rPr>
              <w:t>1</w:t>
            </w:r>
          </w:p>
        </w:tc>
      </w:tr>
      <w:tr w:rsidR="00D745DC" w:rsidRPr="00CF1A8C" w:rsidTr="001D5644">
        <w:tc>
          <w:tcPr>
            <w:tcW w:w="5063" w:type="dxa"/>
          </w:tcPr>
          <w:p w:rsidR="00D745DC" w:rsidRDefault="00D745DC" w:rsidP="00D745DC">
            <w:pPr>
              <w:pStyle w:val="AIIndent"/>
              <w:numPr>
                <w:ilvl w:val="0"/>
                <w:numId w:val="17"/>
              </w:numPr>
              <w:rPr>
                <w:iCs/>
                <w:szCs w:val="24"/>
              </w:rPr>
            </w:pPr>
            <w:r w:rsidRPr="00CC0041">
              <w:t>Delivery of the National Energy Customer Framework within specified timeframe</w:t>
            </w:r>
            <w:r w:rsidRPr="00B62A97">
              <w:t>s</w:t>
            </w:r>
            <w:r w:rsidR="007E1F81">
              <w:rPr>
                <w:vertAlign w:val="superscript"/>
              </w:rPr>
              <w:t>2</w:t>
            </w:r>
          </w:p>
        </w:tc>
        <w:tc>
          <w:tcPr>
            <w:tcW w:w="1429" w:type="dxa"/>
          </w:tcPr>
          <w:p w:rsidR="00D745DC" w:rsidRPr="00CF1A8C" w:rsidRDefault="00D745DC" w:rsidP="00D745DC">
            <w:pPr>
              <w:pStyle w:val="AITableText"/>
            </w:pPr>
            <w:r w:rsidRPr="00CC0041">
              <w:t>June 2013</w:t>
            </w:r>
          </w:p>
        </w:tc>
        <w:tc>
          <w:tcPr>
            <w:tcW w:w="1429" w:type="dxa"/>
          </w:tcPr>
          <w:p w:rsidR="00D745DC" w:rsidRPr="00CF1A8C" w:rsidRDefault="00D745DC" w:rsidP="00D745DC">
            <w:pPr>
              <w:pStyle w:val="AITableText"/>
            </w:pPr>
            <w:r>
              <w:t>July 2012</w:t>
            </w:r>
          </w:p>
        </w:tc>
        <w:tc>
          <w:tcPr>
            <w:tcW w:w="1429" w:type="dxa"/>
          </w:tcPr>
          <w:p w:rsidR="00D745DC" w:rsidRPr="00CF1A8C" w:rsidRDefault="00D745DC" w:rsidP="00D745DC">
            <w:pPr>
              <w:pStyle w:val="AITableText"/>
            </w:pPr>
            <w:r>
              <w:t>n/a</w:t>
            </w:r>
          </w:p>
        </w:tc>
      </w:tr>
      <w:tr w:rsidR="00D745DC" w:rsidRPr="00CF1A8C" w:rsidTr="001D5644">
        <w:tc>
          <w:tcPr>
            <w:tcW w:w="5063" w:type="dxa"/>
          </w:tcPr>
          <w:p w:rsidR="00D745DC" w:rsidRPr="001A134B" w:rsidRDefault="00D745DC" w:rsidP="00D745DC">
            <w:pPr>
              <w:pStyle w:val="AIIndent"/>
              <w:numPr>
                <w:ilvl w:val="0"/>
                <w:numId w:val="17"/>
              </w:numPr>
              <w:rPr>
                <w:szCs w:val="24"/>
              </w:rPr>
            </w:pPr>
            <w:r w:rsidRPr="001A134B">
              <w:t>Report on the progress against targets set out in the ACT Waste Management Strategy</w:t>
            </w:r>
          </w:p>
        </w:tc>
        <w:tc>
          <w:tcPr>
            <w:tcW w:w="1429" w:type="dxa"/>
          </w:tcPr>
          <w:p w:rsidR="00D745DC" w:rsidRPr="001A134B" w:rsidRDefault="00D745DC" w:rsidP="00D745DC">
            <w:pPr>
              <w:pStyle w:val="AITableText"/>
            </w:pPr>
            <w:r w:rsidRPr="001A134B">
              <w:t>June 2013</w:t>
            </w:r>
          </w:p>
        </w:tc>
        <w:tc>
          <w:tcPr>
            <w:tcW w:w="1429" w:type="dxa"/>
          </w:tcPr>
          <w:p w:rsidR="00D745DC" w:rsidRPr="001A134B" w:rsidRDefault="00D745DC" w:rsidP="00D745DC">
            <w:pPr>
              <w:pStyle w:val="AITableText"/>
            </w:pPr>
            <w:r w:rsidRPr="001A134B">
              <w:t>June 2013</w:t>
            </w:r>
          </w:p>
        </w:tc>
        <w:tc>
          <w:tcPr>
            <w:tcW w:w="1429" w:type="dxa"/>
          </w:tcPr>
          <w:p w:rsidR="00D745DC" w:rsidRPr="001A134B" w:rsidRDefault="00D745DC" w:rsidP="00D745DC">
            <w:pPr>
              <w:pStyle w:val="AITableText"/>
            </w:pPr>
            <w:r w:rsidRPr="001A134B">
              <w:t>June 2014</w:t>
            </w:r>
          </w:p>
        </w:tc>
      </w:tr>
      <w:tr w:rsidR="00D745DC" w:rsidRPr="00CF1A8C" w:rsidTr="001D5644">
        <w:tc>
          <w:tcPr>
            <w:tcW w:w="5063" w:type="dxa"/>
          </w:tcPr>
          <w:p w:rsidR="00D745DC" w:rsidRPr="00796710" w:rsidRDefault="00D745DC" w:rsidP="00D745DC">
            <w:pPr>
              <w:pStyle w:val="AIIndent"/>
              <w:numPr>
                <w:ilvl w:val="0"/>
                <w:numId w:val="17"/>
              </w:numPr>
              <w:rPr>
                <w:szCs w:val="24"/>
              </w:rPr>
            </w:pPr>
            <w:r w:rsidRPr="00796710">
              <w:t xml:space="preserve">Development of the new </w:t>
            </w:r>
            <w:r w:rsidRPr="00796710">
              <w:rPr>
                <w:i/>
              </w:rPr>
              <w:t>Think water, act water</w:t>
            </w:r>
            <w:r w:rsidRPr="00796710">
              <w:t xml:space="preserve"> for public release</w:t>
            </w:r>
            <w:r w:rsidR="007E1F81">
              <w:rPr>
                <w:vertAlign w:val="superscript"/>
              </w:rPr>
              <w:t>3</w:t>
            </w:r>
          </w:p>
        </w:tc>
        <w:tc>
          <w:tcPr>
            <w:tcW w:w="1429" w:type="dxa"/>
          </w:tcPr>
          <w:p w:rsidR="00D745DC" w:rsidRPr="00796710" w:rsidRDefault="00D745DC" w:rsidP="00D745DC">
            <w:pPr>
              <w:pStyle w:val="AITableText"/>
            </w:pPr>
            <w:r w:rsidRPr="00796710">
              <w:t>June 2013</w:t>
            </w:r>
          </w:p>
        </w:tc>
        <w:tc>
          <w:tcPr>
            <w:tcW w:w="1429" w:type="dxa"/>
          </w:tcPr>
          <w:p w:rsidR="00D745DC" w:rsidRPr="00796710" w:rsidRDefault="00D745DC" w:rsidP="00D745DC">
            <w:pPr>
              <w:pStyle w:val="AITableText"/>
            </w:pPr>
            <w:r w:rsidRPr="00796710">
              <w:t>June 2013</w:t>
            </w:r>
          </w:p>
        </w:tc>
        <w:tc>
          <w:tcPr>
            <w:tcW w:w="1429" w:type="dxa"/>
          </w:tcPr>
          <w:p w:rsidR="00D745DC" w:rsidRPr="00796710" w:rsidRDefault="00D745DC" w:rsidP="00D745DC">
            <w:pPr>
              <w:pStyle w:val="AITableText"/>
            </w:pPr>
            <w:r w:rsidRPr="00796710">
              <w:t>n/a</w:t>
            </w:r>
          </w:p>
        </w:tc>
      </w:tr>
      <w:tr w:rsidR="00D745DC" w:rsidRPr="00CF1A8C" w:rsidTr="001D5644">
        <w:tc>
          <w:tcPr>
            <w:tcW w:w="5063" w:type="dxa"/>
          </w:tcPr>
          <w:p w:rsidR="00D745DC" w:rsidRDefault="00D745DC" w:rsidP="00D745DC">
            <w:pPr>
              <w:pStyle w:val="AIIndent"/>
              <w:numPr>
                <w:ilvl w:val="0"/>
                <w:numId w:val="17"/>
              </w:numPr>
              <w:rPr>
                <w:szCs w:val="24"/>
              </w:rPr>
            </w:pPr>
            <w:r w:rsidRPr="00CC0041">
              <w:t xml:space="preserve">Acceptance by the Commonwealth Government of the </w:t>
            </w:r>
            <w:r w:rsidRPr="00585FCB">
              <w:rPr>
                <w:i/>
              </w:rPr>
              <w:t>Caring for our Country</w:t>
            </w:r>
            <w:r w:rsidR="00585FCB">
              <w:t xml:space="preserve"> i</w:t>
            </w:r>
            <w:r w:rsidRPr="00CC0041">
              <w:t>nitiative twice annual performance and financial progress reports</w:t>
            </w:r>
          </w:p>
        </w:tc>
        <w:tc>
          <w:tcPr>
            <w:tcW w:w="1429" w:type="dxa"/>
          </w:tcPr>
          <w:p w:rsidR="00D745DC" w:rsidRDefault="00D745DC" w:rsidP="00D745DC">
            <w:pPr>
              <w:pStyle w:val="AITableText"/>
            </w:pPr>
            <w:r>
              <w:t>2</w:t>
            </w:r>
          </w:p>
        </w:tc>
        <w:tc>
          <w:tcPr>
            <w:tcW w:w="1429" w:type="dxa"/>
          </w:tcPr>
          <w:p w:rsidR="00D745DC" w:rsidRDefault="00D745DC" w:rsidP="00D745DC">
            <w:pPr>
              <w:pStyle w:val="AITableText"/>
            </w:pPr>
            <w:r>
              <w:t>2</w:t>
            </w:r>
          </w:p>
        </w:tc>
        <w:tc>
          <w:tcPr>
            <w:tcW w:w="1429" w:type="dxa"/>
          </w:tcPr>
          <w:p w:rsidR="00D745DC" w:rsidRDefault="00D745DC" w:rsidP="00D745DC">
            <w:pPr>
              <w:pStyle w:val="AITableText"/>
            </w:pPr>
            <w:r>
              <w:t>2</w:t>
            </w:r>
          </w:p>
        </w:tc>
      </w:tr>
      <w:tr w:rsidR="00D745DC" w:rsidRPr="00CF1A8C" w:rsidTr="001D5644">
        <w:tc>
          <w:tcPr>
            <w:tcW w:w="5063" w:type="dxa"/>
          </w:tcPr>
          <w:p w:rsidR="00D745DC" w:rsidRDefault="00D745DC" w:rsidP="00D745DC">
            <w:pPr>
              <w:pStyle w:val="AIIndent"/>
              <w:numPr>
                <w:ilvl w:val="0"/>
                <w:numId w:val="17"/>
              </w:numPr>
              <w:rPr>
                <w:szCs w:val="24"/>
              </w:rPr>
            </w:pPr>
            <w:r w:rsidRPr="00CC0041">
              <w:t xml:space="preserve">Finalisation of legislation arising from the review of the </w:t>
            </w:r>
            <w:r w:rsidRPr="00CC0041">
              <w:rPr>
                <w:i/>
              </w:rPr>
              <w:t>Nature Conservation Act 1980</w:t>
            </w:r>
            <w:r w:rsidR="007E1F81">
              <w:rPr>
                <w:vertAlign w:val="superscript"/>
              </w:rPr>
              <w:t>4</w:t>
            </w:r>
          </w:p>
        </w:tc>
        <w:tc>
          <w:tcPr>
            <w:tcW w:w="1429" w:type="dxa"/>
          </w:tcPr>
          <w:p w:rsidR="00D745DC" w:rsidRDefault="00D745DC" w:rsidP="00D745DC">
            <w:pPr>
              <w:pStyle w:val="AITableText"/>
            </w:pPr>
            <w:r w:rsidRPr="00CC0041">
              <w:t>June 2013</w:t>
            </w:r>
          </w:p>
        </w:tc>
        <w:tc>
          <w:tcPr>
            <w:tcW w:w="1429" w:type="dxa"/>
          </w:tcPr>
          <w:p w:rsidR="00D745DC" w:rsidRDefault="00D745DC" w:rsidP="00AB7C56">
            <w:pPr>
              <w:pStyle w:val="AITableText"/>
            </w:pPr>
            <w:r>
              <w:t xml:space="preserve">Not </w:t>
            </w:r>
            <w:r w:rsidR="00BE4FAE">
              <w:t>ach</w:t>
            </w:r>
            <w:r w:rsidR="00AB7C56">
              <w:t>ie</w:t>
            </w:r>
            <w:r w:rsidR="00BE4FAE">
              <w:t>ved</w:t>
            </w:r>
          </w:p>
        </w:tc>
        <w:tc>
          <w:tcPr>
            <w:tcW w:w="1429" w:type="dxa"/>
          </w:tcPr>
          <w:p w:rsidR="00D745DC" w:rsidRDefault="00D745DC" w:rsidP="00D745DC">
            <w:pPr>
              <w:pStyle w:val="AITableText"/>
            </w:pPr>
            <w:r>
              <w:t>Dec 2013</w:t>
            </w:r>
          </w:p>
        </w:tc>
      </w:tr>
      <w:tr w:rsidR="00D745DC" w:rsidRPr="00B62A97" w:rsidTr="001D5644">
        <w:tc>
          <w:tcPr>
            <w:tcW w:w="5063" w:type="dxa"/>
          </w:tcPr>
          <w:p w:rsidR="00D745DC" w:rsidRPr="004432F6" w:rsidRDefault="00D745DC" w:rsidP="00D745DC">
            <w:pPr>
              <w:pStyle w:val="ListParagraph"/>
              <w:numPr>
                <w:ilvl w:val="0"/>
                <w:numId w:val="17"/>
              </w:numPr>
              <w:contextualSpacing/>
              <w:rPr>
                <w:sz w:val="20"/>
                <w:szCs w:val="20"/>
              </w:rPr>
            </w:pPr>
            <w:r w:rsidRPr="004432F6">
              <w:rPr>
                <w:sz w:val="20"/>
                <w:szCs w:val="20"/>
              </w:rPr>
              <w:t xml:space="preserve">Oversee the actions of </w:t>
            </w:r>
            <w:r w:rsidRPr="004432F6">
              <w:rPr>
                <w:i/>
                <w:sz w:val="20"/>
                <w:szCs w:val="20"/>
              </w:rPr>
              <w:t>Weathering the Change</w:t>
            </w:r>
            <w:r w:rsidRPr="004432F6">
              <w:rPr>
                <w:sz w:val="20"/>
                <w:szCs w:val="20"/>
              </w:rPr>
              <w:t xml:space="preserve"> Action Plan 2:</w:t>
            </w:r>
          </w:p>
          <w:p w:rsidR="00D745DC" w:rsidRPr="004432F6" w:rsidRDefault="00D745DC" w:rsidP="00D745DC">
            <w:pPr>
              <w:pStyle w:val="ListParagraph"/>
              <w:numPr>
                <w:ilvl w:val="1"/>
                <w:numId w:val="9"/>
              </w:numPr>
              <w:ind w:left="737"/>
              <w:contextualSpacing/>
              <w:rPr>
                <w:rFonts w:cs="Tahoma"/>
                <w:sz w:val="20"/>
                <w:szCs w:val="20"/>
              </w:rPr>
            </w:pPr>
            <w:r w:rsidRPr="004432F6">
              <w:rPr>
                <w:sz w:val="20"/>
                <w:szCs w:val="20"/>
              </w:rPr>
              <w:t xml:space="preserve">publish an annual </w:t>
            </w:r>
            <w:r w:rsidR="00E15E7E">
              <w:rPr>
                <w:sz w:val="20"/>
                <w:szCs w:val="20"/>
              </w:rPr>
              <w:t>i</w:t>
            </w:r>
            <w:r w:rsidRPr="004432F6">
              <w:rPr>
                <w:sz w:val="20"/>
                <w:szCs w:val="20"/>
              </w:rPr>
              <w:t>nventory</w:t>
            </w:r>
            <w:r w:rsidR="007E1F81">
              <w:rPr>
                <w:sz w:val="20"/>
                <w:szCs w:val="20"/>
                <w:vertAlign w:val="superscript"/>
              </w:rPr>
              <w:t>5</w:t>
            </w:r>
          </w:p>
          <w:p w:rsidR="00D745DC" w:rsidRPr="004432F6" w:rsidRDefault="00D745DC" w:rsidP="00D745DC">
            <w:pPr>
              <w:pStyle w:val="ListParagraph"/>
              <w:numPr>
                <w:ilvl w:val="1"/>
                <w:numId w:val="9"/>
              </w:numPr>
              <w:ind w:left="731" w:hanging="357"/>
              <w:contextualSpacing/>
            </w:pPr>
            <w:r w:rsidRPr="004432F6">
              <w:rPr>
                <w:sz w:val="20"/>
                <w:szCs w:val="20"/>
              </w:rPr>
              <w:t>publish an annual report on emissions targets</w:t>
            </w:r>
            <w:r w:rsidR="007E1F81">
              <w:rPr>
                <w:sz w:val="20"/>
                <w:szCs w:val="20"/>
                <w:vertAlign w:val="superscript"/>
              </w:rPr>
              <w:t>6</w:t>
            </w:r>
          </w:p>
        </w:tc>
        <w:tc>
          <w:tcPr>
            <w:tcW w:w="1429" w:type="dxa"/>
          </w:tcPr>
          <w:p w:rsidR="00D745DC" w:rsidRPr="004432F6" w:rsidRDefault="00D745DC" w:rsidP="00D745DC">
            <w:pPr>
              <w:pStyle w:val="AITableText"/>
            </w:pPr>
          </w:p>
          <w:p w:rsidR="00D745DC" w:rsidRPr="004432F6" w:rsidRDefault="00D745DC" w:rsidP="00D745DC">
            <w:pPr>
              <w:pStyle w:val="AITableText"/>
            </w:pPr>
          </w:p>
          <w:p w:rsidR="00D745DC" w:rsidRPr="004432F6" w:rsidRDefault="00D745DC" w:rsidP="00D745DC">
            <w:pPr>
              <w:jc w:val="right"/>
              <w:rPr>
                <w:sz w:val="20"/>
              </w:rPr>
            </w:pPr>
            <w:r w:rsidRPr="004432F6">
              <w:rPr>
                <w:sz w:val="20"/>
              </w:rPr>
              <w:t>Sept 2012</w:t>
            </w:r>
          </w:p>
          <w:p w:rsidR="00D745DC" w:rsidRPr="004432F6" w:rsidRDefault="00D745DC" w:rsidP="00D745DC">
            <w:pPr>
              <w:pStyle w:val="AITableText"/>
            </w:pPr>
            <w:r w:rsidRPr="004432F6">
              <w:t>Sept 2012</w:t>
            </w:r>
          </w:p>
        </w:tc>
        <w:tc>
          <w:tcPr>
            <w:tcW w:w="1429" w:type="dxa"/>
          </w:tcPr>
          <w:p w:rsidR="00D745DC" w:rsidRPr="004432F6" w:rsidRDefault="00D745DC" w:rsidP="00D745DC">
            <w:pPr>
              <w:pStyle w:val="AITableText"/>
            </w:pPr>
          </w:p>
          <w:p w:rsidR="00D745DC" w:rsidRPr="004432F6" w:rsidRDefault="00D745DC" w:rsidP="00D745DC">
            <w:pPr>
              <w:pStyle w:val="AITableText"/>
            </w:pPr>
          </w:p>
          <w:p w:rsidR="00D745DC" w:rsidRPr="004432F6" w:rsidRDefault="00D745DC" w:rsidP="00D745DC">
            <w:pPr>
              <w:pStyle w:val="AITableText"/>
            </w:pPr>
            <w:r w:rsidRPr="004432F6">
              <w:t>Oct 2012</w:t>
            </w:r>
          </w:p>
          <w:p w:rsidR="00D745DC" w:rsidRPr="004432F6" w:rsidRDefault="00D745DC" w:rsidP="00D745DC">
            <w:pPr>
              <w:pStyle w:val="AITableText"/>
            </w:pPr>
            <w:r w:rsidRPr="004432F6">
              <w:t>Jan 2013</w:t>
            </w:r>
          </w:p>
        </w:tc>
        <w:tc>
          <w:tcPr>
            <w:tcW w:w="1429" w:type="dxa"/>
          </w:tcPr>
          <w:p w:rsidR="00D745DC" w:rsidRPr="004432F6" w:rsidRDefault="00D745DC" w:rsidP="00D745DC">
            <w:pPr>
              <w:pStyle w:val="AITableText"/>
            </w:pPr>
          </w:p>
          <w:p w:rsidR="00D745DC" w:rsidRPr="004432F6" w:rsidRDefault="00D745DC" w:rsidP="00D745DC">
            <w:pPr>
              <w:pStyle w:val="AITableText"/>
            </w:pPr>
          </w:p>
          <w:p w:rsidR="00D745DC" w:rsidRPr="004432F6" w:rsidRDefault="00D745DC" w:rsidP="00D745DC">
            <w:pPr>
              <w:pStyle w:val="AITableText"/>
            </w:pPr>
            <w:r w:rsidRPr="004432F6">
              <w:t>Sept 2013</w:t>
            </w:r>
          </w:p>
          <w:p w:rsidR="00D745DC" w:rsidRPr="004432F6" w:rsidRDefault="00D745DC" w:rsidP="00D745DC">
            <w:pPr>
              <w:pStyle w:val="AITableText"/>
            </w:pPr>
            <w:r w:rsidRPr="004432F6">
              <w:t>Sept 2013</w:t>
            </w:r>
          </w:p>
        </w:tc>
      </w:tr>
      <w:tr w:rsidR="00D745DC" w:rsidRPr="00CF1A8C" w:rsidTr="001D5644">
        <w:tblPrEx>
          <w:tblBorders>
            <w:top w:val="single" w:sz="4" w:space="0" w:color="auto"/>
            <w:bottom w:val="single" w:sz="4" w:space="0" w:color="auto"/>
          </w:tblBorders>
        </w:tblPrEx>
        <w:tc>
          <w:tcPr>
            <w:tcW w:w="5063" w:type="dxa"/>
            <w:tcBorders>
              <w:top w:val="nil"/>
              <w:bottom w:val="nil"/>
            </w:tcBorders>
          </w:tcPr>
          <w:p w:rsidR="00D745DC" w:rsidRDefault="00D745DC" w:rsidP="00D745DC">
            <w:pPr>
              <w:pStyle w:val="ListParagraph"/>
              <w:numPr>
                <w:ilvl w:val="0"/>
                <w:numId w:val="17"/>
              </w:numPr>
              <w:contextualSpacing/>
              <w:rPr>
                <w:sz w:val="20"/>
                <w:szCs w:val="20"/>
              </w:rPr>
            </w:pPr>
            <w:r w:rsidRPr="00CC0041">
              <w:rPr>
                <w:sz w:val="20"/>
                <w:szCs w:val="20"/>
              </w:rPr>
              <w:t>Review the draft Nature Conservation Strategy for public consultation</w:t>
            </w:r>
            <w:r w:rsidR="007E1F81">
              <w:rPr>
                <w:sz w:val="20"/>
                <w:szCs w:val="20"/>
                <w:vertAlign w:val="superscript"/>
              </w:rPr>
              <w:t>7</w:t>
            </w:r>
          </w:p>
        </w:tc>
        <w:tc>
          <w:tcPr>
            <w:tcW w:w="1429" w:type="dxa"/>
            <w:tcBorders>
              <w:top w:val="nil"/>
              <w:bottom w:val="nil"/>
            </w:tcBorders>
          </w:tcPr>
          <w:p w:rsidR="00D745DC" w:rsidRDefault="00D745DC" w:rsidP="00D745DC">
            <w:pPr>
              <w:pStyle w:val="AITableText"/>
            </w:pPr>
            <w:r>
              <w:t>Jan 2013</w:t>
            </w:r>
          </w:p>
        </w:tc>
        <w:tc>
          <w:tcPr>
            <w:tcW w:w="1429" w:type="dxa"/>
            <w:tcBorders>
              <w:top w:val="nil"/>
              <w:bottom w:val="nil"/>
            </w:tcBorders>
          </w:tcPr>
          <w:p w:rsidR="00D745DC" w:rsidRDefault="00D745DC" w:rsidP="00D745DC">
            <w:pPr>
              <w:pStyle w:val="AITableText"/>
            </w:pPr>
            <w:r>
              <w:t>Sept 2012</w:t>
            </w:r>
          </w:p>
        </w:tc>
        <w:tc>
          <w:tcPr>
            <w:tcW w:w="1429" w:type="dxa"/>
            <w:tcBorders>
              <w:top w:val="nil"/>
              <w:bottom w:val="nil"/>
            </w:tcBorders>
          </w:tcPr>
          <w:p w:rsidR="00D745DC" w:rsidRDefault="00D745DC" w:rsidP="00D745DC">
            <w:pPr>
              <w:pStyle w:val="AITableText"/>
            </w:pPr>
            <w:r>
              <w:t>n/a</w:t>
            </w:r>
          </w:p>
        </w:tc>
      </w:tr>
      <w:tr w:rsidR="00D745DC" w:rsidRPr="00796710" w:rsidTr="001D5644">
        <w:tblPrEx>
          <w:tblBorders>
            <w:top w:val="single" w:sz="4" w:space="0" w:color="auto"/>
            <w:bottom w:val="single" w:sz="4" w:space="0" w:color="auto"/>
          </w:tblBorders>
        </w:tblPrEx>
        <w:tc>
          <w:tcPr>
            <w:tcW w:w="5063" w:type="dxa"/>
            <w:tcBorders>
              <w:top w:val="nil"/>
              <w:bottom w:val="nil"/>
            </w:tcBorders>
          </w:tcPr>
          <w:p w:rsidR="00D745DC" w:rsidRPr="00796710" w:rsidRDefault="00D745DC" w:rsidP="00D745DC">
            <w:pPr>
              <w:pStyle w:val="ListParagraph"/>
              <w:numPr>
                <w:ilvl w:val="0"/>
                <w:numId w:val="17"/>
              </w:numPr>
              <w:contextualSpacing/>
              <w:rPr>
                <w:sz w:val="20"/>
                <w:szCs w:val="20"/>
              </w:rPr>
            </w:pPr>
            <w:r w:rsidRPr="00796710">
              <w:rPr>
                <w:sz w:val="20"/>
                <w:szCs w:val="20"/>
              </w:rPr>
              <w:t>Undertake a review of the Solar Auction Process and publish the results</w:t>
            </w:r>
            <w:r w:rsidR="007E1F81">
              <w:rPr>
                <w:sz w:val="20"/>
                <w:szCs w:val="20"/>
                <w:vertAlign w:val="superscript"/>
              </w:rPr>
              <w:t>8</w:t>
            </w:r>
          </w:p>
        </w:tc>
        <w:tc>
          <w:tcPr>
            <w:tcW w:w="1429" w:type="dxa"/>
            <w:tcBorders>
              <w:top w:val="nil"/>
              <w:bottom w:val="nil"/>
            </w:tcBorders>
          </w:tcPr>
          <w:p w:rsidR="00D745DC" w:rsidRPr="00796710" w:rsidRDefault="00D745DC" w:rsidP="00D745DC">
            <w:pPr>
              <w:pStyle w:val="AITableText"/>
            </w:pPr>
            <w:r w:rsidRPr="00796710">
              <w:t>n/a</w:t>
            </w:r>
          </w:p>
        </w:tc>
        <w:tc>
          <w:tcPr>
            <w:tcW w:w="1429" w:type="dxa"/>
            <w:tcBorders>
              <w:top w:val="nil"/>
              <w:bottom w:val="nil"/>
            </w:tcBorders>
          </w:tcPr>
          <w:p w:rsidR="00D745DC" w:rsidRPr="00796710" w:rsidRDefault="00D745DC" w:rsidP="00D745DC">
            <w:pPr>
              <w:pStyle w:val="AITableText"/>
            </w:pPr>
            <w:r w:rsidRPr="00796710">
              <w:t>n/a</w:t>
            </w:r>
          </w:p>
        </w:tc>
        <w:tc>
          <w:tcPr>
            <w:tcW w:w="1429" w:type="dxa"/>
            <w:tcBorders>
              <w:top w:val="nil"/>
              <w:bottom w:val="nil"/>
            </w:tcBorders>
          </w:tcPr>
          <w:p w:rsidR="00D745DC" w:rsidRPr="00796710" w:rsidRDefault="00D745DC" w:rsidP="00D745DC">
            <w:pPr>
              <w:pStyle w:val="AITableText"/>
            </w:pPr>
            <w:r w:rsidRPr="00796710">
              <w:t>Dec 2013</w:t>
            </w:r>
          </w:p>
        </w:tc>
      </w:tr>
      <w:tr w:rsidR="00D745DC" w:rsidRPr="00796710" w:rsidTr="001D5644">
        <w:tblPrEx>
          <w:tblBorders>
            <w:top w:val="single" w:sz="4" w:space="0" w:color="auto"/>
            <w:bottom w:val="single" w:sz="4" w:space="0" w:color="auto"/>
          </w:tblBorders>
        </w:tblPrEx>
        <w:tc>
          <w:tcPr>
            <w:tcW w:w="5063" w:type="dxa"/>
            <w:tcBorders>
              <w:top w:val="nil"/>
              <w:bottom w:val="nil"/>
            </w:tcBorders>
          </w:tcPr>
          <w:p w:rsidR="00D745DC" w:rsidRPr="00796710" w:rsidRDefault="00D745DC" w:rsidP="00120385">
            <w:pPr>
              <w:pStyle w:val="ListParagraph"/>
              <w:numPr>
                <w:ilvl w:val="0"/>
                <w:numId w:val="17"/>
              </w:numPr>
              <w:contextualSpacing/>
              <w:rPr>
                <w:sz w:val="20"/>
                <w:szCs w:val="20"/>
              </w:rPr>
            </w:pPr>
            <w:r w:rsidRPr="00796710">
              <w:rPr>
                <w:sz w:val="20"/>
                <w:szCs w:val="20"/>
              </w:rPr>
              <w:t xml:space="preserve">Publish the </w:t>
            </w:r>
            <w:r w:rsidR="003408B7">
              <w:rPr>
                <w:sz w:val="20"/>
                <w:szCs w:val="20"/>
              </w:rPr>
              <w:t>r</w:t>
            </w:r>
            <w:r w:rsidRPr="00796710">
              <w:rPr>
                <w:sz w:val="20"/>
                <w:szCs w:val="20"/>
              </w:rPr>
              <w:t>eview of the Plastic Bag Ban</w:t>
            </w:r>
            <w:r w:rsidR="007E1F81">
              <w:rPr>
                <w:sz w:val="20"/>
                <w:szCs w:val="20"/>
                <w:vertAlign w:val="superscript"/>
              </w:rPr>
              <w:t>8</w:t>
            </w:r>
          </w:p>
        </w:tc>
        <w:tc>
          <w:tcPr>
            <w:tcW w:w="1429" w:type="dxa"/>
            <w:tcBorders>
              <w:top w:val="nil"/>
              <w:bottom w:val="nil"/>
            </w:tcBorders>
          </w:tcPr>
          <w:p w:rsidR="00D745DC" w:rsidRPr="00796710" w:rsidRDefault="00D745DC" w:rsidP="00D745DC">
            <w:pPr>
              <w:pStyle w:val="AITableText"/>
            </w:pPr>
            <w:r w:rsidRPr="00796710">
              <w:t>n/a</w:t>
            </w:r>
          </w:p>
        </w:tc>
        <w:tc>
          <w:tcPr>
            <w:tcW w:w="1429" w:type="dxa"/>
            <w:tcBorders>
              <w:top w:val="nil"/>
              <w:bottom w:val="nil"/>
            </w:tcBorders>
          </w:tcPr>
          <w:p w:rsidR="00D745DC" w:rsidRPr="00796710" w:rsidRDefault="00D745DC" w:rsidP="00D745DC">
            <w:pPr>
              <w:pStyle w:val="AITableText"/>
            </w:pPr>
            <w:r w:rsidRPr="00796710">
              <w:t>n/a</w:t>
            </w:r>
          </w:p>
        </w:tc>
        <w:tc>
          <w:tcPr>
            <w:tcW w:w="1429" w:type="dxa"/>
            <w:tcBorders>
              <w:top w:val="nil"/>
              <w:bottom w:val="nil"/>
            </w:tcBorders>
          </w:tcPr>
          <w:p w:rsidR="00D745DC" w:rsidRPr="00796710" w:rsidRDefault="00D745DC" w:rsidP="00D745DC">
            <w:pPr>
              <w:pStyle w:val="AITableText"/>
            </w:pPr>
            <w:r w:rsidRPr="00796710">
              <w:t>Dec 2013</w:t>
            </w:r>
          </w:p>
        </w:tc>
      </w:tr>
      <w:tr w:rsidR="00D745DC" w:rsidRPr="00CF1A8C" w:rsidTr="001D5644">
        <w:tblPrEx>
          <w:tblBorders>
            <w:top w:val="single" w:sz="4" w:space="0" w:color="auto"/>
            <w:bottom w:val="single" w:sz="4" w:space="0" w:color="auto"/>
          </w:tblBorders>
        </w:tblPrEx>
        <w:tc>
          <w:tcPr>
            <w:tcW w:w="5063" w:type="dxa"/>
            <w:tcBorders>
              <w:top w:val="nil"/>
              <w:bottom w:val="single" w:sz="4" w:space="0" w:color="auto"/>
            </w:tcBorders>
          </w:tcPr>
          <w:p w:rsidR="00D745DC" w:rsidRPr="00796710" w:rsidRDefault="00D745DC" w:rsidP="00F42263">
            <w:pPr>
              <w:pStyle w:val="ListParagraph"/>
              <w:numPr>
                <w:ilvl w:val="0"/>
                <w:numId w:val="17"/>
              </w:numPr>
              <w:contextualSpacing/>
              <w:rPr>
                <w:sz w:val="20"/>
                <w:szCs w:val="20"/>
              </w:rPr>
            </w:pPr>
            <w:r w:rsidRPr="00796710">
              <w:rPr>
                <w:sz w:val="20"/>
                <w:szCs w:val="20"/>
              </w:rPr>
              <w:t xml:space="preserve">Assess data and prepare a public report on the use and quality of the water resources of the ACT annually </w:t>
            </w:r>
            <w:r w:rsidR="00507876">
              <w:rPr>
                <w:sz w:val="20"/>
                <w:szCs w:val="20"/>
              </w:rPr>
              <w:t xml:space="preserve">which is to be </w:t>
            </w:r>
            <w:r w:rsidRPr="00796710">
              <w:rPr>
                <w:sz w:val="20"/>
                <w:szCs w:val="20"/>
              </w:rPr>
              <w:t xml:space="preserve">published on the Directorate’s </w:t>
            </w:r>
            <w:r w:rsidR="00F42263" w:rsidRPr="00796710">
              <w:rPr>
                <w:sz w:val="20"/>
                <w:szCs w:val="20"/>
              </w:rPr>
              <w:t>website</w:t>
            </w:r>
            <w:r w:rsidR="007E1F81">
              <w:rPr>
                <w:sz w:val="20"/>
                <w:szCs w:val="20"/>
                <w:vertAlign w:val="superscript"/>
              </w:rPr>
              <w:t>9</w:t>
            </w:r>
          </w:p>
        </w:tc>
        <w:tc>
          <w:tcPr>
            <w:tcW w:w="1429" w:type="dxa"/>
            <w:tcBorders>
              <w:top w:val="nil"/>
              <w:bottom w:val="single" w:sz="4" w:space="0" w:color="auto"/>
            </w:tcBorders>
          </w:tcPr>
          <w:p w:rsidR="00D745DC" w:rsidRPr="00796710" w:rsidRDefault="00D745DC" w:rsidP="00D745DC">
            <w:pPr>
              <w:pStyle w:val="AITableText"/>
            </w:pPr>
            <w:r w:rsidRPr="00796710">
              <w:t>n/a</w:t>
            </w:r>
          </w:p>
        </w:tc>
        <w:tc>
          <w:tcPr>
            <w:tcW w:w="1429" w:type="dxa"/>
            <w:tcBorders>
              <w:top w:val="nil"/>
              <w:bottom w:val="single" w:sz="4" w:space="0" w:color="auto"/>
            </w:tcBorders>
          </w:tcPr>
          <w:p w:rsidR="00D745DC" w:rsidRPr="00796710" w:rsidRDefault="00D745DC" w:rsidP="00D745DC">
            <w:pPr>
              <w:pStyle w:val="AITableText"/>
            </w:pPr>
            <w:r w:rsidRPr="00796710">
              <w:t>n/a</w:t>
            </w:r>
          </w:p>
        </w:tc>
        <w:tc>
          <w:tcPr>
            <w:tcW w:w="1429" w:type="dxa"/>
            <w:tcBorders>
              <w:top w:val="nil"/>
              <w:bottom w:val="single" w:sz="4" w:space="0" w:color="auto"/>
            </w:tcBorders>
          </w:tcPr>
          <w:p w:rsidR="00D745DC" w:rsidRPr="00796710" w:rsidRDefault="00D745DC" w:rsidP="00D745DC">
            <w:pPr>
              <w:pStyle w:val="AITableText"/>
            </w:pPr>
            <w:r>
              <w:t xml:space="preserve">Mar </w:t>
            </w:r>
            <w:r w:rsidRPr="00796710">
              <w:t>201</w:t>
            </w:r>
            <w:r>
              <w:t>4</w:t>
            </w:r>
          </w:p>
        </w:tc>
      </w:tr>
    </w:tbl>
    <w:p w:rsidR="00D745DC" w:rsidRPr="00F41244" w:rsidRDefault="00D745DC" w:rsidP="00D745DC">
      <w:pPr>
        <w:pStyle w:val="NoteHeading0"/>
      </w:pPr>
      <w:r w:rsidRPr="00F41244">
        <w:t xml:space="preserve">Notes: </w:t>
      </w:r>
    </w:p>
    <w:p w:rsidR="007E1F81" w:rsidRPr="007E1F81" w:rsidRDefault="007E1F81" w:rsidP="007E1F81">
      <w:pPr>
        <w:pStyle w:val="AINotes"/>
        <w:numPr>
          <w:ilvl w:val="0"/>
          <w:numId w:val="55"/>
        </w:numPr>
        <w:rPr>
          <w:rStyle w:val="NoteTextChar"/>
          <w:iCs/>
          <w:szCs w:val="16"/>
        </w:rPr>
      </w:pPr>
      <w:r w:rsidRPr="007E1F81">
        <w:rPr>
          <w:rStyle w:val="NoteTextChar"/>
          <w:iCs/>
          <w:szCs w:val="16"/>
        </w:rPr>
        <w:t>The Output name has been changed from Policy in the 2012-13 Budget to Environment Policy in the 2013-14 Budget.</w:t>
      </w:r>
    </w:p>
    <w:p w:rsidR="00D745DC" w:rsidRPr="004B2D58" w:rsidRDefault="00D745DC" w:rsidP="004B2D58">
      <w:pPr>
        <w:pStyle w:val="AINotes"/>
        <w:numPr>
          <w:ilvl w:val="0"/>
          <w:numId w:val="55"/>
        </w:numPr>
        <w:rPr>
          <w:rStyle w:val="NoteTextChar"/>
          <w:iCs/>
          <w:szCs w:val="16"/>
        </w:rPr>
      </w:pPr>
      <w:r w:rsidRPr="004B2D58">
        <w:rPr>
          <w:rStyle w:val="NoteTextChar"/>
          <w:szCs w:val="16"/>
        </w:rPr>
        <w:t>This indicator has been discontinued as the delivery of National Energy Customer Framework was completed in July 2012.</w:t>
      </w:r>
    </w:p>
    <w:p w:rsidR="00D745DC" w:rsidRPr="00CC5F2C" w:rsidRDefault="00D745DC" w:rsidP="00D745DC">
      <w:pPr>
        <w:pStyle w:val="AINotes"/>
        <w:numPr>
          <w:ilvl w:val="0"/>
          <w:numId w:val="43"/>
        </w:numPr>
        <w:rPr>
          <w:rStyle w:val="NoteTextChar"/>
          <w:iCs/>
          <w:szCs w:val="16"/>
        </w:rPr>
      </w:pPr>
      <w:r>
        <w:rPr>
          <w:rStyle w:val="NoteTextChar"/>
          <w:szCs w:val="16"/>
        </w:rPr>
        <w:t xml:space="preserve">This indicator has been discontinued as it is expected that the public release of the new </w:t>
      </w:r>
      <w:r w:rsidR="00024E53" w:rsidRPr="00024E53">
        <w:rPr>
          <w:rStyle w:val="NoteTextChar"/>
          <w:i/>
          <w:szCs w:val="16"/>
        </w:rPr>
        <w:t>Think water act water</w:t>
      </w:r>
      <w:r>
        <w:rPr>
          <w:rStyle w:val="NoteTextChar"/>
          <w:szCs w:val="16"/>
        </w:rPr>
        <w:t xml:space="preserve"> will be completed in 2012-13.</w:t>
      </w:r>
    </w:p>
    <w:p w:rsidR="00D745DC" w:rsidRPr="00CB7460" w:rsidRDefault="00D745DC" w:rsidP="00D745DC">
      <w:pPr>
        <w:pStyle w:val="AINotes"/>
        <w:rPr>
          <w:rStyle w:val="NoteTextChar"/>
          <w:iCs/>
          <w:szCs w:val="16"/>
        </w:rPr>
      </w:pPr>
      <w:r w:rsidRPr="00CB7460">
        <w:rPr>
          <w:rStyle w:val="NoteTextChar"/>
          <w:szCs w:val="16"/>
        </w:rPr>
        <w:t xml:space="preserve">The introduction of legislation </w:t>
      </w:r>
      <w:r>
        <w:rPr>
          <w:rStyle w:val="NoteTextChar"/>
          <w:szCs w:val="16"/>
        </w:rPr>
        <w:t xml:space="preserve">was delayed </w:t>
      </w:r>
      <w:r w:rsidRPr="00CB7460">
        <w:rPr>
          <w:rStyle w:val="NoteTextChar"/>
          <w:szCs w:val="16"/>
        </w:rPr>
        <w:t xml:space="preserve">to incorporate COAG reforms. </w:t>
      </w:r>
    </w:p>
    <w:p w:rsidR="00D745DC" w:rsidRPr="00796710" w:rsidRDefault="00D745DC" w:rsidP="00D745DC">
      <w:pPr>
        <w:pStyle w:val="AINotes"/>
        <w:rPr>
          <w:rStyle w:val="NoteTextChar"/>
          <w:iCs/>
          <w:szCs w:val="16"/>
        </w:rPr>
      </w:pPr>
      <w:r w:rsidRPr="00796710">
        <w:rPr>
          <w:rStyle w:val="NoteTextChar"/>
          <w:szCs w:val="16"/>
        </w:rPr>
        <w:t>The delay in publishing was due to the caretaker period in September.</w:t>
      </w:r>
    </w:p>
    <w:p w:rsidR="00D745DC" w:rsidRDefault="00D745DC" w:rsidP="00D745DC">
      <w:pPr>
        <w:pStyle w:val="AINotes"/>
        <w:rPr>
          <w:rStyle w:val="NoteTextChar"/>
          <w:iCs/>
          <w:szCs w:val="16"/>
        </w:rPr>
      </w:pPr>
      <w:r>
        <w:rPr>
          <w:rStyle w:val="NoteTextChar"/>
          <w:iCs/>
          <w:szCs w:val="16"/>
        </w:rPr>
        <w:t xml:space="preserve">The report was published in January 2013. </w:t>
      </w:r>
    </w:p>
    <w:p w:rsidR="00D745DC" w:rsidRPr="00F41244" w:rsidRDefault="00D745DC" w:rsidP="00D745DC">
      <w:pPr>
        <w:pStyle w:val="AINotes"/>
        <w:rPr>
          <w:rStyle w:val="NoteTextChar"/>
          <w:iCs/>
          <w:szCs w:val="16"/>
        </w:rPr>
      </w:pPr>
      <w:r>
        <w:rPr>
          <w:rStyle w:val="NoteTextChar"/>
          <w:iCs/>
          <w:szCs w:val="16"/>
        </w:rPr>
        <w:t xml:space="preserve">This indicator has been discontinued as the measure has been completed. </w:t>
      </w:r>
    </w:p>
    <w:p w:rsidR="00D745DC" w:rsidRPr="00796710" w:rsidRDefault="00D745DC" w:rsidP="00D745DC">
      <w:pPr>
        <w:pStyle w:val="AINotes"/>
        <w:rPr>
          <w:rStyle w:val="NoteTextChar"/>
          <w:iCs/>
          <w:szCs w:val="16"/>
        </w:rPr>
      </w:pPr>
      <w:r>
        <w:rPr>
          <w:rStyle w:val="NoteTextChar"/>
          <w:szCs w:val="16"/>
        </w:rPr>
        <w:t>New indicator.</w:t>
      </w:r>
    </w:p>
    <w:p w:rsidR="00D745DC" w:rsidRPr="00F42263" w:rsidRDefault="00D745DC" w:rsidP="00D745DC">
      <w:pPr>
        <w:pStyle w:val="AINotes"/>
        <w:rPr>
          <w:rStyle w:val="NoteTextChar"/>
          <w:iCs/>
          <w:szCs w:val="16"/>
        </w:rPr>
      </w:pPr>
      <w:r>
        <w:rPr>
          <w:rStyle w:val="NoteTextChar"/>
          <w:szCs w:val="16"/>
        </w:rPr>
        <w:t>Indicator transferred from Output 1.1.</w:t>
      </w:r>
    </w:p>
    <w:p w:rsidR="00DA02EE" w:rsidRDefault="00DA02EE">
      <w:pPr>
        <w:rPr>
          <w:rStyle w:val="NoteTextChar"/>
          <w:sz w:val="16"/>
          <w:szCs w:val="16"/>
        </w:rPr>
      </w:pPr>
      <w:r>
        <w:rPr>
          <w:rStyle w:val="NoteTextChar"/>
          <w:szCs w:val="16"/>
        </w:rPr>
        <w:br w:type="page"/>
      </w:r>
    </w:p>
    <w:p w:rsidR="00DA02EE" w:rsidRDefault="00DA02EE" w:rsidP="00DA02EE">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Accountability Indicators cont.</w:t>
      </w:r>
    </w:p>
    <w:tbl>
      <w:tblPr>
        <w:tblW w:w="9356" w:type="dxa"/>
        <w:tblLook w:val="0000"/>
      </w:tblPr>
      <w:tblGrid>
        <w:gridCol w:w="5066"/>
        <w:gridCol w:w="1430"/>
        <w:gridCol w:w="1430"/>
        <w:gridCol w:w="1430"/>
      </w:tblGrid>
      <w:tr w:rsidR="00D745DC" w:rsidRPr="00CF1A8C" w:rsidTr="00B960DF">
        <w:tc>
          <w:tcPr>
            <w:tcW w:w="5063" w:type="dxa"/>
            <w:tcBorders>
              <w:top w:val="single" w:sz="4" w:space="0" w:color="auto"/>
              <w:bottom w:val="single" w:sz="4" w:space="0" w:color="auto"/>
            </w:tcBorders>
          </w:tcPr>
          <w:p w:rsidR="00D745DC" w:rsidRPr="00CF1A8C" w:rsidRDefault="00D745DC" w:rsidP="00D745DC">
            <w:pPr>
              <w:pStyle w:val="Heading6"/>
            </w:pP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Targets</w:t>
            </w: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Est. Outcome</w:t>
            </w:r>
          </w:p>
        </w:tc>
        <w:tc>
          <w:tcPr>
            <w:tcW w:w="1429" w:type="dxa"/>
            <w:tcBorders>
              <w:top w:val="single" w:sz="4" w:space="0" w:color="auto"/>
              <w:bottom w:val="single" w:sz="4" w:space="0" w:color="auto"/>
            </w:tcBorders>
          </w:tcPr>
          <w:p w:rsidR="00D745DC" w:rsidRPr="00CF1A8C" w:rsidRDefault="00D745DC" w:rsidP="00D745DC">
            <w:pPr>
              <w:pStyle w:val="Heading6"/>
            </w:pPr>
            <w:r>
              <w:t>2013-14</w:t>
            </w:r>
          </w:p>
          <w:p w:rsidR="00D745DC" w:rsidRPr="00CF1A8C" w:rsidRDefault="00D745DC" w:rsidP="00D745DC">
            <w:pPr>
              <w:pStyle w:val="Heading6"/>
            </w:pPr>
            <w:r w:rsidRPr="00CF1A8C">
              <w:t>Targets</w:t>
            </w:r>
          </w:p>
        </w:tc>
      </w:tr>
      <w:tr w:rsidR="00D745DC" w:rsidRPr="00CF1A8C" w:rsidTr="00B960DF">
        <w:tc>
          <w:tcPr>
            <w:tcW w:w="5063" w:type="dxa"/>
            <w:gridSpan w:val="4"/>
            <w:tcBorders>
              <w:top w:val="single" w:sz="4" w:space="0" w:color="auto"/>
              <w:bottom w:val="single" w:sz="4" w:space="0" w:color="auto"/>
            </w:tcBorders>
          </w:tcPr>
          <w:p w:rsidR="00D745DC" w:rsidRPr="00CF1A8C" w:rsidRDefault="00D745DC" w:rsidP="00D745DC">
            <w:pPr>
              <w:pStyle w:val="Heading7"/>
            </w:pPr>
            <w:r>
              <w:t>Output 1.6</w:t>
            </w:r>
            <w:r w:rsidRPr="00CF1A8C">
              <w:t xml:space="preserve">: </w:t>
            </w:r>
            <w:r>
              <w:t>Environment Protection and Water Regulation</w:t>
            </w:r>
          </w:p>
        </w:tc>
      </w:tr>
      <w:tr w:rsidR="00D745DC" w:rsidRPr="00CF1A8C" w:rsidTr="00B960DF">
        <w:tc>
          <w:tcPr>
            <w:tcW w:w="5063" w:type="dxa"/>
          </w:tcPr>
          <w:p w:rsidR="00D745DC" w:rsidRDefault="00D745DC" w:rsidP="00D745DC">
            <w:pPr>
              <w:pStyle w:val="ListParagraph"/>
              <w:numPr>
                <w:ilvl w:val="0"/>
                <w:numId w:val="18"/>
              </w:numPr>
              <w:contextualSpacing/>
              <w:rPr>
                <w:iCs/>
              </w:rPr>
            </w:pPr>
            <w:r w:rsidRPr="00CC0041">
              <w:rPr>
                <w:sz w:val="20"/>
                <w:szCs w:val="20"/>
              </w:rPr>
              <w:t xml:space="preserve">Administer Environment Protection Authorisations as listed in Schedule 1 of the </w:t>
            </w:r>
            <w:r w:rsidRPr="00E635A0">
              <w:rPr>
                <w:i/>
                <w:sz w:val="20"/>
                <w:szCs w:val="20"/>
              </w:rPr>
              <w:t>Environment</w:t>
            </w:r>
            <w:r w:rsidR="00D54A95">
              <w:rPr>
                <w:i/>
                <w:sz w:val="20"/>
                <w:szCs w:val="20"/>
              </w:rPr>
              <w:t> </w:t>
            </w:r>
            <w:r w:rsidRPr="00E635A0">
              <w:rPr>
                <w:i/>
                <w:sz w:val="20"/>
                <w:szCs w:val="20"/>
              </w:rPr>
              <w:t>Protection</w:t>
            </w:r>
            <w:r w:rsidR="00D54A95">
              <w:rPr>
                <w:i/>
                <w:sz w:val="20"/>
                <w:szCs w:val="20"/>
              </w:rPr>
              <w:t> </w:t>
            </w:r>
            <w:r w:rsidRPr="00E635A0">
              <w:rPr>
                <w:i/>
                <w:sz w:val="20"/>
                <w:szCs w:val="20"/>
              </w:rPr>
              <w:t>Act</w:t>
            </w:r>
            <w:r w:rsidR="00D54A95">
              <w:rPr>
                <w:i/>
                <w:sz w:val="20"/>
                <w:szCs w:val="20"/>
              </w:rPr>
              <w:t> </w:t>
            </w:r>
            <w:r w:rsidRPr="00E635A0">
              <w:rPr>
                <w:i/>
                <w:sz w:val="20"/>
                <w:szCs w:val="20"/>
              </w:rPr>
              <w:t>1997</w:t>
            </w:r>
            <w:r w:rsidRPr="00CC0041">
              <w:rPr>
                <w:sz w:val="20"/>
                <w:szCs w:val="20"/>
              </w:rPr>
              <w:t xml:space="preserve"> in accordance with statutory timeframes that are applied to the assessment, granting and review of the authorisations and Environmental Agreemen</w:t>
            </w:r>
            <w:r w:rsidRPr="00B62A97">
              <w:rPr>
                <w:sz w:val="20"/>
                <w:szCs w:val="20"/>
              </w:rPr>
              <w:t>ts</w:t>
            </w:r>
          </w:p>
        </w:tc>
        <w:tc>
          <w:tcPr>
            <w:tcW w:w="1429" w:type="dxa"/>
          </w:tcPr>
          <w:p w:rsidR="00D745DC" w:rsidRPr="00CF1A8C" w:rsidRDefault="00D745DC" w:rsidP="00D745DC">
            <w:pPr>
              <w:pStyle w:val="AITableText"/>
            </w:pPr>
            <w:r>
              <w:t>100%</w:t>
            </w:r>
          </w:p>
        </w:tc>
        <w:tc>
          <w:tcPr>
            <w:tcW w:w="1429" w:type="dxa"/>
          </w:tcPr>
          <w:p w:rsidR="00D745DC" w:rsidRPr="00CF1A8C" w:rsidRDefault="00D745DC" w:rsidP="00D745DC">
            <w:pPr>
              <w:pStyle w:val="AITableText"/>
            </w:pPr>
            <w:r>
              <w:t>100%</w:t>
            </w:r>
          </w:p>
        </w:tc>
        <w:tc>
          <w:tcPr>
            <w:tcW w:w="1429" w:type="dxa"/>
          </w:tcPr>
          <w:p w:rsidR="00D745DC" w:rsidRPr="00CF1A8C" w:rsidRDefault="00D745DC" w:rsidP="00D745DC">
            <w:pPr>
              <w:pStyle w:val="AITableText"/>
            </w:pPr>
            <w:r>
              <w:t>100%</w:t>
            </w:r>
          </w:p>
        </w:tc>
      </w:tr>
      <w:tr w:rsidR="00D745DC" w:rsidRPr="00CF1A8C" w:rsidTr="00B960DF">
        <w:tc>
          <w:tcPr>
            <w:tcW w:w="5063" w:type="dxa"/>
            <w:shd w:val="clear" w:color="auto" w:fill="auto"/>
          </w:tcPr>
          <w:p w:rsidR="00D745DC" w:rsidRPr="004432F6" w:rsidRDefault="00D745DC" w:rsidP="00D745DC">
            <w:pPr>
              <w:pStyle w:val="ListParagraph"/>
              <w:numPr>
                <w:ilvl w:val="0"/>
                <w:numId w:val="18"/>
              </w:numPr>
              <w:contextualSpacing/>
              <w:rPr>
                <w:sz w:val="20"/>
                <w:szCs w:val="20"/>
              </w:rPr>
            </w:pPr>
            <w:r w:rsidRPr="004432F6">
              <w:rPr>
                <w:sz w:val="20"/>
                <w:szCs w:val="20"/>
              </w:rPr>
              <w:t>Administer water resources trading requirements within agreed National Timeframes</w:t>
            </w:r>
            <w:r w:rsidRPr="004432F6">
              <w:rPr>
                <w:sz w:val="20"/>
                <w:szCs w:val="20"/>
                <w:vertAlign w:val="superscript"/>
              </w:rPr>
              <w:t>1</w:t>
            </w:r>
          </w:p>
        </w:tc>
        <w:tc>
          <w:tcPr>
            <w:tcW w:w="1429" w:type="dxa"/>
            <w:shd w:val="clear" w:color="auto" w:fill="auto"/>
          </w:tcPr>
          <w:p w:rsidR="00D745DC" w:rsidRPr="004432F6" w:rsidRDefault="00D745DC" w:rsidP="00D745DC">
            <w:pPr>
              <w:pStyle w:val="AITableText"/>
            </w:pPr>
            <w:r w:rsidRPr="004432F6">
              <w:t>100%</w:t>
            </w:r>
          </w:p>
        </w:tc>
        <w:tc>
          <w:tcPr>
            <w:tcW w:w="1429" w:type="dxa"/>
            <w:shd w:val="clear" w:color="auto" w:fill="auto"/>
          </w:tcPr>
          <w:p w:rsidR="00D745DC" w:rsidRPr="004432F6" w:rsidRDefault="00D745DC" w:rsidP="00D745DC">
            <w:pPr>
              <w:pStyle w:val="AITableText"/>
            </w:pPr>
            <w:r w:rsidRPr="004432F6">
              <w:t>100%</w:t>
            </w:r>
          </w:p>
        </w:tc>
        <w:tc>
          <w:tcPr>
            <w:tcW w:w="1429" w:type="dxa"/>
            <w:shd w:val="clear" w:color="auto" w:fill="auto"/>
          </w:tcPr>
          <w:p w:rsidR="00D745DC" w:rsidRPr="004432F6" w:rsidRDefault="00D745DC" w:rsidP="00D745DC">
            <w:pPr>
              <w:pStyle w:val="AITableText"/>
            </w:pPr>
            <w:r w:rsidRPr="004432F6">
              <w:t>n/a</w:t>
            </w:r>
          </w:p>
        </w:tc>
      </w:tr>
      <w:tr w:rsidR="00D745DC" w:rsidRPr="00CF1A8C" w:rsidTr="00B960DF">
        <w:tc>
          <w:tcPr>
            <w:tcW w:w="5063" w:type="dxa"/>
          </w:tcPr>
          <w:p w:rsidR="00D745DC" w:rsidRDefault="00D745DC" w:rsidP="00D745DC">
            <w:pPr>
              <w:pStyle w:val="ListParagraph"/>
              <w:numPr>
                <w:ilvl w:val="0"/>
                <w:numId w:val="18"/>
              </w:numPr>
              <w:contextualSpacing/>
              <w:rPr>
                <w:sz w:val="20"/>
                <w:szCs w:val="20"/>
              </w:rPr>
            </w:pPr>
            <w:r w:rsidRPr="00CC0041">
              <w:rPr>
                <w:sz w:val="20"/>
                <w:szCs w:val="20"/>
              </w:rPr>
              <w:t>Prepare and submit National Environment Protection Measure jurisdictional reports to the National Environment Protection Council within agreed timeframe</w:t>
            </w:r>
          </w:p>
        </w:tc>
        <w:tc>
          <w:tcPr>
            <w:tcW w:w="1429" w:type="dxa"/>
          </w:tcPr>
          <w:p w:rsidR="00D745DC" w:rsidRDefault="000F4570" w:rsidP="00D745DC">
            <w:pPr>
              <w:pStyle w:val="AITableText"/>
            </w:pPr>
            <w:r>
              <w:t>Sep</w:t>
            </w:r>
            <w:r w:rsidR="00D745DC">
              <w:t xml:space="preserve"> 2012</w:t>
            </w:r>
          </w:p>
        </w:tc>
        <w:tc>
          <w:tcPr>
            <w:tcW w:w="1429" w:type="dxa"/>
          </w:tcPr>
          <w:p w:rsidR="00D745DC" w:rsidRDefault="000F4570" w:rsidP="00D745DC">
            <w:pPr>
              <w:pStyle w:val="AITableText"/>
            </w:pPr>
            <w:r>
              <w:t>Sep</w:t>
            </w:r>
            <w:r w:rsidR="00D745DC">
              <w:t xml:space="preserve"> 2012</w:t>
            </w:r>
          </w:p>
        </w:tc>
        <w:tc>
          <w:tcPr>
            <w:tcW w:w="1429" w:type="dxa"/>
          </w:tcPr>
          <w:p w:rsidR="00D745DC" w:rsidRDefault="000F4570" w:rsidP="00D745DC">
            <w:pPr>
              <w:pStyle w:val="AITableText"/>
            </w:pPr>
            <w:r>
              <w:t>Sep</w:t>
            </w:r>
            <w:r w:rsidR="00D745DC">
              <w:t xml:space="preserve"> 2013</w:t>
            </w:r>
          </w:p>
        </w:tc>
      </w:tr>
      <w:tr w:rsidR="00D745DC" w:rsidRPr="00CF1A8C" w:rsidTr="00B960DF">
        <w:tc>
          <w:tcPr>
            <w:tcW w:w="5063" w:type="dxa"/>
            <w:shd w:val="clear" w:color="auto" w:fill="auto"/>
          </w:tcPr>
          <w:p w:rsidR="00024E53" w:rsidRDefault="0068633B">
            <w:pPr>
              <w:pStyle w:val="ListParagraph"/>
              <w:numPr>
                <w:ilvl w:val="0"/>
                <w:numId w:val="18"/>
              </w:numPr>
              <w:contextualSpacing/>
              <w:rPr>
                <w:sz w:val="20"/>
                <w:szCs w:val="20"/>
              </w:rPr>
            </w:pPr>
            <w:r>
              <w:rPr>
                <w:sz w:val="20"/>
                <w:szCs w:val="20"/>
              </w:rPr>
              <w:t>A</w:t>
            </w:r>
            <w:r w:rsidR="00D745DC" w:rsidRPr="004432F6">
              <w:rPr>
                <w:sz w:val="20"/>
                <w:szCs w:val="20"/>
              </w:rPr>
              <w:t>ssess and prepare a public report on air quality in the ACT</w:t>
            </w:r>
            <w:r>
              <w:rPr>
                <w:sz w:val="20"/>
                <w:szCs w:val="20"/>
              </w:rPr>
              <w:t xml:space="preserve"> annually which is to be </w:t>
            </w:r>
            <w:r w:rsidR="00D745DC" w:rsidRPr="004432F6">
              <w:rPr>
                <w:sz w:val="20"/>
                <w:szCs w:val="20"/>
              </w:rPr>
              <w:t>published on the Directorate’s website</w:t>
            </w:r>
          </w:p>
        </w:tc>
        <w:tc>
          <w:tcPr>
            <w:tcW w:w="1429" w:type="dxa"/>
            <w:shd w:val="clear" w:color="auto" w:fill="auto"/>
          </w:tcPr>
          <w:p w:rsidR="00D745DC" w:rsidRPr="004432F6" w:rsidRDefault="000F4570" w:rsidP="00D745DC">
            <w:pPr>
              <w:pStyle w:val="AITableText"/>
            </w:pPr>
            <w:r>
              <w:t>Jun</w:t>
            </w:r>
            <w:r w:rsidR="00D745DC" w:rsidRPr="004432F6">
              <w:t xml:space="preserve"> 2013</w:t>
            </w:r>
          </w:p>
        </w:tc>
        <w:tc>
          <w:tcPr>
            <w:tcW w:w="1429" w:type="dxa"/>
            <w:shd w:val="clear" w:color="auto" w:fill="auto"/>
          </w:tcPr>
          <w:p w:rsidR="00D745DC" w:rsidRPr="004432F6" w:rsidRDefault="000F4570" w:rsidP="00D745DC">
            <w:pPr>
              <w:pStyle w:val="AITableText"/>
            </w:pPr>
            <w:r>
              <w:t>Jun</w:t>
            </w:r>
            <w:r w:rsidR="00D745DC" w:rsidRPr="004432F6">
              <w:t xml:space="preserve"> 2013</w:t>
            </w:r>
          </w:p>
        </w:tc>
        <w:tc>
          <w:tcPr>
            <w:tcW w:w="1429" w:type="dxa"/>
            <w:shd w:val="clear" w:color="auto" w:fill="auto"/>
          </w:tcPr>
          <w:p w:rsidR="00D745DC" w:rsidRPr="004432F6" w:rsidRDefault="000F4570" w:rsidP="00D745DC">
            <w:pPr>
              <w:pStyle w:val="AITableText"/>
            </w:pPr>
            <w:r>
              <w:t>Jun</w:t>
            </w:r>
            <w:r w:rsidR="00D745DC" w:rsidRPr="004432F6">
              <w:t xml:space="preserve"> 2014</w:t>
            </w:r>
          </w:p>
        </w:tc>
      </w:tr>
      <w:tr w:rsidR="00D745DC" w:rsidRPr="00CF1A8C" w:rsidTr="00B960DF">
        <w:tc>
          <w:tcPr>
            <w:tcW w:w="5063" w:type="dxa"/>
            <w:tcBorders>
              <w:bottom w:val="single" w:sz="4" w:space="0" w:color="auto"/>
            </w:tcBorders>
            <w:shd w:val="clear" w:color="auto" w:fill="auto"/>
          </w:tcPr>
          <w:p w:rsidR="00D745DC" w:rsidRPr="004432F6" w:rsidRDefault="00D745DC" w:rsidP="00D745DC">
            <w:pPr>
              <w:pStyle w:val="ListParagraph"/>
              <w:numPr>
                <w:ilvl w:val="0"/>
                <w:numId w:val="18"/>
              </w:numPr>
              <w:contextualSpacing/>
              <w:rPr>
                <w:sz w:val="20"/>
                <w:szCs w:val="20"/>
              </w:rPr>
            </w:pPr>
            <w:r>
              <w:rPr>
                <w:sz w:val="20"/>
                <w:szCs w:val="20"/>
              </w:rPr>
              <w:t>Administer water resources trading entitlements within 20 working days using the stop the clock methodology</w:t>
            </w:r>
            <w:r w:rsidRPr="004432F6">
              <w:rPr>
                <w:sz w:val="20"/>
                <w:szCs w:val="20"/>
                <w:vertAlign w:val="superscript"/>
              </w:rPr>
              <w:t>2</w:t>
            </w:r>
          </w:p>
        </w:tc>
        <w:tc>
          <w:tcPr>
            <w:tcW w:w="1429" w:type="dxa"/>
            <w:tcBorders>
              <w:bottom w:val="single" w:sz="4" w:space="0" w:color="auto"/>
            </w:tcBorders>
            <w:shd w:val="clear" w:color="auto" w:fill="auto"/>
          </w:tcPr>
          <w:p w:rsidR="00D745DC" w:rsidRPr="004432F6" w:rsidRDefault="00D745DC" w:rsidP="00D745DC">
            <w:pPr>
              <w:pStyle w:val="AITableText"/>
            </w:pPr>
            <w:r>
              <w:t>n/a</w:t>
            </w:r>
          </w:p>
        </w:tc>
        <w:tc>
          <w:tcPr>
            <w:tcW w:w="1429" w:type="dxa"/>
            <w:tcBorders>
              <w:bottom w:val="single" w:sz="4" w:space="0" w:color="auto"/>
            </w:tcBorders>
            <w:shd w:val="clear" w:color="auto" w:fill="auto"/>
          </w:tcPr>
          <w:p w:rsidR="00D745DC" w:rsidRPr="004432F6" w:rsidRDefault="00D745DC" w:rsidP="00D745DC">
            <w:pPr>
              <w:pStyle w:val="AITableText"/>
            </w:pPr>
            <w:r>
              <w:t>n/a</w:t>
            </w:r>
          </w:p>
        </w:tc>
        <w:tc>
          <w:tcPr>
            <w:tcW w:w="1429" w:type="dxa"/>
            <w:tcBorders>
              <w:bottom w:val="single" w:sz="4" w:space="0" w:color="auto"/>
            </w:tcBorders>
            <w:shd w:val="clear" w:color="auto" w:fill="auto"/>
          </w:tcPr>
          <w:p w:rsidR="00D745DC" w:rsidRPr="004432F6" w:rsidRDefault="00D745DC" w:rsidP="00D745DC">
            <w:pPr>
              <w:pStyle w:val="AITableText"/>
            </w:pPr>
            <w:r>
              <w:t>100%</w:t>
            </w:r>
          </w:p>
        </w:tc>
      </w:tr>
    </w:tbl>
    <w:p w:rsidR="00D745DC" w:rsidRPr="00A31027" w:rsidRDefault="00D745DC" w:rsidP="00D745DC">
      <w:pPr>
        <w:pStyle w:val="NoteHeading0"/>
      </w:pPr>
      <w:r w:rsidRPr="00A31027">
        <w:t xml:space="preserve">Notes: </w:t>
      </w:r>
    </w:p>
    <w:p w:rsidR="00024E53" w:rsidRPr="00024E53" w:rsidRDefault="00D745DC" w:rsidP="00024E53">
      <w:pPr>
        <w:pStyle w:val="AINotes"/>
        <w:numPr>
          <w:ilvl w:val="0"/>
          <w:numId w:val="76"/>
        </w:numPr>
        <w:rPr>
          <w:rStyle w:val="NoteTextChar"/>
          <w:iCs/>
          <w:szCs w:val="16"/>
        </w:rPr>
      </w:pPr>
      <w:r w:rsidRPr="00AB4A72">
        <w:rPr>
          <w:rStyle w:val="NoteTextChar"/>
          <w:szCs w:val="16"/>
        </w:rPr>
        <w:t>This indicator has been discontinued and replaced with indicator (e).</w:t>
      </w:r>
    </w:p>
    <w:p w:rsidR="00D745DC" w:rsidRPr="00A31027" w:rsidRDefault="00D745DC" w:rsidP="00D745DC">
      <w:pPr>
        <w:pStyle w:val="AINotes"/>
        <w:rPr>
          <w:rStyle w:val="NoteTextChar"/>
          <w:iCs/>
          <w:szCs w:val="16"/>
        </w:rPr>
      </w:pPr>
      <w:r w:rsidRPr="00A31027">
        <w:rPr>
          <w:rStyle w:val="NoteTextChar"/>
          <w:szCs w:val="16"/>
        </w:rPr>
        <w:t>New Indicator.</w:t>
      </w:r>
    </w:p>
    <w:p w:rsidR="00D745DC" w:rsidRPr="00FA478C" w:rsidRDefault="00D745DC" w:rsidP="00D745DC">
      <w:pPr>
        <w:pStyle w:val="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60"/>
        <w:rPr>
          <w:rStyle w:val="NoteTextChar"/>
          <w:iCs w:val="0"/>
          <w:sz w:val="20"/>
          <w:szCs w:val="24"/>
        </w:rPr>
      </w:pPr>
    </w:p>
    <w:tbl>
      <w:tblPr>
        <w:tblW w:w="9356" w:type="dxa"/>
        <w:tblLook w:val="0000"/>
      </w:tblPr>
      <w:tblGrid>
        <w:gridCol w:w="5066"/>
        <w:gridCol w:w="1430"/>
        <w:gridCol w:w="1430"/>
        <w:gridCol w:w="1430"/>
      </w:tblGrid>
      <w:tr w:rsidR="00D745DC" w:rsidRPr="00CF1A8C" w:rsidTr="00A15A2F">
        <w:tc>
          <w:tcPr>
            <w:tcW w:w="5063" w:type="dxa"/>
            <w:tcBorders>
              <w:top w:val="single" w:sz="4" w:space="0" w:color="auto"/>
              <w:bottom w:val="single" w:sz="4" w:space="0" w:color="auto"/>
            </w:tcBorders>
          </w:tcPr>
          <w:p w:rsidR="00D745DC" w:rsidRPr="00CF1A8C" w:rsidRDefault="00D745DC" w:rsidP="00D745DC">
            <w:pPr>
              <w:pStyle w:val="Heading6"/>
            </w:pP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Targets</w:t>
            </w:r>
          </w:p>
        </w:tc>
        <w:tc>
          <w:tcPr>
            <w:tcW w:w="1429" w:type="dxa"/>
            <w:tcBorders>
              <w:top w:val="single" w:sz="4" w:space="0" w:color="auto"/>
              <w:bottom w:val="single" w:sz="4" w:space="0" w:color="auto"/>
            </w:tcBorders>
          </w:tcPr>
          <w:p w:rsidR="00D745DC" w:rsidRPr="00CF1A8C" w:rsidRDefault="00D745DC" w:rsidP="00D745DC">
            <w:pPr>
              <w:pStyle w:val="Heading6"/>
            </w:pPr>
            <w:r>
              <w:t>2012-13</w:t>
            </w:r>
          </w:p>
          <w:p w:rsidR="00D745DC" w:rsidRPr="00CF1A8C" w:rsidRDefault="00D745DC" w:rsidP="00D745DC">
            <w:pPr>
              <w:pStyle w:val="Heading6"/>
            </w:pPr>
            <w:r w:rsidRPr="00CF1A8C">
              <w:t>Est. Outcome</w:t>
            </w:r>
          </w:p>
        </w:tc>
        <w:tc>
          <w:tcPr>
            <w:tcW w:w="1429" w:type="dxa"/>
            <w:tcBorders>
              <w:top w:val="single" w:sz="4" w:space="0" w:color="auto"/>
              <w:bottom w:val="single" w:sz="4" w:space="0" w:color="auto"/>
            </w:tcBorders>
          </w:tcPr>
          <w:p w:rsidR="00D745DC" w:rsidRPr="00CF1A8C" w:rsidRDefault="00D745DC" w:rsidP="00D745DC">
            <w:pPr>
              <w:pStyle w:val="Heading6"/>
            </w:pPr>
            <w:r>
              <w:t>2013-14</w:t>
            </w:r>
          </w:p>
          <w:p w:rsidR="00D745DC" w:rsidRPr="00CF1A8C" w:rsidRDefault="00D745DC" w:rsidP="00D745DC">
            <w:pPr>
              <w:pStyle w:val="Heading6"/>
            </w:pPr>
            <w:r w:rsidRPr="00CF1A8C">
              <w:t>Targets</w:t>
            </w:r>
          </w:p>
        </w:tc>
      </w:tr>
      <w:tr w:rsidR="00D745DC" w:rsidRPr="00CF1A8C" w:rsidTr="00A15A2F">
        <w:tc>
          <w:tcPr>
            <w:tcW w:w="5063" w:type="dxa"/>
            <w:gridSpan w:val="4"/>
            <w:tcBorders>
              <w:top w:val="single" w:sz="4" w:space="0" w:color="auto"/>
              <w:bottom w:val="single" w:sz="4" w:space="0" w:color="auto"/>
            </w:tcBorders>
          </w:tcPr>
          <w:p w:rsidR="00D745DC" w:rsidRPr="00CF1A8C" w:rsidRDefault="00D745DC" w:rsidP="00D745DC">
            <w:pPr>
              <w:pStyle w:val="Heading7"/>
            </w:pPr>
            <w:r>
              <w:t>EBT</w:t>
            </w:r>
            <w:r w:rsidRPr="00CF1A8C">
              <w:t xml:space="preserve">: </w:t>
            </w:r>
            <w:r>
              <w:t>Office of the Commissioner for Sustainability and the Environment</w:t>
            </w:r>
          </w:p>
        </w:tc>
      </w:tr>
      <w:tr w:rsidR="00D745DC" w:rsidRPr="00CF1A8C" w:rsidTr="00A15A2F">
        <w:tc>
          <w:tcPr>
            <w:tcW w:w="5063" w:type="dxa"/>
            <w:gridSpan w:val="4"/>
            <w:tcBorders>
              <w:top w:val="single" w:sz="4" w:space="0" w:color="auto"/>
              <w:bottom w:val="single" w:sz="4" w:space="0" w:color="auto"/>
            </w:tcBorders>
          </w:tcPr>
          <w:p w:rsidR="00D745DC" w:rsidRPr="00CF1A8C" w:rsidRDefault="00D745DC" w:rsidP="00D745DC">
            <w:pPr>
              <w:pStyle w:val="Heading7"/>
            </w:pPr>
            <w:r>
              <w:t xml:space="preserve">EBT </w:t>
            </w:r>
            <w:r w:rsidRPr="00CF1A8C">
              <w:t xml:space="preserve">1: </w:t>
            </w:r>
            <w:r>
              <w:t>Office of the Commissioner for Sustainability and the Environment</w:t>
            </w:r>
          </w:p>
        </w:tc>
      </w:tr>
      <w:tr w:rsidR="00D745DC" w:rsidRPr="00CF1A8C" w:rsidTr="00A15A2F">
        <w:tc>
          <w:tcPr>
            <w:tcW w:w="5063" w:type="dxa"/>
          </w:tcPr>
          <w:p w:rsidR="00D745DC" w:rsidRDefault="00D745DC" w:rsidP="00D745DC">
            <w:pPr>
              <w:pStyle w:val="AIIndent"/>
              <w:numPr>
                <w:ilvl w:val="0"/>
                <w:numId w:val="19"/>
              </w:numPr>
              <w:rPr>
                <w:iCs/>
              </w:rPr>
            </w:pPr>
            <w:r w:rsidRPr="00AA0B1A">
              <w:t xml:space="preserve">Report on the uptake of recommendations on the ACT </w:t>
            </w:r>
            <w:r w:rsidR="005C5855">
              <w:t xml:space="preserve"> </w:t>
            </w:r>
            <w:r w:rsidRPr="00AA0B1A">
              <w:t>State of the Environment and special reports as part of the annual report</w:t>
            </w:r>
          </w:p>
        </w:tc>
        <w:tc>
          <w:tcPr>
            <w:tcW w:w="1429" w:type="dxa"/>
          </w:tcPr>
          <w:p w:rsidR="00D745DC" w:rsidRPr="00CF1A8C" w:rsidRDefault="00D745DC" w:rsidP="00A15A2F">
            <w:pPr>
              <w:pStyle w:val="AITableText"/>
            </w:pPr>
            <w:r>
              <w:t>Sep 2012</w:t>
            </w:r>
          </w:p>
        </w:tc>
        <w:tc>
          <w:tcPr>
            <w:tcW w:w="1429" w:type="dxa"/>
          </w:tcPr>
          <w:p w:rsidR="00D745DC" w:rsidRPr="00CF1A8C" w:rsidRDefault="00D745DC" w:rsidP="00A15A2F">
            <w:pPr>
              <w:pStyle w:val="AITableText"/>
            </w:pPr>
            <w:r>
              <w:t>Sep 2012</w:t>
            </w:r>
          </w:p>
        </w:tc>
        <w:tc>
          <w:tcPr>
            <w:tcW w:w="1429" w:type="dxa"/>
          </w:tcPr>
          <w:p w:rsidR="00D745DC" w:rsidRPr="00CF1A8C" w:rsidRDefault="00D745DC" w:rsidP="00A15A2F">
            <w:pPr>
              <w:pStyle w:val="AITableText"/>
            </w:pPr>
            <w:r>
              <w:t>Sep 2013</w:t>
            </w:r>
          </w:p>
        </w:tc>
      </w:tr>
      <w:tr w:rsidR="00D745DC" w:rsidRPr="00CF1A8C" w:rsidTr="00A15A2F">
        <w:tc>
          <w:tcPr>
            <w:tcW w:w="5063" w:type="dxa"/>
          </w:tcPr>
          <w:p w:rsidR="00D745DC" w:rsidRDefault="00D745DC" w:rsidP="00D745DC">
            <w:pPr>
              <w:pStyle w:val="AIIndent"/>
              <w:numPr>
                <w:ilvl w:val="0"/>
                <w:numId w:val="19"/>
              </w:numPr>
            </w:pPr>
            <w:r w:rsidRPr="00AA0B1A">
              <w:t>Undertake Ministerial initiated investigations in accordance with the Minister’s direction</w:t>
            </w:r>
          </w:p>
        </w:tc>
        <w:tc>
          <w:tcPr>
            <w:tcW w:w="1429" w:type="dxa"/>
          </w:tcPr>
          <w:p w:rsidR="00D745DC" w:rsidRPr="00CF1A8C" w:rsidRDefault="00D745DC" w:rsidP="00D745DC">
            <w:pPr>
              <w:pStyle w:val="AITableText"/>
            </w:pPr>
            <w:r>
              <w:t>100%</w:t>
            </w:r>
          </w:p>
        </w:tc>
        <w:tc>
          <w:tcPr>
            <w:tcW w:w="1429" w:type="dxa"/>
          </w:tcPr>
          <w:p w:rsidR="00D745DC" w:rsidRPr="00CF1A8C" w:rsidRDefault="00D745DC" w:rsidP="00D745DC">
            <w:pPr>
              <w:pStyle w:val="AITableText"/>
            </w:pPr>
            <w:r>
              <w:t>100%</w:t>
            </w:r>
          </w:p>
        </w:tc>
        <w:tc>
          <w:tcPr>
            <w:tcW w:w="1429" w:type="dxa"/>
          </w:tcPr>
          <w:p w:rsidR="00D745DC" w:rsidRPr="00CF1A8C" w:rsidRDefault="00D745DC" w:rsidP="00D745DC">
            <w:pPr>
              <w:pStyle w:val="AITableText"/>
            </w:pPr>
            <w:r>
              <w:t>100%</w:t>
            </w:r>
          </w:p>
        </w:tc>
      </w:tr>
      <w:tr w:rsidR="00D745DC" w:rsidRPr="00CF1A8C" w:rsidTr="00A15A2F">
        <w:tc>
          <w:tcPr>
            <w:tcW w:w="5063" w:type="dxa"/>
          </w:tcPr>
          <w:p w:rsidR="00D745DC" w:rsidRDefault="00D745DC" w:rsidP="00D745DC">
            <w:pPr>
              <w:pStyle w:val="AIIndent"/>
              <w:numPr>
                <w:ilvl w:val="0"/>
                <w:numId w:val="19"/>
              </w:numPr>
            </w:pPr>
            <w:r w:rsidRPr="00AA0B1A">
              <w:t>Undertake</w:t>
            </w:r>
            <w:r>
              <w:t xml:space="preserve"> Commissioner </w:t>
            </w:r>
            <w:r w:rsidRPr="00AA0B1A">
              <w:t>initiated investigations in accorda</w:t>
            </w:r>
            <w:r>
              <w:t>nce with the Terms of Reference</w:t>
            </w:r>
          </w:p>
        </w:tc>
        <w:tc>
          <w:tcPr>
            <w:tcW w:w="1429" w:type="dxa"/>
          </w:tcPr>
          <w:p w:rsidR="00D745DC" w:rsidRPr="00CF1A8C" w:rsidRDefault="00D745DC" w:rsidP="00D745DC">
            <w:pPr>
              <w:pStyle w:val="AITableText"/>
            </w:pPr>
            <w:r>
              <w:t>100%</w:t>
            </w:r>
          </w:p>
        </w:tc>
        <w:tc>
          <w:tcPr>
            <w:tcW w:w="1429" w:type="dxa"/>
          </w:tcPr>
          <w:p w:rsidR="00D745DC" w:rsidRPr="00CF1A8C" w:rsidRDefault="00D745DC" w:rsidP="00D745DC">
            <w:pPr>
              <w:pStyle w:val="AITableText"/>
            </w:pPr>
            <w:r>
              <w:t>100%</w:t>
            </w:r>
          </w:p>
        </w:tc>
        <w:tc>
          <w:tcPr>
            <w:tcW w:w="1429" w:type="dxa"/>
          </w:tcPr>
          <w:p w:rsidR="00D745DC" w:rsidRPr="00CF1A8C" w:rsidRDefault="00D745DC" w:rsidP="00D745DC">
            <w:pPr>
              <w:pStyle w:val="AITableText"/>
            </w:pPr>
            <w:r>
              <w:t>100%</w:t>
            </w:r>
          </w:p>
        </w:tc>
      </w:tr>
      <w:tr w:rsidR="00D745DC" w:rsidRPr="00CF1A8C" w:rsidTr="00A15A2F">
        <w:tc>
          <w:tcPr>
            <w:tcW w:w="5063" w:type="dxa"/>
          </w:tcPr>
          <w:p w:rsidR="00D745DC" w:rsidRDefault="00D745DC" w:rsidP="00D745DC">
            <w:pPr>
              <w:pStyle w:val="AIIndent"/>
              <w:numPr>
                <w:ilvl w:val="0"/>
                <w:numId w:val="19"/>
              </w:numPr>
            </w:pPr>
            <w:r w:rsidRPr="00AA0B1A">
              <w:t>Undertake complaints generated investigations in accordance with the Terms of Reference</w:t>
            </w:r>
          </w:p>
        </w:tc>
        <w:tc>
          <w:tcPr>
            <w:tcW w:w="1429" w:type="dxa"/>
          </w:tcPr>
          <w:p w:rsidR="00D745DC" w:rsidRPr="00CF1A8C" w:rsidRDefault="00D745DC" w:rsidP="00D745DC">
            <w:pPr>
              <w:pStyle w:val="AITableText"/>
            </w:pPr>
            <w:r>
              <w:t>100%</w:t>
            </w:r>
          </w:p>
        </w:tc>
        <w:tc>
          <w:tcPr>
            <w:tcW w:w="1429" w:type="dxa"/>
          </w:tcPr>
          <w:p w:rsidR="00D745DC" w:rsidRPr="00CF1A8C" w:rsidRDefault="00D745DC" w:rsidP="00D745DC">
            <w:pPr>
              <w:pStyle w:val="AITableText"/>
            </w:pPr>
            <w:r>
              <w:t>100%</w:t>
            </w:r>
          </w:p>
        </w:tc>
        <w:tc>
          <w:tcPr>
            <w:tcW w:w="1429" w:type="dxa"/>
          </w:tcPr>
          <w:p w:rsidR="00D745DC" w:rsidRPr="00CF1A8C" w:rsidRDefault="00D745DC" w:rsidP="00D745DC">
            <w:pPr>
              <w:pStyle w:val="AITableText"/>
            </w:pPr>
            <w:r>
              <w:t>100%</w:t>
            </w:r>
          </w:p>
        </w:tc>
      </w:tr>
      <w:tr w:rsidR="00D745DC" w:rsidRPr="00CF1A8C" w:rsidTr="00A15A2F">
        <w:tc>
          <w:tcPr>
            <w:tcW w:w="5063" w:type="dxa"/>
            <w:tcBorders>
              <w:bottom w:val="single" w:sz="4" w:space="0" w:color="auto"/>
            </w:tcBorders>
          </w:tcPr>
          <w:p w:rsidR="00D745DC" w:rsidRDefault="00D745DC" w:rsidP="00D745DC">
            <w:pPr>
              <w:pStyle w:val="AIIndent"/>
              <w:numPr>
                <w:ilvl w:val="0"/>
                <w:numId w:val="19"/>
              </w:numPr>
            </w:pPr>
            <w:r w:rsidRPr="00AA0B1A">
              <w:t xml:space="preserve">Report on complaints about </w:t>
            </w:r>
            <w:r w:rsidR="00694FB2">
              <w:t xml:space="preserve">the </w:t>
            </w:r>
            <w:r w:rsidRPr="00AA0B1A">
              <w:t>management of the environment by the Territory or a Territory agency as part of the annual report</w:t>
            </w:r>
          </w:p>
        </w:tc>
        <w:tc>
          <w:tcPr>
            <w:tcW w:w="1429" w:type="dxa"/>
            <w:tcBorders>
              <w:bottom w:val="single" w:sz="4" w:space="0" w:color="auto"/>
            </w:tcBorders>
          </w:tcPr>
          <w:p w:rsidR="00D745DC" w:rsidRPr="00CF1A8C" w:rsidRDefault="00D745DC" w:rsidP="00A15A2F">
            <w:pPr>
              <w:pStyle w:val="AITableText"/>
            </w:pPr>
            <w:r>
              <w:t>Sep 2012</w:t>
            </w:r>
          </w:p>
        </w:tc>
        <w:tc>
          <w:tcPr>
            <w:tcW w:w="1429" w:type="dxa"/>
            <w:tcBorders>
              <w:bottom w:val="single" w:sz="4" w:space="0" w:color="auto"/>
            </w:tcBorders>
          </w:tcPr>
          <w:p w:rsidR="00D745DC" w:rsidRPr="00CF1A8C" w:rsidRDefault="00D745DC" w:rsidP="00A15A2F">
            <w:pPr>
              <w:pStyle w:val="AITableText"/>
            </w:pPr>
            <w:r>
              <w:t>Sep 2012</w:t>
            </w:r>
          </w:p>
        </w:tc>
        <w:tc>
          <w:tcPr>
            <w:tcW w:w="1429" w:type="dxa"/>
            <w:tcBorders>
              <w:bottom w:val="single" w:sz="4" w:space="0" w:color="auto"/>
            </w:tcBorders>
          </w:tcPr>
          <w:p w:rsidR="00D745DC" w:rsidRPr="00CF1A8C" w:rsidRDefault="00D745DC" w:rsidP="00A15A2F">
            <w:pPr>
              <w:pStyle w:val="AITableText"/>
            </w:pPr>
            <w:r>
              <w:t>Sep 2013</w:t>
            </w:r>
          </w:p>
        </w:tc>
      </w:tr>
    </w:tbl>
    <w:p w:rsidR="00D745DC" w:rsidRPr="00B26ED7" w:rsidRDefault="00D745DC" w:rsidP="00D745DC"/>
    <w:p w:rsidR="00D745DC" w:rsidRDefault="00D745DC" w:rsidP="00D745DC">
      <w:pPr>
        <w:rPr>
          <w:lang w:eastAsia="en-AU"/>
        </w:rPr>
      </w:pPr>
      <w:r>
        <w:rPr>
          <w:lang w:eastAsia="en-AU"/>
        </w:rPr>
        <w:br w:type="page"/>
      </w:r>
    </w:p>
    <w:p w:rsidR="00526CBE" w:rsidRDefault="00F16C58" w:rsidP="00F16C58">
      <w:pPr>
        <w:pStyle w:val="Heading3"/>
      </w:pPr>
      <w:r>
        <w:lastRenderedPageBreak/>
        <w:t>Changes to Appropriation</w:t>
      </w:r>
      <w:r w:rsidR="00BA07AC">
        <w:t xml:space="preserve"> </w:t>
      </w:r>
    </w:p>
    <w:tbl>
      <w:tblPr>
        <w:tblW w:w="9356" w:type="dxa"/>
        <w:tblLook w:val="04A0"/>
      </w:tblPr>
      <w:tblGrid>
        <w:gridCol w:w="4476"/>
        <w:gridCol w:w="976"/>
        <w:gridCol w:w="976"/>
        <w:gridCol w:w="976"/>
        <w:gridCol w:w="976"/>
        <w:gridCol w:w="976"/>
      </w:tblGrid>
      <w:tr w:rsidR="00DD41EB" w:rsidRPr="00235E51" w:rsidTr="009545D3">
        <w:trPr>
          <w:trHeight w:val="240"/>
        </w:trPr>
        <w:tc>
          <w:tcPr>
            <w:tcW w:w="4476" w:type="dxa"/>
            <w:tcBorders>
              <w:top w:val="nil"/>
              <w:left w:val="nil"/>
              <w:bottom w:val="nil"/>
              <w:right w:val="nil"/>
            </w:tcBorders>
            <w:shd w:val="clear" w:color="auto" w:fill="auto"/>
            <w:vAlign w:val="center"/>
            <w:hideMark/>
          </w:tcPr>
          <w:p w:rsidR="00DD41EB" w:rsidRPr="00235E51" w:rsidRDefault="00DD41EB" w:rsidP="009545D3">
            <w:pPr>
              <w:rPr>
                <w:b/>
                <w:bCs/>
                <w:sz w:val="18"/>
                <w:szCs w:val="18"/>
                <w:lang w:eastAsia="en-AU"/>
              </w:rPr>
            </w:pPr>
            <w:r w:rsidRPr="00235E51">
              <w:rPr>
                <w:b/>
                <w:bCs/>
                <w:sz w:val="18"/>
                <w:szCs w:val="18"/>
                <w:lang w:eastAsia="en-AU"/>
              </w:rPr>
              <w:t xml:space="preserve">Changes to Appropriation </w:t>
            </w:r>
            <w:r w:rsidR="00E139EF" w:rsidRPr="00E139EF">
              <w:rPr>
                <w:b/>
                <w:sz w:val="18"/>
                <w:szCs w:val="18"/>
                <w:lang w:eastAsia="en-AU"/>
              </w:rPr>
              <w:t>–</w:t>
            </w:r>
            <w:r w:rsidR="00235E51" w:rsidRPr="00235E51">
              <w:rPr>
                <w:b/>
                <w:bCs/>
                <w:sz w:val="18"/>
                <w:szCs w:val="18"/>
                <w:lang w:eastAsia="en-AU"/>
              </w:rPr>
              <w:t xml:space="preserve"> </w:t>
            </w:r>
            <w:r w:rsidRPr="00235E51">
              <w:rPr>
                <w:b/>
                <w:bCs/>
                <w:sz w:val="18"/>
                <w:szCs w:val="18"/>
                <w:lang w:eastAsia="en-AU"/>
              </w:rPr>
              <w:t>Controlled</w:t>
            </w: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r>
      <w:tr w:rsidR="00DD41EB" w:rsidRPr="00C84138" w:rsidTr="009545D3">
        <w:trPr>
          <w:trHeight w:val="240"/>
        </w:trPr>
        <w:tc>
          <w:tcPr>
            <w:tcW w:w="4476" w:type="dxa"/>
            <w:tcBorders>
              <w:top w:val="single" w:sz="4" w:space="0" w:color="auto"/>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 </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2012-13</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2013-14</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2014-15</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2015-16</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2016-17</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Government Payment for Outputs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 Out.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Budget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r>
      <w:tr w:rsidR="00DD41EB" w:rsidRPr="00C84138" w:rsidTr="009545D3">
        <w:trPr>
          <w:trHeight w:val="240"/>
        </w:trPr>
        <w:tc>
          <w:tcPr>
            <w:tcW w:w="4476" w:type="dxa"/>
            <w:tcBorders>
              <w:top w:val="nil"/>
              <w:left w:val="nil"/>
              <w:bottom w:val="single" w:sz="4" w:space="0" w:color="auto"/>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 </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2012-13 Budget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74,824</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66,675</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64,845</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62,542</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62,542</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FMA Section 16B Rollovers from 2011-12</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Tune Up Canberra</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600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Feed-in Tariff Stage 3</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405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Sustainability Data Management System</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366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ACTSmart Programs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301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eDevelopment Transition Project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300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 xml:space="preserve">Transport for Canberra – Strategic Planning Studies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290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65"/>
        </w:trPr>
        <w:tc>
          <w:tcPr>
            <w:tcW w:w="4476" w:type="dxa"/>
            <w:tcBorders>
              <w:top w:val="nil"/>
              <w:left w:val="nil"/>
              <w:bottom w:val="nil"/>
              <w:right w:val="nil"/>
            </w:tcBorders>
            <w:shd w:val="clear" w:color="auto" w:fill="auto"/>
            <w:vAlign w:val="center"/>
            <w:hideMark/>
          </w:tcPr>
          <w:p w:rsidR="00DD41EB" w:rsidRPr="00C84138" w:rsidRDefault="00DD41EB" w:rsidP="00F6495A">
            <w:pPr>
              <w:ind w:left="142" w:hanging="142"/>
              <w:rPr>
                <w:sz w:val="18"/>
                <w:szCs w:val="18"/>
                <w:lang w:eastAsia="en-AU"/>
              </w:rPr>
            </w:pPr>
            <w:r w:rsidRPr="00C84138">
              <w:rPr>
                <w:sz w:val="18"/>
                <w:szCs w:val="18"/>
                <w:lang w:eastAsia="en-AU"/>
              </w:rPr>
              <w:t>Master Planning Program – Group Centres, Transport Corridors and Rural Villages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260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Enhanced Electronic Service Delivery to Small Business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510"/>
        </w:trPr>
        <w:tc>
          <w:tcPr>
            <w:tcW w:w="4476" w:type="dxa"/>
            <w:tcBorders>
              <w:top w:val="nil"/>
              <w:left w:val="nil"/>
              <w:bottom w:val="nil"/>
              <w:right w:val="nil"/>
            </w:tcBorders>
            <w:shd w:val="clear" w:color="auto" w:fill="auto"/>
            <w:vAlign w:val="center"/>
            <w:hideMark/>
          </w:tcPr>
          <w:p w:rsidR="00DD41EB" w:rsidRPr="00C84138" w:rsidRDefault="00DD41EB" w:rsidP="00F6495A">
            <w:pPr>
              <w:ind w:left="142" w:hanging="142"/>
              <w:rPr>
                <w:sz w:val="18"/>
                <w:szCs w:val="18"/>
                <w:lang w:eastAsia="en-AU"/>
              </w:rPr>
            </w:pPr>
            <w:r w:rsidRPr="00C84138">
              <w:rPr>
                <w:sz w:val="18"/>
                <w:szCs w:val="18"/>
                <w:lang w:eastAsia="en-AU"/>
              </w:rPr>
              <w:t>Review of the Environment Protection Act and Environment Conservation Legislation</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150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AF012D">
            <w:pPr>
              <w:ind w:left="142" w:hanging="142"/>
              <w:rPr>
                <w:sz w:val="18"/>
                <w:szCs w:val="18"/>
                <w:lang w:eastAsia="en-AU"/>
              </w:rPr>
            </w:pPr>
            <w:r w:rsidRPr="00C84138">
              <w:rPr>
                <w:sz w:val="18"/>
                <w:szCs w:val="18"/>
                <w:lang w:eastAsia="en-AU"/>
              </w:rPr>
              <w:t>Molonglo Stage 2 – Subu</w:t>
            </w:r>
            <w:r w:rsidR="00AF012D">
              <w:rPr>
                <w:sz w:val="18"/>
                <w:szCs w:val="18"/>
                <w:lang w:eastAsia="en-AU"/>
              </w:rPr>
              <w:t xml:space="preserve">rbs 3 &amp; 4 Environment Impact </w:t>
            </w:r>
            <w:r w:rsidRPr="00C84138">
              <w:rPr>
                <w:sz w:val="18"/>
                <w:szCs w:val="18"/>
                <w:lang w:eastAsia="en-AU"/>
              </w:rPr>
              <w:t>Statement and Clearances (Feasibility)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118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25"/>
        </w:trPr>
        <w:tc>
          <w:tcPr>
            <w:tcW w:w="4476" w:type="dxa"/>
            <w:tcBorders>
              <w:top w:val="nil"/>
              <w:left w:val="nil"/>
              <w:bottom w:val="nil"/>
              <w:right w:val="nil"/>
            </w:tcBorders>
            <w:shd w:val="clear" w:color="auto" w:fill="auto"/>
            <w:vAlign w:val="center"/>
            <w:hideMark/>
          </w:tcPr>
          <w:p w:rsidR="00DD41EB" w:rsidRPr="00C84138" w:rsidRDefault="00DD41EB" w:rsidP="00AF012D">
            <w:pPr>
              <w:ind w:left="142" w:hanging="142"/>
              <w:rPr>
                <w:sz w:val="18"/>
                <w:szCs w:val="18"/>
                <w:lang w:eastAsia="en-AU"/>
              </w:rPr>
            </w:pPr>
            <w:r w:rsidRPr="00C84138">
              <w:rPr>
                <w:sz w:val="18"/>
                <w:szCs w:val="18"/>
                <w:lang w:eastAsia="en-AU"/>
              </w:rPr>
              <w:t>Urban Development Sequence for Affordable Housing (Feasibility)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118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Nature Conservation and Resource Management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110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Distributed Energy (Co-Generation and Tri-Generation)</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Review of the ACT's Environmental Noise Standards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Infill Development Infrastructure Studies (Feasibility)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68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Heritage Register</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60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AF012D">
            <w:pPr>
              <w:ind w:left="142" w:hanging="142"/>
              <w:rPr>
                <w:sz w:val="18"/>
                <w:szCs w:val="18"/>
                <w:lang w:eastAsia="en-AU"/>
              </w:rPr>
            </w:pPr>
            <w:r w:rsidRPr="00C84138">
              <w:rPr>
                <w:sz w:val="18"/>
                <w:szCs w:val="18"/>
                <w:lang w:eastAsia="en-AU"/>
              </w:rPr>
              <w:t>East Lake – Gas Main Re</w:t>
            </w:r>
            <w:r w:rsidR="00AF012D">
              <w:rPr>
                <w:sz w:val="18"/>
                <w:szCs w:val="18"/>
                <w:lang w:eastAsia="en-AU"/>
              </w:rPr>
              <w:t xml:space="preserve">location near Monaro Highway </w:t>
            </w:r>
            <w:r w:rsidRPr="00C84138">
              <w:rPr>
                <w:sz w:val="18"/>
                <w:szCs w:val="18"/>
                <w:lang w:eastAsia="en-AU"/>
              </w:rPr>
              <w:t xml:space="preserve">(Feasibility)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50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Commercial and Industrial Land Supply Strategy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44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AF012D">
            <w:pPr>
              <w:ind w:left="142" w:hanging="142"/>
              <w:rPr>
                <w:sz w:val="18"/>
                <w:szCs w:val="18"/>
                <w:lang w:eastAsia="en-AU"/>
              </w:rPr>
            </w:pPr>
            <w:r w:rsidRPr="00C84138">
              <w:rPr>
                <w:sz w:val="18"/>
                <w:szCs w:val="18"/>
                <w:lang w:eastAsia="en-AU"/>
              </w:rPr>
              <w:t xml:space="preserve">Woden Valley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Stormwater Retardation Basins (Feasibility)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40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 xml:space="preserve">Plastic Bag Ban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Implementation</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35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50"/>
        </w:trPr>
        <w:tc>
          <w:tcPr>
            <w:tcW w:w="4476" w:type="dxa"/>
            <w:tcBorders>
              <w:top w:val="nil"/>
              <w:left w:val="nil"/>
              <w:bottom w:val="nil"/>
              <w:right w:val="nil"/>
            </w:tcBorders>
            <w:shd w:val="clear" w:color="auto" w:fill="auto"/>
            <w:vAlign w:val="center"/>
            <w:hideMark/>
          </w:tcPr>
          <w:p w:rsidR="00DD41EB" w:rsidRPr="00C84138" w:rsidRDefault="00DD41EB" w:rsidP="00AF012D">
            <w:pPr>
              <w:ind w:left="142" w:hanging="142"/>
              <w:rPr>
                <w:sz w:val="18"/>
                <w:szCs w:val="18"/>
                <w:lang w:eastAsia="en-AU"/>
              </w:rPr>
            </w:pPr>
            <w:r w:rsidRPr="00C84138">
              <w:rPr>
                <w:sz w:val="18"/>
                <w:szCs w:val="18"/>
                <w:lang w:eastAsia="en-AU"/>
              </w:rPr>
              <w:t>Kenny Planning and Design Framework &amp; Kenny and Throsby Environmental Assessments (Feasibility)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30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Threatened Species Conservation</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26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Tidbinbilla Plan and Management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25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Fish Stocking</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21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Bettongs Translocation Project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16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 xml:space="preserve">Review – </w:t>
            </w:r>
            <w:r w:rsidRPr="00C84138">
              <w:rPr>
                <w:i/>
                <w:iCs/>
                <w:sz w:val="18"/>
                <w:szCs w:val="18"/>
                <w:lang w:eastAsia="en-AU"/>
              </w:rPr>
              <w:t>Think water, act water</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15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ACT Kangaroo Action Plan</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6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2013-14 Budget Policy Adjustments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Canberra Urban and Regional Futures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250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250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Support for Construction Services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205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210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215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221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Extension of Energy Efficiency Scheme Administration</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377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613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626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Government Architect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ACT Light Rail Master Plan (Feasibility)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400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1,000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Greenfields Planning for Affordable Housing (Feasibility)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150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General Savings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(880)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(892)</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(903)</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(995)</w:t>
            </w:r>
          </w:p>
        </w:tc>
      </w:tr>
      <w:tr w:rsidR="00DD41EB" w:rsidRPr="00C84138" w:rsidTr="00E139EF">
        <w:trPr>
          <w:trHeight w:val="240"/>
        </w:trPr>
        <w:tc>
          <w:tcPr>
            <w:tcW w:w="4476" w:type="dxa"/>
            <w:tcBorders>
              <w:top w:val="nil"/>
              <w:left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Service Reprofiling</w:t>
            </w:r>
          </w:p>
        </w:tc>
        <w:tc>
          <w:tcPr>
            <w:tcW w:w="976" w:type="dxa"/>
            <w:tcBorders>
              <w:top w:val="nil"/>
              <w:left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(900)</w:t>
            </w:r>
          </w:p>
        </w:tc>
        <w:tc>
          <w:tcPr>
            <w:tcW w:w="976" w:type="dxa"/>
            <w:tcBorders>
              <w:top w:val="nil"/>
              <w:left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(990)</w:t>
            </w:r>
          </w:p>
        </w:tc>
        <w:tc>
          <w:tcPr>
            <w:tcW w:w="976" w:type="dxa"/>
            <w:tcBorders>
              <w:top w:val="nil"/>
              <w:left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(1,389)</w:t>
            </w:r>
          </w:p>
        </w:tc>
        <w:tc>
          <w:tcPr>
            <w:tcW w:w="976" w:type="dxa"/>
            <w:tcBorders>
              <w:top w:val="nil"/>
              <w:left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(2,168)</w:t>
            </w:r>
          </w:p>
        </w:tc>
      </w:tr>
      <w:tr w:rsidR="00DD41EB" w:rsidRPr="00C84138" w:rsidTr="00E139EF">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Cost Recovery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(345)</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(359)</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(373)</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(388)</w:t>
            </w:r>
          </w:p>
        </w:tc>
      </w:tr>
      <w:tr w:rsidR="00E139EF" w:rsidRPr="00C84138" w:rsidTr="00E139EF">
        <w:trPr>
          <w:trHeight w:val="240"/>
        </w:trPr>
        <w:tc>
          <w:tcPr>
            <w:tcW w:w="4476" w:type="dxa"/>
            <w:tcBorders>
              <w:top w:val="nil"/>
              <w:left w:val="nil"/>
              <w:bottom w:val="single" w:sz="4" w:space="0" w:color="auto"/>
              <w:right w:val="nil"/>
            </w:tcBorders>
            <w:shd w:val="clear" w:color="auto" w:fill="auto"/>
            <w:vAlign w:val="center"/>
            <w:hideMark/>
          </w:tcPr>
          <w:p w:rsidR="00E139EF" w:rsidRPr="00C84138" w:rsidRDefault="00E139EF" w:rsidP="009545D3">
            <w:pPr>
              <w:rPr>
                <w:sz w:val="18"/>
                <w:szCs w:val="18"/>
                <w:lang w:eastAsia="en-AU"/>
              </w:rPr>
            </w:pPr>
          </w:p>
        </w:tc>
        <w:tc>
          <w:tcPr>
            <w:tcW w:w="976" w:type="dxa"/>
            <w:tcBorders>
              <w:top w:val="nil"/>
              <w:left w:val="nil"/>
              <w:bottom w:val="single" w:sz="4" w:space="0" w:color="auto"/>
              <w:right w:val="nil"/>
            </w:tcBorders>
            <w:shd w:val="clear" w:color="auto" w:fill="auto"/>
            <w:noWrap/>
            <w:hideMark/>
          </w:tcPr>
          <w:p w:rsidR="00E139EF" w:rsidRPr="00C84138" w:rsidRDefault="00E139EF" w:rsidP="009545D3">
            <w:pPr>
              <w:jc w:val="right"/>
              <w:rPr>
                <w:sz w:val="18"/>
                <w:szCs w:val="18"/>
                <w:lang w:eastAsia="en-AU"/>
              </w:rPr>
            </w:pPr>
          </w:p>
        </w:tc>
        <w:tc>
          <w:tcPr>
            <w:tcW w:w="976" w:type="dxa"/>
            <w:tcBorders>
              <w:top w:val="nil"/>
              <w:left w:val="nil"/>
              <w:bottom w:val="single" w:sz="4" w:space="0" w:color="auto"/>
              <w:right w:val="nil"/>
            </w:tcBorders>
            <w:shd w:val="clear" w:color="auto" w:fill="auto"/>
            <w:noWrap/>
            <w:hideMark/>
          </w:tcPr>
          <w:p w:rsidR="00E139EF" w:rsidRPr="00C84138" w:rsidRDefault="00E139EF" w:rsidP="009545D3">
            <w:pPr>
              <w:jc w:val="right"/>
              <w:rPr>
                <w:sz w:val="18"/>
                <w:szCs w:val="18"/>
                <w:lang w:eastAsia="en-AU"/>
              </w:rPr>
            </w:pPr>
          </w:p>
        </w:tc>
        <w:tc>
          <w:tcPr>
            <w:tcW w:w="976" w:type="dxa"/>
            <w:tcBorders>
              <w:top w:val="nil"/>
              <w:left w:val="nil"/>
              <w:bottom w:val="single" w:sz="4" w:space="0" w:color="auto"/>
              <w:right w:val="nil"/>
            </w:tcBorders>
            <w:shd w:val="clear" w:color="auto" w:fill="auto"/>
            <w:noWrap/>
            <w:hideMark/>
          </w:tcPr>
          <w:p w:rsidR="00E139EF" w:rsidRPr="00C84138" w:rsidRDefault="00E139EF" w:rsidP="009545D3">
            <w:pPr>
              <w:jc w:val="right"/>
              <w:rPr>
                <w:sz w:val="18"/>
                <w:szCs w:val="18"/>
                <w:lang w:eastAsia="en-AU"/>
              </w:rPr>
            </w:pPr>
          </w:p>
        </w:tc>
        <w:tc>
          <w:tcPr>
            <w:tcW w:w="976" w:type="dxa"/>
            <w:tcBorders>
              <w:top w:val="nil"/>
              <w:left w:val="nil"/>
              <w:bottom w:val="single" w:sz="4" w:space="0" w:color="auto"/>
              <w:right w:val="nil"/>
            </w:tcBorders>
            <w:shd w:val="clear" w:color="auto" w:fill="auto"/>
            <w:noWrap/>
            <w:hideMark/>
          </w:tcPr>
          <w:p w:rsidR="00E139EF" w:rsidRPr="00C84138" w:rsidRDefault="00E139EF" w:rsidP="009545D3">
            <w:pPr>
              <w:jc w:val="right"/>
              <w:rPr>
                <w:sz w:val="18"/>
                <w:szCs w:val="18"/>
                <w:lang w:eastAsia="en-AU"/>
              </w:rPr>
            </w:pPr>
          </w:p>
        </w:tc>
        <w:tc>
          <w:tcPr>
            <w:tcW w:w="976" w:type="dxa"/>
            <w:tcBorders>
              <w:top w:val="nil"/>
              <w:left w:val="nil"/>
              <w:bottom w:val="single" w:sz="4" w:space="0" w:color="auto"/>
              <w:right w:val="nil"/>
            </w:tcBorders>
            <w:shd w:val="clear" w:color="auto" w:fill="auto"/>
            <w:noWrap/>
            <w:hideMark/>
          </w:tcPr>
          <w:p w:rsidR="00E139EF" w:rsidRPr="00C84138" w:rsidRDefault="00E139EF" w:rsidP="009545D3">
            <w:pPr>
              <w:jc w:val="right"/>
              <w:rPr>
                <w:sz w:val="18"/>
                <w:szCs w:val="18"/>
                <w:lang w:eastAsia="en-AU"/>
              </w:rPr>
            </w:pPr>
          </w:p>
        </w:tc>
      </w:tr>
    </w:tbl>
    <w:p w:rsidR="008A4C99" w:rsidRDefault="008A4C99">
      <w:r>
        <w:br w:type="page"/>
      </w:r>
    </w:p>
    <w:p w:rsidR="00DD41EB" w:rsidRDefault="00DD41EB" w:rsidP="00DD41EB">
      <w:pPr>
        <w:pStyle w:val="Heading3"/>
        <w:spacing w:after="120"/>
      </w:pPr>
      <w:r>
        <w:lastRenderedPageBreak/>
        <w:t>Changes to Appropriation cont.</w:t>
      </w:r>
    </w:p>
    <w:tbl>
      <w:tblPr>
        <w:tblW w:w="9356" w:type="dxa"/>
        <w:tblLook w:val="04A0"/>
      </w:tblPr>
      <w:tblGrid>
        <w:gridCol w:w="4476"/>
        <w:gridCol w:w="976"/>
        <w:gridCol w:w="976"/>
        <w:gridCol w:w="976"/>
        <w:gridCol w:w="976"/>
        <w:gridCol w:w="976"/>
      </w:tblGrid>
      <w:tr w:rsidR="00DD41EB" w:rsidRPr="00235E51" w:rsidTr="009545D3">
        <w:trPr>
          <w:trHeight w:val="240"/>
        </w:trPr>
        <w:tc>
          <w:tcPr>
            <w:tcW w:w="4476" w:type="dxa"/>
            <w:tcBorders>
              <w:top w:val="nil"/>
              <w:left w:val="nil"/>
              <w:bottom w:val="nil"/>
              <w:right w:val="nil"/>
            </w:tcBorders>
            <w:shd w:val="clear" w:color="auto" w:fill="auto"/>
            <w:vAlign w:val="center"/>
            <w:hideMark/>
          </w:tcPr>
          <w:p w:rsidR="00DD41EB" w:rsidRPr="00235E51" w:rsidRDefault="00DD41EB" w:rsidP="009545D3">
            <w:pPr>
              <w:rPr>
                <w:b/>
                <w:bCs/>
                <w:sz w:val="18"/>
                <w:szCs w:val="18"/>
                <w:lang w:eastAsia="en-AU"/>
              </w:rPr>
            </w:pPr>
            <w:r w:rsidRPr="00235E51">
              <w:rPr>
                <w:b/>
                <w:bCs/>
                <w:sz w:val="18"/>
                <w:szCs w:val="18"/>
                <w:lang w:eastAsia="en-AU"/>
              </w:rPr>
              <w:t xml:space="preserve">Changes to Appropriation </w:t>
            </w:r>
            <w:r w:rsidR="00E139EF" w:rsidRPr="00E139EF">
              <w:rPr>
                <w:b/>
                <w:sz w:val="18"/>
                <w:szCs w:val="18"/>
                <w:lang w:eastAsia="en-AU"/>
              </w:rPr>
              <w:t>–</w:t>
            </w:r>
            <w:r w:rsidR="00235E51" w:rsidRPr="00235E51">
              <w:rPr>
                <w:b/>
                <w:bCs/>
                <w:sz w:val="18"/>
                <w:szCs w:val="18"/>
                <w:lang w:eastAsia="en-AU"/>
              </w:rPr>
              <w:t xml:space="preserve"> </w:t>
            </w:r>
            <w:r w:rsidRPr="00235E51">
              <w:rPr>
                <w:b/>
                <w:bCs/>
                <w:sz w:val="18"/>
                <w:szCs w:val="18"/>
                <w:lang w:eastAsia="en-AU"/>
              </w:rPr>
              <w:t>Controlled</w:t>
            </w: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r>
      <w:tr w:rsidR="00DD41EB" w:rsidRPr="00C84138" w:rsidTr="009545D3">
        <w:trPr>
          <w:trHeight w:val="240"/>
        </w:trPr>
        <w:tc>
          <w:tcPr>
            <w:tcW w:w="4476" w:type="dxa"/>
            <w:tcBorders>
              <w:top w:val="single" w:sz="4" w:space="0" w:color="auto"/>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 </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2012-13</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2013-14</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2014-15</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2015-16</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2016-17</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Government Payment for Outputs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 Out.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Budget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r>
      <w:tr w:rsidR="00DD41EB" w:rsidRPr="00C84138" w:rsidTr="009545D3">
        <w:trPr>
          <w:trHeight w:val="240"/>
        </w:trPr>
        <w:tc>
          <w:tcPr>
            <w:tcW w:w="4476" w:type="dxa"/>
            <w:tcBorders>
              <w:top w:val="nil"/>
              <w:left w:val="nil"/>
              <w:bottom w:val="single" w:sz="4" w:space="0" w:color="auto"/>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 </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r>
      <w:tr w:rsidR="00DD41EB" w:rsidRPr="00C84138" w:rsidTr="009545D3">
        <w:trPr>
          <w:trHeight w:val="240"/>
        </w:trPr>
        <w:tc>
          <w:tcPr>
            <w:tcW w:w="4476" w:type="dxa"/>
            <w:tcBorders>
              <w:top w:val="single" w:sz="4" w:space="0" w:color="auto"/>
              <w:left w:val="nil"/>
              <w:bottom w:val="nil"/>
              <w:right w:val="nil"/>
            </w:tcBorders>
            <w:shd w:val="clear" w:color="auto" w:fill="auto"/>
            <w:vAlign w:val="center"/>
            <w:hideMark/>
          </w:tcPr>
          <w:p w:rsidR="00DD41EB" w:rsidRPr="00C84138" w:rsidRDefault="00DD41EB" w:rsidP="009545D3">
            <w:pPr>
              <w:rPr>
                <w:sz w:val="18"/>
                <w:szCs w:val="18"/>
                <w:lang w:eastAsia="en-AU"/>
              </w:rPr>
            </w:pP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2013-14 Budget Technical Adjustments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 xml:space="preserve">Revised Indexation Parameters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(71)</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(73)</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(75)</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986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Revised Superannuation Parameters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766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747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851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632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Revised Superannuation Guarantee Rate</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46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101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217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347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 xml:space="preserve">Transfer </w:t>
            </w:r>
            <w:r w:rsidR="00E139EF" w:rsidRPr="00C84138">
              <w:rPr>
                <w:sz w:val="18"/>
                <w:szCs w:val="18"/>
                <w:lang w:eastAsia="en-AU"/>
              </w:rPr>
              <w:t>–</w:t>
            </w:r>
            <w:r w:rsidR="00235E51">
              <w:rPr>
                <w:bCs/>
                <w:sz w:val="18"/>
                <w:szCs w:val="18"/>
                <w:lang w:eastAsia="en-AU"/>
              </w:rPr>
              <w:t xml:space="preserve"> </w:t>
            </w:r>
            <w:r w:rsidR="00A316B7" w:rsidRPr="00C84138">
              <w:rPr>
                <w:sz w:val="18"/>
                <w:szCs w:val="18"/>
                <w:lang w:eastAsia="en-AU"/>
              </w:rPr>
              <w:t>Infrastructure</w:t>
            </w:r>
            <w:r w:rsidRPr="00C84138">
              <w:rPr>
                <w:sz w:val="18"/>
                <w:szCs w:val="18"/>
                <w:lang w:eastAsia="en-AU"/>
              </w:rPr>
              <w:t xml:space="preserve"> Planning to EDD</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(1,146)</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(535)</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(542)</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(549)</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(556)</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B00585">
            <w:pPr>
              <w:ind w:left="142" w:hanging="142"/>
              <w:rPr>
                <w:sz w:val="18"/>
                <w:szCs w:val="18"/>
                <w:lang w:eastAsia="en-AU"/>
              </w:rPr>
            </w:pPr>
            <w:r w:rsidRPr="00C84138">
              <w:rPr>
                <w:sz w:val="18"/>
                <w:szCs w:val="18"/>
                <w:lang w:eastAsia="en-AU"/>
              </w:rPr>
              <w:t xml:space="preserve">Transfer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Carbon Neutral Government Funding from Various Agencies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1,513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1,902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1,414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1,451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1,490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235E51">
            <w:pPr>
              <w:ind w:left="142" w:hanging="142"/>
              <w:rPr>
                <w:sz w:val="18"/>
                <w:szCs w:val="18"/>
                <w:lang w:eastAsia="en-AU"/>
              </w:rPr>
            </w:pPr>
            <w:r w:rsidRPr="00C84138">
              <w:rPr>
                <w:sz w:val="18"/>
                <w:szCs w:val="18"/>
                <w:lang w:eastAsia="en-AU"/>
              </w:rPr>
              <w:t xml:space="preserve">Transfer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Carbon Neutral Government Funding to</w:t>
            </w:r>
            <w:r w:rsidR="00235E51">
              <w:rPr>
                <w:sz w:val="18"/>
                <w:szCs w:val="18"/>
                <w:lang w:eastAsia="en-AU"/>
              </w:rPr>
              <w:br/>
              <w:t xml:space="preserve">  </w:t>
            </w:r>
            <w:r w:rsidRPr="00C84138">
              <w:rPr>
                <w:sz w:val="18"/>
                <w:szCs w:val="18"/>
                <w:lang w:eastAsia="en-AU"/>
              </w:rPr>
              <w:t xml:space="preserve"> Capital Injection</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(1,513)</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(1,902)</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(1,414)</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(1,451)</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(1,490)</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B00585">
            <w:pPr>
              <w:ind w:left="142" w:hanging="142"/>
              <w:rPr>
                <w:sz w:val="18"/>
                <w:szCs w:val="18"/>
                <w:lang w:eastAsia="en-AU"/>
              </w:rPr>
            </w:pPr>
            <w:r w:rsidRPr="00C84138">
              <w:rPr>
                <w:sz w:val="18"/>
                <w:szCs w:val="18"/>
                <w:lang w:eastAsia="en-AU"/>
              </w:rPr>
              <w:t xml:space="preserve">Transfer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City Area Bus Layover Facility from Capital Injection</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92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250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B00585">
            <w:pPr>
              <w:ind w:left="142" w:hanging="142"/>
              <w:rPr>
                <w:sz w:val="18"/>
                <w:szCs w:val="18"/>
                <w:lang w:eastAsia="en-AU"/>
              </w:rPr>
            </w:pPr>
            <w:r w:rsidRPr="00C84138">
              <w:rPr>
                <w:sz w:val="18"/>
                <w:szCs w:val="18"/>
                <w:lang w:eastAsia="en-AU"/>
              </w:rPr>
              <w:t xml:space="preserve">Transfer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Gungahlin to City T</w:t>
            </w:r>
            <w:r w:rsidR="00B00585">
              <w:rPr>
                <w:sz w:val="18"/>
                <w:szCs w:val="18"/>
                <w:lang w:eastAsia="en-AU"/>
              </w:rPr>
              <w:t xml:space="preserve">ransit Corridor from Capital </w:t>
            </w:r>
            <w:r w:rsidRPr="00C84138">
              <w:rPr>
                <w:sz w:val="18"/>
                <w:szCs w:val="18"/>
                <w:lang w:eastAsia="en-AU"/>
              </w:rPr>
              <w:t>Injection</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504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B00585">
            <w:pPr>
              <w:ind w:left="142" w:hanging="142"/>
              <w:rPr>
                <w:sz w:val="18"/>
                <w:szCs w:val="18"/>
                <w:lang w:eastAsia="en-AU"/>
              </w:rPr>
            </w:pPr>
            <w:r w:rsidRPr="00C84138">
              <w:rPr>
                <w:sz w:val="18"/>
                <w:szCs w:val="18"/>
                <w:lang w:eastAsia="en-AU"/>
              </w:rPr>
              <w:t xml:space="preserve">Transfer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 xml:space="preserve">ACT </w:t>
            </w:r>
            <w:r w:rsidR="00A316B7" w:rsidRPr="00C84138">
              <w:rPr>
                <w:sz w:val="18"/>
                <w:szCs w:val="18"/>
                <w:lang w:eastAsia="en-AU"/>
              </w:rPr>
              <w:t>Strategic</w:t>
            </w:r>
            <w:r w:rsidRPr="00C84138">
              <w:rPr>
                <w:sz w:val="18"/>
                <w:szCs w:val="18"/>
                <w:lang w:eastAsia="en-AU"/>
              </w:rPr>
              <w:t xml:space="preserve"> Cyc</w:t>
            </w:r>
            <w:r w:rsidR="00B00585">
              <w:rPr>
                <w:sz w:val="18"/>
                <w:szCs w:val="18"/>
                <w:lang w:eastAsia="en-AU"/>
              </w:rPr>
              <w:t xml:space="preserve">le Network Plan from Capital </w:t>
            </w:r>
            <w:r w:rsidRPr="00C84138">
              <w:rPr>
                <w:sz w:val="18"/>
                <w:szCs w:val="18"/>
                <w:lang w:eastAsia="en-AU"/>
              </w:rPr>
              <w:t>Injection</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35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60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B00585">
            <w:pPr>
              <w:ind w:left="142" w:hanging="142"/>
              <w:rPr>
                <w:sz w:val="18"/>
                <w:szCs w:val="18"/>
                <w:lang w:eastAsia="en-AU"/>
              </w:rPr>
            </w:pPr>
            <w:r w:rsidRPr="00C84138">
              <w:rPr>
                <w:sz w:val="18"/>
                <w:szCs w:val="18"/>
                <w:lang w:eastAsia="en-AU"/>
              </w:rPr>
              <w:t xml:space="preserve">Revised Funding Profile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Eas</w:t>
            </w:r>
            <w:r w:rsidR="00B00585">
              <w:rPr>
                <w:sz w:val="18"/>
                <w:szCs w:val="18"/>
                <w:lang w:eastAsia="en-AU"/>
              </w:rPr>
              <w:t xml:space="preserve">t Lake </w:t>
            </w:r>
            <w:r w:rsidR="00E139EF" w:rsidRPr="00C84138">
              <w:rPr>
                <w:sz w:val="18"/>
                <w:szCs w:val="18"/>
                <w:lang w:eastAsia="en-AU"/>
              </w:rPr>
              <w:t>–</w:t>
            </w:r>
            <w:r w:rsidR="00235E51">
              <w:rPr>
                <w:bCs/>
                <w:sz w:val="18"/>
                <w:szCs w:val="18"/>
                <w:lang w:eastAsia="en-AU"/>
              </w:rPr>
              <w:t xml:space="preserve"> </w:t>
            </w:r>
            <w:r w:rsidR="00B00585">
              <w:rPr>
                <w:sz w:val="18"/>
                <w:szCs w:val="18"/>
                <w:lang w:eastAsia="en-AU"/>
              </w:rPr>
              <w:t xml:space="preserve">Planning and Design </w:t>
            </w:r>
            <w:r w:rsidRPr="00C84138">
              <w:rPr>
                <w:sz w:val="18"/>
                <w:szCs w:val="18"/>
                <w:lang w:eastAsia="en-AU"/>
              </w:rPr>
              <w:t>Framework  Implementation (Feasibility)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(100)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E139EF">
        <w:trPr>
          <w:trHeight w:val="444"/>
        </w:trPr>
        <w:tc>
          <w:tcPr>
            <w:tcW w:w="4476" w:type="dxa"/>
            <w:tcBorders>
              <w:top w:val="nil"/>
              <w:left w:val="nil"/>
              <w:bottom w:val="nil"/>
              <w:right w:val="nil"/>
            </w:tcBorders>
            <w:shd w:val="clear" w:color="auto" w:fill="auto"/>
            <w:vAlign w:val="center"/>
            <w:hideMark/>
          </w:tcPr>
          <w:p w:rsidR="00DD41EB" w:rsidRPr="00C84138" w:rsidRDefault="00DD41EB" w:rsidP="00B00585">
            <w:pPr>
              <w:ind w:left="142" w:hanging="142"/>
              <w:rPr>
                <w:sz w:val="18"/>
                <w:szCs w:val="18"/>
                <w:lang w:eastAsia="en-AU"/>
              </w:rPr>
            </w:pPr>
            <w:r w:rsidRPr="00C84138">
              <w:rPr>
                <w:sz w:val="18"/>
                <w:szCs w:val="18"/>
                <w:lang w:eastAsia="en-AU"/>
              </w:rPr>
              <w:t>Revised Funding Profile</w:t>
            </w:r>
            <w:r w:rsidR="00B00585">
              <w:rPr>
                <w:sz w:val="18"/>
                <w:szCs w:val="18"/>
                <w:lang w:eastAsia="en-AU"/>
              </w:rPr>
              <w:t xml:space="preserve"> </w:t>
            </w:r>
            <w:r w:rsidR="00E139EF" w:rsidRPr="00C84138">
              <w:rPr>
                <w:sz w:val="18"/>
                <w:szCs w:val="18"/>
                <w:lang w:eastAsia="en-AU"/>
              </w:rPr>
              <w:t>–</w:t>
            </w:r>
            <w:r w:rsidR="00235E51">
              <w:rPr>
                <w:bCs/>
                <w:sz w:val="18"/>
                <w:szCs w:val="18"/>
                <w:lang w:eastAsia="en-AU"/>
              </w:rPr>
              <w:t xml:space="preserve"> </w:t>
            </w:r>
            <w:r w:rsidR="00B00585">
              <w:rPr>
                <w:sz w:val="18"/>
                <w:szCs w:val="18"/>
                <w:lang w:eastAsia="en-AU"/>
              </w:rPr>
              <w:t xml:space="preserve">Continuation of Urban Infill </w:t>
            </w:r>
            <w:r w:rsidR="00E139EF">
              <w:rPr>
                <w:sz w:val="18"/>
                <w:szCs w:val="18"/>
                <w:lang w:eastAsia="en-AU"/>
              </w:rPr>
              <w:t xml:space="preserve">Program </w:t>
            </w:r>
            <w:r w:rsidR="00E139EF">
              <w:rPr>
                <w:sz w:val="18"/>
                <w:szCs w:val="18"/>
                <w:lang w:eastAsia="en-AU"/>
              </w:rPr>
              <w:br w:type="page"/>
              <w:t xml:space="preserve"> </w:t>
            </w:r>
            <w:r w:rsidRPr="00C84138">
              <w:rPr>
                <w:sz w:val="18"/>
                <w:szCs w:val="18"/>
                <w:lang w:eastAsia="en-AU"/>
              </w:rPr>
              <w:t>(Feasibility)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(150)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150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B00585">
            <w:pPr>
              <w:ind w:left="142" w:hanging="142"/>
              <w:rPr>
                <w:sz w:val="18"/>
                <w:szCs w:val="18"/>
                <w:lang w:eastAsia="en-AU"/>
              </w:rPr>
            </w:pPr>
            <w:r w:rsidRPr="00C84138">
              <w:rPr>
                <w:sz w:val="18"/>
                <w:szCs w:val="18"/>
                <w:lang w:eastAsia="en-AU"/>
              </w:rPr>
              <w:t xml:space="preserve">Revised Funding Profile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Infill Development</w:t>
            </w:r>
            <w:r w:rsidR="00B00585">
              <w:rPr>
                <w:sz w:val="18"/>
                <w:szCs w:val="18"/>
                <w:lang w:eastAsia="en-AU"/>
              </w:rPr>
              <w:t xml:space="preserve"> </w:t>
            </w:r>
            <w:r w:rsidRPr="00C84138">
              <w:rPr>
                <w:sz w:val="18"/>
                <w:szCs w:val="18"/>
                <w:lang w:eastAsia="en-AU"/>
              </w:rPr>
              <w:t>Infrastructure Studies (Feasibility)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(877)</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877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E139EF">
        <w:trPr>
          <w:trHeight w:val="372"/>
        </w:trPr>
        <w:tc>
          <w:tcPr>
            <w:tcW w:w="4476" w:type="dxa"/>
            <w:tcBorders>
              <w:top w:val="nil"/>
              <w:left w:val="nil"/>
              <w:bottom w:val="nil"/>
              <w:right w:val="nil"/>
            </w:tcBorders>
            <w:shd w:val="clear" w:color="auto" w:fill="auto"/>
            <w:vAlign w:val="center"/>
            <w:hideMark/>
          </w:tcPr>
          <w:p w:rsidR="00DD41EB" w:rsidRPr="00C84138" w:rsidRDefault="00DD41EB" w:rsidP="00B00585">
            <w:pPr>
              <w:ind w:left="142" w:hanging="142"/>
              <w:rPr>
                <w:sz w:val="18"/>
                <w:szCs w:val="18"/>
                <w:lang w:eastAsia="en-AU"/>
              </w:rPr>
            </w:pPr>
            <w:r w:rsidRPr="00C84138">
              <w:rPr>
                <w:sz w:val="18"/>
                <w:szCs w:val="18"/>
                <w:lang w:eastAsia="en-AU"/>
              </w:rPr>
              <w:t xml:space="preserve">Revised Funding Profile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Urban Development Sequence for Affordable Housing (Feasibility)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(700)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700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E139EF">
        <w:trPr>
          <w:trHeight w:val="634"/>
        </w:trPr>
        <w:tc>
          <w:tcPr>
            <w:tcW w:w="4476" w:type="dxa"/>
            <w:tcBorders>
              <w:top w:val="nil"/>
              <w:left w:val="nil"/>
              <w:bottom w:val="nil"/>
              <w:right w:val="nil"/>
            </w:tcBorders>
            <w:shd w:val="clear" w:color="auto" w:fill="auto"/>
            <w:vAlign w:val="center"/>
            <w:hideMark/>
          </w:tcPr>
          <w:p w:rsidR="00DD41EB" w:rsidRPr="00C84138" w:rsidRDefault="00DD41EB" w:rsidP="00B00585">
            <w:pPr>
              <w:ind w:left="142" w:hanging="142"/>
              <w:rPr>
                <w:sz w:val="18"/>
                <w:szCs w:val="18"/>
                <w:lang w:eastAsia="en-AU"/>
              </w:rPr>
            </w:pPr>
            <w:r w:rsidRPr="00C84138">
              <w:rPr>
                <w:sz w:val="18"/>
                <w:szCs w:val="18"/>
                <w:lang w:eastAsia="en-AU"/>
              </w:rPr>
              <w:t xml:space="preserve">Revised Funding Profile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Kenny Planning and Design Framework &amp; Kenny and Throsby Environmental Assessments (Feasibility)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(120)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120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B00585">
            <w:pPr>
              <w:ind w:left="142" w:hanging="142"/>
              <w:rPr>
                <w:sz w:val="18"/>
                <w:szCs w:val="18"/>
                <w:lang w:eastAsia="en-AU"/>
              </w:rPr>
            </w:pPr>
            <w:r w:rsidRPr="00C84138">
              <w:rPr>
                <w:sz w:val="18"/>
                <w:szCs w:val="18"/>
                <w:lang w:eastAsia="en-AU"/>
              </w:rPr>
              <w:t xml:space="preserve">Revised Funding Profile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East Lake Sustainable Urban Renewal</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(100)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 xml:space="preserve">Savings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 xml:space="preserve">Continuation of Urban Infill Program </w:t>
            </w:r>
            <w:r w:rsidR="00235E51">
              <w:rPr>
                <w:sz w:val="18"/>
                <w:szCs w:val="18"/>
                <w:lang w:eastAsia="en-AU"/>
              </w:rPr>
              <w:br/>
              <w:t xml:space="preserve">   </w:t>
            </w:r>
            <w:r w:rsidRPr="00C84138">
              <w:rPr>
                <w:sz w:val="18"/>
                <w:szCs w:val="18"/>
                <w:lang w:eastAsia="en-AU"/>
              </w:rPr>
              <w:t>(Feasibility)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(166)</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B00585">
            <w:pPr>
              <w:ind w:left="142" w:hanging="142"/>
              <w:rPr>
                <w:sz w:val="18"/>
                <w:szCs w:val="18"/>
                <w:lang w:eastAsia="en-AU"/>
              </w:rPr>
            </w:pPr>
            <w:r w:rsidRPr="00C84138">
              <w:rPr>
                <w:sz w:val="18"/>
                <w:szCs w:val="18"/>
                <w:lang w:eastAsia="en-AU"/>
              </w:rPr>
              <w:t xml:space="preserve">Savings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 xml:space="preserve">Molonglo Stage 2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Suburbs 3 &amp; 4 Environmental Impact Statement and Clearances (Feasibility)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(500)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 xml:space="preserve">Carbon Neutral Government Funding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ESDD</w:t>
            </w:r>
            <w:r w:rsidR="00235E51">
              <w:rPr>
                <w:sz w:val="18"/>
                <w:szCs w:val="18"/>
                <w:lang w:eastAsia="en-AU"/>
              </w:rPr>
              <w:br/>
              <w:t xml:space="preserve">  </w:t>
            </w:r>
            <w:r w:rsidRPr="00C84138">
              <w:rPr>
                <w:sz w:val="18"/>
                <w:szCs w:val="18"/>
                <w:lang w:eastAsia="en-AU"/>
              </w:rPr>
              <w:t xml:space="preserve"> Contribution</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(7)</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 xml:space="preserve">Commonwealth Grants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Water for the Future NP</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632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(70)</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B00585">
            <w:pPr>
              <w:ind w:left="142" w:hanging="142"/>
              <w:rPr>
                <w:sz w:val="18"/>
                <w:szCs w:val="18"/>
                <w:lang w:eastAsia="en-AU"/>
              </w:rPr>
            </w:pPr>
            <w:r w:rsidRPr="00C84138">
              <w:rPr>
                <w:sz w:val="18"/>
                <w:szCs w:val="18"/>
                <w:lang w:eastAsia="en-AU"/>
              </w:rPr>
              <w:t xml:space="preserve">Commonwealth Grants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Implementing Water Reform in the Murray-Darling Basin NP</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98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221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327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327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327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B00585">
            <w:pPr>
              <w:ind w:left="142" w:hanging="142"/>
              <w:rPr>
                <w:sz w:val="18"/>
                <w:szCs w:val="18"/>
                <w:lang w:eastAsia="en-AU"/>
              </w:rPr>
            </w:pPr>
            <w:r w:rsidRPr="00C84138">
              <w:rPr>
                <w:sz w:val="18"/>
                <w:szCs w:val="18"/>
                <w:lang w:eastAsia="en-AU"/>
              </w:rPr>
              <w:t xml:space="preserve">Commonwealth Grants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Implementation of the National Insurance Affordability NP</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133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416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single" w:sz="4" w:space="0" w:color="auto"/>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2013-14 Budget</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76,180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68,992</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65,803</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61,489</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60,878</w:t>
            </w:r>
          </w:p>
        </w:tc>
      </w:tr>
    </w:tbl>
    <w:p w:rsidR="00DD41EB" w:rsidRDefault="00DD41EB">
      <w:r>
        <w:br w:type="page"/>
      </w:r>
    </w:p>
    <w:p w:rsidR="00DD41EB" w:rsidRDefault="00DD41EB" w:rsidP="00DD41EB">
      <w:pPr>
        <w:pStyle w:val="Heading3"/>
        <w:spacing w:after="120"/>
      </w:pPr>
      <w:r>
        <w:lastRenderedPageBreak/>
        <w:t>Changes to Appropriation cont.</w:t>
      </w:r>
    </w:p>
    <w:tbl>
      <w:tblPr>
        <w:tblW w:w="9356" w:type="dxa"/>
        <w:tblLook w:val="04A0"/>
      </w:tblPr>
      <w:tblGrid>
        <w:gridCol w:w="4476"/>
        <w:gridCol w:w="976"/>
        <w:gridCol w:w="976"/>
        <w:gridCol w:w="976"/>
        <w:gridCol w:w="976"/>
        <w:gridCol w:w="976"/>
      </w:tblGrid>
      <w:tr w:rsidR="00DD41EB" w:rsidRPr="00235E51" w:rsidTr="009545D3">
        <w:trPr>
          <w:trHeight w:val="240"/>
        </w:trPr>
        <w:tc>
          <w:tcPr>
            <w:tcW w:w="4476" w:type="dxa"/>
            <w:tcBorders>
              <w:top w:val="nil"/>
              <w:left w:val="nil"/>
              <w:bottom w:val="nil"/>
              <w:right w:val="nil"/>
            </w:tcBorders>
            <w:shd w:val="clear" w:color="auto" w:fill="auto"/>
            <w:vAlign w:val="center"/>
            <w:hideMark/>
          </w:tcPr>
          <w:p w:rsidR="00DD41EB" w:rsidRPr="00235E51" w:rsidRDefault="00DD41EB" w:rsidP="009545D3">
            <w:pPr>
              <w:rPr>
                <w:b/>
                <w:bCs/>
                <w:sz w:val="18"/>
                <w:szCs w:val="18"/>
                <w:lang w:eastAsia="en-AU"/>
              </w:rPr>
            </w:pPr>
            <w:r w:rsidRPr="00235E51">
              <w:rPr>
                <w:b/>
                <w:bCs/>
                <w:sz w:val="18"/>
                <w:szCs w:val="18"/>
                <w:lang w:eastAsia="en-AU"/>
              </w:rPr>
              <w:t xml:space="preserve">Changes to Appropriation </w:t>
            </w:r>
            <w:r w:rsidR="00E139EF" w:rsidRPr="00E139EF">
              <w:rPr>
                <w:b/>
                <w:sz w:val="18"/>
                <w:szCs w:val="18"/>
                <w:lang w:eastAsia="en-AU"/>
              </w:rPr>
              <w:t>–</w:t>
            </w:r>
            <w:r w:rsidR="00235E51" w:rsidRPr="00235E51">
              <w:rPr>
                <w:b/>
                <w:bCs/>
                <w:sz w:val="18"/>
                <w:szCs w:val="18"/>
                <w:lang w:eastAsia="en-AU"/>
              </w:rPr>
              <w:t xml:space="preserve"> </w:t>
            </w:r>
            <w:r w:rsidRPr="00235E51">
              <w:rPr>
                <w:b/>
                <w:bCs/>
                <w:sz w:val="18"/>
                <w:szCs w:val="18"/>
                <w:lang w:eastAsia="en-AU"/>
              </w:rPr>
              <w:t>Territorial</w:t>
            </w: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r>
      <w:tr w:rsidR="00DD41EB" w:rsidRPr="00C84138" w:rsidTr="009545D3">
        <w:trPr>
          <w:trHeight w:val="240"/>
        </w:trPr>
        <w:tc>
          <w:tcPr>
            <w:tcW w:w="4476" w:type="dxa"/>
            <w:tcBorders>
              <w:top w:val="single" w:sz="4" w:space="0" w:color="auto"/>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 </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2012-13</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2013-14</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2014-15</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2015-16</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2016-17</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Payment for Expenses on Behalf of Territory</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 Out.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Budget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r>
      <w:tr w:rsidR="00DD41EB" w:rsidRPr="00C84138" w:rsidTr="009545D3">
        <w:trPr>
          <w:trHeight w:val="240"/>
        </w:trPr>
        <w:tc>
          <w:tcPr>
            <w:tcW w:w="4476" w:type="dxa"/>
            <w:tcBorders>
              <w:top w:val="nil"/>
              <w:left w:val="nil"/>
              <w:bottom w:val="single" w:sz="4" w:space="0" w:color="auto"/>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 </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2012-13 Budget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1,767</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1,803</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1,839</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1,883</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1,883</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FMA Section 16B Rollovers from 2011-12</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Heritage Grants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243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BF7123">
        <w:trPr>
          <w:trHeight w:val="400"/>
        </w:trPr>
        <w:tc>
          <w:tcPr>
            <w:tcW w:w="4476" w:type="dxa"/>
            <w:tcBorders>
              <w:top w:val="nil"/>
              <w:left w:val="nil"/>
              <w:bottom w:val="nil"/>
              <w:right w:val="nil"/>
            </w:tcBorders>
            <w:shd w:val="clear" w:color="auto" w:fill="auto"/>
            <w:vAlign w:val="center"/>
            <w:hideMark/>
          </w:tcPr>
          <w:p w:rsidR="00DD41EB" w:rsidRPr="00C84138" w:rsidRDefault="00DD41EB" w:rsidP="00E97AA1">
            <w:pPr>
              <w:ind w:left="142" w:hanging="142"/>
              <w:rPr>
                <w:sz w:val="18"/>
                <w:szCs w:val="18"/>
                <w:lang w:eastAsia="en-AU"/>
              </w:rPr>
            </w:pPr>
            <w:r w:rsidRPr="00C84138">
              <w:rPr>
                <w:sz w:val="18"/>
                <w:szCs w:val="18"/>
                <w:lang w:eastAsia="en-AU"/>
              </w:rPr>
              <w:t>Office of the Commissioner for Sustainability and the</w:t>
            </w:r>
            <w:r w:rsidR="00E97AA1">
              <w:rPr>
                <w:sz w:val="18"/>
                <w:szCs w:val="18"/>
                <w:lang w:eastAsia="en-AU"/>
              </w:rPr>
              <w:t xml:space="preserve"> </w:t>
            </w:r>
            <w:r w:rsidRPr="00C84138">
              <w:rPr>
                <w:sz w:val="18"/>
                <w:szCs w:val="18"/>
                <w:lang w:eastAsia="en-AU"/>
              </w:rPr>
              <w:t>Environment (Operations)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150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Environment Grants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63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2013-14 Budget Technical Adjustments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Revised Indexation Parameters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(3)</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(3)</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(3)</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35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single" w:sz="4" w:space="0" w:color="auto"/>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2013-14 Budget</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2,223</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1,800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1,836</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1,880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1,918</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235E51" w:rsidTr="009545D3">
        <w:trPr>
          <w:trHeight w:val="240"/>
        </w:trPr>
        <w:tc>
          <w:tcPr>
            <w:tcW w:w="4476" w:type="dxa"/>
            <w:tcBorders>
              <w:top w:val="nil"/>
              <w:left w:val="nil"/>
              <w:bottom w:val="nil"/>
              <w:right w:val="nil"/>
            </w:tcBorders>
            <w:shd w:val="clear" w:color="auto" w:fill="auto"/>
            <w:vAlign w:val="center"/>
            <w:hideMark/>
          </w:tcPr>
          <w:p w:rsidR="00DD41EB" w:rsidRPr="00235E51" w:rsidRDefault="00DD41EB" w:rsidP="009545D3">
            <w:pPr>
              <w:rPr>
                <w:b/>
                <w:bCs/>
                <w:sz w:val="18"/>
                <w:szCs w:val="18"/>
                <w:lang w:eastAsia="en-AU"/>
              </w:rPr>
            </w:pPr>
            <w:r w:rsidRPr="00235E51">
              <w:rPr>
                <w:b/>
                <w:bCs/>
                <w:sz w:val="18"/>
                <w:szCs w:val="18"/>
                <w:lang w:eastAsia="en-AU"/>
              </w:rPr>
              <w:t xml:space="preserve">Changes to Appropriation </w:t>
            </w:r>
            <w:r w:rsidR="00E139EF" w:rsidRPr="00E139EF">
              <w:rPr>
                <w:b/>
                <w:sz w:val="18"/>
                <w:szCs w:val="18"/>
                <w:lang w:eastAsia="en-AU"/>
              </w:rPr>
              <w:t>–</w:t>
            </w:r>
            <w:r w:rsidR="00235E51" w:rsidRPr="00235E51">
              <w:rPr>
                <w:b/>
                <w:bCs/>
                <w:sz w:val="18"/>
                <w:szCs w:val="18"/>
                <w:lang w:eastAsia="en-AU"/>
              </w:rPr>
              <w:t xml:space="preserve"> </w:t>
            </w:r>
            <w:r w:rsidRPr="00235E51">
              <w:rPr>
                <w:b/>
                <w:bCs/>
                <w:sz w:val="18"/>
                <w:szCs w:val="18"/>
                <w:lang w:eastAsia="en-AU"/>
              </w:rPr>
              <w:t>Controlled</w:t>
            </w: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r>
      <w:tr w:rsidR="00DD41EB" w:rsidRPr="00C84138" w:rsidTr="009545D3">
        <w:trPr>
          <w:trHeight w:val="240"/>
        </w:trPr>
        <w:tc>
          <w:tcPr>
            <w:tcW w:w="4476" w:type="dxa"/>
            <w:tcBorders>
              <w:top w:val="single" w:sz="4" w:space="0" w:color="auto"/>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 </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2012-13</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2013-14</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2014-15</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2015-16</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2016-17</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Capital Injections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 Out.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Budget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r>
      <w:tr w:rsidR="00DD41EB" w:rsidRPr="00C84138" w:rsidTr="009545D3">
        <w:trPr>
          <w:trHeight w:val="240"/>
        </w:trPr>
        <w:tc>
          <w:tcPr>
            <w:tcW w:w="4476" w:type="dxa"/>
            <w:tcBorders>
              <w:top w:val="nil"/>
              <w:left w:val="nil"/>
              <w:bottom w:val="single" w:sz="4" w:space="0" w:color="auto"/>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 </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2012-13 Budget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21,052</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1,845</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507</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520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520</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FMA Section 16B Rollovers from 2011-12</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E97AA1">
            <w:pPr>
              <w:ind w:left="142" w:hanging="142"/>
              <w:rPr>
                <w:sz w:val="18"/>
                <w:szCs w:val="18"/>
                <w:lang w:eastAsia="en-AU"/>
              </w:rPr>
            </w:pPr>
            <w:r w:rsidRPr="00C84138">
              <w:rPr>
                <w:sz w:val="18"/>
                <w:szCs w:val="18"/>
                <w:lang w:eastAsia="en-AU"/>
              </w:rPr>
              <w:t>Partial Reconstruction of Gudgenby Homestead and Acquisition of Historic Collections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46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2013-14 Budget Policy Adjustments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Upgrade to Critical Document Management System</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500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r w:rsidRPr="00C84138">
              <w:rPr>
                <w:sz w:val="18"/>
                <w:szCs w:val="18"/>
                <w:lang w:eastAsia="en-AU"/>
              </w:rPr>
              <w:t>Enhancement of eDevelopment Interface</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900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400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2013-14 Budget Technical Adjustments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9B2149" w:rsidP="009545D3">
            <w:pPr>
              <w:ind w:left="142" w:hanging="142"/>
              <w:rPr>
                <w:sz w:val="18"/>
                <w:szCs w:val="18"/>
                <w:lang w:eastAsia="en-AU"/>
              </w:rPr>
            </w:pPr>
            <w:r>
              <w:rPr>
                <w:sz w:val="18"/>
                <w:szCs w:val="18"/>
                <w:lang w:eastAsia="en-AU"/>
              </w:rPr>
              <w:t>Revised Indexation Parameters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6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ind w:left="142" w:hanging="142"/>
              <w:rPr>
                <w:sz w:val="18"/>
                <w:szCs w:val="18"/>
                <w:lang w:eastAsia="en-AU"/>
              </w:rPr>
            </w:pPr>
            <w:r w:rsidRPr="00C84138">
              <w:rPr>
                <w:sz w:val="18"/>
                <w:szCs w:val="18"/>
                <w:lang w:eastAsia="en-AU"/>
              </w:rPr>
              <w:t xml:space="preserve">Transfer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Infrastructure Planning to EDD</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(263)</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(270)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(277)</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(283)</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(283)</w:t>
            </w:r>
          </w:p>
        </w:tc>
      </w:tr>
      <w:tr w:rsidR="00DD41EB" w:rsidRPr="00C84138" w:rsidTr="009545D3">
        <w:trPr>
          <w:trHeight w:val="495"/>
        </w:trPr>
        <w:tc>
          <w:tcPr>
            <w:tcW w:w="4476" w:type="dxa"/>
            <w:tcBorders>
              <w:top w:val="nil"/>
              <w:left w:val="nil"/>
              <w:bottom w:val="nil"/>
              <w:right w:val="nil"/>
            </w:tcBorders>
            <w:shd w:val="clear" w:color="auto" w:fill="auto"/>
            <w:vAlign w:val="center"/>
            <w:hideMark/>
          </w:tcPr>
          <w:p w:rsidR="00DD41EB" w:rsidRPr="00C84138" w:rsidRDefault="00DD41EB" w:rsidP="009545D3">
            <w:pPr>
              <w:ind w:left="142" w:hanging="142"/>
              <w:rPr>
                <w:sz w:val="18"/>
                <w:szCs w:val="18"/>
                <w:lang w:eastAsia="en-AU"/>
              </w:rPr>
            </w:pPr>
            <w:r w:rsidRPr="00C84138">
              <w:rPr>
                <w:sz w:val="18"/>
                <w:szCs w:val="18"/>
                <w:lang w:eastAsia="en-AU"/>
              </w:rPr>
              <w:t xml:space="preserve">Transfer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Carbon Neutral Government  Funding</w:t>
            </w:r>
            <w:r>
              <w:rPr>
                <w:sz w:val="18"/>
                <w:szCs w:val="18"/>
                <w:lang w:eastAsia="en-AU"/>
              </w:rPr>
              <w:t xml:space="preserve"> from </w:t>
            </w:r>
            <w:r w:rsidRPr="00C84138">
              <w:rPr>
                <w:sz w:val="18"/>
                <w:szCs w:val="18"/>
                <w:lang w:eastAsia="en-AU"/>
              </w:rPr>
              <w:t>Government Payment for Outputs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1,513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1,902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1,414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1,451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1,490 </w:t>
            </w:r>
          </w:p>
        </w:tc>
      </w:tr>
      <w:tr w:rsidR="00DD41EB" w:rsidRPr="00C84138" w:rsidTr="009545D3">
        <w:trPr>
          <w:trHeight w:val="495"/>
        </w:trPr>
        <w:tc>
          <w:tcPr>
            <w:tcW w:w="4476" w:type="dxa"/>
            <w:tcBorders>
              <w:top w:val="nil"/>
              <w:left w:val="nil"/>
              <w:bottom w:val="nil"/>
              <w:right w:val="nil"/>
            </w:tcBorders>
            <w:shd w:val="clear" w:color="auto" w:fill="auto"/>
            <w:vAlign w:val="center"/>
            <w:hideMark/>
          </w:tcPr>
          <w:p w:rsidR="00DD41EB" w:rsidRPr="00C84138" w:rsidRDefault="00DD41EB" w:rsidP="009545D3">
            <w:pPr>
              <w:ind w:left="142" w:hanging="142"/>
              <w:rPr>
                <w:sz w:val="18"/>
                <w:szCs w:val="18"/>
                <w:lang w:eastAsia="en-AU"/>
              </w:rPr>
            </w:pPr>
            <w:r w:rsidRPr="00C84138">
              <w:rPr>
                <w:sz w:val="18"/>
                <w:szCs w:val="18"/>
                <w:lang w:eastAsia="en-AU"/>
              </w:rPr>
              <w:t xml:space="preserve">Transfer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 xml:space="preserve">City Area Bus Layover Facility to Government Payment for </w:t>
            </w:r>
            <w:r w:rsidR="00A316B7" w:rsidRPr="00C84138">
              <w:rPr>
                <w:sz w:val="18"/>
                <w:szCs w:val="18"/>
                <w:lang w:eastAsia="en-AU"/>
              </w:rPr>
              <w:t>Outputs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(92)</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(250)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9545D3">
            <w:pPr>
              <w:ind w:left="142" w:hanging="142"/>
              <w:rPr>
                <w:sz w:val="18"/>
                <w:szCs w:val="18"/>
                <w:lang w:eastAsia="en-AU"/>
              </w:rPr>
            </w:pPr>
            <w:r w:rsidRPr="00C84138">
              <w:rPr>
                <w:sz w:val="18"/>
                <w:szCs w:val="18"/>
                <w:lang w:eastAsia="en-AU"/>
              </w:rPr>
              <w:t xml:space="preserve">Transfer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Gungahlin to City Transit Corridor to Government Payment for Outputs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(504)</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9545D3">
            <w:pPr>
              <w:ind w:left="142" w:hanging="142"/>
              <w:rPr>
                <w:sz w:val="18"/>
                <w:szCs w:val="18"/>
                <w:lang w:eastAsia="en-AU"/>
              </w:rPr>
            </w:pPr>
            <w:r w:rsidRPr="00C84138">
              <w:rPr>
                <w:sz w:val="18"/>
                <w:szCs w:val="18"/>
                <w:lang w:eastAsia="en-AU"/>
              </w:rPr>
              <w:t xml:space="preserve">Transfer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 xml:space="preserve">ACT </w:t>
            </w:r>
            <w:r w:rsidR="00A316B7" w:rsidRPr="00C84138">
              <w:rPr>
                <w:sz w:val="18"/>
                <w:szCs w:val="18"/>
                <w:lang w:eastAsia="en-AU"/>
              </w:rPr>
              <w:t>Strategic</w:t>
            </w:r>
            <w:r w:rsidRPr="00C84138">
              <w:rPr>
                <w:sz w:val="18"/>
                <w:szCs w:val="18"/>
                <w:lang w:eastAsia="en-AU"/>
              </w:rPr>
              <w:t xml:space="preserve"> Cycle Network Plan to</w:t>
            </w:r>
            <w:r>
              <w:rPr>
                <w:sz w:val="18"/>
                <w:szCs w:val="18"/>
                <w:lang w:eastAsia="en-AU"/>
              </w:rPr>
              <w:t xml:space="preserve"> </w:t>
            </w:r>
            <w:r w:rsidRPr="00C84138">
              <w:rPr>
                <w:sz w:val="18"/>
                <w:szCs w:val="18"/>
                <w:lang w:eastAsia="en-AU"/>
              </w:rPr>
              <w:t xml:space="preserve">Government </w:t>
            </w:r>
            <w:r>
              <w:rPr>
                <w:sz w:val="18"/>
                <w:szCs w:val="18"/>
                <w:lang w:eastAsia="en-AU"/>
              </w:rPr>
              <w:t>P</w:t>
            </w:r>
            <w:r w:rsidRPr="00C84138">
              <w:rPr>
                <w:sz w:val="18"/>
                <w:szCs w:val="18"/>
                <w:lang w:eastAsia="en-AU"/>
              </w:rPr>
              <w:t>ayment for Outputs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(35)</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(60)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235E51">
            <w:pPr>
              <w:ind w:left="142" w:hanging="142"/>
              <w:rPr>
                <w:sz w:val="18"/>
                <w:szCs w:val="18"/>
                <w:lang w:eastAsia="en-AU"/>
              </w:rPr>
            </w:pPr>
            <w:r w:rsidRPr="00C84138">
              <w:rPr>
                <w:sz w:val="18"/>
                <w:szCs w:val="18"/>
                <w:lang w:eastAsia="en-AU"/>
              </w:rPr>
              <w:t xml:space="preserve">Revised Funding Profile </w:t>
            </w:r>
            <w:r w:rsidR="00E139EF" w:rsidRPr="00C84138">
              <w:rPr>
                <w:sz w:val="18"/>
                <w:szCs w:val="18"/>
                <w:lang w:eastAsia="en-AU"/>
              </w:rPr>
              <w:t>–</w:t>
            </w:r>
            <w:r w:rsidRPr="00C84138">
              <w:rPr>
                <w:sz w:val="18"/>
                <w:szCs w:val="18"/>
                <w:lang w:eastAsia="en-AU"/>
              </w:rPr>
              <w:t xml:space="preserve"> Carbon Neutral Government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(2,235)</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2,235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235E51">
            <w:pPr>
              <w:ind w:left="142" w:hanging="142"/>
              <w:rPr>
                <w:sz w:val="18"/>
                <w:szCs w:val="18"/>
                <w:lang w:eastAsia="en-AU"/>
              </w:rPr>
            </w:pPr>
            <w:r w:rsidRPr="00C84138">
              <w:rPr>
                <w:sz w:val="18"/>
                <w:szCs w:val="18"/>
                <w:lang w:eastAsia="en-AU"/>
              </w:rPr>
              <w:t xml:space="preserve">Revised Funding Profile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Inner North Stormwater</w:t>
            </w:r>
            <w:r>
              <w:rPr>
                <w:sz w:val="18"/>
                <w:szCs w:val="18"/>
                <w:lang w:eastAsia="en-AU"/>
              </w:rPr>
              <w:t xml:space="preserve"> </w:t>
            </w:r>
            <w:r w:rsidR="00585FCB">
              <w:rPr>
                <w:sz w:val="18"/>
                <w:szCs w:val="18"/>
                <w:lang w:eastAsia="en-AU"/>
              </w:rPr>
              <w:t xml:space="preserve">Reticulation </w:t>
            </w:r>
            <w:r w:rsidR="00585FCB">
              <w:rPr>
                <w:sz w:val="18"/>
                <w:szCs w:val="18"/>
                <w:lang w:eastAsia="en-AU"/>
              </w:rPr>
              <w:br w:type="page"/>
            </w:r>
            <w:r w:rsidRPr="00C84138">
              <w:rPr>
                <w:sz w:val="18"/>
                <w:szCs w:val="18"/>
                <w:lang w:eastAsia="en-AU"/>
              </w:rPr>
              <w:t>Network</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(1,500)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1,500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95"/>
        </w:trPr>
        <w:tc>
          <w:tcPr>
            <w:tcW w:w="4476" w:type="dxa"/>
            <w:tcBorders>
              <w:top w:val="nil"/>
              <w:left w:val="nil"/>
              <w:bottom w:val="nil"/>
              <w:right w:val="nil"/>
            </w:tcBorders>
            <w:shd w:val="clear" w:color="auto" w:fill="auto"/>
            <w:vAlign w:val="center"/>
            <w:hideMark/>
          </w:tcPr>
          <w:p w:rsidR="00DD41EB" w:rsidRPr="00C84138" w:rsidRDefault="00DD41EB" w:rsidP="009545D3">
            <w:pPr>
              <w:ind w:left="142" w:hanging="142"/>
              <w:rPr>
                <w:sz w:val="18"/>
                <w:szCs w:val="18"/>
                <w:lang w:eastAsia="en-AU"/>
              </w:rPr>
            </w:pPr>
            <w:r w:rsidRPr="00C84138">
              <w:rPr>
                <w:sz w:val="18"/>
                <w:szCs w:val="18"/>
                <w:lang w:eastAsia="en-AU"/>
              </w:rPr>
              <w:t xml:space="preserve">Revised Funding Profile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 xml:space="preserve">North Weston/Molonglo Stormwater Harvesting Scheme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(200)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200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BE4FAE">
        <w:trPr>
          <w:trHeight w:val="495"/>
        </w:trPr>
        <w:tc>
          <w:tcPr>
            <w:tcW w:w="4476" w:type="dxa"/>
            <w:tcBorders>
              <w:top w:val="nil"/>
              <w:left w:val="nil"/>
              <w:right w:val="nil"/>
            </w:tcBorders>
            <w:shd w:val="clear" w:color="auto" w:fill="auto"/>
            <w:vAlign w:val="center"/>
            <w:hideMark/>
          </w:tcPr>
          <w:p w:rsidR="00DD41EB" w:rsidRPr="00C84138" w:rsidRDefault="00DD41EB" w:rsidP="009545D3">
            <w:pPr>
              <w:ind w:left="142" w:hanging="142"/>
              <w:rPr>
                <w:sz w:val="18"/>
                <w:szCs w:val="18"/>
                <w:lang w:eastAsia="en-AU"/>
              </w:rPr>
            </w:pPr>
            <w:r w:rsidRPr="00C84138">
              <w:rPr>
                <w:sz w:val="18"/>
                <w:szCs w:val="18"/>
                <w:lang w:eastAsia="en-AU"/>
              </w:rPr>
              <w:t xml:space="preserve">Revised Funding Profile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 xml:space="preserve">Gungahlin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The Valley Ponds and Stormwater Harvesting Scheme</w:t>
            </w:r>
          </w:p>
        </w:tc>
        <w:tc>
          <w:tcPr>
            <w:tcW w:w="976" w:type="dxa"/>
            <w:tcBorders>
              <w:top w:val="nil"/>
              <w:left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(1,500)</w:t>
            </w:r>
          </w:p>
        </w:tc>
        <w:tc>
          <w:tcPr>
            <w:tcW w:w="976" w:type="dxa"/>
            <w:tcBorders>
              <w:top w:val="nil"/>
              <w:left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1,500 </w:t>
            </w:r>
          </w:p>
        </w:tc>
        <w:tc>
          <w:tcPr>
            <w:tcW w:w="976" w:type="dxa"/>
            <w:tcBorders>
              <w:top w:val="nil"/>
              <w:left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E139EF">
        <w:trPr>
          <w:trHeight w:val="285"/>
        </w:trPr>
        <w:tc>
          <w:tcPr>
            <w:tcW w:w="4476" w:type="dxa"/>
            <w:tcBorders>
              <w:top w:val="nil"/>
              <w:left w:val="nil"/>
              <w:bottom w:val="nil"/>
              <w:right w:val="nil"/>
            </w:tcBorders>
            <w:shd w:val="clear" w:color="auto" w:fill="auto"/>
            <w:vAlign w:val="center"/>
            <w:hideMark/>
          </w:tcPr>
          <w:p w:rsidR="00DD41EB" w:rsidRPr="00C84138" w:rsidRDefault="00DD41EB" w:rsidP="009545D3">
            <w:pPr>
              <w:ind w:left="142" w:hanging="142"/>
              <w:rPr>
                <w:sz w:val="18"/>
                <w:szCs w:val="18"/>
                <w:lang w:eastAsia="en-AU"/>
              </w:rPr>
            </w:pPr>
            <w:r w:rsidRPr="00C84138">
              <w:rPr>
                <w:sz w:val="18"/>
                <w:szCs w:val="18"/>
                <w:lang w:eastAsia="en-AU"/>
              </w:rPr>
              <w:t xml:space="preserve">Revised Funding Profile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City Area Bus Layover Facility (Design)</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(250)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250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E139EF" w:rsidRPr="00C84138" w:rsidTr="00BE4FAE">
        <w:trPr>
          <w:trHeight w:val="285"/>
        </w:trPr>
        <w:tc>
          <w:tcPr>
            <w:tcW w:w="4476" w:type="dxa"/>
            <w:tcBorders>
              <w:top w:val="nil"/>
              <w:left w:val="nil"/>
              <w:bottom w:val="single" w:sz="4" w:space="0" w:color="auto"/>
              <w:right w:val="nil"/>
            </w:tcBorders>
            <w:shd w:val="clear" w:color="auto" w:fill="auto"/>
            <w:vAlign w:val="center"/>
            <w:hideMark/>
          </w:tcPr>
          <w:p w:rsidR="00E139EF" w:rsidRPr="00C84138" w:rsidRDefault="00E139EF" w:rsidP="009545D3">
            <w:pPr>
              <w:ind w:left="142" w:hanging="142"/>
              <w:rPr>
                <w:sz w:val="18"/>
                <w:szCs w:val="18"/>
                <w:lang w:eastAsia="en-AU"/>
              </w:rPr>
            </w:pPr>
          </w:p>
        </w:tc>
        <w:tc>
          <w:tcPr>
            <w:tcW w:w="976" w:type="dxa"/>
            <w:tcBorders>
              <w:top w:val="nil"/>
              <w:left w:val="nil"/>
              <w:bottom w:val="single" w:sz="4" w:space="0" w:color="auto"/>
              <w:right w:val="nil"/>
            </w:tcBorders>
            <w:shd w:val="clear" w:color="auto" w:fill="auto"/>
            <w:noWrap/>
            <w:hideMark/>
          </w:tcPr>
          <w:p w:rsidR="00E139EF" w:rsidRPr="00C84138" w:rsidRDefault="00E139EF" w:rsidP="009545D3">
            <w:pPr>
              <w:jc w:val="right"/>
              <w:rPr>
                <w:sz w:val="18"/>
                <w:szCs w:val="18"/>
                <w:lang w:eastAsia="en-AU"/>
              </w:rPr>
            </w:pPr>
          </w:p>
        </w:tc>
        <w:tc>
          <w:tcPr>
            <w:tcW w:w="976" w:type="dxa"/>
            <w:tcBorders>
              <w:top w:val="nil"/>
              <w:left w:val="nil"/>
              <w:bottom w:val="single" w:sz="4" w:space="0" w:color="auto"/>
              <w:right w:val="nil"/>
            </w:tcBorders>
            <w:shd w:val="clear" w:color="auto" w:fill="auto"/>
            <w:noWrap/>
            <w:hideMark/>
          </w:tcPr>
          <w:p w:rsidR="00E139EF" w:rsidRPr="00C84138" w:rsidRDefault="00E139EF" w:rsidP="009545D3">
            <w:pPr>
              <w:jc w:val="right"/>
              <w:rPr>
                <w:sz w:val="18"/>
                <w:szCs w:val="18"/>
                <w:lang w:eastAsia="en-AU"/>
              </w:rPr>
            </w:pPr>
          </w:p>
        </w:tc>
        <w:tc>
          <w:tcPr>
            <w:tcW w:w="976" w:type="dxa"/>
            <w:tcBorders>
              <w:top w:val="nil"/>
              <w:left w:val="nil"/>
              <w:bottom w:val="single" w:sz="4" w:space="0" w:color="auto"/>
              <w:right w:val="nil"/>
            </w:tcBorders>
            <w:shd w:val="clear" w:color="auto" w:fill="auto"/>
            <w:noWrap/>
            <w:hideMark/>
          </w:tcPr>
          <w:p w:rsidR="00E139EF" w:rsidRPr="00C84138" w:rsidRDefault="00E139EF" w:rsidP="009545D3">
            <w:pPr>
              <w:jc w:val="right"/>
              <w:rPr>
                <w:sz w:val="18"/>
                <w:szCs w:val="18"/>
                <w:lang w:eastAsia="en-AU"/>
              </w:rPr>
            </w:pPr>
          </w:p>
        </w:tc>
        <w:tc>
          <w:tcPr>
            <w:tcW w:w="976" w:type="dxa"/>
            <w:tcBorders>
              <w:top w:val="nil"/>
              <w:left w:val="nil"/>
              <w:bottom w:val="single" w:sz="4" w:space="0" w:color="auto"/>
              <w:right w:val="nil"/>
            </w:tcBorders>
            <w:shd w:val="clear" w:color="auto" w:fill="auto"/>
            <w:noWrap/>
            <w:hideMark/>
          </w:tcPr>
          <w:p w:rsidR="00E139EF" w:rsidRPr="00C84138" w:rsidRDefault="00E139EF" w:rsidP="009545D3">
            <w:pPr>
              <w:jc w:val="right"/>
              <w:rPr>
                <w:sz w:val="18"/>
                <w:szCs w:val="18"/>
                <w:lang w:eastAsia="en-AU"/>
              </w:rPr>
            </w:pPr>
          </w:p>
        </w:tc>
        <w:tc>
          <w:tcPr>
            <w:tcW w:w="976" w:type="dxa"/>
            <w:tcBorders>
              <w:top w:val="nil"/>
              <w:left w:val="nil"/>
              <w:bottom w:val="single" w:sz="4" w:space="0" w:color="auto"/>
              <w:right w:val="nil"/>
            </w:tcBorders>
            <w:shd w:val="clear" w:color="auto" w:fill="auto"/>
            <w:noWrap/>
            <w:hideMark/>
          </w:tcPr>
          <w:p w:rsidR="00E139EF" w:rsidRPr="00C84138" w:rsidRDefault="00E139EF" w:rsidP="009545D3">
            <w:pPr>
              <w:jc w:val="right"/>
              <w:rPr>
                <w:sz w:val="18"/>
                <w:szCs w:val="18"/>
                <w:lang w:eastAsia="en-AU"/>
              </w:rPr>
            </w:pPr>
          </w:p>
        </w:tc>
      </w:tr>
    </w:tbl>
    <w:p w:rsidR="00DD41EB" w:rsidRDefault="00DD41EB" w:rsidP="00DD41EB">
      <w:pPr>
        <w:pStyle w:val="Heading3"/>
        <w:spacing w:after="120"/>
      </w:pPr>
      <w:proofErr w:type="gramStart"/>
      <w:r>
        <w:lastRenderedPageBreak/>
        <w:t>Changes to Appropriation cont.</w:t>
      </w:r>
      <w:proofErr w:type="gramEnd"/>
    </w:p>
    <w:tbl>
      <w:tblPr>
        <w:tblW w:w="9356" w:type="dxa"/>
        <w:tblLook w:val="04A0"/>
      </w:tblPr>
      <w:tblGrid>
        <w:gridCol w:w="4476"/>
        <w:gridCol w:w="976"/>
        <w:gridCol w:w="976"/>
        <w:gridCol w:w="976"/>
        <w:gridCol w:w="976"/>
        <w:gridCol w:w="976"/>
      </w:tblGrid>
      <w:tr w:rsidR="00DD41EB" w:rsidRPr="00235E51" w:rsidTr="009545D3">
        <w:trPr>
          <w:trHeight w:val="240"/>
        </w:trPr>
        <w:tc>
          <w:tcPr>
            <w:tcW w:w="4476" w:type="dxa"/>
            <w:tcBorders>
              <w:top w:val="nil"/>
              <w:left w:val="nil"/>
              <w:bottom w:val="nil"/>
              <w:right w:val="nil"/>
            </w:tcBorders>
            <w:shd w:val="clear" w:color="auto" w:fill="auto"/>
            <w:vAlign w:val="center"/>
            <w:hideMark/>
          </w:tcPr>
          <w:p w:rsidR="00DD41EB" w:rsidRPr="00235E51" w:rsidRDefault="00DD41EB" w:rsidP="00235E51">
            <w:pPr>
              <w:rPr>
                <w:b/>
                <w:bCs/>
                <w:sz w:val="18"/>
                <w:szCs w:val="18"/>
                <w:lang w:eastAsia="en-AU"/>
              </w:rPr>
            </w:pPr>
            <w:r w:rsidRPr="00235E51">
              <w:rPr>
                <w:b/>
                <w:bCs/>
                <w:sz w:val="18"/>
                <w:szCs w:val="18"/>
                <w:lang w:eastAsia="en-AU"/>
              </w:rPr>
              <w:t xml:space="preserve">Changes to Appropriation </w:t>
            </w:r>
            <w:r w:rsidR="00E139EF" w:rsidRPr="00E139EF">
              <w:rPr>
                <w:b/>
                <w:sz w:val="18"/>
                <w:szCs w:val="18"/>
                <w:lang w:eastAsia="en-AU"/>
              </w:rPr>
              <w:t>–</w:t>
            </w:r>
            <w:r w:rsidR="00235E51" w:rsidRPr="00235E51">
              <w:rPr>
                <w:b/>
                <w:bCs/>
                <w:sz w:val="18"/>
                <w:szCs w:val="18"/>
                <w:lang w:eastAsia="en-AU"/>
              </w:rPr>
              <w:t xml:space="preserve"> </w:t>
            </w:r>
            <w:r w:rsidRPr="00235E51">
              <w:rPr>
                <w:b/>
                <w:bCs/>
                <w:sz w:val="18"/>
                <w:szCs w:val="18"/>
                <w:lang w:eastAsia="en-AU"/>
              </w:rPr>
              <w:t>Controlled</w:t>
            </w: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c>
          <w:tcPr>
            <w:tcW w:w="976" w:type="dxa"/>
            <w:tcBorders>
              <w:top w:val="nil"/>
              <w:left w:val="nil"/>
              <w:bottom w:val="nil"/>
              <w:right w:val="nil"/>
            </w:tcBorders>
            <w:shd w:val="clear" w:color="auto" w:fill="auto"/>
            <w:noWrap/>
            <w:hideMark/>
          </w:tcPr>
          <w:p w:rsidR="00DD41EB" w:rsidRPr="00235E51" w:rsidRDefault="00DD41EB" w:rsidP="009545D3">
            <w:pPr>
              <w:jc w:val="right"/>
              <w:rPr>
                <w:b/>
                <w:sz w:val="18"/>
                <w:szCs w:val="18"/>
                <w:lang w:eastAsia="en-AU"/>
              </w:rPr>
            </w:pPr>
          </w:p>
        </w:tc>
      </w:tr>
      <w:tr w:rsidR="00DD41EB" w:rsidRPr="00C84138" w:rsidTr="009545D3">
        <w:trPr>
          <w:trHeight w:val="240"/>
        </w:trPr>
        <w:tc>
          <w:tcPr>
            <w:tcW w:w="4476" w:type="dxa"/>
            <w:tcBorders>
              <w:top w:val="single" w:sz="4" w:space="0" w:color="auto"/>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 </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2012-13</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2013-14</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2014-15</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2015-16</w:t>
            </w:r>
          </w:p>
        </w:tc>
        <w:tc>
          <w:tcPr>
            <w:tcW w:w="976" w:type="dxa"/>
            <w:tcBorders>
              <w:top w:val="single" w:sz="4" w:space="0" w:color="auto"/>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2016-17</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Capital Injections</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 Out.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Budget</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Estimate</w:t>
            </w:r>
          </w:p>
        </w:tc>
      </w:tr>
      <w:tr w:rsidR="00DD41EB" w:rsidRPr="00C84138" w:rsidTr="009545D3">
        <w:trPr>
          <w:trHeight w:val="240"/>
        </w:trPr>
        <w:tc>
          <w:tcPr>
            <w:tcW w:w="4476" w:type="dxa"/>
            <w:tcBorders>
              <w:top w:val="nil"/>
              <w:left w:val="nil"/>
              <w:bottom w:val="single" w:sz="4" w:space="0" w:color="auto"/>
              <w:right w:val="nil"/>
            </w:tcBorders>
            <w:shd w:val="clear" w:color="auto" w:fill="auto"/>
            <w:vAlign w:val="center"/>
            <w:hideMark/>
          </w:tcPr>
          <w:p w:rsidR="00DD41EB" w:rsidRPr="00C84138" w:rsidRDefault="00DD41EB" w:rsidP="009545D3">
            <w:pPr>
              <w:rPr>
                <w:b/>
                <w:bCs/>
                <w:sz w:val="18"/>
                <w:szCs w:val="18"/>
                <w:lang w:eastAsia="en-AU"/>
              </w:rPr>
            </w:pPr>
            <w:r w:rsidRPr="00C84138">
              <w:rPr>
                <w:b/>
                <w:bCs/>
                <w:sz w:val="18"/>
                <w:szCs w:val="18"/>
                <w:lang w:eastAsia="en-AU"/>
              </w:rPr>
              <w:t> </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c>
          <w:tcPr>
            <w:tcW w:w="976" w:type="dxa"/>
            <w:tcBorders>
              <w:top w:val="nil"/>
              <w:left w:val="nil"/>
              <w:bottom w:val="single" w:sz="4" w:space="0" w:color="auto"/>
              <w:right w:val="nil"/>
            </w:tcBorders>
            <w:shd w:val="clear" w:color="auto" w:fill="auto"/>
            <w:noWrap/>
            <w:hideMark/>
          </w:tcPr>
          <w:p w:rsidR="00DD41EB" w:rsidRPr="00C84138" w:rsidRDefault="00DD41EB" w:rsidP="009545D3">
            <w:pPr>
              <w:jc w:val="right"/>
              <w:rPr>
                <w:b/>
                <w:bCs/>
                <w:sz w:val="18"/>
                <w:szCs w:val="18"/>
                <w:lang w:eastAsia="en-AU"/>
              </w:rPr>
            </w:pPr>
            <w:r w:rsidRPr="00C84138">
              <w:rPr>
                <w:b/>
                <w:bCs/>
                <w:sz w:val="18"/>
                <w:szCs w:val="18"/>
                <w:lang w:eastAsia="en-AU"/>
              </w:rPr>
              <w:t>$'000</w:t>
            </w: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ind w:left="142" w:hanging="142"/>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p>
        </w:tc>
      </w:tr>
      <w:tr w:rsidR="00DD41EB" w:rsidRPr="00C84138" w:rsidTr="009545D3">
        <w:trPr>
          <w:trHeight w:val="240"/>
        </w:trPr>
        <w:tc>
          <w:tcPr>
            <w:tcW w:w="4476" w:type="dxa"/>
            <w:tcBorders>
              <w:top w:val="nil"/>
              <w:left w:val="nil"/>
              <w:bottom w:val="nil"/>
              <w:right w:val="nil"/>
            </w:tcBorders>
            <w:shd w:val="clear" w:color="auto" w:fill="auto"/>
            <w:vAlign w:val="center"/>
            <w:hideMark/>
          </w:tcPr>
          <w:p w:rsidR="00DD41EB" w:rsidRPr="00C84138" w:rsidRDefault="00DD41EB" w:rsidP="009545D3">
            <w:pPr>
              <w:ind w:left="142" w:hanging="142"/>
              <w:rPr>
                <w:sz w:val="18"/>
                <w:szCs w:val="18"/>
                <w:lang w:eastAsia="en-AU"/>
              </w:rPr>
            </w:pPr>
            <w:r w:rsidRPr="00C84138">
              <w:rPr>
                <w:sz w:val="18"/>
                <w:szCs w:val="18"/>
                <w:lang w:eastAsia="en-AU"/>
              </w:rPr>
              <w:t xml:space="preserve">Revised Funding Profile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Gungahlin to City Transit Corridor</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(83)</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83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DD41EB" w:rsidRPr="00C84138" w:rsidTr="009545D3">
        <w:trPr>
          <w:trHeight w:val="480"/>
        </w:trPr>
        <w:tc>
          <w:tcPr>
            <w:tcW w:w="4476" w:type="dxa"/>
            <w:tcBorders>
              <w:top w:val="nil"/>
              <w:left w:val="nil"/>
              <w:bottom w:val="nil"/>
              <w:right w:val="nil"/>
            </w:tcBorders>
            <w:shd w:val="clear" w:color="auto" w:fill="auto"/>
            <w:vAlign w:val="center"/>
            <w:hideMark/>
          </w:tcPr>
          <w:p w:rsidR="00DD41EB" w:rsidRPr="00C84138" w:rsidRDefault="00DD41EB" w:rsidP="00ED6B1F">
            <w:pPr>
              <w:ind w:left="142" w:hanging="142"/>
              <w:rPr>
                <w:sz w:val="18"/>
                <w:szCs w:val="18"/>
                <w:lang w:eastAsia="en-AU"/>
              </w:rPr>
            </w:pPr>
            <w:r w:rsidRPr="00C84138">
              <w:rPr>
                <w:sz w:val="18"/>
                <w:szCs w:val="18"/>
                <w:lang w:eastAsia="en-AU"/>
              </w:rPr>
              <w:t xml:space="preserve">Revised Funding Profile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 xml:space="preserve">ACT Strategic Cycle Network Plan (Feasibility)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(60)</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60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DD41EB" w:rsidRPr="00C84138" w:rsidRDefault="00DD41EB" w:rsidP="009545D3">
            <w:pPr>
              <w:jc w:val="right"/>
              <w:rPr>
                <w:sz w:val="18"/>
                <w:szCs w:val="18"/>
                <w:lang w:eastAsia="en-AU"/>
              </w:rPr>
            </w:pPr>
            <w:r w:rsidRPr="00C84138">
              <w:rPr>
                <w:sz w:val="18"/>
                <w:szCs w:val="18"/>
                <w:lang w:eastAsia="en-AU"/>
              </w:rPr>
              <w:t xml:space="preserve">- </w:t>
            </w:r>
          </w:p>
        </w:tc>
      </w:tr>
      <w:tr w:rsidR="00FA2A2B" w:rsidRPr="00C84138" w:rsidTr="009545D3">
        <w:trPr>
          <w:trHeight w:val="480"/>
        </w:trPr>
        <w:tc>
          <w:tcPr>
            <w:tcW w:w="4476" w:type="dxa"/>
            <w:tcBorders>
              <w:top w:val="nil"/>
              <w:left w:val="nil"/>
              <w:bottom w:val="nil"/>
              <w:right w:val="nil"/>
            </w:tcBorders>
            <w:shd w:val="clear" w:color="auto" w:fill="auto"/>
            <w:vAlign w:val="center"/>
            <w:hideMark/>
          </w:tcPr>
          <w:p w:rsidR="00FA2A2B" w:rsidRPr="00C84138" w:rsidRDefault="00FA2A2B" w:rsidP="00235E51">
            <w:pPr>
              <w:ind w:left="142" w:hanging="142"/>
              <w:rPr>
                <w:sz w:val="18"/>
                <w:szCs w:val="18"/>
                <w:lang w:eastAsia="en-AU"/>
              </w:rPr>
            </w:pPr>
            <w:r w:rsidRPr="00C84138">
              <w:rPr>
                <w:sz w:val="18"/>
                <w:szCs w:val="18"/>
                <w:lang w:eastAsia="en-AU"/>
              </w:rPr>
              <w:t xml:space="preserve">Revised Funding Profile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 xml:space="preserve">Transport for Canberra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 xml:space="preserve">Park and Bike and Ride Facilities </w:t>
            </w:r>
            <w:r w:rsidR="00E139EF" w:rsidRPr="00C84138">
              <w:rPr>
                <w:sz w:val="18"/>
                <w:szCs w:val="18"/>
                <w:lang w:eastAsia="en-AU"/>
              </w:rPr>
              <w:t>–</w:t>
            </w:r>
            <w:r w:rsidR="00235E51">
              <w:rPr>
                <w:bCs/>
                <w:sz w:val="18"/>
                <w:szCs w:val="18"/>
                <w:lang w:eastAsia="en-AU"/>
              </w:rPr>
              <w:t xml:space="preserve"> </w:t>
            </w:r>
            <w:r w:rsidRPr="00C84138">
              <w:rPr>
                <w:sz w:val="18"/>
                <w:szCs w:val="18"/>
                <w:lang w:eastAsia="en-AU"/>
              </w:rPr>
              <w:t xml:space="preserve">ESDD Planning </w:t>
            </w:r>
          </w:p>
        </w:tc>
        <w:tc>
          <w:tcPr>
            <w:tcW w:w="976" w:type="dxa"/>
            <w:tcBorders>
              <w:top w:val="nil"/>
              <w:left w:val="nil"/>
              <w:bottom w:val="nil"/>
              <w:right w:val="nil"/>
            </w:tcBorders>
            <w:shd w:val="clear" w:color="auto" w:fill="auto"/>
            <w:noWrap/>
            <w:hideMark/>
          </w:tcPr>
          <w:p w:rsidR="00FA2A2B" w:rsidRPr="00C84138" w:rsidRDefault="00FA2A2B" w:rsidP="009545D3">
            <w:pPr>
              <w:jc w:val="right"/>
              <w:rPr>
                <w:sz w:val="18"/>
                <w:szCs w:val="18"/>
                <w:lang w:eastAsia="en-AU"/>
              </w:rPr>
            </w:pPr>
            <w:r w:rsidRPr="00C84138">
              <w:rPr>
                <w:sz w:val="18"/>
                <w:szCs w:val="18"/>
                <w:lang w:eastAsia="en-AU"/>
              </w:rPr>
              <w:t>(60)</w:t>
            </w:r>
          </w:p>
        </w:tc>
        <w:tc>
          <w:tcPr>
            <w:tcW w:w="976" w:type="dxa"/>
            <w:tcBorders>
              <w:top w:val="nil"/>
              <w:left w:val="nil"/>
              <w:bottom w:val="nil"/>
              <w:right w:val="nil"/>
            </w:tcBorders>
            <w:shd w:val="clear" w:color="auto" w:fill="auto"/>
            <w:noWrap/>
            <w:hideMark/>
          </w:tcPr>
          <w:p w:rsidR="00FA2A2B" w:rsidRPr="00C84138" w:rsidRDefault="00FA2A2B" w:rsidP="009545D3">
            <w:pPr>
              <w:jc w:val="right"/>
              <w:rPr>
                <w:sz w:val="18"/>
                <w:szCs w:val="18"/>
                <w:lang w:eastAsia="en-AU"/>
              </w:rPr>
            </w:pPr>
            <w:r w:rsidRPr="00C84138">
              <w:rPr>
                <w:sz w:val="18"/>
                <w:szCs w:val="18"/>
                <w:lang w:eastAsia="en-AU"/>
              </w:rPr>
              <w:t xml:space="preserve">60 </w:t>
            </w:r>
          </w:p>
        </w:tc>
        <w:tc>
          <w:tcPr>
            <w:tcW w:w="976" w:type="dxa"/>
            <w:tcBorders>
              <w:top w:val="nil"/>
              <w:left w:val="nil"/>
              <w:bottom w:val="nil"/>
              <w:right w:val="nil"/>
            </w:tcBorders>
            <w:shd w:val="clear" w:color="auto" w:fill="auto"/>
            <w:noWrap/>
            <w:hideMark/>
          </w:tcPr>
          <w:p w:rsidR="00FA2A2B" w:rsidRPr="00C84138" w:rsidRDefault="00FA2A2B" w:rsidP="00EC1ECD">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FA2A2B" w:rsidRPr="00C84138" w:rsidRDefault="00FA2A2B" w:rsidP="00EC1ECD">
            <w:pPr>
              <w:jc w:val="right"/>
              <w:rPr>
                <w:sz w:val="18"/>
                <w:szCs w:val="18"/>
                <w:lang w:eastAsia="en-AU"/>
              </w:rPr>
            </w:pPr>
            <w:r w:rsidRPr="00C84138">
              <w:rPr>
                <w:sz w:val="18"/>
                <w:szCs w:val="18"/>
                <w:lang w:eastAsia="en-AU"/>
              </w:rPr>
              <w:t xml:space="preserve">- </w:t>
            </w:r>
          </w:p>
        </w:tc>
        <w:tc>
          <w:tcPr>
            <w:tcW w:w="976" w:type="dxa"/>
            <w:tcBorders>
              <w:top w:val="nil"/>
              <w:left w:val="nil"/>
              <w:bottom w:val="nil"/>
              <w:right w:val="nil"/>
            </w:tcBorders>
            <w:shd w:val="clear" w:color="auto" w:fill="auto"/>
            <w:noWrap/>
            <w:hideMark/>
          </w:tcPr>
          <w:p w:rsidR="00FA2A2B" w:rsidRPr="00C84138" w:rsidRDefault="00FA2A2B" w:rsidP="00EC1ECD">
            <w:pPr>
              <w:jc w:val="right"/>
              <w:rPr>
                <w:sz w:val="18"/>
                <w:szCs w:val="18"/>
                <w:lang w:eastAsia="en-AU"/>
              </w:rPr>
            </w:pPr>
            <w:r w:rsidRPr="00C84138">
              <w:rPr>
                <w:sz w:val="18"/>
                <w:szCs w:val="18"/>
                <w:lang w:eastAsia="en-AU"/>
              </w:rPr>
              <w:t xml:space="preserve">- </w:t>
            </w:r>
          </w:p>
        </w:tc>
      </w:tr>
      <w:tr w:rsidR="00FA2A2B" w:rsidRPr="00C84138" w:rsidTr="009545D3">
        <w:trPr>
          <w:trHeight w:val="240"/>
        </w:trPr>
        <w:tc>
          <w:tcPr>
            <w:tcW w:w="4476" w:type="dxa"/>
            <w:tcBorders>
              <w:top w:val="nil"/>
              <w:left w:val="nil"/>
              <w:bottom w:val="nil"/>
              <w:right w:val="nil"/>
            </w:tcBorders>
            <w:shd w:val="clear" w:color="auto" w:fill="auto"/>
            <w:vAlign w:val="center"/>
            <w:hideMark/>
          </w:tcPr>
          <w:p w:rsidR="00FA2A2B" w:rsidRPr="00C84138" w:rsidRDefault="00FA2A2B" w:rsidP="009545D3">
            <w:pPr>
              <w:rPr>
                <w:sz w:val="18"/>
                <w:szCs w:val="18"/>
                <w:lang w:eastAsia="en-AU"/>
              </w:rPr>
            </w:pPr>
          </w:p>
        </w:tc>
        <w:tc>
          <w:tcPr>
            <w:tcW w:w="976" w:type="dxa"/>
            <w:tcBorders>
              <w:top w:val="nil"/>
              <w:left w:val="nil"/>
              <w:bottom w:val="nil"/>
              <w:right w:val="nil"/>
            </w:tcBorders>
            <w:shd w:val="clear" w:color="auto" w:fill="auto"/>
            <w:noWrap/>
            <w:hideMark/>
          </w:tcPr>
          <w:p w:rsidR="00FA2A2B" w:rsidRPr="00C84138" w:rsidRDefault="00FA2A2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FA2A2B" w:rsidRPr="00C84138" w:rsidRDefault="00FA2A2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FA2A2B" w:rsidRPr="00C84138" w:rsidRDefault="00FA2A2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FA2A2B" w:rsidRPr="00C84138" w:rsidRDefault="00FA2A2B" w:rsidP="009545D3">
            <w:pPr>
              <w:jc w:val="right"/>
              <w:rPr>
                <w:sz w:val="18"/>
                <w:szCs w:val="18"/>
                <w:lang w:eastAsia="en-AU"/>
              </w:rPr>
            </w:pPr>
          </w:p>
        </w:tc>
        <w:tc>
          <w:tcPr>
            <w:tcW w:w="976" w:type="dxa"/>
            <w:tcBorders>
              <w:top w:val="nil"/>
              <w:left w:val="nil"/>
              <w:bottom w:val="nil"/>
              <w:right w:val="nil"/>
            </w:tcBorders>
            <w:shd w:val="clear" w:color="auto" w:fill="auto"/>
            <w:noWrap/>
            <w:hideMark/>
          </w:tcPr>
          <w:p w:rsidR="00FA2A2B" w:rsidRPr="00C84138" w:rsidRDefault="00FA2A2B" w:rsidP="009545D3">
            <w:pPr>
              <w:jc w:val="right"/>
              <w:rPr>
                <w:sz w:val="18"/>
                <w:szCs w:val="18"/>
                <w:lang w:eastAsia="en-AU"/>
              </w:rPr>
            </w:pPr>
          </w:p>
        </w:tc>
      </w:tr>
      <w:tr w:rsidR="00FA2A2B" w:rsidRPr="00C84138" w:rsidTr="009545D3">
        <w:trPr>
          <w:trHeight w:val="240"/>
        </w:trPr>
        <w:tc>
          <w:tcPr>
            <w:tcW w:w="4476" w:type="dxa"/>
            <w:tcBorders>
              <w:top w:val="nil"/>
              <w:left w:val="nil"/>
              <w:bottom w:val="single" w:sz="4" w:space="0" w:color="auto"/>
              <w:right w:val="nil"/>
            </w:tcBorders>
            <w:shd w:val="clear" w:color="auto" w:fill="auto"/>
            <w:vAlign w:val="center"/>
            <w:hideMark/>
          </w:tcPr>
          <w:p w:rsidR="00FA2A2B" w:rsidRPr="00C84138" w:rsidRDefault="00FA2A2B" w:rsidP="009545D3">
            <w:pPr>
              <w:rPr>
                <w:b/>
                <w:bCs/>
                <w:sz w:val="18"/>
                <w:szCs w:val="18"/>
                <w:lang w:eastAsia="en-AU"/>
              </w:rPr>
            </w:pPr>
            <w:r w:rsidRPr="00C84138">
              <w:rPr>
                <w:b/>
                <w:bCs/>
                <w:sz w:val="18"/>
                <w:szCs w:val="18"/>
                <w:lang w:eastAsia="en-AU"/>
              </w:rPr>
              <w:t>2013-14 Budget</w:t>
            </w:r>
          </w:p>
        </w:tc>
        <w:tc>
          <w:tcPr>
            <w:tcW w:w="976" w:type="dxa"/>
            <w:tcBorders>
              <w:top w:val="nil"/>
              <w:left w:val="nil"/>
              <w:bottom w:val="single" w:sz="4" w:space="0" w:color="auto"/>
              <w:right w:val="nil"/>
            </w:tcBorders>
            <w:shd w:val="clear" w:color="auto" w:fill="auto"/>
            <w:noWrap/>
            <w:hideMark/>
          </w:tcPr>
          <w:p w:rsidR="00FA2A2B" w:rsidRPr="00C84138" w:rsidRDefault="00FA2A2B" w:rsidP="009545D3">
            <w:pPr>
              <w:jc w:val="right"/>
              <w:rPr>
                <w:b/>
                <w:bCs/>
                <w:sz w:val="18"/>
                <w:szCs w:val="18"/>
                <w:lang w:eastAsia="en-AU"/>
              </w:rPr>
            </w:pPr>
            <w:r w:rsidRPr="00C84138">
              <w:rPr>
                <w:b/>
                <w:bCs/>
                <w:sz w:val="18"/>
                <w:szCs w:val="18"/>
                <w:lang w:eastAsia="en-AU"/>
              </w:rPr>
              <w:t>15,829</w:t>
            </w:r>
          </w:p>
        </w:tc>
        <w:tc>
          <w:tcPr>
            <w:tcW w:w="976" w:type="dxa"/>
            <w:tcBorders>
              <w:top w:val="nil"/>
              <w:left w:val="nil"/>
              <w:bottom w:val="single" w:sz="4" w:space="0" w:color="auto"/>
              <w:right w:val="nil"/>
            </w:tcBorders>
            <w:shd w:val="clear" w:color="auto" w:fill="auto"/>
            <w:noWrap/>
            <w:hideMark/>
          </w:tcPr>
          <w:p w:rsidR="00FA2A2B" w:rsidRPr="00C84138" w:rsidRDefault="00FA2A2B" w:rsidP="009545D3">
            <w:pPr>
              <w:jc w:val="right"/>
              <w:rPr>
                <w:b/>
                <w:bCs/>
                <w:sz w:val="18"/>
                <w:szCs w:val="18"/>
                <w:lang w:eastAsia="en-AU"/>
              </w:rPr>
            </w:pPr>
            <w:r w:rsidRPr="00C84138">
              <w:rPr>
                <w:b/>
                <w:bCs/>
                <w:sz w:val="18"/>
                <w:szCs w:val="18"/>
                <w:lang w:eastAsia="en-AU"/>
              </w:rPr>
              <w:t>10,455</w:t>
            </w:r>
          </w:p>
        </w:tc>
        <w:tc>
          <w:tcPr>
            <w:tcW w:w="976" w:type="dxa"/>
            <w:tcBorders>
              <w:top w:val="nil"/>
              <w:left w:val="nil"/>
              <w:bottom w:val="single" w:sz="4" w:space="0" w:color="auto"/>
              <w:right w:val="nil"/>
            </w:tcBorders>
            <w:shd w:val="clear" w:color="auto" w:fill="auto"/>
            <w:noWrap/>
            <w:hideMark/>
          </w:tcPr>
          <w:p w:rsidR="00FA2A2B" w:rsidRPr="00C84138" w:rsidRDefault="00FA2A2B" w:rsidP="009545D3">
            <w:pPr>
              <w:jc w:val="right"/>
              <w:rPr>
                <w:b/>
                <w:bCs/>
                <w:sz w:val="18"/>
                <w:szCs w:val="18"/>
                <w:lang w:eastAsia="en-AU"/>
              </w:rPr>
            </w:pPr>
            <w:r w:rsidRPr="00C84138">
              <w:rPr>
                <w:b/>
                <w:bCs/>
                <w:sz w:val="18"/>
                <w:szCs w:val="18"/>
                <w:lang w:eastAsia="en-AU"/>
              </w:rPr>
              <w:t>2,044</w:t>
            </w:r>
          </w:p>
        </w:tc>
        <w:tc>
          <w:tcPr>
            <w:tcW w:w="976" w:type="dxa"/>
            <w:tcBorders>
              <w:top w:val="nil"/>
              <w:left w:val="nil"/>
              <w:bottom w:val="single" w:sz="4" w:space="0" w:color="auto"/>
              <w:right w:val="nil"/>
            </w:tcBorders>
            <w:shd w:val="clear" w:color="auto" w:fill="auto"/>
            <w:noWrap/>
            <w:hideMark/>
          </w:tcPr>
          <w:p w:rsidR="00FA2A2B" w:rsidRPr="00C84138" w:rsidRDefault="00FA2A2B" w:rsidP="009545D3">
            <w:pPr>
              <w:jc w:val="right"/>
              <w:rPr>
                <w:b/>
                <w:bCs/>
                <w:sz w:val="18"/>
                <w:szCs w:val="18"/>
                <w:lang w:eastAsia="en-AU"/>
              </w:rPr>
            </w:pPr>
            <w:r w:rsidRPr="00C84138">
              <w:rPr>
                <w:b/>
                <w:bCs/>
                <w:sz w:val="18"/>
                <w:szCs w:val="18"/>
                <w:lang w:eastAsia="en-AU"/>
              </w:rPr>
              <w:t>1,688</w:t>
            </w:r>
          </w:p>
        </w:tc>
        <w:tc>
          <w:tcPr>
            <w:tcW w:w="976" w:type="dxa"/>
            <w:tcBorders>
              <w:top w:val="nil"/>
              <w:left w:val="nil"/>
              <w:bottom w:val="single" w:sz="4" w:space="0" w:color="auto"/>
              <w:right w:val="nil"/>
            </w:tcBorders>
            <w:shd w:val="clear" w:color="auto" w:fill="auto"/>
            <w:noWrap/>
            <w:hideMark/>
          </w:tcPr>
          <w:p w:rsidR="00FA2A2B" w:rsidRPr="00C84138" w:rsidRDefault="00FA2A2B" w:rsidP="009545D3">
            <w:pPr>
              <w:jc w:val="right"/>
              <w:rPr>
                <w:b/>
                <w:bCs/>
                <w:sz w:val="18"/>
                <w:szCs w:val="18"/>
                <w:lang w:eastAsia="en-AU"/>
              </w:rPr>
            </w:pPr>
            <w:r w:rsidRPr="00C84138">
              <w:rPr>
                <w:b/>
                <w:bCs/>
                <w:sz w:val="18"/>
                <w:szCs w:val="18"/>
                <w:lang w:eastAsia="en-AU"/>
              </w:rPr>
              <w:t>1,733</w:t>
            </w:r>
          </w:p>
        </w:tc>
      </w:tr>
    </w:tbl>
    <w:p w:rsidR="00DD41EB" w:rsidRDefault="00DD41EB"/>
    <w:p w:rsidR="00DD41EB" w:rsidRDefault="00DD41EB">
      <w:r>
        <w:br w:type="page"/>
      </w:r>
    </w:p>
    <w:p w:rsidR="00F93EBB" w:rsidRDefault="00F93EBB" w:rsidP="00C1341C">
      <w:pPr>
        <w:pStyle w:val="Heading3"/>
        <w:spacing w:after="120"/>
      </w:pPr>
      <w:r>
        <w:lastRenderedPageBreak/>
        <w:t>2013-14 Capital Works Program</w:t>
      </w:r>
    </w:p>
    <w:tbl>
      <w:tblPr>
        <w:tblW w:w="9356" w:type="dxa"/>
        <w:tblInd w:w="17" w:type="dxa"/>
        <w:tblLayout w:type="fixed"/>
        <w:tblCellMar>
          <w:left w:w="0" w:type="dxa"/>
          <w:right w:w="0" w:type="dxa"/>
        </w:tblCellMar>
        <w:tblLook w:val="0000"/>
      </w:tblPr>
      <w:tblGrid>
        <w:gridCol w:w="3261"/>
        <w:gridCol w:w="875"/>
        <w:gridCol w:w="1044"/>
        <w:gridCol w:w="1044"/>
        <w:gridCol w:w="1044"/>
        <w:gridCol w:w="1044"/>
        <w:gridCol w:w="1044"/>
      </w:tblGrid>
      <w:tr w:rsidR="00AB5AE7" w:rsidRPr="00417CDE" w:rsidTr="005B0583">
        <w:trPr>
          <w:trHeight w:val="255"/>
        </w:trPr>
        <w:tc>
          <w:tcPr>
            <w:tcW w:w="3261" w:type="dxa"/>
            <w:tcBorders>
              <w:top w:val="single" w:sz="4" w:space="0" w:color="auto"/>
              <w:left w:val="nil"/>
              <w:bottom w:val="nil"/>
              <w:right w:val="nil"/>
            </w:tcBorders>
            <w:noWrap/>
            <w:tcMar>
              <w:top w:w="0" w:type="dxa"/>
              <w:left w:w="17" w:type="dxa"/>
              <w:bottom w:w="0" w:type="dxa"/>
              <w:right w:w="17" w:type="dxa"/>
            </w:tcMar>
          </w:tcPr>
          <w:p w:rsidR="00AB5AE7" w:rsidRPr="00417CDE" w:rsidRDefault="00AB5AE7" w:rsidP="005B0583">
            <w:pPr>
              <w:keepNext/>
              <w:rPr>
                <w:rFonts w:asciiTheme="minorHAnsi" w:hAnsiTheme="minorHAnsi" w:cstheme="minorHAnsi"/>
                <w:b/>
                <w:sz w:val="18"/>
                <w:szCs w:val="18"/>
              </w:rPr>
            </w:pPr>
            <w:r w:rsidRPr="00417CDE">
              <w:rPr>
                <w:rFonts w:asciiTheme="minorHAnsi" w:hAnsiTheme="minorHAnsi" w:cstheme="minorHAnsi"/>
                <w:b/>
                <w:sz w:val="18"/>
                <w:szCs w:val="18"/>
              </w:rPr>
              <w:t> </w:t>
            </w:r>
          </w:p>
        </w:tc>
        <w:tc>
          <w:tcPr>
            <w:tcW w:w="875" w:type="dxa"/>
            <w:tcBorders>
              <w:top w:val="single" w:sz="4" w:space="0" w:color="auto"/>
              <w:left w:val="nil"/>
              <w:bottom w:val="nil"/>
              <w:right w:val="nil"/>
            </w:tcBorders>
            <w:noWrap/>
            <w:tcMar>
              <w:top w:w="0" w:type="dxa"/>
              <w:left w:w="17" w:type="dxa"/>
              <w:bottom w:w="0" w:type="dxa"/>
              <w:right w:w="17" w:type="dxa"/>
            </w:tcMar>
          </w:tcPr>
          <w:p w:rsidR="00AB5AE7" w:rsidRDefault="00AB5AE7" w:rsidP="005B0583">
            <w:pPr>
              <w:keepNext/>
              <w:jc w:val="right"/>
              <w:rPr>
                <w:b/>
                <w:sz w:val="18"/>
                <w:szCs w:val="24"/>
              </w:rPr>
            </w:pPr>
            <w:r>
              <w:rPr>
                <w:b/>
                <w:sz w:val="18"/>
                <w:szCs w:val="24"/>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AB5AE7" w:rsidRDefault="00AB5AE7" w:rsidP="005B0583">
            <w:pPr>
              <w:keepNext/>
              <w:jc w:val="right"/>
              <w:rPr>
                <w:b/>
                <w:sz w:val="18"/>
                <w:szCs w:val="24"/>
              </w:rPr>
            </w:pPr>
            <w:r>
              <w:rPr>
                <w:b/>
                <w:sz w:val="18"/>
                <w:szCs w:val="24"/>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AB5AE7" w:rsidRDefault="00AB5AE7" w:rsidP="005B0583">
            <w:pPr>
              <w:keepNext/>
              <w:jc w:val="right"/>
              <w:rPr>
                <w:b/>
                <w:sz w:val="18"/>
                <w:szCs w:val="24"/>
              </w:rPr>
            </w:pPr>
            <w:r>
              <w:rPr>
                <w:b/>
                <w:sz w:val="18"/>
                <w:szCs w:val="24"/>
              </w:rPr>
              <w:t>2013-14</w:t>
            </w:r>
          </w:p>
        </w:tc>
        <w:tc>
          <w:tcPr>
            <w:tcW w:w="1044" w:type="dxa"/>
            <w:tcBorders>
              <w:top w:val="single" w:sz="4" w:space="0" w:color="auto"/>
              <w:left w:val="nil"/>
              <w:bottom w:val="nil"/>
              <w:right w:val="nil"/>
            </w:tcBorders>
            <w:noWrap/>
            <w:tcMar>
              <w:top w:w="0" w:type="dxa"/>
              <w:left w:w="17" w:type="dxa"/>
              <w:bottom w:w="0" w:type="dxa"/>
              <w:right w:w="17" w:type="dxa"/>
            </w:tcMar>
          </w:tcPr>
          <w:p w:rsidR="00AB5AE7" w:rsidRDefault="00AB5AE7" w:rsidP="005B0583">
            <w:pPr>
              <w:keepNext/>
              <w:jc w:val="right"/>
              <w:rPr>
                <w:b/>
                <w:sz w:val="18"/>
                <w:szCs w:val="24"/>
              </w:rPr>
            </w:pPr>
            <w:r>
              <w:rPr>
                <w:b/>
                <w:sz w:val="18"/>
                <w:szCs w:val="24"/>
              </w:rPr>
              <w:t>2014-15</w:t>
            </w:r>
          </w:p>
        </w:tc>
        <w:tc>
          <w:tcPr>
            <w:tcW w:w="1044" w:type="dxa"/>
            <w:tcBorders>
              <w:top w:val="single" w:sz="4" w:space="0" w:color="auto"/>
              <w:left w:val="nil"/>
              <w:bottom w:val="nil"/>
              <w:right w:val="nil"/>
            </w:tcBorders>
            <w:noWrap/>
            <w:tcMar>
              <w:top w:w="0" w:type="dxa"/>
              <w:left w:w="17" w:type="dxa"/>
              <w:bottom w:w="0" w:type="dxa"/>
              <w:right w:w="17" w:type="dxa"/>
            </w:tcMar>
          </w:tcPr>
          <w:p w:rsidR="00AB5AE7" w:rsidRDefault="00AB5AE7" w:rsidP="005B0583">
            <w:pPr>
              <w:keepNext/>
              <w:jc w:val="right"/>
              <w:rPr>
                <w:b/>
                <w:sz w:val="18"/>
                <w:szCs w:val="24"/>
              </w:rPr>
            </w:pPr>
            <w:r>
              <w:rPr>
                <w:b/>
                <w:sz w:val="18"/>
                <w:szCs w:val="24"/>
              </w:rPr>
              <w:t>2015-16</w:t>
            </w:r>
          </w:p>
        </w:tc>
        <w:tc>
          <w:tcPr>
            <w:tcW w:w="1044" w:type="dxa"/>
            <w:tcBorders>
              <w:top w:val="single" w:sz="4" w:space="0" w:color="auto"/>
              <w:left w:val="nil"/>
              <w:bottom w:val="nil"/>
              <w:right w:val="nil"/>
            </w:tcBorders>
            <w:noWrap/>
            <w:tcMar>
              <w:top w:w="0" w:type="dxa"/>
              <w:left w:w="17" w:type="dxa"/>
              <w:bottom w:w="0" w:type="dxa"/>
              <w:right w:w="17" w:type="dxa"/>
            </w:tcMar>
          </w:tcPr>
          <w:p w:rsidR="00AB5AE7" w:rsidRDefault="00AB5AE7" w:rsidP="005B0583">
            <w:pPr>
              <w:keepNext/>
              <w:jc w:val="right"/>
              <w:rPr>
                <w:b/>
                <w:sz w:val="18"/>
                <w:szCs w:val="24"/>
              </w:rPr>
            </w:pPr>
            <w:r>
              <w:rPr>
                <w:b/>
                <w:sz w:val="18"/>
                <w:szCs w:val="24"/>
              </w:rPr>
              <w:t>Physical</w:t>
            </w:r>
          </w:p>
        </w:tc>
      </w:tr>
      <w:tr w:rsidR="00AB5AE7" w:rsidRPr="00417CDE" w:rsidTr="005B0583">
        <w:trPr>
          <w:trHeight w:val="255"/>
        </w:trPr>
        <w:tc>
          <w:tcPr>
            <w:tcW w:w="3261" w:type="dxa"/>
            <w:tcBorders>
              <w:top w:val="nil"/>
              <w:left w:val="nil"/>
              <w:bottom w:val="nil"/>
              <w:right w:val="nil"/>
            </w:tcBorders>
            <w:noWrap/>
            <w:tcMar>
              <w:top w:w="17" w:type="dxa"/>
              <w:left w:w="17" w:type="dxa"/>
              <w:bottom w:w="0" w:type="dxa"/>
              <w:right w:w="17" w:type="dxa"/>
            </w:tcMar>
          </w:tcPr>
          <w:p w:rsidR="00AB5AE7" w:rsidRPr="00417CDE" w:rsidRDefault="00AB5AE7" w:rsidP="005B0583">
            <w:pPr>
              <w:keepNext/>
              <w:rPr>
                <w:rFonts w:asciiTheme="minorHAnsi" w:hAnsiTheme="minorHAnsi" w:cstheme="minorHAnsi"/>
                <w:b/>
                <w:sz w:val="18"/>
                <w:szCs w:val="18"/>
              </w:rPr>
            </w:pPr>
          </w:p>
        </w:tc>
        <w:tc>
          <w:tcPr>
            <w:tcW w:w="875" w:type="dxa"/>
            <w:tcBorders>
              <w:top w:val="nil"/>
              <w:left w:val="nil"/>
              <w:bottom w:val="nil"/>
              <w:right w:val="nil"/>
            </w:tcBorders>
            <w:noWrap/>
            <w:tcMar>
              <w:top w:w="17" w:type="dxa"/>
              <w:left w:w="17" w:type="dxa"/>
              <w:bottom w:w="0" w:type="dxa"/>
              <w:right w:w="17" w:type="dxa"/>
            </w:tcMar>
          </w:tcPr>
          <w:p w:rsidR="00AB5AE7" w:rsidRDefault="00AB5AE7" w:rsidP="005B0583">
            <w:pPr>
              <w:keepNext/>
              <w:jc w:val="right"/>
              <w:rPr>
                <w:b/>
                <w:sz w:val="18"/>
                <w:szCs w:val="24"/>
              </w:rPr>
            </w:pPr>
            <w:r>
              <w:rPr>
                <w:b/>
                <w:sz w:val="18"/>
                <w:szCs w:val="24"/>
              </w:rPr>
              <w:t>Total</w:t>
            </w:r>
          </w:p>
        </w:tc>
        <w:tc>
          <w:tcPr>
            <w:tcW w:w="1044" w:type="dxa"/>
            <w:tcBorders>
              <w:top w:val="nil"/>
              <w:left w:val="nil"/>
              <w:bottom w:val="nil"/>
              <w:right w:val="nil"/>
            </w:tcBorders>
            <w:noWrap/>
            <w:tcMar>
              <w:top w:w="17" w:type="dxa"/>
              <w:left w:w="17" w:type="dxa"/>
              <w:bottom w:w="0" w:type="dxa"/>
              <w:right w:w="17" w:type="dxa"/>
            </w:tcMar>
          </w:tcPr>
          <w:p w:rsidR="00AB5AE7" w:rsidRDefault="00AB5AE7" w:rsidP="005B0583">
            <w:pPr>
              <w:keepNext/>
              <w:jc w:val="right"/>
              <w:rPr>
                <w:b/>
                <w:sz w:val="18"/>
                <w:szCs w:val="24"/>
              </w:rPr>
            </w:pPr>
            <w:r>
              <w:rPr>
                <w:b/>
                <w:sz w:val="18"/>
                <w:szCs w:val="24"/>
              </w:rPr>
              <w:t>Expenditure</w:t>
            </w:r>
          </w:p>
        </w:tc>
        <w:tc>
          <w:tcPr>
            <w:tcW w:w="1044" w:type="dxa"/>
            <w:tcBorders>
              <w:top w:val="nil"/>
              <w:left w:val="nil"/>
              <w:bottom w:val="nil"/>
              <w:right w:val="nil"/>
            </w:tcBorders>
            <w:noWrap/>
            <w:tcMar>
              <w:top w:w="17" w:type="dxa"/>
              <w:left w:w="17" w:type="dxa"/>
              <w:bottom w:w="0" w:type="dxa"/>
              <w:right w:w="17" w:type="dxa"/>
            </w:tcMar>
          </w:tcPr>
          <w:p w:rsidR="00AB5AE7" w:rsidRDefault="00AB5AE7" w:rsidP="005B0583">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AB5AE7" w:rsidRDefault="00AB5AE7" w:rsidP="005B0583">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AB5AE7" w:rsidRDefault="00AB5AE7" w:rsidP="005B0583">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AB5AE7" w:rsidRDefault="00AB5AE7" w:rsidP="005B0583">
            <w:pPr>
              <w:keepNext/>
              <w:jc w:val="right"/>
              <w:rPr>
                <w:b/>
                <w:sz w:val="18"/>
                <w:szCs w:val="24"/>
              </w:rPr>
            </w:pPr>
            <w:r>
              <w:rPr>
                <w:b/>
                <w:sz w:val="18"/>
                <w:szCs w:val="24"/>
              </w:rPr>
              <w:t>Completion</w:t>
            </w:r>
          </w:p>
        </w:tc>
      </w:tr>
      <w:tr w:rsidR="00AB5AE7" w:rsidRPr="00417CDE" w:rsidTr="005B0583">
        <w:trPr>
          <w:trHeight w:val="255"/>
        </w:trPr>
        <w:tc>
          <w:tcPr>
            <w:tcW w:w="3261" w:type="dxa"/>
            <w:tcBorders>
              <w:top w:val="nil"/>
              <w:left w:val="nil"/>
              <w:right w:val="nil"/>
            </w:tcBorders>
            <w:noWrap/>
            <w:tcMar>
              <w:top w:w="17" w:type="dxa"/>
              <w:left w:w="17" w:type="dxa"/>
              <w:bottom w:w="0" w:type="dxa"/>
              <w:right w:w="17" w:type="dxa"/>
            </w:tcMar>
          </w:tcPr>
          <w:p w:rsidR="00AB5AE7" w:rsidRPr="00417CDE" w:rsidRDefault="00AB5AE7" w:rsidP="005B0583">
            <w:pPr>
              <w:keepNext/>
              <w:rPr>
                <w:rFonts w:asciiTheme="minorHAnsi" w:hAnsiTheme="minorHAnsi" w:cstheme="minorHAnsi"/>
                <w:b/>
                <w:sz w:val="18"/>
                <w:szCs w:val="18"/>
              </w:rPr>
            </w:pPr>
          </w:p>
        </w:tc>
        <w:tc>
          <w:tcPr>
            <w:tcW w:w="875" w:type="dxa"/>
            <w:tcBorders>
              <w:top w:val="nil"/>
              <w:left w:val="nil"/>
              <w:bottom w:val="nil"/>
              <w:right w:val="nil"/>
            </w:tcBorders>
            <w:noWrap/>
            <w:tcMar>
              <w:top w:w="17" w:type="dxa"/>
              <w:left w:w="17" w:type="dxa"/>
              <w:bottom w:w="0" w:type="dxa"/>
              <w:right w:w="17" w:type="dxa"/>
            </w:tcMar>
          </w:tcPr>
          <w:p w:rsidR="00AB5AE7" w:rsidRDefault="00AB5AE7" w:rsidP="005B0583">
            <w:pPr>
              <w:keepNext/>
              <w:jc w:val="right"/>
              <w:rPr>
                <w:b/>
                <w:sz w:val="18"/>
                <w:szCs w:val="24"/>
              </w:rPr>
            </w:pPr>
            <w:r>
              <w:rPr>
                <w:b/>
                <w:sz w:val="18"/>
                <w:szCs w:val="24"/>
              </w:rPr>
              <w:t>Cost</w:t>
            </w:r>
          </w:p>
        </w:tc>
        <w:tc>
          <w:tcPr>
            <w:tcW w:w="1044" w:type="dxa"/>
            <w:tcBorders>
              <w:top w:val="nil"/>
              <w:left w:val="nil"/>
              <w:bottom w:val="nil"/>
              <w:right w:val="nil"/>
            </w:tcBorders>
            <w:noWrap/>
            <w:tcMar>
              <w:top w:w="17" w:type="dxa"/>
              <w:left w:w="17" w:type="dxa"/>
              <w:bottom w:w="0" w:type="dxa"/>
              <w:right w:w="17" w:type="dxa"/>
            </w:tcMar>
          </w:tcPr>
          <w:p w:rsidR="00AB5AE7" w:rsidRDefault="00AB5AE7" w:rsidP="005B0583">
            <w:pPr>
              <w:keepNext/>
              <w:jc w:val="right"/>
              <w:rPr>
                <w:b/>
                <w:sz w:val="18"/>
                <w:szCs w:val="24"/>
              </w:rPr>
            </w:pPr>
            <w:r>
              <w:rPr>
                <w:b/>
                <w:sz w:val="18"/>
                <w:szCs w:val="24"/>
              </w:rPr>
              <w:t>Pre 2013-14</w:t>
            </w:r>
          </w:p>
        </w:tc>
        <w:tc>
          <w:tcPr>
            <w:tcW w:w="1044" w:type="dxa"/>
            <w:tcBorders>
              <w:top w:val="nil"/>
              <w:left w:val="nil"/>
              <w:bottom w:val="nil"/>
              <w:right w:val="nil"/>
            </w:tcBorders>
            <w:noWrap/>
            <w:tcMar>
              <w:top w:w="17" w:type="dxa"/>
              <w:left w:w="17" w:type="dxa"/>
              <w:bottom w:w="0" w:type="dxa"/>
              <w:right w:w="17" w:type="dxa"/>
            </w:tcMar>
          </w:tcPr>
          <w:p w:rsidR="00AB5AE7" w:rsidRDefault="00AB5AE7" w:rsidP="005B0583">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AB5AE7" w:rsidRDefault="00AB5AE7" w:rsidP="005B0583">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AB5AE7" w:rsidRDefault="00AB5AE7" w:rsidP="005B0583">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AB5AE7" w:rsidRDefault="00AB5AE7" w:rsidP="005B0583">
            <w:pPr>
              <w:keepNext/>
              <w:jc w:val="right"/>
              <w:rPr>
                <w:b/>
                <w:sz w:val="18"/>
                <w:szCs w:val="24"/>
              </w:rPr>
            </w:pPr>
            <w:r>
              <w:rPr>
                <w:b/>
                <w:sz w:val="18"/>
                <w:szCs w:val="24"/>
              </w:rPr>
              <w:t>Date</w:t>
            </w:r>
          </w:p>
        </w:tc>
      </w:tr>
      <w:tr w:rsidR="00AB5AE7" w:rsidRPr="00417CDE" w:rsidTr="005B0583">
        <w:trPr>
          <w:trHeight w:val="255"/>
        </w:trPr>
        <w:tc>
          <w:tcPr>
            <w:tcW w:w="3261" w:type="dxa"/>
            <w:tcBorders>
              <w:top w:val="nil"/>
              <w:left w:val="nil"/>
              <w:bottom w:val="single" w:sz="4" w:space="0" w:color="auto"/>
              <w:right w:val="nil"/>
            </w:tcBorders>
            <w:noWrap/>
            <w:tcMar>
              <w:top w:w="0" w:type="dxa"/>
              <w:left w:w="17" w:type="dxa"/>
              <w:bottom w:w="0" w:type="dxa"/>
              <w:right w:w="17" w:type="dxa"/>
            </w:tcMar>
          </w:tcPr>
          <w:p w:rsidR="00AB5AE7" w:rsidRPr="00417CDE" w:rsidRDefault="00AB5AE7" w:rsidP="005B0583">
            <w:pPr>
              <w:keepNext/>
              <w:rPr>
                <w:rFonts w:asciiTheme="minorHAnsi" w:hAnsiTheme="minorHAnsi" w:cstheme="minorHAnsi"/>
                <w:b/>
                <w:sz w:val="18"/>
                <w:szCs w:val="18"/>
              </w:rPr>
            </w:pPr>
            <w:r w:rsidRPr="00417CDE">
              <w:rPr>
                <w:rFonts w:asciiTheme="minorHAnsi" w:hAnsiTheme="minorHAnsi" w:cstheme="minorHAnsi"/>
                <w:b/>
                <w:sz w:val="18"/>
                <w:szCs w:val="18"/>
              </w:rPr>
              <w:t> </w:t>
            </w:r>
          </w:p>
        </w:tc>
        <w:tc>
          <w:tcPr>
            <w:tcW w:w="875" w:type="dxa"/>
            <w:tcBorders>
              <w:top w:val="nil"/>
              <w:left w:val="nil"/>
              <w:bottom w:val="single" w:sz="4" w:space="0" w:color="auto"/>
              <w:right w:val="nil"/>
            </w:tcBorders>
            <w:noWrap/>
            <w:tcMar>
              <w:top w:w="0" w:type="dxa"/>
              <w:left w:w="17" w:type="dxa"/>
              <w:bottom w:w="0" w:type="dxa"/>
              <w:right w:w="17" w:type="dxa"/>
            </w:tcMar>
          </w:tcPr>
          <w:p w:rsidR="00AB5AE7" w:rsidRDefault="00AB5AE7" w:rsidP="005B0583">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AB5AE7" w:rsidRDefault="00AB5AE7" w:rsidP="005B0583">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AB5AE7" w:rsidRDefault="00AB5AE7" w:rsidP="005B0583">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AB5AE7" w:rsidRDefault="00AB5AE7" w:rsidP="005B0583">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AB5AE7" w:rsidRDefault="00AB5AE7" w:rsidP="005B0583">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AB5AE7" w:rsidRDefault="00AB5AE7" w:rsidP="005B0583">
            <w:pPr>
              <w:keepNext/>
              <w:jc w:val="right"/>
              <w:rPr>
                <w:b/>
                <w:sz w:val="18"/>
                <w:szCs w:val="24"/>
              </w:rPr>
            </w:pPr>
            <w:r>
              <w:rPr>
                <w:b/>
                <w:sz w:val="18"/>
                <w:szCs w:val="24"/>
              </w:rPr>
              <w:t> </w:t>
            </w:r>
          </w:p>
        </w:tc>
      </w:tr>
      <w:tr w:rsidR="00AB5AE7" w:rsidRPr="00417CDE" w:rsidTr="005B0583">
        <w:trPr>
          <w:trHeight w:val="240"/>
        </w:trPr>
        <w:tc>
          <w:tcPr>
            <w:tcW w:w="3261" w:type="dxa"/>
            <w:tcBorders>
              <w:top w:val="single" w:sz="4" w:space="0" w:color="auto"/>
              <w:left w:val="nil"/>
              <w:bottom w:val="nil"/>
              <w:right w:val="nil"/>
            </w:tcBorders>
            <w:noWrap/>
            <w:tcMar>
              <w:top w:w="0" w:type="dxa"/>
              <w:left w:w="17" w:type="dxa"/>
              <w:bottom w:w="0" w:type="dxa"/>
              <w:right w:w="17" w:type="dxa"/>
            </w:tcMar>
          </w:tcPr>
          <w:p w:rsidR="00AB5AE7" w:rsidRPr="00417CDE" w:rsidRDefault="00AB5AE7" w:rsidP="005B0583">
            <w:pPr>
              <w:keepNext/>
              <w:rPr>
                <w:rFonts w:asciiTheme="minorHAnsi" w:hAnsiTheme="minorHAnsi" w:cstheme="minorHAnsi"/>
                <w:b/>
                <w:sz w:val="18"/>
                <w:szCs w:val="18"/>
                <w:lang w:eastAsia="en-AU"/>
              </w:rPr>
            </w:pPr>
          </w:p>
        </w:tc>
        <w:tc>
          <w:tcPr>
            <w:tcW w:w="875" w:type="dxa"/>
            <w:tcBorders>
              <w:top w:val="nil"/>
              <w:left w:val="nil"/>
              <w:bottom w:val="nil"/>
              <w:right w:val="nil"/>
            </w:tcBorders>
            <w:noWrap/>
            <w:tcMar>
              <w:top w:w="0" w:type="dxa"/>
              <w:left w:w="17" w:type="dxa"/>
              <w:bottom w:w="0" w:type="dxa"/>
              <w:right w:w="17" w:type="dxa"/>
            </w:tcMar>
          </w:tcPr>
          <w:p w:rsidR="00AB5AE7" w:rsidRPr="00417CDE"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7CDE"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7CDE"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7CDE"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7CDE"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7CDE" w:rsidRDefault="00AB5AE7" w:rsidP="005B0583">
            <w:pPr>
              <w:jc w:val="right"/>
              <w:rPr>
                <w:rFonts w:asciiTheme="minorHAnsi" w:hAnsiTheme="minorHAnsi" w:cstheme="minorHAnsi"/>
                <w:sz w:val="18"/>
                <w:szCs w:val="18"/>
              </w:rPr>
            </w:pPr>
          </w:p>
        </w:tc>
      </w:tr>
      <w:tr w:rsidR="00AB5AE7" w:rsidRPr="00417CDE"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417CDE" w:rsidRDefault="00AB5AE7" w:rsidP="005B0583">
            <w:pPr>
              <w:keepNext/>
              <w:rPr>
                <w:rFonts w:asciiTheme="minorHAnsi" w:hAnsiTheme="minorHAnsi" w:cstheme="minorHAnsi"/>
                <w:b/>
                <w:sz w:val="18"/>
                <w:szCs w:val="18"/>
                <w:lang w:eastAsia="en-AU"/>
              </w:rPr>
            </w:pPr>
            <w:r w:rsidRPr="00417CDE">
              <w:rPr>
                <w:rFonts w:asciiTheme="minorHAnsi" w:hAnsiTheme="minorHAnsi" w:cstheme="minorHAnsi"/>
                <w:b/>
                <w:sz w:val="18"/>
                <w:szCs w:val="18"/>
                <w:lang w:eastAsia="en-AU"/>
              </w:rPr>
              <w:t>New Capital Works</w:t>
            </w:r>
          </w:p>
        </w:tc>
        <w:tc>
          <w:tcPr>
            <w:tcW w:w="875" w:type="dxa"/>
            <w:tcBorders>
              <w:top w:val="nil"/>
              <w:left w:val="nil"/>
              <w:bottom w:val="nil"/>
              <w:right w:val="nil"/>
            </w:tcBorders>
            <w:noWrap/>
            <w:tcMar>
              <w:top w:w="0" w:type="dxa"/>
              <w:left w:w="17" w:type="dxa"/>
              <w:bottom w:w="0" w:type="dxa"/>
              <w:right w:w="17" w:type="dxa"/>
            </w:tcMar>
          </w:tcPr>
          <w:p w:rsidR="00AB5AE7" w:rsidRPr="00417CDE"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7CDE"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7CDE"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7CDE"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7CDE"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7CDE" w:rsidRDefault="00AB5AE7" w:rsidP="005B0583">
            <w:pPr>
              <w:jc w:val="right"/>
              <w:rPr>
                <w:rFonts w:asciiTheme="minorHAnsi" w:hAnsiTheme="minorHAnsi" w:cstheme="minorHAnsi"/>
                <w:sz w:val="18"/>
                <w:szCs w:val="18"/>
              </w:rPr>
            </w:pP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411401" w:rsidRDefault="00AB5AE7" w:rsidP="005B0583">
            <w:pPr>
              <w:ind w:left="142" w:hanging="142"/>
              <w:rPr>
                <w:rFonts w:asciiTheme="minorHAnsi" w:hAnsiTheme="minorHAnsi" w:cstheme="minorHAnsi"/>
                <w:i/>
                <w:sz w:val="18"/>
                <w:szCs w:val="18"/>
                <w:u w:val="single"/>
              </w:rPr>
            </w:pPr>
            <w:r w:rsidRPr="00411401">
              <w:rPr>
                <w:rFonts w:asciiTheme="minorHAnsi" w:hAnsiTheme="minorHAnsi" w:cstheme="minorHAnsi"/>
                <w:i/>
                <w:sz w:val="18"/>
                <w:szCs w:val="18"/>
                <w:u w:val="single"/>
              </w:rPr>
              <w:t>Sustainable Planning</w:t>
            </w:r>
          </w:p>
        </w:tc>
        <w:tc>
          <w:tcPr>
            <w:tcW w:w="875"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411401" w:rsidRDefault="00AB5AE7" w:rsidP="005B0583">
            <w:pPr>
              <w:ind w:left="142" w:hanging="142"/>
              <w:rPr>
                <w:rFonts w:asciiTheme="minorHAnsi" w:hAnsiTheme="minorHAnsi" w:cstheme="minorHAnsi"/>
                <w:sz w:val="18"/>
                <w:szCs w:val="18"/>
              </w:rPr>
            </w:pPr>
            <w:r w:rsidRPr="00411401">
              <w:rPr>
                <w:rFonts w:asciiTheme="minorHAnsi" w:hAnsiTheme="minorHAnsi" w:cstheme="minorHAnsi"/>
                <w:sz w:val="18"/>
                <w:szCs w:val="18"/>
              </w:rPr>
              <w:t>ACT Light Rail Master Plan</w:t>
            </w:r>
            <w:r>
              <w:rPr>
                <w:rFonts w:asciiTheme="minorHAnsi" w:hAnsiTheme="minorHAnsi" w:cstheme="minorHAnsi"/>
                <w:sz w:val="18"/>
                <w:szCs w:val="18"/>
              </w:rPr>
              <w:t xml:space="preserve"> (Feasibility)</w:t>
            </w:r>
          </w:p>
        </w:tc>
        <w:tc>
          <w:tcPr>
            <w:tcW w:w="875"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r>
              <w:rPr>
                <w:rFonts w:asciiTheme="minorHAnsi" w:hAnsiTheme="minorHAnsi" w:cstheme="minorHAnsi"/>
                <w:sz w:val="18"/>
                <w:szCs w:val="18"/>
              </w:rPr>
              <w:t>1,400</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pStyle w:val="TableNumbersRight-BP4"/>
              <w:rPr>
                <w:szCs w:val="18"/>
              </w:rPr>
            </w:pPr>
            <w:r>
              <w:rPr>
                <w:szCs w:val="18"/>
              </w:rPr>
              <w:t>-</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sz w:val="18"/>
                <w:szCs w:val="18"/>
              </w:rPr>
            </w:pPr>
            <w:r>
              <w:rPr>
                <w:sz w:val="18"/>
                <w:szCs w:val="18"/>
              </w:rPr>
              <w:t>400</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sz w:val="18"/>
                <w:szCs w:val="18"/>
              </w:rPr>
            </w:pPr>
            <w:r>
              <w:rPr>
                <w:sz w:val="18"/>
                <w:szCs w:val="18"/>
              </w:rPr>
              <w:t>1,000</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53568C" w:rsidRDefault="00AB5AE7" w:rsidP="005B0583">
            <w:pPr>
              <w:pStyle w:val="TableNumbersRight-BP4"/>
              <w:rPr>
                <w:szCs w:val="18"/>
              </w:rPr>
            </w:pPr>
            <w:r>
              <w:rPr>
                <w:szCs w:val="18"/>
              </w:rPr>
              <w:t>Dec 2014</w:t>
            </w: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411401" w:rsidRDefault="00AB5AE7" w:rsidP="005B0583">
            <w:pPr>
              <w:ind w:left="142" w:hanging="142"/>
              <w:rPr>
                <w:rFonts w:asciiTheme="minorHAnsi" w:hAnsiTheme="minorHAnsi" w:cstheme="minorHAnsi"/>
                <w:sz w:val="18"/>
                <w:szCs w:val="18"/>
              </w:rPr>
            </w:pPr>
            <w:r w:rsidRPr="00411401">
              <w:rPr>
                <w:rFonts w:asciiTheme="minorHAnsi" w:hAnsiTheme="minorHAnsi" w:cstheme="minorHAnsi"/>
                <w:sz w:val="18"/>
                <w:szCs w:val="18"/>
              </w:rPr>
              <w:t>Greenfields Planning for Affordable Housing</w:t>
            </w:r>
            <w:r>
              <w:rPr>
                <w:rFonts w:asciiTheme="minorHAnsi" w:hAnsiTheme="minorHAnsi" w:cstheme="minorHAnsi"/>
                <w:sz w:val="18"/>
                <w:szCs w:val="18"/>
              </w:rPr>
              <w:t xml:space="preserve"> (Feasibility)</w:t>
            </w:r>
          </w:p>
        </w:tc>
        <w:tc>
          <w:tcPr>
            <w:tcW w:w="875"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r>
              <w:rPr>
                <w:rFonts w:asciiTheme="minorHAnsi" w:hAnsiTheme="minorHAnsi" w:cstheme="minorHAnsi"/>
                <w:sz w:val="18"/>
                <w:szCs w:val="18"/>
              </w:rPr>
              <w:t>350</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pStyle w:val="TableNumbersRight-BP4"/>
              <w:rPr>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sz w:val="18"/>
                <w:szCs w:val="18"/>
              </w:rPr>
            </w:pPr>
            <w:r>
              <w:rPr>
                <w:sz w:val="18"/>
                <w:szCs w:val="18"/>
              </w:rPr>
              <w:t>200</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sz w:val="18"/>
                <w:szCs w:val="18"/>
              </w:rPr>
            </w:pPr>
            <w:r>
              <w:rPr>
                <w:sz w:val="18"/>
                <w:szCs w:val="18"/>
              </w:rPr>
              <w:t>150</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53568C" w:rsidRDefault="00AB5AE7" w:rsidP="005B0583">
            <w:pPr>
              <w:pStyle w:val="TableNumbersRight-BP4"/>
              <w:rPr>
                <w:szCs w:val="18"/>
              </w:rPr>
            </w:pPr>
            <w:r>
              <w:rPr>
                <w:szCs w:val="18"/>
              </w:rPr>
              <w:t>Jun 2015</w:t>
            </w: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411401" w:rsidRDefault="00AB5AE7" w:rsidP="005B0583">
            <w:pPr>
              <w:keepNext/>
              <w:rPr>
                <w:rFonts w:asciiTheme="minorHAnsi" w:hAnsiTheme="minorHAnsi" w:cstheme="minorHAnsi"/>
                <w:b/>
                <w:sz w:val="18"/>
                <w:szCs w:val="18"/>
                <w:lang w:eastAsia="en-AU"/>
              </w:rPr>
            </w:pPr>
            <w:r w:rsidRPr="00411401">
              <w:rPr>
                <w:rFonts w:asciiTheme="minorHAnsi" w:hAnsiTheme="minorHAnsi" w:cstheme="minorHAnsi"/>
                <w:b/>
                <w:sz w:val="18"/>
                <w:szCs w:val="18"/>
                <w:lang w:eastAsia="en-AU"/>
              </w:rPr>
              <w:t>Total New Capital Works</w:t>
            </w:r>
          </w:p>
        </w:tc>
        <w:tc>
          <w:tcPr>
            <w:tcW w:w="875"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r>
              <w:rPr>
                <w:rFonts w:asciiTheme="minorHAnsi" w:hAnsiTheme="minorHAnsi" w:cstheme="minorHAnsi"/>
                <w:b/>
                <w:sz w:val="18"/>
                <w:szCs w:val="18"/>
              </w:rPr>
              <w:t>1,750</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r>
              <w:rPr>
                <w:rFonts w:asciiTheme="minorHAnsi" w:hAnsiTheme="minorHAnsi" w:cstheme="minorHAnsi"/>
                <w:b/>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r>
              <w:rPr>
                <w:rFonts w:asciiTheme="minorHAnsi" w:hAnsiTheme="minorHAnsi" w:cstheme="minorHAnsi"/>
                <w:b/>
                <w:sz w:val="18"/>
                <w:szCs w:val="18"/>
              </w:rPr>
              <w:t>600</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r>
              <w:rPr>
                <w:rFonts w:asciiTheme="minorHAnsi" w:hAnsiTheme="minorHAnsi" w:cstheme="minorHAnsi"/>
                <w:b/>
                <w:sz w:val="18"/>
                <w:szCs w:val="18"/>
              </w:rPr>
              <w:t>1,150</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r>
              <w:rPr>
                <w:rFonts w:asciiTheme="minorHAnsi" w:hAnsiTheme="minorHAnsi" w:cstheme="minorHAnsi"/>
                <w:b/>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b/>
                <w:sz w:val="18"/>
                <w:szCs w:val="18"/>
                <w:highlight w:val="yellow"/>
              </w:rPr>
            </w:pP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411401" w:rsidRDefault="00AB5AE7" w:rsidP="005B0583">
            <w:pPr>
              <w:keepNext/>
              <w:rPr>
                <w:rFonts w:asciiTheme="minorHAnsi" w:hAnsiTheme="minorHAnsi" w:cstheme="minorHAnsi"/>
                <w:b/>
                <w:sz w:val="18"/>
                <w:szCs w:val="18"/>
                <w:lang w:eastAsia="en-AU"/>
              </w:rPr>
            </w:pPr>
          </w:p>
        </w:tc>
        <w:tc>
          <w:tcPr>
            <w:tcW w:w="875"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411401" w:rsidRDefault="00AB5AE7" w:rsidP="005B0583">
            <w:pPr>
              <w:keepNext/>
              <w:rPr>
                <w:rFonts w:asciiTheme="minorHAnsi" w:hAnsiTheme="minorHAnsi" w:cstheme="minorHAnsi"/>
                <w:b/>
                <w:sz w:val="18"/>
                <w:szCs w:val="18"/>
                <w:lang w:eastAsia="en-AU"/>
              </w:rPr>
            </w:pPr>
            <w:r w:rsidRPr="00411401">
              <w:rPr>
                <w:rFonts w:asciiTheme="minorHAnsi" w:hAnsiTheme="minorHAnsi" w:cstheme="minorHAnsi"/>
                <w:b/>
                <w:sz w:val="18"/>
                <w:szCs w:val="18"/>
                <w:lang w:eastAsia="en-AU"/>
              </w:rPr>
              <w:t>Capital Upgrades</w:t>
            </w:r>
          </w:p>
        </w:tc>
        <w:tc>
          <w:tcPr>
            <w:tcW w:w="875"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411401" w:rsidRDefault="00AB5AE7" w:rsidP="005B0583">
            <w:pPr>
              <w:rPr>
                <w:rFonts w:asciiTheme="minorHAnsi" w:hAnsiTheme="minorHAnsi" w:cstheme="minorHAnsi"/>
                <w:bCs/>
                <w:sz w:val="18"/>
                <w:szCs w:val="18"/>
              </w:rPr>
            </w:pPr>
            <w:r w:rsidRPr="00411401">
              <w:rPr>
                <w:rFonts w:asciiTheme="minorHAnsi" w:hAnsiTheme="minorHAnsi" w:cstheme="minorHAnsi"/>
                <w:bCs/>
                <w:sz w:val="18"/>
                <w:szCs w:val="18"/>
              </w:rPr>
              <w:t>Heritage</w:t>
            </w:r>
          </w:p>
        </w:tc>
        <w:tc>
          <w:tcPr>
            <w:tcW w:w="875"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r w:rsidRPr="00411401">
              <w:rPr>
                <w:rFonts w:asciiTheme="minorHAnsi" w:hAnsiTheme="minorHAnsi" w:cstheme="minorHAnsi"/>
                <w:sz w:val="18"/>
                <w:szCs w:val="18"/>
              </w:rPr>
              <w:t>135</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r w:rsidRPr="00411401">
              <w:rPr>
                <w:rFonts w:asciiTheme="minorHAnsi" w:hAnsiTheme="minorHAnsi" w:cstheme="minorHAnsi"/>
                <w:sz w:val="18"/>
                <w:szCs w:val="18"/>
              </w:rPr>
              <w:t>135</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411401" w:rsidRDefault="00AB5AE7" w:rsidP="005B0583">
            <w:pPr>
              <w:keepNext/>
              <w:rPr>
                <w:rFonts w:asciiTheme="minorHAnsi" w:hAnsiTheme="minorHAnsi" w:cstheme="minorHAnsi"/>
                <w:b/>
                <w:sz w:val="18"/>
                <w:szCs w:val="18"/>
                <w:lang w:eastAsia="en-AU"/>
              </w:rPr>
            </w:pPr>
            <w:r w:rsidRPr="00411401">
              <w:rPr>
                <w:rFonts w:asciiTheme="minorHAnsi" w:hAnsiTheme="minorHAnsi" w:cstheme="minorHAnsi"/>
                <w:b/>
                <w:sz w:val="18"/>
                <w:szCs w:val="18"/>
                <w:lang w:eastAsia="en-AU"/>
              </w:rPr>
              <w:t>Total Capital Upgrades</w:t>
            </w:r>
          </w:p>
        </w:tc>
        <w:tc>
          <w:tcPr>
            <w:tcW w:w="875"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r w:rsidRPr="00411401">
              <w:rPr>
                <w:rFonts w:asciiTheme="minorHAnsi" w:hAnsiTheme="minorHAnsi" w:cstheme="minorHAnsi"/>
                <w:b/>
                <w:sz w:val="18"/>
                <w:szCs w:val="18"/>
              </w:rPr>
              <w:t>135</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r>
              <w:rPr>
                <w:rFonts w:asciiTheme="minorHAnsi" w:hAnsiTheme="minorHAnsi" w:cstheme="minorHAnsi"/>
                <w:b/>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r w:rsidRPr="00411401">
              <w:rPr>
                <w:rFonts w:asciiTheme="minorHAnsi" w:hAnsiTheme="minorHAnsi" w:cstheme="minorHAnsi"/>
                <w:b/>
                <w:sz w:val="18"/>
                <w:szCs w:val="18"/>
              </w:rPr>
              <w:t>135</w:t>
            </w: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b/>
                <w:sz w:val="18"/>
                <w:szCs w:val="18"/>
                <w:highlight w:val="yellow"/>
              </w:rPr>
            </w:pPr>
          </w:p>
        </w:tc>
      </w:tr>
      <w:tr w:rsidR="00AB5AE7" w:rsidRPr="00001464" w:rsidTr="005B0583">
        <w:trPr>
          <w:trHeight w:val="240"/>
        </w:trPr>
        <w:tc>
          <w:tcPr>
            <w:tcW w:w="3261" w:type="dxa"/>
            <w:tcBorders>
              <w:top w:val="nil"/>
              <w:left w:val="nil"/>
              <w:right w:val="nil"/>
            </w:tcBorders>
            <w:noWrap/>
            <w:tcMar>
              <w:top w:w="0" w:type="dxa"/>
              <w:left w:w="17" w:type="dxa"/>
              <w:bottom w:w="0" w:type="dxa"/>
              <w:right w:w="17" w:type="dxa"/>
            </w:tcMar>
          </w:tcPr>
          <w:p w:rsidR="00AB5AE7" w:rsidRPr="00411401" w:rsidRDefault="00AB5AE7" w:rsidP="005B0583">
            <w:pPr>
              <w:keepNext/>
              <w:rPr>
                <w:rFonts w:asciiTheme="minorHAnsi" w:hAnsiTheme="minorHAnsi" w:cstheme="minorHAnsi"/>
                <w:b/>
                <w:sz w:val="18"/>
                <w:szCs w:val="18"/>
                <w:lang w:eastAsia="en-AU"/>
              </w:rPr>
            </w:pPr>
          </w:p>
        </w:tc>
        <w:tc>
          <w:tcPr>
            <w:tcW w:w="875" w:type="dxa"/>
            <w:tcBorders>
              <w:top w:val="nil"/>
              <w:left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sz w:val="18"/>
                <w:szCs w:val="18"/>
              </w:rPr>
            </w:pPr>
          </w:p>
        </w:tc>
        <w:tc>
          <w:tcPr>
            <w:tcW w:w="1044" w:type="dxa"/>
            <w:tcBorders>
              <w:top w:val="nil"/>
              <w:left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r>
      <w:tr w:rsidR="00AB5AE7" w:rsidRPr="00001464" w:rsidTr="005B0583">
        <w:trPr>
          <w:trHeight w:val="240"/>
        </w:trPr>
        <w:tc>
          <w:tcPr>
            <w:tcW w:w="3261" w:type="dxa"/>
            <w:tcBorders>
              <w:top w:val="nil"/>
              <w:left w:val="nil"/>
              <w:bottom w:val="single" w:sz="4" w:space="0" w:color="auto"/>
              <w:right w:val="nil"/>
            </w:tcBorders>
            <w:noWrap/>
            <w:tcMar>
              <w:top w:w="0" w:type="dxa"/>
              <w:left w:w="17" w:type="dxa"/>
              <w:bottom w:w="0" w:type="dxa"/>
              <w:right w:w="17" w:type="dxa"/>
            </w:tcMar>
          </w:tcPr>
          <w:p w:rsidR="00AB5AE7" w:rsidRPr="00411401" w:rsidRDefault="00AB5AE7" w:rsidP="005B0583">
            <w:pPr>
              <w:keepNext/>
              <w:rPr>
                <w:rFonts w:asciiTheme="minorHAnsi" w:hAnsiTheme="minorHAnsi" w:cstheme="minorHAnsi"/>
                <w:b/>
                <w:sz w:val="18"/>
                <w:szCs w:val="18"/>
                <w:lang w:eastAsia="en-AU"/>
              </w:rPr>
            </w:pPr>
            <w:r w:rsidRPr="00411401">
              <w:rPr>
                <w:rFonts w:asciiTheme="minorHAnsi" w:hAnsiTheme="minorHAnsi" w:cstheme="minorHAnsi"/>
                <w:b/>
                <w:sz w:val="18"/>
                <w:szCs w:val="18"/>
                <w:lang w:eastAsia="en-AU"/>
              </w:rPr>
              <w:t>Total New Works</w:t>
            </w:r>
          </w:p>
        </w:tc>
        <w:tc>
          <w:tcPr>
            <w:tcW w:w="875" w:type="dxa"/>
            <w:tcBorders>
              <w:top w:val="nil"/>
              <w:left w:val="nil"/>
              <w:bottom w:val="single" w:sz="4" w:space="0" w:color="auto"/>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r>
              <w:rPr>
                <w:rFonts w:asciiTheme="minorHAnsi" w:hAnsiTheme="minorHAnsi" w:cstheme="minorHAnsi"/>
                <w:b/>
                <w:sz w:val="18"/>
                <w:szCs w:val="18"/>
              </w:rPr>
              <w:t>1,885</w:t>
            </w:r>
          </w:p>
        </w:tc>
        <w:tc>
          <w:tcPr>
            <w:tcW w:w="1044" w:type="dxa"/>
            <w:tcBorders>
              <w:top w:val="nil"/>
              <w:left w:val="nil"/>
              <w:bottom w:val="single" w:sz="4" w:space="0" w:color="auto"/>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r>
              <w:rPr>
                <w:rFonts w:asciiTheme="minorHAnsi" w:hAnsiTheme="minorHAnsi" w:cstheme="minorHAnsi"/>
                <w:b/>
                <w:sz w:val="18"/>
                <w:szCs w:val="18"/>
              </w:rPr>
              <w:t>- </w:t>
            </w:r>
          </w:p>
        </w:tc>
        <w:tc>
          <w:tcPr>
            <w:tcW w:w="1044" w:type="dxa"/>
            <w:tcBorders>
              <w:top w:val="nil"/>
              <w:left w:val="nil"/>
              <w:bottom w:val="single" w:sz="4" w:space="0" w:color="auto"/>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r>
              <w:rPr>
                <w:rFonts w:asciiTheme="minorHAnsi" w:hAnsiTheme="minorHAnsi" w:cstheme="minorHAnsi"/>
                <w:b/>
                <w:sz w:val="18"/>
                <w:szCs w:val="18"/>
              </w:rPr>
              <w:t>735</w:t>
            </w:r>
          </w:p>
        </w:tc>
        <w:tc>
          <w:tcPr>
            <w:tcW w:w="1044" w:type="dxa"/>
            <w:tcBorders>
              <w:top w:val="nil"/>
              <w:left w:val="nil"/>
              <w:bottom w:val="single" w:sz="4" w:space="0" w:color="auto"/>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r>
              <w:rPr>
                <w:rFonts w:asciiTheme="minorHAnsi" w:hAnsiTheme="minorHAnsi" w:cstheme="minorHAnsi"/>
                <w:b/>
                <w:sz w:val="18"/>
                <w:szCs w:val="18"/>
              </w:rPr>
              <w:t>1,150</w:t>
            </w:r>
          </w:p>
        </w:tc>
        <w:tc>
          <w:tcPr>
            <w:tcW w:w="1044" w:type="dxa"/>
            <w:tcBorders>
              <w:top w:val="nil"/>
              <w:left w:val="nil"/>
              <w:bottom w:val="single" w:sz="4" w:space="0" w:color="auto"/>
              <w:right w:val="nil"/>
            </w:tcBorders>
            <w:noWrap/>
            <w:tcMar>
              <w:top w:w="0" w:type="dxa"/>
              <w:left w:w="17" w:type="dxa"/>
              <w:bottom w:w="0" w:type="dxa"/>
              <w:right w:w="17" w:type="dxa"/>
            </w:tcMar>
          </w:tcPr>
          <w:p w:rsidR="00AB5AE7" w:rsidRPr="00411401" w:rsidRDefault="00AB5AE7" w:rsidP="005B0583">
            <w:pPr>
              <w:jc w:val="right"/>
              <w:rPr>
                <w:rFonts w:asciiTheme="minorHAnsi" w:hAnsiTheme="minorHAnsi" w:cstheme="minorHAnsi"/>
                <w:b/>
                <w:sz w:val="18"/>
                <w:szCs w:val="18"/>
              </w:rPr>
            </w:pPr>
            <w:r>
              <w:rPr>
                <w:rFonts w:asciiTheme="minorHAnsi" w:hAnsiTheme="minorHAnsi" w:cstheme="minorHAnsi"/>
                <w:b/>
                <w:sz w:val="18"/>
                <w:szCs w:val="18"/>
              </w:rPr>
              <w:t>- </w:t>
            </w:r>
          </w:p>
        </w:tc>
        <w:tc>
          <w:tcPr>
            <w:tcW w:w="1044" w:type="dxa"/>
            <w:tcBorders>
              <w:top w:val="nil"/>
              <w:left w:val="nil"/>
              <w:bottom w:val="single" w:sz="4" w:space="0" w:color="auto"/>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b/>
                <w:sz w:val="18"/>
                <w:szCs w:val="18"/>
                <w:highlight w:val="yellow"/>
              </w:rPr>
            </w:pPr>
          </w:p>
        </w:tc>
      </w:tr>
      <w:tr w:rsidR="00AB5AE7" w:rsidRPr="00001464" w:rsidTr="005B0583">
        <w:trPr>
          <w:trHeight w:val="240"/>
        </w:trPr>
        <w:tc>
          <w:tcPr>
            <w:tcW w:w="3261" w:type="dxa"/>
            <w:tcBorders>
              <w:top w:val="single" w:sz="4" w:space="0" w:color="auto"/>
              <w:left w:val="nil"/>
              <w:bottom w:val="nil"/>
              <w:right w:val="nil"/>
            </w:tcBorders>
            <w:noWrap/>
            <w:tcMar>
              <w:top w:w="0" w:type="dxa"/>
              <w:left w:w="17" w:type="dxa"/>
              <w:bottom w:w="0" w:type="dxa"/>
              <w:right w:w="17" w:type="dxa"/>
            </w:tcMar>
          </w:tcPr>
          <w:p w:rsidR="00AB5AE7" w:rsidRPr="00001464" w:rsidRDefault="00AB5AE7" w:rsidP="005B0583">
            <w:pPr>
              <w:keepNext/>
              <w:rPr>
                <w:rFonts w:asciiTheme="minorHAnsi" w:hAnsiTheme="minorHAnsi" w:cstheme="minorHAnsi"/>
                <w:b/>
                <w:sz w:val="18"/>
                <w:szCs w:val="18"/>
                <w:highlight w:val="yellow"/>
                <w:lang w:eastAsia="en-AU"/>
              </w:rPr>
            </w:pPr>
          </w:p>
        </w:tc>
        <w:tc>
          <w:tcPr>
            <w:tcW w:w="875" w:type="dxa"/>
            <w:tcBorders>
              <w:top w:val="single" w:sz="4" w:space="0" w:color="auto"/>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c>
          <w:tcPr>
            <w:tcW w:w="1044" w:type="dxa"/>
            <w:tcBorders>
              <w:top w:val="single" w:sz="4" w:space="0" w:color="auto"/>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c>
          <w:tcPr>
            <w:tcW w:w="1044" w:type="dxa"/>
            <w:tcBorders>
              <w:top w:val="single" w:sz="4" w:space="0" w:color="auto"/>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c>
          <w:tcPr>
            <w:tcW w:w="1044" w:type="dxa"/>
            <w:tcBorders>
              <w:top w:val="single" w:sz="4" w:space="0" w:color="auto"/>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c>
          <w:tcPr>
            <w:tcW w:w="1044" w:type="dxa"/>
            <w:tcBorders>
              <w:top w:val="single" w:sz="4" w:space="0" w:color="auto"/>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c>
          <w:tcPr>
            <w:tcW w:w="1044" w:type="dxa"/>
            <w:tcBorders>
              <w:top w:val="single" w:sz="4" w:space="0" w:color="auto"/>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C43A2F" w:rsidRDefault="00AB5AE7" w:rsidP="005B0583">
            <w:pPr>
              <w:keepNext/>
              <w:rPr>
                <w:rFonts w:asciiTheme="minorHAnsi" w:hAnsiTheme="minorHAnsi" w:cstheme="minorHAnsi"/>
                <w:b/>
                <w:sz w:val="18"/>
                <w:szCs w:val="18"/>
                <w:lang w:eastAsia="en-AU"/>
              </w:rPr>
            </w:pPr>
            <w:r w:rsidRPr="00C43A2F">
              <w:rPr>
                <w:rFonts w:asciiTheme="minorHAnsi" w:hAnsiTheme="minorHAnsi" w:cstheme="minorHAnsi"/>
                <w:b/>
                <w:sz w:val="18"/>
                <w:szCs w:val="18"/>
                <w:lang w:eastAsia="en-AU"/>
              </w:rPr>
              <w:t>Works in Progress</w:t>
            </w: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i/>
                <w:sz w:val="18"/>
                <w:szCs w:val="18"/>
                <w:u w:val="single"/>
              </w:rPr>
            </w:pPr>
            <w:r w:rsidRPr="00C43A2F">
              <w:rPr>
                <w:rFonts w:asciiTheme="minorHAnsi" w:hAnsiTheme="minorHAnsi" w:cstheme="minorHAnsi"/>
                <w:i/>
                <w:sz w:val="18"/>
                <w:szCs w:val="18"/>
                <w:u w:val="single"/>
              </w:rPr>
              <w:t>Sustainable Planning</w:t>
            </w: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r>
      <w:tr w:rsidR="00AB5AE7" w:rsidRPr="00001464" w:rsidTr="005B0583">
        <w:trPr>
          <w:trHeight w:val="240"/>
        </w:trPr>
        <w:tc>
          <w:tcPr>
            <w:tcW w:w="3261" w:type="dxa"/>
            <w:tcBorders>
              <w:top w:val="nil"/>
              <w:left w:val="nil"/>
              <w:right w:val="nil"/>
            </w:tcBorders>
            <w:noWrap/>
            <w:tcMar>
              <w:top w:w="0" w:type="dxa"/>
              <w:left w:w="17" w:type="dxa"/>
              <w:bottom w:w="0" w:type="dxa"/>
              <w:right w:w="17" w:type="dxa"/>
            </w:tcMar>
          </w:tcPr>
          <w:p w:rsidR="00AB5AE7" w:rsidRPr="00C43A2F" w:rsidRDefault="00AB5AE7" w:rsidP="00132D8E">
            <w:pPr>
              <w:ind w:left="142" w:hanging="142"/>
              <w:rPr>
                <w:rFonts w:asciiTheme="minorHAnsi" w:hAnsiTheme="minorHAnsi" w:cstheme="minorHAnsi"/>
                <w:sz w:val="18"/>
                <w:szCs w:val="18"/>
              </w:rPr>
            </w:pPr>
            <w:r w:rsidRPr="00C43A2F">
              <w:rPr>
                <w:rFonts w:asciiTheme="minorHAnsi" w:hAnsiTheme="minorHAnsi" w:cstheme="minorHAnsi"/>
                <w:sz w:val="18"/>
                <w:szCs w:val="18"/>
              </w:rPr>
              <w:t xml:space="preserve">East Lake </w:t>
            </w:r>
            <w:r w:rsidR="00132D8E">
              <w:rPr>
                <w:bCs/>
                <w:sz w:val="18"/>
                <w:szCs w:val="18"/>
                <w:lang w:eastAsia="en-AU"/>
              </w:rPr>
              <w:t xml:space="preserve">— </w:t>
            </w:r>
            <w:r w:rsidRPr="00C43A2F">
              <w:rPr>
                <w:rFonts w:asciiTheme="minorHAnsi" w:hAnsiTheme="minorHAnsi" w:cstheme="minorHAnsi"/>
                <w:sz w:val="18"/>
                <w:szCs w:val="18"/>
              </w:rPr>
              <w:t>Planning and Design Framework Implementation (Feasibility)</w:t>
            </w:r>
          </w:p>
        </w:tc>
        <w:tc>
          <w:tcPr>
            <w:tcW w:w="875"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250</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150</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100</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right w:val="nil"/>
            </w:tcBorders>
            <w:noWrap/>
            <w:tcMar>
              <w:top w:w="0" w:type="dxa"/>
              <w:left w:w="17" w:type="dxa"/>
              <w:bottom w:w="0" w:type="dxa"/>
              <w:right w:w="17" w:type="dxa"/>
            </w:tcMar>
          </w:tcPr>
          <w:p w:rsidR="00AB5AE7" w:rsidRPr="00820008" w:rsidRDefault="00AB5AE7" w:rsidP="005B0583">
            <w:pPr>
              <w:jc w:val="right"/>
              <w:rPr>
                <w:highlight w:val="yellow"/>
              </w:rPr>
            </w:pPr>
            <w:r w:rsidRPr="00D6394B">
              <w:rPr>
                <w:rFonts w:asciiTheme="minorHAnsi" w:hAnsiTheme="minorHAnsi" w:cstheme="minorHAnsi"/>
                <w:sz w:val="18"/>
                <w:szCs w:val="18"/>
              </w:rPr>
              <w:t>Jun 2014</w:t>
            </w:r>
          </w:p>
        </w:tc>
      </w:tr>
      <w:tr w:rsidR="00AB5AE7" w:rsidRPr="00001464" w:rsidTr="005B0583">
        <w:trPr>
          <w:trHeight w:val="240"/>
        </w:trPr>
        <w:tc>
          <w:tcPr>
            <w:tcW w:w="3261" w:type="dxa"/>
            <w:tcBorders>
              <w:top w:val="nil"/>
              <w:left w:val="nil"/>
              <w:right w:val="nil"/>
            </w:tcBorders>
            <w:noWrap/>
            <w:tcMar>
              <w:top w:w="0" w:type="dxa"/>
              <w:left w:w="17" w:type="dxa"/>
              <w:bottom w:w="0" w:type="dxa"/>
              <w:right w:w="17" w:type="dxa"/>
            </w:tcMar>
          </w:tcPr>
          <w:p w:rsidR="00AB5AE7" w:rsidRPr="00FA7E8B" w:rsidRDefault="00AB5AE7" w:rsidP="005B0583">
            <w:pPr>
              <w:ind w:left="142" w:hanging="142"/>
              <w:rPr>
                <w:rFonts w:asciiTheme="minorHAnsi" w:hAnsiTheme="minorHAnsi" w:cstheme="minorHAnsi"/>
                <w:sz w:val="18"/>
                <w:szCs w:val="18"/>
              </w:rPr>
            </w:pPr>
            <w:r w:rsidRPr="00FA7E8B">
              <w:rPr>
                <w:rFonts w:asciiTheme="minorHAnsi" w:hAnsiTheme="minorHAnsi" w:cstheme="minorHAnsi"/>
                <w:sz w:val="18"/>
                <w:szCs w:val="18"/>
              </w:rPr>
              <w:t xml:space="preserve">Molonglo Valley </w:t>
            </w:r>
            <w:r w:rsidR="00132D8E">
              <w:rPr>
                <w:bCs/>
                <w:sz w:val="18"/>
                <w:szCs w:val="18"/>
                <w:lang w:eastAsia="en-AU"/>
              </w:rPr>
              <w:t xml:space="preserve">— </w:t>
            </w:r>
            <w:r w:rsidRPr="00FA7E8B">
              <w:rPr>
                <w:rFonts w:asciiTheme="minorHAnsi" w:hAnsiTheme="minorHAnsi" w:cstheme="minorHAnsi"/>
                <w:sz w:val="18"/>
                <w:szCs w:val="18"/>
              </w:rPr>
              <w:t>Finalisation of Stage 2 and Commencement of Stage 3 Planning (Feasibility)</w:t>
            </w:r>
          </w:p>
        </w:tc>
        <w:tc>
          <w:tcPr>
            <w:tcW w:w="875"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1,570</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570</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1,000</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right w:val="nil"/>
            </w:tcBorders>
            <w:noWrap/>
            <w:tcMar>
              <w:top w:w="0" w:type="dxa"/>
              <w:left w:w="17" w:type="dxa"/>
              <w:bottom w:w="0" w:type="dxa"/>
              <w:right w:w="17" w:type="dxa"/>
            </w:tcMar>
          </w:tcPr>
          <w:p w:rsidR="00AB5AE7" w:rsidRPr="00820008" w:rsidRDefault="00AB5AE7" w:rsidP="005B0583">
            <w:pPr>
              <w:jc w:val="right"/>
              <w:rPr>
                <w:highlight w:val="yellow"/>
              </w:rPr>
            </w:pPr>
            <w:r w:rsidRPr="00D6394B">
              <w:rPr>
                <w:rFonts w:asciiTheme="minorHAnsi" w:hAnsiTheme="minorHAnsi" w:cstheme="minorHAnsi"/>
                <w:sz w:val="18"/>
                <w:szCs w:val="18"/>
              </w:rPr>
              <w:t>Jun 2014</w:t>
            </w: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FA7E8B" w:rsidRDefault="00AB5AE7" w:rsidP="005B0583">
            <w:pPr>
              <w:ind w:left="142" w:hanging="142"/>
              <w:rPr>
                <w:rFonts w:asciiTheme="minorHAnsi" w:hAnsiTheme="minorHAnsi" w:cstheme="minorHAnsi"/>
                <w:sz w:val="18"/>
                <w:szCs w:val="18"/>
              </w:rPr>
            </w:pPr>
            <w:r w:rsidRPr="00FA7E8B">
              <w:rPr>
                <w:rFonts w:asciiTheme="minorHAnsi" w:hAnsiTheme="minorHAnsi" w:cstheme="minorHAnsi"/>
                <w:sz w:val="18"/>
                <w:szCs w:val="18"/>
              </w:rPr>
              <w:t>Continuation of Urban Infill Program (Feasibility)</w:t>
            </w: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764</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114</w:t>
            </w:r>
          </w:p>
        </w:tc>
        <w:tc>
          <w:tcPr>
            <w:tcW w:w="1044" w:type="dxa"/>
            <w:tcBorders>
              <w:top w:val="nil"/>
              <w:left w:val="nil"/>
              <w:bottom w:val="nil"/>
              <w:right w:val="nil"/>
            </w:tcBorders>
            <w:noWrap/>
            <w:tcMar>
              <w:top w:w="0" w:type="dxa"/>
              <w:left w:w="17" w:type="dxa"/>
              <w:bottom w:w="0" w:type="dxa"/>
              <w:right w:w="17" w:type="dxa"/>
            </w:tcMar>
          </w:tcPr>
          <w:p w:rsidR="00AB5AE7" w:rsidRDefault="00AB5AE7" w:rsidP="005B0583">
            <w:pPr>
              <w:jc w:val="right"/>
              <w:rPr>
                <w:rFonts w:asciiTheme="minorHAnsi" w:hAnsiTheme="minorHAnsi" w:cstheme="minorHAnsi"/>
                <w:sz w:val="18"/>
                <w:szCs w:val="18"/>
              </w:rPr>
            </w:pPr>
            <w:r>
              <w:rPr>
                <w:rFonts w:asciiTheme="minorHAnsi" w:hAnsiTheme="minorHAnsi" w:cstheme="minorHAnsi"/>
                <w:sz w:val="18"/>
                <w:szCs w:val="18"/>
              </w:rPr>
              <w:t>650</w:t>
            </w:r>
          </w:p>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820008" w:rsidRDefault="00AB5AE7" w:rsidP="005B0583">
            <w:pPr>
              <w:jc w:val="right"/>
              <w:rPr>
                <w:highlight w:val="yellow"/>
              </w:rPr>
            </w:pPr>
            <w:r w:rsidRPr="00D6394B">
              <w:rPr>
                <w:rFonts w:asciiTheme="minorHAnsi" w:hAnsiTheme="minorHAnsi" w:cstheme="minorHAnsi"/>
                <w:sz w:val="18"/>
                <w:szCs w:val="18"/>
              </w:rPr>
              <w:t>Jun 2014</w:t>
            </w:r>
          </w:p>
        </w:tc>
      </w:tr>
      <w:tr w:rsidR="00AB5AE7" w:rsidRPr="00D6394B"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sz w:val="18"/>
                <w:szCs w:val="18"/>
              </w:rPr>
            </w:pPr>
            <w:r w:rsidRPr="00C43A2F">
              <w:rPr>
                <w:rFonts w:asciiTheme="minorHAnsi" w:hAnsiTheme="minorHAnsi" w:cstheme="minorHAnsi"/>
                <w:sz w:val="18"/>
                <w:szCs w:val="18"/>
              </w:rPr>
              <w:t>Infill Development Infrastructure Studies (Feasibility)</w:t>
            </w: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1,500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6</w:t>
            </w:r>
            <w:r>
              <w:rPr>
                <w:rFonts w:asciiTheme="minorHAnsi" w:hAnsiTheme="minorHAnsi" w:cstheme="minorHAnsi"/>
                <w:sz w:val="18"/>
                <w:szCs w:val="18"/>
              </w:rPr>
              <w:t>23</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8</w:t>
            </w:r>
            <w:r>
              <w:rPr>
                <w:rFonts w:asciiTheme="minorHAnsi" w:hAnsiTheme="minorHAnsi" w:cstheme="minorHAnsi"/>
                <w:sz w:val="18"/>
                <w:szCs w:val="18"/>
              </w:rPr>
              <w:t>77</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D6394B" w:rsidRDefault="00AB5AE7" w:rsidP="005B0583">
            <w:pPr>
              <w:jc w:val="right"/>
            </w:pPr>
            <w:r>
              <w:rPr>
                <w:rFonts w:asciiTheme="minorHAnsi" w:hAnsiTheme="minorHAnsi" w:cstheme="minorHAnsi"/>
                <w:sz w:val="18"/>
                <w:szCs w:val="18"/>
              </w:rPr>
              <w:t>Nov</w:t>
            </w:r>
            <w:r w:rsidRPr="00D6394B">
              <w:rPr>
                <w:rFonts w:asciiTheme="minorHAnsi" w:hAnsiTheme="minorHAnsi" w:cstheme="minorHAnsi"/>
                <w:sz w:val="18"/>
                <w:szCs w:val="18"/>
              </w:rPr>
              <w:t xml:space="preserve"> 201</w:t>
            </w:r>
            <w:r>
              <w:rPr>
                <w:rFonts w:asciiTheme="minorHAnsi" w:hAnsiTheme="minorHAnsi" w:cstheme="minorHAnsi"/>
                <w:sz w:val="18"/>
                <w:szCs w:val="18"/>
              </w:rPr>
              <w:t>3</w:t>
            </w:r>
          </w:p>
        </w:tc>
      </w:tr>
      <w:tr w:rsidR="00AB5AE7" w:rsidRPr="00D6394B"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sz w:val="18"/>
                <w:szCs w:val="18"/>
              </w:rPr>
            </w:pPr>
            <w:r w:rsidRPr="00C43A2F">
              <w:rPr>
                <w:rFonts w:asciiTheme="minorHAnsi" w:hAnsiTheme="minorHAnsi" w:cstheme="minorHAnsi"/>
                <w:sz w:val="18"/>
                <w:szCs w:val="18"/>
              </w:rPr>
              <w:t>Urban Development Sequence for Affordable Housing (Feasibility)</w:t>
            </w: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1,400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700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700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D6394B" w:rsidRDefault="00AB5AE7" w:rsidP="005B0583">
            <w:pPr>
              <w:jc w:val="right"/>
            </w:pPr>
            <w:r>
              <w:rPr>
                <w:rFonts w:asciiTheme="minorHAnsi" w:hAnsiTheme="minorHAnsi" w:cstheme="minorHAnsi"/>
                <w:sz w:val="18"/>
                <w:szCs w:val="18"/>
              </w:rPr>
              <w:t>Dec</w:t>
            </w:r>
            <w:r w:rsidRPr="00D6394B">
              <w:rPr>
                <w:rFonts w:asciiTheme="minorHAnsi" w:hAnsiTheme="minorHAnsi" w:cstheme="minorHAnsi"/>
                <w:sz w:val="18"/>
                <w:szCs w:val="18"/>
              </w:rPr>
              <w:t xml:space="preserve"> 201</w:t>
            </w:r>
            <w:r>
              <w:rPr>
                <w:rFonts w:asciiTheme="minorHAnsi" w:hAnsiTheme="minorHAnsi" w:cstheme="minorHAnsi"/>
                <w:sz w:val="18"/>
                <w:szCs w:val="18"/>
              </w:rPr>
              <w:t>3</w:t>
            </w: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sz w:val="18"/>
                <w:szCs w:val="18"/>
              </w:rPr>
            </w:pPr>
            <w:r>
              <w:rPr>
                <w:rFonts w:asciiTheme="minorHAnsi" w:hAnsiTheme="minorHAnsi" w:cstheme="minorHAnsi"/>
                <w:sz w:val="18"/>
                <w:szCs w:val="18"/>
              </w:rPr>
              <w:t>Kenny Planning and Design Framework and Kenny and Throsby Environmental Assessments</w:t>
            </w: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900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780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120</w:t>
            </w:r>
          </w:p>
        </w:tc>
        <w:tc>
          <w:tcPr>
            <w:tcW w:w="1044" w:type="dxa"/>
            <w:tcBorders>
              <w:top w:val="nil"/>
              <w:left w:val="nil"/>
              <w:bottom w:val="nil"/>
              <w:right w:val="nil"/>
            </w:tcBorders>
            <w:noWrap/>
            <w:tcMar>
              <w:top w:w="0" w:type="dxa"/>
              <w:left w:w="17" w:type="dxa"/>
              <w:bottom w:w="0" w:type="dxa"/>
              <w:right w:w="17" w:type="dxa"/>
            </w:tcMar>
          </w:tcPr>
          <w:p w:rsidR="00AB5AE7"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425C05" w:rsidRDefault="00AB5AE7" w:rsidP="005B0583">
            <w:pPr>
              <w:jc w:val="right"/>
              <w:rPr>
                <w:rFonts w:asciiTheme="minorHAnsi" w:hAnsiTheme="minorHAnsi" w:cstheme="minorHAnsi"/>
                <w:sz w:val="18"/>
                <w:szCs w:val="18"/>
                <w:highlight w:val="yellow"/>
              </w:rPr>
            </w:pPr>
            <w:r>
              <w:rPr>
                <w:rFonts w:asciiTheme="minorHAnsi" w:hAnsiTheme="minorHAnsi" w:cstheme="minorHAnsi"/>
                <w:sz w:val="18"/>
                <w:szCs w:val="18"/>
              </w:rPr>
              <w:t>Dec</w:t>
            </w:r>
            <w:r w:rsidRPr="00D6394B">
              <w:rPr>
                <w:rFonts w:asciiTheme="minorHAnsi" w:hAnsiTheme="minorHAnsi" w:cstheme="minorHAnsi"/>
                <w:sz w:val="18"/>
                <w:szCs w:val="18"/>
              </w:rPr>
              <w:t xml:space="preserve"> 2013</w:t>
            </w: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sz w:val="18"/>
                <w:szCs w:val="18"/>
              </w:rPr>
            </w:pPr>
            <w:r w:rsidRPr="00C43A2F">
              <w:rPr>
                <w:rFonts w:asciiTheme="minorHAnsi" w:hAnsiTheme="minorHAnsi" w:cstheme="minorHAnsi"/>
                <w:sz w:val="18"/>
                <w:szCs w:val="18"/>
              </w:rPr>
              <w:t>East Lake Sustainable Urban Renewal</w:t>
            </w: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1,720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1,620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100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Default="00AB5AE7" w:rsidP="005B0583">
            <w:pPr>
              <w:jc w:val="right"/>
            </w:pPr>
            <w:r>
              <w:rPr>
                <w:rFonts w:asciiTheme="minorHAnsi" w:hAnsiTheme="minorHAnsi" w:cstheme="minorHAnsi"/>
                <w:sz w:val="18"/>
                <w:szCs w:val="18"/>
              </w:rPr>
              <w:t>Jun</w:t>
            </w:r>
            <w:r w:rsidRPr="00D6394B">
              <w:rPr>
                <w:rFonts w:asciiTheme="minorHAnsi" w:hAnsiTheme="minorHAnsi" w:cstheme="minorHAnsi"/>
                <w:sz w:val="18"/>
                <w:szCs w:val="18"/>
              </w:rPr>
              <w:t xml:space="preserve"> 201</w:t>
            </w:r>
            <w:r>
              <w:rPr>
                <w:rFonts w:asciiTheme="minorHAnsi" w:hAnsiTheme="minorHAnsi" w:cstheme="minorHAnsi"/>
                <w:sz w:val="18"/>
                <w:szCs w:val="18"/>
              </w:rPr>
              <w:t>4</w:t>
            </w: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sz w:val="18"/>
                <w:szCs w:val="18"/>
              </w:rPr>
            </w:pP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i/>
                <w:sz w:val="18"/>
                <w:szCs w:val="18"/>
                <w:u w:val="single"/>
              </w:rPr>
            </w:pPr>
            <w:r w:rsidRPr="00C43A2F">
              <w:rPr>
                <w:rFonts w:asciiTheme="minorHAnsi" w:hAnsiTheme="minorHAnsi" w:cstheme="minorHAnsi"/>
                <w:i/>
                <w:sz w:val="18"/>
                <w:szCs w:val="18"/>
                <w:u w:val="single"/>
              </w:rPr>
              <w:t>Sustainability</w:t>
            </w: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p>
        </w:tc>
        <w:tc>
          <w:tcPr>
            <w:tcW w:w="1044" w:type="dxa"/>
            <w:tcBorders>
              <w:top w:val="nil"/>
              <w:left w:val="nil"/>
              <w:bottom w:val="nil"/>
              <w:right w:val="nil"/>
            </w:tcBorders>
            <w:shd w:val="clear" w:color="auto" w:fill="auto"/>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sz w:val="18"/>
                <w:szCs w:val="18"/>
              </w:rPr>
            </w:pPr>
            <w:r w:rsidRPr="00C43A2F">
              <w:rPr>
                <w:rFonts w:asciiTheme="minorHAnsi" w:hAnsiTheme="minorHAnsi" w:cstheme="minorHAnsi"/>
                <w:sz w:val="18"/>
                <w:szCs w:val="18"/>
              </w:rPr>
              <w:t>Inner North Stormwater Reticulation Network</w:t>
            </w: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7,500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5,000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2,500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r w:rsidRPr="00D6394B">
              <w:rPr>
                <w:rFonts w:asciiTheme="minorHAnsi" w:hAnsiTheme="minorHAnsi" w:cstheme="minorHAnsi"/>
                <w:sz w:val="18"/>
                <w:szCs w:val="18"/>
              </w:rPr>
              <w:t>Nov 2013</w:t>
            </w: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sz w:val="18"/>
                <w:szCs w:val="18"/>
              </w:rPr>
            </w:pPr>
            <w:r w:rsidRPr="00C43A2F">
              <w:rPr>
                <w:rFonts w:asciiTheme="minorHAnsi" w:hAnsiTheme="minorHAnsi" w:cstheme="minorHAnsi"/>
                <w:sz w:val="18"/>
                <w:szCs w:val="18"/>
              </w:rPr>
              <w:t>North Weston/Molonglo Stormwater Harvesting Scheme</w:t>
            </w: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1,000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800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200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r w:rsidRPr="00D6394B">
              <w:rPr>
                <w:rFonts w:asciiTheme="minorHAnsi" w:hAnsiTheme="minorHAnsi" w:cstheme="minorHAnsi"/>
                <w:sz w:val="18"/>
                <w:szCs w:val="18"/>
              </w:rPr>
              <w:t>Nov 2013</w:t>
            </w: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sz w:val="18"/>
                <w:szCs w:val="18"/>
              </w:rPr>
            </w:pPr>
            <w:r w:rsidRPr="00C43A2F">
              <w:rPr>
                <w:rFonts w:asciiTheme="minorHAnsi" w:hAnsiTheme="minorHAnsi" w:cstheme="minorHAnsi"/>
                <w:sz w:val="18"/>
                <w:szCs w:val="18"/>
              </w:rPr>
              <w:t xml:space="preserve">Gungahlin </w:t>
            </w:r>
            <w:r w:rsidR="00132D8E">
              <w:rPr>
                <w:bCs/>
                <w:sz w:val="18"/>
                <w:szCs w:val="18"/>
                <w:lang w:eastAsia="en-AU"/>
              </w:rPr>
              <w:t xml:space="preserve">— </w:t>
            </w:r>
            <w:r w:rsidRPr="00C43A2F">
              <w:rPr>
                <w:rFonts w:asciiTheme="minorHAnsi" w:hAnsiTheme="minorHAnsi" w:cstheme="minorHAnsi"/>
                <w:sz w:val="18"/>
                <w:szCs w:val="18"/>
              </w:rPr>
              <w:t>The Valley Ponds and Stormwater Harvesting Scheme</w:t>
            </w: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6,500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5,000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1,500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r w:rsidRPr="00D6394B">
              <w:rPr>
                <w:rFonts w:asciiTheme="minorHAnsi" w:hAnsiTheme="minorHAnsi" w:cstheme="minorHAnsi"/>
                <w:sz w:val="18"/>
                <w:szCs w:val="18"/>
              </w:rPr>
              <w:t>Nov 2013</w:t>
            </w: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sz w:val="18"/>
                <w:szCs w:val="18"/>
              </w:rPr>
            </w:pPr>
            <w:r w:rsidRPr="00C43A2F">
              <w:rPr>
                <w:rFonts w:asciiTheme="minorHAnsi" w:hAnsiTheme="minorHAnsi" w:cstheme="minorHAnsi"/>
                <w:sz w:val="18"/>
                <w:szCs w:val="18"/>
              </w:rPr>
              <w:t>Carbon Neutral Government</w:t>
            </w: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5,000</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2,765</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2,235</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sidRPr="00C43A2F">
              <w:rPr>
                <w:rFonts w:asciiTheme="minorHAnsi" w:hAnsiTheme="minorHAnsi" w:cstheme="minorHAnsi"/>
                <w:sz w:val="18"/>
                <w:szCs w:val="18"/>
              </w:rPr>
              <w:t>- </w:t>
            </w: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r>
              <w:rPr>
                <w:rFonts w:asciiTheme="minorHAnsi" w:hAnsiTheme="minorHAnsi" w:cstheme="minorHAnsi"/>
                <w:sz w:val="18"/>
                <w:szCs w:val="18"/>
              </w:rPr>
              <w:t>Jun 2014</w:t>
            </w:r>
          </w:p>
        </w:tc>
      </w:tr>
      <w:tr w:rsidR="00AB5AE7" w:rsidRPr="00001464" w:rsidTr="005B0583">
        <w:trPr>
          <w:trHeight w:val="240"/>
        </w:trPr>
        <w:tc>
          <w:tcPr>
            <w:tcW w:w="3261" w:type="dxa"/>
            <w:tcBorders>
              <w:top w:val="nil"/>
              <w:left w:val="nil"/>
              <w:bottom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i/>
                <w:sz w:val="18"/>
                <w:szCs w:val="18"/>
                <w:u w:val="single"/>
              </w:rPr>
            </w:pPr>
          </w:p>
        </w:tc>
        <w:tc>
          <w:tcPr>
            <w:tcW w:w="875"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i/>
                <w:sz w:val="18"/>
                <w:szCs w:val="18"/>
                <w:u w:val="single"/>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i/>
                <w:sz w:val="18"/>
                <w:szCs w:val="18"/>
                <w:u w:val="single"/>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i/>
                <w:sz w:val="18"/>
                <w:szCs w:val="18"/>
                <w:u w:val="single"/>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i/>
                <w:sz w:val="18"/>
                <w:szCs w:val="18"/>
                <w:u w:val="single"/>
              </w:rPr>
            </w:pPr>
          </w:p>
        </w:tc>
        <w:tc>
          <w:tcPr>
            <w:tcW w:w="1044" w:type="dxa"/>
            <w:tcBorders>
              <w:top w:val="nil"/>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i/>
                <w:sz w:val="18"/>
                <w:szCs w:val="18"/>
                <w:u w:val="single"/>
              </w:rPr>
            </w:pPr>
          </w:p>
        </w:tc>
        <w:tc>
          <w:tcPr>
            <w:tcW w:w="1044" w:type="dxa"/>
            <w:tcBorders>
              <w:top w:val="nil"/>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i/>
                <w:sz w:val="18"/>
                <w:szCs w:val="18"/>
                <w:highlight w:val="yellow"/>
                <w:u w:val="single"/>
              </w:rPr>
            </w:pPr>
          </w:p>
        </w:tc>
      </w:tr>
      <w:tr w:rsidR="00AB5AE7" w:rsidRPr="00001464" w:rsidTr="005B0583">
        <w:trPr>
          <w:trHeight w:val="240"/>
        </w:trPr>
        <w:tc>
          <w:tcPr>
            <w:tcW w:w="3261" w:type="dxa"/>
            <w:tcBorders>
              <w:top w:val="nil"/>
              <w:left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i/>
                <w:sz w:val="18"/>
                <w:szCs w:val="18"/>
                <w:u w:val="single"/>
              </w:rPr>
            </w:pPr>
            <w:r w:rsidRPr="00C43A2F">
              <w:rPr>
                <w:rFonts w:asciiTheme="minorHAnsi" w:hAnsiTheme="minorHAnsi" w:cstheme="minorHAnsi"/>
                <w:i/>
                <w:sz w:val="18"/>
                <w:szCs w:val="18"/>
                <w:u w:val="single"/>
              </w:rPr>
              <w:t>Transport Planning</w:t>
            </w:r>
          </w:p>
        </w:tc>
        <w:tc>
          <w:tcPr>
            <w:tcW w:w="875"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i/>
                <w:sz w:val="18"/>
                <w:szCs w:val="18"/>
                <w:u w:val="single"/>
              </w:rPr>
            </w:pP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i/>
                <w:sz w:val="18"/>
                <w:szCs w:val="18"/>
                <w:u w:val="single"/>
              </w:rPr>
            </w:pP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i/>
                <w:sz w:val="18"/>
                <w:szCs w:val="18"/>
                <w:u w:val="single"/>
              </w:rPr>
            </w:pP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i/>
                <w:sz w:val="18"/>
                <w:szCs w:val="18"/>
                <w:u w:val="single"/>
              </w:rPr>
            </w:pP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i/>
                <w:sz w:val="18"/>
                <w:szCs w:val="18"/>
                <w:u w:val="single"/>
              </w:rPr>
            </w:pPr>
          </w:p>
        </w:tc>
        <w:tc>
          <w:tcPr>
            <w:tcW w:w="1044" w:type="dxa"/>
            <w:tcBorders>
              <w:top w:val="nil"/>
              <w:left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i/>
                <w:sz w:val="18"/>
                <w:szCs w:val="18"/>
                <w:highlight w:val="yellow"/>
                <w:u w:val="single"/>
              </w:rPr>
            </w:pPr>
          </w:p>
        </w:tc>
      </w:tr>
      <w:tr w:rsidR="00AB5AE7" w:rsidRPr="00C63EE1" w:rsidTr="005B0583">
        <w:trPr>
          <w:trHeight w:val="240"/>
        </w:trPr>
        <w:tc>
          <w:tcPr>
            <w:tcW w:w="3261" w:type="dxa"/>
            <w:tcBorders>
              <w:top w:val="nil"/>
              <w:left w:val="nil"/>
              <w:right w:val="nil"/>
            </w:tcBorders>
            <w:noWrap/>
            <w:tcMar>
              <w:top w:w="0" w:type="dxa"/>
              <w:left w:w="17" w:type="dxa"/>
              <w:bottom w:w="0" w:type="dxa"/>
              <w:right w:w="17" w:type="dxa"/>
            </w:tcMar>
          </w:tcPr>
          <w:p w:rsidR="00AB5AE7" w:rsidRPr="00C43A2F" w:rsidRDefault="00AB5AE7" w:rsidP="00132D8E">
            <w:pPr>
              <w:ind w:left="142" w:hanging="142"/>
              <w:rPr>
                <w:rFonts w:asciiTheme="minorHAnsi" w:hAnsiTheme="minorHAnsi" w:cstheme="minorHAnsi"/>
                <w:sz w:val="18"/>
                <w:szCs w:val="18"/>
              </w:rPr>
            </w:pPr>
            <w:r w:rsidRPr="00C43A2F">
              <w:rPr>
                <w:rFonts w:asciiTheme="minorHAnsi" w:hAnsiTheme="minorHAnsi" w:cstheme="minorHAnsi"/>
                <w:sz w:val="18"/>
                <w:szCs w:val="18"/>
              </w:rPr>
              <w:t xml:space="preserve">Transport for Canberra </w:t>
            </w:r>
            <w:r w:rsidR="00132D8E">
              <w:rPr>
                <w:bCs/>
                <w:sz w:val="18"/>
                <w:szCs w:val="18"/>
                <w:lang w:eastAsia="en-AU"/>
              </w:rPr>
              <w:t xml:space="preserve">— </w:t>
            </w:r>
            <w:r w:rsidRPr="00C43A2F">
              <w:rPr>
                <w:rFonts w:asciiTheme="minorHAnsi" w:hAnsiTheme="minorHAnsi" w:cstheme="minorHAnsi"/>
                <w:sz w:val="18"/>
                <w:szCs w:val="18"/>
              </w:rPr>
              <w:t xml:space="preserve">City Area Bus Layover Facility (Design) </w:t>
            </w:r>
            <w:r w:rsidR="00132D8E">
              <w:rPr>
                <w:bCs/>
                <w:sz w:val="18"/>
                <w:szCs w:val="18"/>
                <w:lang w:eastAsia="en-AU"/>
              </w:rPr>
              <w:t xml:space="preserve">— </w:t>
            </w:r>
            <w:r w:rsidRPr="00C43A2F">
              <w:rPr>
                <w:rFonts w:asciiTheme="minorHAnsi" w:hAnsiTheme="minorHAnsi" w:cstheme="minorHAnsi"/>
                <w:sz w:val="18"/>
                <w:szCs w:val="18"/>
              </w:rPr>
              <w:t>ESDD Planning</w:t>
            </w:r>
          </w:p>
        </w:tc>
        <w:tc>
          <w:tcPr>
            <w:tcW w:w="875" w:type="dxa"/>
            <w:tcBorders>
              <w:top w:val="nil"/>
              <w:left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500</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250</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250</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right w:val="nil"/>
            </w:tcBorders>
            <w:noWrap/>
            <w:tcMar>
              <w:top w:w="0" w:type="dxa"/>
              <w:left w:w="17" w:type="dxa"/>
              <w:bottom w:w="0" w:type="dxa"/>
              <w:right w:w="17" w:type="dxa"/>
            </w:tcMar>
          </w:tcPr>
          <w:p w:rsidR="00AB5AE7" w:rsidRPr="00C63EE1" w:rsidRDefault="00AB5AE7" w:rsidP="005B0583">
            <w:pPr>
              <w:ind w:left="142" w:hanging="142"/>
              <w:jc w:val="right"/>
              <w:rPr>
                <w:rFonts w:asciiTheme="minorHAnsi" w:hAnsiTheme="minorHAnsi" w:cstheme="minorHAnsi"/>
                <w:sz w:val="18"/>
                <w:szCs w:val="18"/>
              </w:rPr>
            </w:pPr>
            <w:r w:rsidRPr="00C63EE1">
              <w:rPr>
                <w:rFonts w:asciiTheme="minorHAnsi" w:hAnsiTheme="minorHAnsi" w:cstheme="minorHAnsi"/>
                <w:sz w:val="18"/>
                <w:szCs w:val="18"/>
              </w:rPr>
              <w:t>Dec 2013</w:t>
            </w:r>
          </w:p>
        </w:tc>
      </w:tr>
      <w:tr w:rsidR="00AB5AE7" w:rsidRPr="00001464" w:rsidTr="005B0583">
        <w:trPr>
          <w:trHeight w:val="240"/>
        </w:trPr>
        <w:tc>
          <w:tcPr>
            <w:tcW w:w="3261" w:type="dxa"/>
            <w:tcBorders>
              <w:left w:val="nil"/>
              <w:right w:val="nil"/>
            </w:tcBorders>
            <w:noWrap/>
            <w:tcMar>
              <w:top w:w="0" w:type="dxa"/>
              <w:left w:w="17" w:type="dxa"/>
              <w:bottom w:w="0" w:type="dxa"/>
              <w:right w:w="17" w:type="dxa"/>
            </w:tcMar>
          </w:tcPr>
          <w:p w:rsidR="00AB5AE7" w:rsidRPr="00B41060" w:rsidRDefault="00AB5AE7" w:rsidP="005B0583">
            <w:pPr>
              <w:ind w:left="142" w:hanging="142"/>
              <w:rPr>
                <w:rFonts w:asciiTheme="minorHAnsi" w:hAnsiTheme="minorHAnsi" w:cstheme="minorHAnsi"/>
                <w:sz w:val="18"/>
                <w:szCs w:val="18"/>
              </w:rPr>
            </w:pPr>
            <w:r w:rsidRPr="00B41060">
              <w:rPr>
                <w:rFonts w:asciiTheme="minorHAnsi" w:hAnsiTheme="minorHAnsi" w:cstheme="minorHAnsi"/>
                <w:sz w:val="18"/>
                <w:szCs w:val="18"/>
              </w:rPr>
              <w:t>Gungahlin to City Transit Corridor (formerly Northbourne Avenue Transitway)</w:t>
            </w:r>
          </w:p>
        </w:tc>
        <w:tc>
          <w:tcPr>
            <w:tcW w:w="875" w:type="dxa"/>
            <w:tcBorders>
              <w:left w:val="nil"/>
              <w:right w:val="nil"/>
            </w:tcBorders>
            <w:noWrap/>
            <w:tcMar>
              <w:top w:w="0" w:type="dxa"/>
              <w:left w:w="17" w:type="dxa"/>
              <w:bottom w:w="0" w:type="dxa"/>
              <w:right w:w="17" w:type="dxa"/>
            </w:tcMar>
          </w:tcPr>
          <w:p w:rsidR="00AB5AE7" w:rsidRPr="00AB5AE7" w:rsidRDefault="00AB5AE7" w:rsidP="005B0583">
            <w:pPr>
              <w:ind w:left="142" w:hanging="142"/>
              <w:jc w:val="right"/>
              <w:rPr>
                <w:rFonts w:asciiTheme="minorHAnsi" w:hAnsiTheme="minorHAnsi" w:cstheme="minorHAnsi"/>
                <w:sz w:val="18"/>
                <w:szCs w:val="18"/>
              </w:rPr>
            </w:pPr>
            <w:r w:rsidRPr="00AB5AE7">
              <w:rPr>
                <w:rFonts w:asciiTheme="minorHAnsi" w:hAnsiTheme="minorHAnsi" w:cstheme="minorHAnsi"/>
                <w:sz w:val="18"/>
                <w:szCs w:val="18"/>
              </w:rPr>
              <w:t>2,500</w:t>
            </w:r>
          </w:p>
        </w:tc>
        <w:tc>
          <w:tcPr>
            <w:tcW w:w="1044" w:type="dxa"/>
            <w:tcBorders>
              <w:left w:val="nil"/>
              <w:right w:val="nil"/>
            </w:tcBorders>
            <w:noWrap/>
            <w:tcMar>
              <w:top w:w="0" w:type="dxa"/>
              <w:left w:w="17" w:type="dxa"/>
              <w:bottom w:w="0" w:type="dxa"/>
              <w:right w:w="17" w:type="dxa"/>
            </w:tcMar>
          </w:tcPr>
          <w:p w:rsidR="00AB5AE7" w:rsidRPr="00AB5AE7" w:rsidRDefault="00AB5AE7" w:rsidP="005B0583">
            <w:pPr>
              <w:ind w:left="142" w:hanging="142"/>
              <w:jc w:val="right"/>
              <w:rPr>
                <w:rFonts w:asciiTheme="minorHAnsi" w:hAnsiTheme="minorHAnsi" w:cstheme="minorHAnsi"/>
                <w:sz w:val="18"/>
                <w:szCs w:val="18"/>
              </w:rPr>
            </w:pPr>
            <w:r w:rsidRPr="00AB5AE7">
              <w:rPr>
                <w:rFonts w:asciiTheme="minorHAnsi" w:hAnsiTheme="minorHAnsi" w:cstheme="minorHAnsi"/>
                <w:sz w:val="18"/>
                <w:szCs w:val="18"/>
              </w:rPr>
              <w:t>2,067</w:t>
            </w:r>
          </w:p>
        </w:tc>
        <w:tc>
          <w:tcPr>
            <w:tcW w:w="1044" w:type="dxa"/>
            <w:tcBorders>
              <w:left w:val="nil"/>
              <w:right w:val="nil"/>
            </w:tcBorders>
            <w:noWrap/>
            <w:tcMar>
              <w:top w:w="0" w:type="dxa"/>
              <w:left w:w="17" w:type="dxa"/>
              <w:bottom w:w="0" w:type="dxa"/>
              <w:right w:w="17" w:type="dxa"/>
            </w:tcMar>
          </w:tcPr>
          <w:p w:rsidR="00AB5AE7" w:rsidRPr="00AB5AE7" w:rsidRDefault="00AB5AE7" w:rsidP="005B0583">
            <w:pPr>
              <w:ind w:left="142" w:hanging="142"/>
              <w:jc w:val="right"/>
              <w:rPr>
                <w:rFonts w:asciiTheme="minorHAnsi" w:hAnsiTheme="minorHAnsi" w:cstheme="minorHAnsi"/>
                <w:sz w:val="18"/>
                <w:szCs w:val="18"/>
              </w:rPr>
            </w:pPr>
            <w:r w:rsidRPr="00AB5AE7">
              <w:rPr>
                <w:rFonts w:asciiTheme="minorHAnsi" w:hAnsiTheme="minorHAnsi" w:cstheme="minorHAnsi"/>
                <w:sz w:val="18"/>
                <w:szCs w:val="18"/>
              </w:rPr>
              <w:t>433</w:t>
            </w:r>
          </w:p>
          <w:p w:rsidR="00AB5AE7" w:rsidRPr="00AB5AE7" w:rsidRDefault="00AB5AE7" w:rsidP="005B0583">
            <w:pPr>
              <w:ind w:left="142" w:hanging="142"/>
              <w:jc w:val="right"/>
              <w:rPr>
                <w:rFonts w:asciiTheme="minorHAnsi" w:hAnsiTheme="minorHAnsi" w:cstheme="minorHAnsi"/>
                <w:sz w:val="18"/>
                <w:szCs w:val="18"/>
              </w:rPr>
            </w:pPr>
          </w:p>
        </w:tc>
        <w:tc>
          <w:tcPr>
            <w:tcW w:w="1044" w:type="dxa"/>
            <w:tcBorders>
              <w:left w:val="nil"/>
              <w:right w:val="nil"/>
            </w:tcBorders>
            <w:noWrap/>
            <w:tcMar>
              <w:top w:w="0" w:type="dxa"/>
              <w:left w:w="17" w:type="dxa"/>
              <w:bottom w:w="0" w:type="dxa"/>
              <w:right w:w="17" w:type="dxa"/>
            </w:tcMar>
          </w:tcPr>
          <w:p w:rsidR="00AB5AE7" w:rsidRPr="00B41060" w:rsidRDefault="00AB5AE7" w:rsidP="005B0583">
            <w:pPr>
              <w:ind w:left="142" w:hanging="142"/>
              <w:jc w:val="right"/>
              <w:rPr>
                <w:rFonts w:asciiTheme="minorHAnsi" w:hAnsiTheme="minorHAnsi" w:cstheme="minorHAnsi"/>
                <w:sz w:val="18"/>
                <w:szCs w:val="18"/>
              </w:rPr>
            </w:pPr>
            <w:r w:rsidRPr="00B41060">
              <w:rPr>
                <w:rFonts w:asciiTheme="minorHAnsi" w:hAnsiTheme="minorHAnsi" w:cstheme="minorHAnsi"/>
                <w:sz w:val="18"/>
                <w:szCs w:val="18"/>
              </w:rPr>
              <w:t>- </w:t>
            </w:r>
          </w:p>
        </w:tc>
        <w:tc>
          <w:tcPr>
            <w:tcW w:w="1044" w:type="dxa"/>
            <w:tcBorders>
              <w:left w:val="nil"/>
              <w:right w:val="nil"/>
            </w:tcBorders>
            <w:noWrap/>
            <w:tcMar>
              <w:top w:w="0" w:type="dxa"/>
              <w:left w:w="17" w:type="dxa"/>
              <w:bottom w:w="0" w:type="dxa"/>
              <w:right w:w="17" w:type="dxa"/>
            </w:tcMar>
          </w:tcPr>
          <w:p w:rsidR="00AB5AE7" w:rsidRPr="00B41060" w:rsidRDefault="00AB5AE7" w:rsidP="005B0583">
            <w:pPr>
              <w:ind w:left="142" w:hanging="142"/>
              <w:jc w:val="right"/>
              <w:rPr>
                <w:rFonts w:asciiTheme="minorHAnsi" w:hAnsiTheme="minorHAnsi" w:cstheme="minorHAnsi"/>
                <w:sz w:val="18"/>
                <w:szCs w:val="18"/>
              </w:rPr>
            </w:pPr>
            <w:r w:rsidRPr="00B41060">
              <w:rPr>
                <w:rFonts w:asciiTheme="minorHAnsi" w:hAnsiTheme="minorHAnsi" w:cstheme="minorHAnsi"/>
                <w:sz w:val="18"/>
                <w:szCs w:val="18"/>
              </w:rPr>
              <w:t>- </w:t>
            </w:r>
          </w:p>
        </w:tc>
        <w:tc>
          <w:tcPr>
            <w:tcW w:w="1044" w:type="dxa"/>
            <w:tcBorders>
              <w:left w:val="nil"/>
              <w:right w:val="nil"/>
            </w:tcBorders>
            <w:noWrap/>
            <w:tcMar>
              <w:top w:w="0" w:type="dxa"/>
              <w:left w:w="17" w:type="dxa"/>
              <w:bottom w:w="0" w:type="dxa"/>
              <w:right w:w="17" w:type="dxa"/>
            </w:tcMar>
          </w:tcPr>
          <w:p w:rsidR="00AB5AE7" w:rsidRPr="00B41060" w:rsidRDefault="00AB5AE7" w:rsidP="005B0583">
            <w:pPr>
              <w:jc w:val="right"/>
              <w:rPr>
                <w:rFonts w:asciiTheme="minorHAnsi" w:hAnsiTheme="minorHAnsi" w:cstheme="minorHAnsi"/>
                <w:sz w:val="18"/>
                <w:szCs w:val="18"/>
                <w:highlight w:val="yellow"/>
              </w:rPr>
            </w:pPr>
            <w:r w:rsidRPr="00C63EE1">
              <w:rPr>
                <w:rFonts w:asciiTheme="minorHAnsi" w:hAnsiTheme="minorHAnsi" w:cstheme="minorHAnsi"/>
                <w:sz w:val="18"/>
                <w:szCs w:val="18"/>
              </w:rPr>
              <w:t>Dec 2013</w:t>
            </w:r>
          </w:p>
        </w:tc>
      </w:tr>
      <w:tr w:rsidR="00AB5AE7" w:rsidRPr="00001464" w:rsidTr="005B0583">
        <w:trPr>
          <w:trHeight w:val="240"/>
        </w:trPr>
        <w:tc>
          <w:tcPr>
            <w:tcW w:w="3261" w:type="dxa"/>
            <w:tcBorders>
              <w:left w:val="nil"/>
              <w:bottom w:val="nil"/>
              <w:right w:val="nil"/>
            </w:tcBorders>
            <w:noWrap/>
            <w:tcMar>
              <w:top w:w="0" w:type="dxa"/>
              <w:left w:w="17" w:type="dxa"/>
              <w:bottom w:w="0" w:type="dxa"/>
              <w:right w:w="17" w:type="dxa"/>
            </w:tcMar>
          </w:tcPr>
          <w:p w:rsidR="00AB5AE7" w:rsidRPr="00C43A2F" w:rsidRDefault="00AB5AE7" w:rsidP="005B0583">
            <w:pPr>
              <w:ind w:left="142" w:hanging="142"/>
              <w:rPr>
                <w:rFonts w:asciiTheme="minorHAnsi" w:hAnsiTheme="minorHAnsi" w:cstheme="minorHAnsi"/>
                <w:i/>
                <w:sz w:val="18"/>
                <w:szCs w:val="18"/>
                <w:u w:val="single"/>
              </w:rPr>
            </w:pPr>
            <w:r w:rsidRPr="00C43A2F">
              <w:rPr>
                <w:rFonts w:asciiTheme="minorHAnsi" w:hAnsiTheme="minorHAnsi" w:cstheme="minorHAnsi"/>
                <w:sz w:val="18"/>
                <w:szCs w:val="18"/>
              </w:rPr>
              <w:t xml:space="preserve">ACT Strategic Cycle Network Plan </w:t>
            </w:r>
          </w:p>
        </w:tc>
        <w:tc>
          <w:tcPr>
            <w:tcW w:w="875" w:type="dxa"/>
            <w:tcBorders>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200</w:t>
            </w:r>
          </w:p>
        </w:tc>
        <w:tc>
          <w:tcPr>
            <w:tcW w:w="1044" w:type="dxa"/>
            <w:tcBorders>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1</w:t>
            </w:r>
            <w:r>
              <w:rPr>
                <w:rFonts w:asciiTheme="minorHAnsi" w:hAnsiTheme="minorHAnsi" w:cstheme="minorHAnsi"/>
                <w:sz w:val="18"/>
                <w:szCs w:val="18"/>
              </w:rPr>
              <w:t>40</w:t>
            </w:r>
          </w:p>
        </w:tc>
        <w:tc>
          <w:tcPr>
            <w:tcW w:w="1044" w:type="dxa"/>
            <w:tcBorders>
              <w:left w:val="nil"/>
              <w:bottom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Pr>
                <w:rFonts w:asciiTheme="minorHAnsi" w:hAnsiTheme="minorHAnsi" w:cstheme="minorHAnsi"/>
                <w:sz w:val="18"/>
                <w:szCs w:val="18"/>
              </w:rPr>
              <w:t>60</w:t>
            </w:r>
          </w:p>
        </w:tc>
        <w:tc>
          <w:tcPr>
            <w:tcW w:w="1044" w:type="dxa"/>
            <w:tcBorders>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left w:val="nil"/>
              <w:bottom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left w:val="nil"/>
              <w:bottom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r w:rsidRPr="00C63EE1">
              <w:rPr>
                <w:rFonts w:asciiTheme="minorHAnsi" w:hAnsiTheme="minorHAnsi" w:cstheme="minorHAnsi"/>
                <w:sz w:val="18"/>
                <w:szCs w:val="18"/>
              </w:rPr>
              <w:t>Aug 2013</w:t>
            </w:r>
          </w:p>
        </w:tc>
      </w:tr>
      <w:tr w:rsidR="00AB5AE7" w:rsidRPr="00001464" w:rsidTr="005B0583">
        <w:trPr>
          <w:trHeight w:val="240"/>
        </w:trPr>
        <w:tc>
          <w:tcPr>
            <w:tcW w:w="3261" w:type="dxa"/>
            <w:tcBorders>
              <w:top w:val="nil"/>
              <w:left w:val="nil"/>
              <w:right w:val="nil"/>
            </w:tcBorders>
            <w:noWrap/>
            <w:tcMar>
              <w:top w:w="0" w:type="dxa"/>
              <w:left w:w="17" w:type="dxa"/>
              <w:bottom w:w="0" w:type="dxa"/>
              <w:right w:w="17" w:type="dxa"/>
            </w:tcMar>
          </w:tcPr>
          <w:p w:rsidR="00AB5AE7" w:rsidRPr="00C43A2F" w:rsidRDefault="00AB5AE7" w:rsidP="00132D8E">
            <w:pPr>
              <w:ind w:left="142" w:hanging="142"/>
              <w:rPr>
                <w:rFonts w:asciiTheme="minorHAnsi" w:hAnsiTheme="minorHAnsi" w:cstheme="minorHAnsi"/>
                <w:i/>
                <w:sz w:val="18"/>
                <w:szCs w:val="18"/>
                <w:u w:val="single"/>
              </w:rPr>
            </w:pPr>
            <w:r w:rsidRPr="00C43A2F">
              <w:rPr>
                <w:rFonts w:asciiTheme="minorHAnsi" w:hAnsiTheme="minorHAnsi" w:cstheme="minorHAnsi"/>
                <w:sz w:val="18"/>
                <w:szCs w:val="18"/>
              </w:rPr>
              <w:t xml:space="preserve">Transport for Canberra </w:t>
            </w:r>
            <w:r w:rsidR="00132D8E">
              <w:rPr>
                <w:bCs/>
                <w:sz w:val="18"/>
                <w:szCs w:val="18"/>
                <w:lang w:eastAsia="en-AU"/>
              </w:rPr>
              <w:t xml:space="preserve">— </w:t>
            </w:r>
            <w:r w:rsidRPr="00C43A2F">
              <w:rPr>
                <w:rFonts w:asciiTheme="minorHAnsi" w:hAnsiTheme="minorHAnsi" w:cstheme="minorHAnsi"/>
                <w:sz w:val="18"/>
                <w:szCs w:val="18"/>
              </w:rPr>
              <w:t xml:space="preserve">Park and Ride Facilities </w:t>
            </w:r>
            <w:r w:rsidR="00132D8E">
              <w:rPr>
                <w:bCs/>
                <w:sz w:val="18"/>
                <w:szCs w:val="18"/>
                <w:lang w:eastAsia="en-AU"/>
              </w:rPr>
              <w:t xml:space="preserve">— </w:t>
            </w:r>
            <w:r w:rsidRPr="00C43A2F">
              <w:rPr>
                <w:rFonts w:asciiTheme="minorHAnsi" w:hAnsiTheme="minorHAnsi" w:cstheme="minorHAnsi"/>
                <w:sz w:val="18"/>
                <w:szCs w:val="18"/>
              </w:rPr>
              <w:t>ESDD Planning</w:t>
            </w:r>
          </w:p>
        </w:tc>
        <w:tc>
          <w:tcPr>
            <w:tcW w:w="875" w:type="dxa"/>
            <w:tcBorders>
              <w:top w:val="nil"/>
              <w:left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300</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240</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r w:rsidRPr="00C43A2F">
              <w:rPr>
                <w:rFonts w:asciiTheme="minorHAnsi" w:hAnsiTheme="minorHAnsi" w:cstheme="minorHAnsi"/>
                <w:sz w:val="18"/>
                <w:szCs w:val="18"/>
              </w:rPr>
              <w:t>60</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right w:val="nil"/>
            </w:tcBorders>
            <w:noWrap/>
            <w:tcMar>
              <w:top w:w="0" w:type="dxa"/>
              <w:left w:w="17" w:type="dxa"/>
              <w:bottom w:w="0" w:type="dxa"/>
              <w:right w:w="17" w:type="dxa"/>
            </w:tcMar>
          </w:tcPr>
          <w:p w:rsidR="00AB5AE7" w:rsidRPr="00C43A2F" w:rsidRDefault="00AB5AE7" w:rsidP="005B0583">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tcBorders>
              <w:top w:val="nil"/>
              <w:left w:val="nil"/>
              <w:right w:val="nil"/>
            </w:tcBorders>
            <w:noWrap/>
            <w:tcMar>
              <w:top w:w="0" w:type="dxa"/>
              <w:left w:w="17" w:type="dxa"/>
              <w:bottom w:w="0" w:type="dxa"/>
              <w:right w:w="17" w:type="dxa"/>
            </w:tcMar>
          </w:tcPr>
          <w:p w:rsidR="00AB5AE7" w:rsidRPr="00001464" w:rsidRDefault="00AB5AE7" w:rsidP="005B0583">
            <w:pPr>
              <w:jc w:val="right"/>
              <w:rPr>
                <w:rFonts w:asciiTheme="minorHAnsi" w:hAnsiTheme="minorHAnsi" w:cstheme="minorHAnsi"/>
                <w:sz w:val="18"/>
                <w:szCs w:val="18"/>
                <w:highlight w:val="yellow"/>
              </w:rPr>
            </w:pPr>
            <w:r w:rsidRPr="00C63EE1">
              <w:rPr>
                <w:rFonts w:asciiTheme="minorHAnsi" w:hAnsiTheme="minorHAnsi" w:cstheme="minorHAnsi"/>
                <w:sz w:val="18"/>
                <w:szCs w:val="18"/>
              </w:rPr>
              <w:t>Oct 2013</w:t>
            </w:r>
          </w:p>
        </w:tc>
      </w:tr>
      <w:tr w:rsidR="00AB5AE7" w:rsidRPr="00001464" w:rsidTr="00585FCB">
        <w:trPr>
          <w:trHeight w:val="240"/>
        </w:trPr>
        <w:tc>
          <w:tcPr>
            <w:tcW w:w="3261" w:type="dxa"/>
            <w:tcBorders>
              <w:top w:val="nil"/>
              <w:left w:val="nil"/>
              <w:right w:val="nil"/>
            </w:tcBorders>
            <w:noWrap/>
            <w:tcMar>
              <w:top w:w="0" w:type="dxa"/>
              <w:left w:w="17" w:type="dxa"/>
              <w:bottom w:w="0" w:type="dxa"/>
              <w:right w:w="17" w:type="dxa"/>
            </w:tcMar>
          </w:tcPr>
          <w:p w:rsidR="00AB5AE7" w:rsidRDefault="00AB5AE7" w:rsidP="005B0583">
            <w:pPr>
              <w:ind w:left="142" w:hanging="142"/>
              <w:rPr>
                <w:rFonts w:asciiTheme="minorHAnsi" w:hAnsiTheme="minorHAnsi" w:cstheme="minorHAnsi"/>
                <w:sz w:val="18"/>
                <w:szCs w:val="18"/>
              </w:rPr>
            </w:pPr>
          </w:p>
          <w:p w:rsidR="00AB5AE7" w:rsidRPr="00E82287" w:rsidRDefault="00AB5AE7" w:rsidP="005B0583">
            <w:pPr>
              <w:ind w:left="142" w:hanging="142"/>
              <w:rPr>
                <w:rFonts w:asciiTheme="minorHAnsi" w:hAnsiTheme="minorHAnsi" w:cstheme="minorHAnsi"/>
                <w:b/>
                <w:sz w:val="18"/>
                <w:szCs w:val="18"/>
              </w:rPr>
            </w:pPr>
            <w:r w:rsidRPr="00E82287">
              <w:rPr>
                <w:rFonts w:asciiTheme="minorHAnsi" w:hAnsiTheme="minorHAnsi" w:cstheme="minorHAnsi"/>
                <w:b/>
                <w:sz w:val="18"/>
                <w:szCs w:val="18"/>
              </w:rPr>
              <w:t xml:space="preserve">Total Works in Progress </w:t>
            </w:r>
          </w:p>
        </w:tc>
        <w:tc>
          <w:tcPr>
            <w:tcW w:w="875" w:type="dxa"/>
            <w:tcBorders>
              <w:top w:val="nil"/>
              <w:left w:val="nil"/>
              <w:right w:val="nil"/>
            </w:tcBorders>
            <w:noWrap/>
            <w:tcMar>
              <w:top w:w="0" w:type="dxa"/>
              <w:left w:w="17" w:type="dxa"/>
              <w:bottom w:w="0" w:type="dxa"/>
              <w:right w:w="17" w:type="dxa"/>
            </w:tcMar>
          </w:tcPr>
          <w:p w:rsidR="00AB5AE7" w:rsidRPr="00E82287" w:rsidRDefault="00AB5AE7" w:rsidP="005B0583">
            <w:pPr>
              <w:ind w:left="142" w:hanging="142"/>
              <w:jc w:val="right"/>
              <w:rPr>
                <w:rFonts w:asciiTheme="minorHAnsi" w:hAnsiTheme="minorHAnsi" w:cstheme="minorHAnsi"/>
                <w:b/>
                <w:sz w:val="18"/>
                <w:szCs w:val="18"/>
              </w:rPr>
            </w:pPr>
          </w:p>
          <w:p w:rsidR="00AB5AE7" w:rsidRPr="00E82287" w:rsidRDefault="00AB5AE7" w:rsidP="005B0583">
            <w:pPr>
              <w:ind w:left="142" w:hanging="142"/>
              <w:jc w:val="right"/>
              <w:rPr>
                <w:rFonts w:asciiTheme="minorHAnsi" w:hAnsiTheme="minorHAnsi" w:cstheme="minorHAnsi"/>
                <w:b/>
                <w:sz w:val="18"/>
                <w:szCs w:val="18"/>
              </w:rPr>
            </w:pPr>
            <w:r w:rsidRPr="00E82287">
              <w:rPr>
                <w:rFonts w:asciiTheme="minorHAnsi" w:hAnsiTheme="minorHAnsi" w:cstheme="minorHAnsi"/>
                <w:b/>
                <w:sz w:val="18"/>
                <w:szCs w:val="18"/>
              </w:rPr>
              <w:t>31,604</w:t>
            </w:r>
          </w:p>
        </w:tc>
        <w:tc>
          <w:tcPr>
            <w:tcW w:w="1044" w:type="dxa"/>
            <w:tcBorders>
              <w:top w:val="nil"/>
              <w:left w:val="nil"/>
              <w:right w:val="nil"/>
            </w:tcBorders>
            <w:noWrap/>
            <w:tcMar>
              <w:top w:w="0" w:type="dxa"/>
              <w:left w:w="17" w:type="dxa"/>
              <w:bottom w:w="0" w:type="dxa"/>
              <w:right w:w="17" w:type="dxa"/>
            </w:tcMar>
            <w:vAlign w:val="bottom"/>
          </w:tcPr>
          <w:p w:rsidR="00AB5AE7" w:rsidRPr="007627B0" w:rsidRDefault="00AB5AE7" w:rsidP="00585FCB">
            <w:pPr>
              <w:ind w:left="142" w:hanging="142"/>
              <w:jc w:val="right"/>
              <w:rPr>
                <w:rFonts w:asciiTheme="minorHAnsi" w:hAnsiTheme="minorHAnsi" w:cstheme="minorHAnsi"/>
                <w:b/>
                <w:sz w:val="18"/>
                <w:szCs w:val="18"/>
              </w:rPr>
            </w:pPr>
            <w:r w:rsidRPr="007627B0">
              <w:rPr>
                <w:rFonts w:asciiTheme="minorHAnsi" w:hAnsiTheme="minorHAnsi" w:cstheme="minorHAnsi"/>
                <w:b/>
                <w:sz w:val="18"/>
                <w:szCs w:val="18"/>
              </w:rPr>
              <w:t>20,819</w:t>
            </w:r>
          </w:p>
        </w:tc>
        <w:tc>
          <w:tcPr>
            <w:tcW w:w="1044" w:type="dxa"/>
            <w:tcBorders>
              <w:top w:val="nil"/>
              <w:left w:val="nil"/>
              <w:right w:val="nil"/>
            </w:tcBorders>
            <w:noWrap/>
            <w:tcMar>
              <w:top w:w="0" w:type="dxa"/>
              <w:left w:w="17" w:type="dxa"/>
              <w:bottom w:w="0" w:type="dxa"/>
              <w:right w:w="17" w:type="dxa"/>
            </w:tcMar>
            <w:vAlign w:val="bottom"/>
          </w:tcPr>
          <w:p w:rsidR="00AB5AE7" w:rsidRPr="007627B0" w:rsidRDefault="00AB5AE7" w:rsidP="00585FCB">
            <w:pPr>
              <w:ind w:left="142" w:hanging="142"/>
              <w:jc w:val="right"/>
              <w:rPr>
                <w:rFonts w:asciiTheme="minorHAnsi" w:hAnsiTheme="minorHAnsi" w:cstheme="minorHAnsi"/>
                <w:b/>
                <w:sz w:val="18"/>
                <w:szCs w:val="18"/>
              </w:rPr>
            </w:pPr>
            <w:r w:rsidRPr="007627B0">
              <w:rPr>
                <w:rFonts w:asciiTheme="minorHAnsi" w:hAnsiTheme="minorHAnsi" w:cstheme="minorHAnsi"/>
                <w:b/>
                <w:sz w:val="18"/>
                <w:szCs w:val="18"/>
              </w:rPr>
              <w:t>10,785</w:t>
            </w:r>
          </w:p>
        </w:tc>
        <w:tc>
          <w:tcPr>
            <w:tcW w:w="1044" w:type="dxa"/>
            <w:tcBorders>
              <w:top w:val="nil"/>
              <w:left w:val="nil"/>
              <w:right w:val="nil"/>
            </w:tcBorders>
            <w:noWrap/>
            <w:tcMar>
              <w:top w:w="0" w:type="dxa"/>
              <w:left w:w="17" w:type="dxa"/>
              <w:bottom w:w="0" w:type="dxa"/>
              <w:right w:w="17" w:type="dxa"/>
            </w:tcMar>
          </w:tcPr>
          <w:p w:rsidR="00AB5AE7" w:rsidRDefault="00AB5AE7" w:rsidP="005B0583">
            <w:pPr>
              <w:jc w:val="right"/>
              <w:rPr>
                <w:rFonts w:asciiTheme="minorHAnsi" w:hAnsiTheme="minorHAnsi" w:cstheme="minorHAnsi"/>
                <w:sz w:val="18"/>
                <w:szCs w:val="18"/>
              </w:rPr>
            </w:pPr>
          </w:p>
          <w:p w:rsidR="00AB5AE7" w:rsidRDefault="00AB5AE7" w:rsidP="005B0583">
            <w:pPr>
              <w:jc w:val="right"/>
              <w:rPr>
                <w:rFonts w:asciiTheme="minorHAnsi" w:hAnsiTheme="minorHAnsi" w:cstheme="minorHAnsi"/>
                <w:sz w:val="18"/>
                <w:szCs w:val="18"/>
              </w:rPr>
            </w:pPr>
          </w:p>
        </w:tc>
        <w:tc>
          <w:tcPr>
            <w:tcW w:w="1044" w:type="dxa"/>
            <w:tcBorders>
              <w:top w:val="nil"/>
              <w:left w:val="nil"/>
              <w:right w:val="nil"/>
            </w:tcBorders>
            <w:noWrap/>
            <w:tcMar>
              <w:top w:w="0" w:type="dxa"/>
              <w:left w:w="17" w:type="dxa"/>
              <w:bottom w:w="0" w:type="dxa"/>
              <w:right w:w="17" w:type="dxa"/>
            </w:tcMar>
          </w:tcPr>
          <w:p w:rsidR="00AB5AE7" w:rsidRDefault="00AB5AE7" w:rsidP="005B0583">
            <w:pPr>
              <w:jc w:val="right"/>
              <w:rPr>
                <w:rFonts w:asciiTheme="minorHAnsi" w:hAnsiTheme="minorHAnsi" w:cstheme="minorHAnsi"/>
                <w:sz w:val="18"/>
                <w:szCs w:val="18"/>
              </w:rPr>
            </w:pPr>
          </w:p>
          <w:p w:rsidR="00AB5AE7" w:rsidRDefault="00AB5AE7" w:rsidP="005B0583">
            <w:pPr>
              <w:jc w:val="right"/>
              <w:rPr>
                <w:rFonts w:asciiTheme="minorHAnsi" w:hAnsiTheme="minorHAnsi" w:cstheme="minorHAnsi"/>
                <w:sz w:val="18"/>
                <w:szCs w:val="18"/>
              </w:rPr>
            </w:pPr>
          </w:p>
        </w:tc>
        <w:tc>
          <w:tcPr>
            <w:tcW w:w="1044" w:type="dxa"/>
            <w:tcBorders>
              <w:top w:val="nil"/>
              <w:left w:val="nil"/>
              <w:right w:val="nil"/>
            </w:tcBorders>
            <w:noWrap/>
            <w:tcMar>
              <w:top w:w="0" w:type="dxa"/>
              <w:left w:w="17" w:type="dxa"/>
              <w:bottom w:w="0" w:type="dxa"/>
              <w:right w:w="17" w:type="dxa"/>
            </w:tcMar>
          </w:tcPr>
          <w:p w:rsidR="00AB5AE7" w:rsidRPr="00C63EE1" w:rsidRDefault="00AB5AE7" w:rsidP="005B0583">
            <w:pPr>
              <w:jc w:val="right"/>
              <w:rPr>
                <w:rFonts w:asciiTheme="minorHAnsi" w:hAnsiTheme="minorHAnsi" w:cstheme="minorHAnsi"/>
                <w:sz w:val="18"/>
                <w:szCs w:val="18"/>
              </w:rPr>
            </w:pPr>
          </w:p>
        </w:tc>
      </w:tr>
      <w:tr w:rsidR="00AB5AE7" w:rsidRPr="00001464" w:rsidTr="005B0583">
        <w:trPr>
          <w:trHeight w:val="240"/>
        </w:trPr>
        <w:tc>
          <w:tcPr>
            <w:tcW w:w="3261" w:type="dxa"/>
            <w:tcBorders>
              <w:left w:val="nil"/>
              <w:bottom w:val="single" w:sz="4" w:space="0" w:color="auto"/>
              <w:right w:val="nil"/>
            </w:tcBorders>
            <w:noWrap/>
            <w:tcMar>
              <w:top w:w="0" w:type="dxa"/>
              <w:left w:w="17" w:type="dxa"/>
              <w:bottom w:w="0" w:type="dxa"/>
              <w:right w:w="17" w:type="dxa"/>
            </w:tcMar>
          </w:tcPr>
          <w:p w:rsidR="00AB5AE7" w:rsidRDefault="00AB5AE7" w:rsidP="005B0583">
            <w:pPr>
              <w:ind w:left="142" w:hanging="142"/>
              <w:rPr>
                <w:rFonts w:asciiTheme="minorHAnsi" w:hAnsiTheme="minorHAnsi" w:cstheme="minorHAnsi"/>
                <w:sz w:val="18"/>
                <w:szCs w:val="18"/>
              </w:rPr>
            </w:pPr>
          </w:p>
        </w:tc>
        <w:tc>
          <w:tcPr>
            <w:tcW w:w="875" w:type="dxa"/>
            <w:tcBorders>
              <w:left w:val="nil"/>
              <w:bottom w:val="single" w:sz="4" w:space="0" w:color="auto"/>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p>
        </w:tc>
        <w:tc>
          <w:tcPr>
            <w:tcW w:w="1044" w:type="dxa"/>
            <w:tcBorders>
              <w:left w:val="nil"/>
              <w:bottom w:val="single" w:sz="4" w:space="0" w:color="auto"/>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p>
        </w:tc>
        <w:tc>
          <w:tcPr>
            <w:tcW w:w="1044" w:type="dxa"/>
            <w:tcBorders>
              <w:left w:val="nil"/>
              <w:bottom w:val="single" w:sz="4" w:space="0" w:color="auto"/>
              <w:right w:val="nil"/>
            </w:tcBorders>
            <w:noWrap/>
            <w:tcMar>
              <w:top w:w="0" w:type="dxa"/>
              <w:left w:w="17" w:type="dxa"/>
              <w:bottom w:w="0" w:type="dxa"/>
              <w:right w:w="17" w:type="dxa"/>
            </w:tcMar>
          </w:tcPr>
          <w:p w:rsidR="00AB5AE7" w:rsidRPr="00C43A2F" w:rsidRDefault="00AB5AE7" w:rsidP="005B0583">
            <w:pPr>
              <w:ind w:left="142" w:hanging="142"/>
              <w:jc w:val="right"/>
              <w:rPr>
                <w:rFonts w:asciiTheme="minorHAnsi" w:hAnsiTheme="minorHAnsi" w:cstheme="minorHAnsi"/>
                <w:sz w:val="18"/>
                <w:szCs w:val="18"/>
              </w:rPr>
            </w:pPr>
          </w:p>
        </w:tc>
        <w:tc>
          <w:tcPr>
            <w:tcW w:w="1044" w:type="dxa"/>
            <w:tcBorders>
              <w:left w:val="nil"/>
              <w:bottom w:val="single" w:sz="4" w:space="0" w:color="auto"/>
              <w:right w:val="nil"/>
            </w:tcBorders>
            <w:noWrap/>
            <w:tcMar>
              <w:top w:w="0" w:type="dxa"/>
              <w:left w:w="17" w:type="dxa"/>
              <w:bottom w:w="0" w:type="dxa"/>
              <w:right w:w="17" w:type="dxa"/>
            </w:tcMar>
          </w:tcPr>
          <w:p w:rsidR="00AB5AE7" w:rsidRDefault="00AB5AE7" w:rsidP="005B0583">
            <w:pPr>
              <w:jc w:val="right"/>
              <w:rPr>
                <w:rFonts w:asciiTheme="minorHAnsi" w:hAnsiTheme="minorHAnsi" w:cstheme="minorHAnsi"/>
                <w:sz w:val="18"/>
                <w:szCs w:val="18"/>
              </w:rPr>
            </w:pPr>
          </w:p>
        </w:tc>
        <w:tc>
          <w:tcPr>
            <w:tcW w:w="1044" w:type="dxa"/>
            <w:tcBorders>
              <w:left w:val="nil"/>
              <w:bottom w:val="single" w:sz="4" w:space="0" w:color="auto"/>
              <w:right w:val="nil"/>
            </w:tcBorders>
            <w:noWrap/>
            <w:tcMar>
              <w:top w:w="0" w:type="dxa"/>
              <w:left w:w="17" w:type="dxa"/>
              <w:bottom w:w="0" w:type="dxa"/>
              <w:right w:w="17" w:type="dxa"/>
            </w:tcMar>
          </w:tcPr>
          <w:p w:rsidR="00AB5AE7" w:rsidRDefault="00AB5AE7" w:rsidP="005B0583">
            <w:pPr>
              <w:jc w:val="right"/>
              <w:rPr>
                <w:rFonts w:asciiTheme="minorHAnsi" w:hAnsiTheme="minorHAnsi" w:cstheme="minorHAnsi"/>
                <w:sz w:val="18"/>
                <w:szCs w:val="18"/>
              </w:rPr>
            </w:pPr>
          </w:p>
        </w:tc>
        <w:tc>
          <w:tcPr>
            <w:tcW w:w="1044" w:type="dxa"/>
            <w:tcBorders>
              <w:left w:val="nil"/>
              <w:bottom w:val="single" w:sz="4" w:space="0" w:color="auto"/>
              <w:right w:val="nil"/>
            </w:tcBorders>
            <w:noWrap/>
            <w:tcMar>
              <w:top w:w="0" w:type="dxa"/>
              <w:left w:w="17" w:type="dxa"/>
              <w:bottom w:w="0" w:type="dxa"/>
              <w:right w:w="17" w:type="dxa"/>
            </w:tcMar>
          </w:tcPr>
          <w:p w:rsidR="00AB5AE7" w:rsidRPr="00C63EE1" w:rsidRDefault="00AB5AE7" w:rsidP="005B0583">
            <w:pPr>
              <w:jc w:val="right"/>
              <w:rPr>
                <w:rFonts w:asciiTheme="minorHAnsi" w:hAnsiTheme="minorHAnsi" w:cstheme="minorHAnsi"/>
                <w:sz w:val="18"/>
                <w:szCs w:val="18"/>
              </w:rPr>
            </w:pPr>
          </w:p>
        </w:tc>
      </w:tr>
      <w:tr w:rsidR="00AB5AE7" w:rsidRPr="00001464" w:rsidTr="005B0583">
        <w:trPr>
          <w:trHeight w:val="240"/>
        </w:trPr>
        <w:tc>
          <w:tcPr>
            <w:tcW w:w="3261" w:type="dxa"/>
            <w:tcBorders>
              <w:top w:val="single" w:sz="4" w:space="0" w:color="auto"/>
              <w:left w:val="nil"/>
              <w:bottom w:val="single" w:sz="4" w:space="0" w:color="auto"/>
              <w:right w:val="nil"/>
            </w:tcBorders>
            <w:noWrap/>
            <w:tcMar>
              <w:top w:w="0" w:type="dxa"/>
              <w:left w:w="17" w:type="dxa"/>
              <w:bottom w:w="0" w:type="dxa"/>
              <w:right w:w="17" w:type="dxa"/>
            </w:tcMar>
          </w:tcPr>
          <w:p w:rsidR="00AB5AE7" w:rsidRPr="00E82287" w:rsidRDefault="00AB5AE7" w:rsidP="005B0583">
            <w:pPr>
              <w:ind w:left="142" w:hanging="142"/>
              <w:rPr>
                <w:rFonts w:asciiTheme="minorHAnsi" w:hAnsiTheme="minorHAnsi" w:cstheme="minorHAnsi"/>
                <w:b/>
                <w:sz w:val="18"/>
                <w:szCs w:val="18"/>
              </w:rPr>
            </w:pPr>
            <w:r w:rsidRPr="00E82287">
              <w:rPr>
                <w:rFonts w:asciiTheme="minorHAnsi" w:hAnsiTheme="minorHAnsi" w:cstheme="minorHAnsi"/>
                <w:b/>
                <w:sz w:val="18"/>
                <w:szCs w:val="18"/>
              </w:rPr>
              <w:t>Total Capital Works Program</w:t>
            </w:r>
          </w:p>
        </w:tc>
        <w:tc>
          <w:tcPr>
            <w:tcW w:w="875" w:type="dxa"/>
            <w:tcBorders>
              <w:top w:val="single" w:sz="4" w:space="0" w:color="auto"/>
              <w:left w:val="nil"/>
              <w:bottom w:val="single" w:sz="4" w:space="0" w:color="auto"/>
              <w:right w:val="nil"/>
            </w:tcBorders>
            <w:noWrap/>
            <w:tcMar>
              <w:top w:w="0" w:type="dxa"/>
              <w:left w:w="17" w:type="dxa"/>
              <w:bottom w:w="0" w:type="dxa"/>
              <w:right w:w="17" w:type="dxa"/>
            </w:tcMar>
          </w:tcPr>
          <w:p w:rsidR="00AB5AE7" w:rsidRPr="00E82287" w:rsidRDefault="00AB5AE7" w:rsidP="005B0583">
            <w:pPr>
              <w:jc w:val="right"/>
              <w:rPr>
                <w:rFonts w:asciiTheme="minorHAnsi" w:hAnsiTheme="minorHAnsi" w:cstheme="minorHAnsi"/>
                <w:b/>
                <w:sz w:val="18"/>
                <w:szCs w:val="18"/>
              </w:rPr>
            </w:pPr>
            <w:r w:rsidRPr="00E82287">
              <w:rPr>
                <w:rFonts w:asciiTheme="minorHAnsi" w:hAnsiTheme="minorHAnsi" w:cstheme="minorHAnsi"/>
                <w:b/>
                <w:sz w:val="18"/>
                <w:szCs w:val="18"/>
              </w:rPr>
              <w:t>33,489</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AB5AE7" w:rsidRPr="00E82287" w:rsidRDefault="00AB5AE7" w:rsidP="005B0583">
            <w:pPr>
              <w:ind w:left="142" w:hanging="142"/>
              <w:jc w:val="right"/>
              <w:rPr>
                <w:rFonts w:asciiTheme="minorHAnsi" w:hAnsiTheme="minorHAnsi" w:cstheme="minorHAnsi"/>
                <w:b/>
                <w:sz w:val="18"/>
                <w:szCs w:val="18"/>
              </w:rPr>
            </w:pPr>
            <w:r>
              <w:rPr>
                <w:rFonts w:asciiTheme="minorHAnsi" w:hAnsiTheme="minorHAnsi" w:cstheme="minorHAnsi"/>
                <w:b/>
                <w:sz w:val="18"/>
                <w:szCs w:val="18"/>
              </w:rPr>
              <w:t>20,819</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AB5AE7" w:rsidRPr="00E82287" w:rsidRDefault="00AB5AE7" w:rsidP="005B0583">
            <w:pPr>
              <w:ind w:left="142" w:hanging="142"/>
              <w:jc w:val="right"/>
              <w:rPr>
                <w:rFonts w:asciiTheme="minorHAnsi" w:hAnsiTheme="minorHAnsi" w:cstheme="minorHAnsi"/>
                <w:b/>
                <w:sz w:val="18"/>
                <w:szCs w:val="18"/>
              </w:rPr>
            </w:pPr>
            <w:r>
              <w:rPr>
                <w:rFonts w:asciiTheme="minorHAnsi" w:hAnsiTheme="minorHAnsi" w:cstheme="minorHAnsi"/>
                <w:b/>
                <w:sz w:val="18"/>
                <w:szCs w:val="18"/>
              </w:rPr>
              <w:t>11,520</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AB5AE7" w:rsidRPr="00E82287" w:rsidRDefault="00AB5AE7" w:rsidP="005B0583">
            <w:pPr>
              <w:jc w:val="right"/>
              <w:rPr>
                <w:rFonts w:asciiTheme="minorHAnsi" w:hAnsiTheme="minorHAnsi" w:cstheme="minorHAnsi"/>
                <w:b/>
                <w:sz w:val="18"/>
                <w:szCs w:val="18"/>
              </w:rPr>
            </w:pPr>
            <w:r w:rsidRPr="00E82287">
              <w:rPr>
                <w:rFonts w:asciiTheme="minorHAnsi" w:hAnsiTheme="minorHAnsi" w:cstheme="minorHAnsi"/>
                <w:b/>
                <w:sz w:val="18"/>
                <w:szCs w:val="18"/>
              </w:rPr>
              <w:t>1,150</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AB5AE7" w:rsidRPr="00E82287" w:rsidRDefault="00AB5AE7" w:rsidP="005B0583">
            <w:pPr>
              <w:jc w:val="right"/>
              <w:rPr>
                <w:rFonts w:asciiTheme="minorHAnsi" w:hAnsiTheme="minorHAnsi" w:cstheme="minorHAnsi"/>
                <w:b/>
                <w:sz w:val="18"/>
                <w:szCs w:val="18"/>
              </w:rPr>
            </w:pP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AB5AE7" w:rsidRPr="00E82287" w:rsidRDefault="00AB5AE7" w:rsidP="005B0583">
            <w:pPr>
              <w:jc w:val="right"/>
              <w:rPr>
                <w:rFonts w:asciiTheme="minorHAnsi" w:hAnsiTheme="minorHAnsi" w:cstheme="minorHAnsi"/>
                <w:b/>
                <w:sz w:val="18"/>
                <w:szCs w:val="18"/>
              </w:rPr>
            </w:pPr>
          </w:p>
        </w:tc>
      </w:tr>
    </w:tbl>
    <w:p w:rsidR="00526CBE" w:rsidRDefault="00526CBE">
      <w:pPr>
        <w:rPr>
          <w:lang w:eastAsia="en-AU"/>
        </w:rPr>
      </w:pPr>
      <w:r>
        <w:rPr>
          <w:lang w:eastAsia="en-AU"/>
        </w:rPr>
        <w:br w:type="page"/>
      </w:r>
    </w:p>
    <w:tbl>
      <w:tblPr>
        <w:tblW w:w="9356" w:type="dxa"/>
        <w:tblLook w:val="04A0"/>
      </w:tblPr>
      <w:tblGrid>
        <w:gridCol w:w="1050"/>
        <w:gridCol w:w="2306"/>
        <w:gridCol w:w="1179"/>
        <w:gridCol w:w="1050"/>
        <w:gridCol w:w="621"/>
        <w:gridCol w:w="1050"/>
        <w:gridCol w:w="1050"/>
        <w:gridCol w:w="1050"/>
      </w:tblGrid>
      <w:tr w:rsidR="005B0583" w:rsidTr="005B0583">
        <w:trPr>
          <w:tblHeader/>
        </w:trPr>
        <w:tc>
          <w:tcPr>
            <w:tcW w:w="9356" w:type="dxa"/>
            <w:gridSpan w:val="8"/>
            <w:tcBorders>
              <w:top w:val="nil"/>
              <w:left w:val="nil"/>
              <w:bottom w:val="nil"/>
              <w:right w:val="nil"/>
            </w:tcBorders>
            <w:shd w:val="clear" w:color="000000" w:fill="FFFFFF"/>
            <w:hideMark/>
          </w:tcPr>
          <w:p w:rsidR="005B0583" w:rsidRDefault="005B0583" w:rsidP="005B0583">
            <w:pPr>
              <w:jc w:val="center"/>
              <w:rPr>
                <w:rFonts w:ascii="Arial" w:hAnsi="Arial" w:cs="Arial"/>
                <w:b/>
                <w:bCs/>
                <w:szCs w:val="24"/>
              </w:rPr>
            </w:pPr>
            <w:bookmarkStart w:id="0" w:name="RANGE!A1:H37"/>
            <w:r>
              <w:rPr>
                <w:rFonts w:ascii="Arial" w:hAnsi="Arial" w:cs="Arial"/>
                <w:b/>
                <w:bCs/>
              </w:rPr>
              <w:lastRenderedPageBreak/>
              <w:t>Environment and Sustainable Development Directorate</w:t>
            </w:r>
            <w:bookmarkEnd w:id="0"/>
          </w:p>
        </w:tc>
      </w:tr>
      <w:tr w:rsidR="005B0583" w:rsidTr="005B0583">
        <w:trPr>
          <w:tblHeader/>
        </w:trPr>
        <w:tc>
          <w:tcPr>
            <w:tcW w:w="9356" w:type="dxa"/>
            <w:gridSpan w:val="8"/>
            <w:tcBorders>
              <w:top w:val="nil"/>
              <w:left w:val="nil"/>
              <w:bottom w:val="nil"/>
              <w:right w:val="nil"/>
            </w:tcBorders>
            <w:shd w:val="clear" w:color="000000" w:fill="FFFFFF"/>
            <w:hideMark/>
          </w:tcPr>
          <w:p w:rsidR="005B0583" w:rsidRDefault="005B0583" w:rsidP="005B0583">
            <w:pPr>
              <w:jc w:val="center"/>
              <w:rPr>
                <w:rFonts w:ascii="Arial" w:hAnsi="Arial" w:cs="Arial"/>
                <w:b/>
                <w:bCs/>
                <w:szCs w:val="24"/>
              </w:rPr>
            </w:pPr>
            <w:r>
              <w:rPr>
                <w:rFonts w:ascii="Arial" w:hAnsi="Arial" w:cs="Arial"/>
                <w:b/>
                <w:bCs/>
              </w:rPr>
              <w:t>Operating Statement</w:t>
            </w:r>
          </w:p>
        </w:tc>
      </w:tr>
      <w:tr w:rsidR="005B0583" w:rsidTr="005B0583">
        <w:trPr>
          <w:tblHeader/>
        </w:trPr>
        <w:tc>
          <w:tcPr>
            <w:tcW w:w="1050" w:type="dxa"/>
            <w:tcBorders>
              <w:top w:val="single" w:sz="4" w:space="0" w:color="auto"/>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2012-13</w:t>
            </w:r>
          </w:p>
        </w:tc>
        <w:tc>
          <w:tcPr>
            <w:tcW w:w="2306" w:type="dxa"/>
            <w:tcBorders>
              <w:top w:val="single" w:sz="4" w:space="0" w:color="auto"/>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79" w:type="dxa"/>
            <w:tcBorders>
              <w:top w:val="single" w:sz="4" w:space="0" w:color="auto"/>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2012-13</w:t>
            </w:r>
          </w:p>
        </w:tc>
        <w:tc>
          <w:tcPr>
            <w:tcW w:w="1050" w:type="dxa"/>
            <w:tcBorders>
              <w:top w:val="single" w:sz="4" w:space="0" w:color="auto"/>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2016-17</w:t>
            </w:r>
          </w:p>
        </w:tc>
      </w:tr>
      <w:tr w:rsidR="005B0583" w:rsidTr="005B0583">
        <w:trPr>
          <w:tblHeader/>
        </w:trPr>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Budget</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Est. Outcome</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Var</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Estimate</w:t>
            </w:r>
          </w:p>
        </w:tc>
      </w:tr>
      <w:tr w:rsidR="005B0583" w:rsidTr="005B0583">
        <w:trPr>
          <w:tblHeader/>
        </w:trPr>
        <w:tc>
          <w:tcPr>
            <w:tcW w:w="1050" w:type="dxa"/>
            <w:tcBorders>
              <w:top w:val="nil"/>
              <w:left w:val="nil"/>
              <w:bottom w:val="single" w:sz="4" w:space="0" w:color="auto"/>
              <w:right w:val="nil"/>
            </w:tcBorders>
            <w:shd w:val="clear" w:color="000000" w:fill="FFFFFF"/>
            <w:hideMark/>
          </w:tcPr>
          <w:p w:rsidR="005B0583" w:rsidRDefault="005B0583" w:rsidP="005B0583">
            <w:pPr>
              <w:ind w:left="-283"/>
              <w:jc w:val="right"/>
              <w:rPr>
                <w:b/>
                <w:bCs/>
                <w:sz w:val="18"/>
                <w:szCs w:val="18"/>
              </w:rPr>
            </w:pPr>
            <w:r>
              <w:rPr>
                <w:b/>
                <w:bCs/>
                <w:sz w:val="18"/>
                <w:szCs w:val="18"/>
              </w:rPr>
              <w:t>$'000</w:t>
            </w:r>
          </w:p>
        </w:tc>
        <w:tc>
          <w:tcPr>
            <w:tcW w:w="2306" w:type="dxa"/>
            <w:tcBorders>
              <w:top w:val="nil"/>
              <w:left w:val="nil"/>
              <w:bottom w:val="single" w:sz="4" w:space="0" w:color="auto"/>
              <w:right w:val="nil"/>
            </w:tcBorders>
            <w:shd w:val="clear" w:color="000000" w:fill="FFFFFF"/>
            <w:hideMark/>
          </w:tcPr>
          <w:p w:rsidR="005B0583" w:rsidRDefault="005B0583" w:rsidP="005B0583">
            <w:pPr>
              <w:rPr>
                <w:b/>
                <w:bCs/>
                <w:sz w:val="18"/>
                <w:szCs w:val="18"/>
              </w:rPr>
            </w:pPr>
            <w:r>
              <w:rPr>
                <w:b/>
                <w:bCs/>
                <w:sz w:val="18"/>
                <w:szCs w:val="18"/>
              </w:rPr>
              <w:t> </w:t>
            </w:r>
          </w:p>
        </w:tc>
        <w:tc>
          <w:tcPr>
            <w:tcW w:w="1179" w:type="dxa"/>
            <w:tcBorders>
              <w:top w:val="nil"/>
              <w:left w:val="nil"/>
              <w:bottom w:val="single" w:sz="4" w:space="0" w:color="auto"/>
              <w:right w:val="nil"/>
            </w:tcBorders>
            <w:shd w:val="clear" w:color="000000" w:fill="FFFFFF"/>
            <w:hideMark/>
          </w:tcPr>
          <w:p w:rsidR="005B0583" w:rsidRDefault="005B0583" w:rsidP="005B0583">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5B0583" w:rsidRDefault="005B0583" w:rsidP="005B0583">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5B0583" w:rsidRDefault="005B0583" w:rsidP="005B0583">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5B0583" w:rsidRDefault="005B0583" w:rsidP="005B0583">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5B0583" w:rsidRDefault="005B0583" w:rsidP="005B0583">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5B0583" w:rsidRDefault="005B0583" w:rsidP="005B0583">
            <w:pPr>
              <w:ind w:left="-283"/>
              <w:jc w:val="right"/>
              <w:rPr>
                <w:b/>
                <w:bCs/>
                <w:sz w:val="18"/>
                <w:szCs w:val="18"/>
              </w:rPr>
            </w:pPr>
            <w:r>
              <w:rPr>
                <w:b/>
                <w:bCs/>
                <w:sz w:val="18"/>
                <w:szCs w:val="18"/>
              </w:rPr>
              <w:t>$'000</w:t>
            </w:r>
          </w:p>
        </w:tc>
      </w:tr>
      <w:tr w:rsidR="005B0583" w:rsidTr="005B0583">
        <w:trPr>
          <w:tblHeader/>
        </w:trPr>
        <w:tc>
          <w:tcPr>
            <w:tcW w:w="1050" w:type="dxa"/>
            <w:tcBorders>
              <w:top w:val="nil"/>
              <w:left w:val="nil"/>
              <w:bottom w:val="nil"/>
              <w:right w:val="nil"/>
            </w:tcBorders>
            <w:shd w:val="clear" w:color="000000" w:fill="FFFFFF"/>
            <w:hideMark/>
          </w:tcPr>
          <w:p w:rsidR="005B0583" w:rsidRDefault="005B0583" w:rsidP="005B0583">
            <w:pPr>
              <w:ind w:left="-283"/>
              <w:jc w:val="right"/>
              <w:rPr>
                <w:b/>
                <w:bCs/>
                <w:i/>
                <w:iCs/>
                <w:sz w:val="18"/>
                <w:szCs w:val="18"/>
              </w:rPr>
            </w:pPr>
            <w:r>
              <w:rPr>
                <w:b/>
                <w:bCs/>
                <w:i/>
                <w:iCs/>
                <w:sz w:val="18"/>
                <w:szCs w:val="18"/>
              </w:rPr>
              <w:t> </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5B0583" w:rsidRDefault="005B0583" w:rsidP="005B0583">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5B0583" w:rsidRDefault="005B0583" w:rsidP="005B0583">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i/>
                <w:iCs/>
                <w:sz w:val="18"/>
                <w:szCs w:val="18"/>
              </w:rPr>
            </w:pPr>
            <w:r>
              <w:rPr>
                <w:b/>
                <w:bCs/>
                <w:i/>
                <w:iCs/>
                <w:sz w:val="18"/>
                <w:szCs w:val="18"/>
              </w:rPr>
              <w:t> </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Income</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Revenue</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74,824</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 xml:space="preserve">Government Payment for </w:t>
            </w:r>
            <w:r>
              <w:rPr>
                <w:sz w:val="18"/>
                <w:szCs w:val="18"/>
              </w:rPr>
              <w:br/>
              <w:t xml:space="preserve">   Outputs</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76,180</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68,992</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-9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65,803</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61,489</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60,878</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6,007</w:t>
            </w:r>
          </w:p>
        </w:tc>
        <w:tc>
          <w:tcPr>
            <w:tcW w:w="2306" w:type="dxa"/>
            <w:tcBorders>
              <w:top w:val="nil"/>
              <w:left w:val="nil"/>
              <w:bottom w:val="nil"/>
              <w:right w:val="nil"/>
            </w:tcBorders>
            <w:shd w:val="clear" w:color="000000" w:fill="FFFFFF"/>
            <w:hideMark/>
          </w:tcPr>
          <w:p w:rsidR="005B0583" w:rsidRDefault="005B0583" w:rsidP="00132D8E">
            <w:pPr>
              <w:rPr>
                <w:sz w:val="18"/>
                <w:szCs w:val="18"/>
              </w:rPr>
            </w:pPr>
            <w:r>
              <w:rPr>
                <w:sz w:val="18"/>
                <w:szCs w:val="18"/>
              </w:rPr>
              <w:t xml:space="preserve">User Charges </w:t>
            </w:r>
            <w:r w:rsidR="00132D8E">
              <w:rPr>
                <w:bCs/>
                <w:sz w:val="18"/>
                <w:szCs w:val="18"/>
                <w:lang w:eastAsia="en-AU"/>
              </w:rPr>
              <w:t xml:space="preserve">— </w:t>
            </w:r>
            <w:r>
              <w:rPr>
                <w:sz w:val="18"/>
                <w:szCs w:val="18"/>
              </w:rPr>
              <w:t xml:space="preserve">Non ACT </w:t>
            </w:r>
            <w:r>
              <w:rPr>
                <w:sz w:val="18"/>
                <w:szCs w:val="18"/>
              </w:rPr>
              <w:br/>
              <w:t xml:space="preserve">   Government</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5,722</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3,565</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-38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3,679</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3,798</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3,717</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489</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 xml:space="preserve">User Charges </w:t>
            </w:r>
            <w:r w:rsidR="00132D8E">
              <w:rPr>
                <w:bCs/>
                <w:sz w:val="18"/>
                <w:szCs w:val="18"/>
                <w:lang w:eastAsia="en-AU"/>
              </w:rPr>
              <w:t xml:space="preserve">— </w:t>
            </w:r>
            <w:r>
              <w:rPr>
                <w:sz w:val="18"/>
                <w:szCs w:val="18"/>
              </w:rPr>
              <w:t xml:space="preserve">ACT </w:t>
            </w:r>
            <w:r>
              <w:rPr>
                <w:sz w:val="18"/>
                <w:szCs w:val="18"/>
              </w:rPr>
              <w:br/>
              <w:t xml:space="preserve">   Government</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489</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507</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528</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549</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549</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38</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Interest</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38</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37</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37</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38</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38</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802</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Other Revenue</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1,397</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824</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-41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855</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889</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889</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1,498</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Resources Received</w:t>
            </w:r>
            <w:r>
              <w:rPr>
                <w:sz w:val="18"/>
                <w:szCs w:val="18"/>
              </w:rPr>
              <w:br/>
              <w:t xml:space="preserve">   Free of Charge</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2,000</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2,013</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2,025</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2,038</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2,052</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83,658</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Total Revenue</w:t>
            </w:r>
          </w:p>
        </w:tc>
        <w:tc>
          <w:tcPr>
            <w:tcW w:w="1179"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85,826</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75,938</w:t>
            </w:r>
          </w:p>
        </w:tc>
        <w:tc>
          <w:tcPr>
            <w:tcW w:w="621"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xml:space="preserve">-12 </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72,927</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68,801</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68,123</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83,658</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Total Income</w:t>
            </w:r>
          </w:p>
        </w:tc>
        <w:tc>
          <w:tcPr>
            <w:tcW w:w="1179"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85,826</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75,938</w:t>
            </w:r>
          </w:p>
        </w:tc>
        <w:tc>
          <w:tcPr>
            <w:tcW w:w="621"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xml:space="preserve">-12 </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72,927</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68,801</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68,123</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xml:space="preserve">Expenses  </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36,904</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Employee Expenses</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39,913</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36,857</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-8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35,257</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34,305</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34,003</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6,003</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Superannuation Expenses</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6,577</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6,449</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6,328</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6,268</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6,194</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34,061</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Supplies and Services</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33,057</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28,494</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-14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25,927</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22,259</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21,991</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1,441</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 xml:space="preserve">Depreciation and </w:t>
            </w:r>
            <w:r>
              <w:rPr>
                <w:sz w:val="18"/>
                <w:szCs w:val="18"/>
              </w:rPr>
              <w:br/>
              <w:t xml:space="preserve">   Amortisation</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760</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427</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-44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450</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730</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730</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61</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Borrowing Costs</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96</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98</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101</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103</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106</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1,972</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 xml:space="preserve">Grants and Purchased </w:t>
            </w:r>
            <w:r>
              <w:rPr>
                <w:sz w:val="18"/>
                <w:szCs w:val="18"/>
              </w:rPr>
              <w:br/>
              <w:t xml:space="preserve">   Services</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3,502</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950</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-73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598</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622</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363</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4,131</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Other Expenses</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9,758</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35,013</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259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1,880</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2,115</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2,439</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2,385</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Transfer Expenses</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1,779</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3,310</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3,341</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3,245</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86,958</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Total Ordinary Expenses</w:t>
            </w:r>
          </w:p>
        </w:tc>
        <w:tc>
          <w:tcPr>
            <w:tcW w:w="1179"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93,663</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110,067</w:t>
            </w:r>
          </w:p>
        </w:tc>
        <w:tc>
          <w:tcPr>
            <w:tcW w:w="621"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xml:space="preserve">18 </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73,851</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69,743</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69,071</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 </w:t>
            </w:r>
          </w:p>
        </w:tc>
        <w:tc>
          <w:tcPr>
            <w:tcW w:w="1179"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-3,300</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Operating Result</w:t>
            </w:r>
          </w:p>
        </w:tc>
        <w:tc>
          <w:tcPr>
            <w:tcW w:w="1179"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-7,837</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-34,129</w:t>
            </w:r>
          </w:p>
        </w:tc>
        <w:tc>
          <w:tcPr>
            <w:tcW w:w="621"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xml:space="preserve">-335 </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-924</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-942</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-948</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r>
      <w:tr w:rsidR="005B0583" w:rsidTr="005B0583">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-3,300</w:t>
            </w:r>
          </w:p>
        </w:tc>
        <w:tc>
          <w:tcPr>
            <w:tcW w:w="2306"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Total Comprehensive</w:t>
            </w:r>
            <w:r>
              <w:rPr>
                <w:b/>
                <w:bCs/>
                <w:sz w:val="18"/>
                <w:szCs w:val="18"/>
              </w:rPr>
              <w:br/>
              <w:t xml:space="preserve">   Income</w:t>
            </w:r>
          </w:p>
        </w:tc>
        <w:tc>
          <w:tcPr>
            <w:tcW w:w="1179"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-7,837</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-34,129</w:t>
            </w:r>
          </w:p>
        </w:tc>
        <w:tc>
          <w:tcPr>
            <w:tcW w:w="621"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xml:space="preserve">-335 </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-924</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-942</w:t>
            </w:r>
          </w:p>
        </w:tc>
        <w:tc>
          <w:tcPr>
            <w:tcW w:w="1050"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-948</w:t>
            </w:r>
          </w:p>
        </w:tc>
      </w:tr>
      <w:tr w:rsidR="005B0583" w:rsidTr="005B0583">
        <w:tc>
          <w:tcPr>
            <w:tcW w:w="1050"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06" w:type="dxa"/>
            <w:tcBorders>
              <w:top w:val="nil"/>
              <w:left w:val="nil"/>
              <w:bottom w:val="single" w:sz="4" w:space="0" w:color="auto"/>
              <w:right w:val="nil"/>
            </w:tcBorders>
            <w:shd w:val="clear" w:color="000000" w:fill="FFFFFF"/>
            <w:hideMark/>
          </w:tcPr>
          <w:p w:rsidR="005B0583" w:rsidRDefault="005B0583" w:rsidP="005B0583">
            <w:pPr>
              <w:rPr>
                <w:sz w:val="18"/>
                <w:szCs w:val="18"/>
              </w:rPr>
            </w:pPr>
            <w:r>
              <w:rPr>
                <w:sz w:val="18"/>
                <w:szCs w:val="18"/>
              </w:rPr>
              <w:t> </w:t>
            </w:r>
          </w:p>
        </w:tc>
        <w:tc>
          <w:tcPr>
            <w:tcW w:w="1179"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r>
    </w:tbl>
    <w:p w:rsidR="0042527B" w:rsidRDefault="0042527B">
      <w:pPr>
        <w:rPr>
          <w:rFonts w:ascii="Arial" w:hAnsi="Arial" w:cs="Arial"/>
          <w:b/>
          <w:bCs/>
          <w:szCs w:val="26"/>
        </w:rPr>
      </w:pPr>
      <w:r>
        <w:br w:type="page"/>
      </w:r>
    </w:p>
    <w:tbl>
      <w:tblPr>
        <w:tblW w:w="9356" w:type="dxa"/>
        <w:tblLook w:val="04A0"/>
      </w:tblPr>
      <w:tblGrid>
        <w:gridCol w:w="1054"/>
        <w:gridCol w:w="2314"/>
        <w:gridCol w:w="1184"/>
        <w:gridCol w:w="1054"/>
        <w:gridCol w:w="624"/>
        <w:gridCol w:w="1054"/>
        <w:gridCol w:w="1054"/>
        <w:gridCol w:w="1054"/>
      </w:tblGrid>
      <w:tr w:rsidR="005B0583" w:rsidTr="005B0583">
        <w:trPr>
          <w:tblHeader/>
        </w:trPr>
        <w:tc>
          <w:tcPr>
            <w:tcW w:w="9392" w:type="dxa"/>
            <w:gridSpan w:val="8"/>
            <w:tcBorders>
              <w:top w:val="nil"/>
              <w:left w:val="nil"/>
              <w:bottom w:val="nil"/>
              <w:right w:val="nil"/>
            </w:tcBorders>
            <w:shd w:val="clear" w:color="000000" w:fill="FFFFFF"/>
            <w:noWrap/>
            <w:vAlign w:val="bottom"/>
            <w:hideMark/>
          </w:tcPr>
          <w:p w:rsidR="005B0583" w:rsidRDefault="005B0583" w:rsidP="005B0583">
            <w:pPr>
              <w:jc w:val="center"/>
              <w:rPr>
                <w:rFonts w:ascii="Arial" w:hAnsi="Arial" w:cs="Arial"/>
                <w:b/>
                <w:bCs/>
                <w:szCs w:val="24"/>
              </w:rPr>
            </w:pPr>
            <w:bookmarkStart w:id="1" w:name="RANGE!A1:H48"/>
            <w:r>
              <w:rPr>
                <w:rFonts w:ascii="Arial" w:hAnsi="Arial" w:cs="Arial"/>
                <w:b/>
                <w:bCs/>
              </w:rPr>
              <w:lastRenderedPageBreak/>
              <w:t>Environment and Sustainable Development Directorate</w:t>
            </w:r>
            <w:bookmarkEnd w:id="1"/>
          </w:p>
        </w:tc>
      </w:tr>
      <w:tr w:rsidR="005B0583" w:rsidTr="005B0583">
        <w:trPr>
          <w:tblHeader/>
        </w:trPr>
        <w:tc>
          <w:tcPr>
            <w:tcW w:w="9392" w:type="dxa"/>
            <w:gridSpan w:val="8"/>
            <w:tcBorders>
              <w:top w:val="nil"/>
              <w:left w:val="nil"/>
              <w:bottom w:val="nil"/>
              <w:right w:val="nil"/>
            </w:tcBorders>
            <w:shd w:val="clear" w:color="000000" w:fill="FFFFFF"/>
            <w:noWrap/>
            <w:vAlign w:val="bottom"/>
            <w:hideMark/>
          </w:tcPr>
          <w:p w:rsidR="005B0583" w:rsidRDefault="005B0583" w:rsidP="005B0583">
            <w:pPr>
              <w:jc w:val="center"/>
              <w:rPr>
                <w:rFonts w:ascii="Arial" w:hAnsi="Arial" w:cs="Arial"/>
                <w:b/>
                <w:bCs/>
                <w:szCs w:val="24"/>
              </w:rPr>
            </w:pPr>
            <w:r>
              <w:rPr>
                <w:rFonts w:ascii="Arial" w:hAnsi="Arial" w:cs="Arial"/>
                <w:b/>
                <w:bCs/>
              </w:rPr>
              <w:t>Balance Sheet</w:t>
            </w:r>
          </w:p>
        </w:tc>
      </w:tr>
      <w:tr w:rsidR="005B0583" w:rsidTr="005B0583">
        <w:trPr>
          <w:tblHeader/>
        </w:trPr>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Budget</w:t>
            </w:r>
          </w:p>
        </w:tc>
        <w:tc>
          <w:tcPr>
            <w:tcW w:w="2314" w:type="dxa"/>
            <w:tcBorders>
              <w:top w:val="single" w:sz="4" w:space="0" w:color="auto"/>
              <w:left w:val="nil"/>
              <w:bottom w:val="nil"/>
              <w:right w:val="nil"/>
            </w:tcBorders>
            <w:shd w:val="clear" w:color="000000" w:fill="FFFFFF"/>
            <w:noWrap/>
            <w:hideMark/>
          </w:tcPr>
          <w:p w:rsidR="005B0583" w:rsidRDefault="005B0583" w:rsidP="005B0583">
            <w:pPr>
              <w:rPr>
                <w:b/>
                <w:bCs/>
                <w:sz w:val="18"/>
                <w:szCs w:val="18"/>
              </w:rPr>
            </w:pPr>
            <w:r>
              <w:rPr>
                <w:b/>
                <w:bCs/>
                <w:sz w:val="18"/>
                <w:szCs w:val="18"/>
              </w:rPr>
              <w:t> </w:t>
            </w:r>
          </w:p>
        </w:tc>
        <w:tc>
          <w:tcPr>
            <w:tcW w:w="118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Estimate</w:t>
            </w:r>
          </w:p>
        </w:tc>
      </w:tr>
      <w:tr w:rsidR="005B0583" w:rsidTr="005B0583">
        <w:trPr>
          <w:tblHeader/>
        </w:trPr>
        <w:tc>
          <w:tcPr>
            <w:tcW w:w="1054"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as at 30/6/13</w:t>
            </w:r>
          </w:p>
        </w:tc>
        <w:tc>
          <w:tcPr>
            <w:tcW w:w="2314" w:type="dxa"/>
            <w:tcBorders>
              <w:top w:val="nil"/>
              <w:left w:val="nil"/>
              <w:bottom w:val="nil"/>
              <w:right w:val="nil"/>
            </w:tcBorders>
            <w:shd w:val="clear" w:color="000000" w:fill="FFFFFF"/>
            <w:noWrap/>
            <w:hideMark/>
          </w:tcPr>
          <w:p w:rsidR="005B0583" w:rsidRDefault="005B0583" w:rsidP="005B0583">
            <w:pPr>
              <w:rPr>
                <w:b/>
                <w:bCs/>
                <w:sz w:val="16"/>
                <w:szCs w:val="16"/>
              </w:rPr>
            </w:pPr>
            <w:r>
              <w:rPr>
                <w:b/>
                <w:bCs/>
                <w:sz w:val="16"/>
                <w:szCs w:val="16"/>
              </w:rPr>
              <w:t xml:space="preserve"> </w:t>
            </w:r>
          </w:p>
        </w:tc>
        <w:tc>
          <w:tcPr>
            <w:tcW w:w="1184"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as at 30/6/17</w:t>
            </w:r>
          </w:p>
        </w:tc>
      </w:tr>
      <w:tr w:rsidR="005B0583" w:rsidTr="005B0583">
        <w:trPr>
          <w:tblHeader/>
        </w:trPr>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2314" w:type="dxa"/>
            <w:tcBorders>
              <w:top w:val="nil"/>
              <w:left w:val="nil"/>
              <w:bottom w:val="single" w:sz="4" w:space="0" w:color="auto"/>
              <w:right w:val="nil"/>
            </w:tcBorders>
            <w:shd w:val="clear" w:color="000000" w:fill="FFFFFF"/>
            <w:noWrap/>
            <w:hideMark/>
          </w:tcPr>
          <w:p w:rsidR="005B0583" w:rsidRDefault="005B0583" w:rsidP="005B0583">
            <w:pPr>
              <w:rPr>
                <w:sz w:val="18"/>
                <w:szCs w:val="18"/>
              </w:rPr>
            </w:pPr>
            <w:r>
              <w:rPr>
                <w:sz w:val="18"/>
                <w:szCs w:val="18"/>
              </w:rPr>
              <w:t> </w:t>
            </w:r>
          </w:p>
        </w:tc>
        <w:tc>
          <w:tcPr>
            <w:tcW w:w="118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r>
      <w:tr w:rsidR="005B0583" w:rsidTr="005B0583">
        <w:trPr>
          <w:tblHeader/>
        </w:trPr>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i/>
                <w:iCs/>
                <w:sz w:val="18"/>
                <w:szCs w:val="18"/>
              </w:rPr>
            </w:pPr>
            <w:r>
              <w:rPr>
                <w:i/>
                <w:iCs/>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Current Assets</w:t>
            </w:r>
          </w:p>
        </w:tc>
        <w:tc>
          <w:tcPr>
            <w:tcW w:w="118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6,824</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Cash and Cash</w:t>
            </w:r>
            <w:r>
              <w:rPr>
                <w:sz w:val="18"/>
                <w:szCs w:val="18"/>
              </w:rPr>
              <w:br/>
              <w:t xml:space="preserve">   Equivalents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5,052</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5,258</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5,464</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5,939</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6,414</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4,522</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Receivables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6,713</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8,627</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29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10,051</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11,512</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13,012</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776</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Other Current Assets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27</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45</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67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63</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81</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99</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12,122</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Total Current Assets</w:t>
            </w:r>
          </w:p>
        </w:tc>
        <w:tc>
          <w:tcPr>
            <w:tcW w:w="118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11,792</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13,930</w:t>
            </w:r>
          </w:p>
        </w:tc>
        <w:tc>
          <w:tcPr>
            <w:tcW w:w="62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xml:space="preserve">18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15,578</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17,532</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19,525</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Non Current Assets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4,621</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Receivables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2,298</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4,533</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97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4,533</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4,533</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4,533</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33,394</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Property, Plant and</w:t>
            </w:r>
            <w:r>
              <w:rPr>
                <w:sz w:val="18"/>
                <w:szCs w:val="18"/>
              </w:rPr>
              <w:br/>
              <w:t xml:space="preserve">   Equipment</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3,078</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2,984</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2,969</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2,994</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3,019</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1,442</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Intangibles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1,513</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1,380</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1,648</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2,396</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1,844</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16,812</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Capital Works in Progress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29,284</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2,146</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-93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2,046</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746</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746</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56,269</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Total Non Current Assets</w:t>
            </w:r>
          </w:p>
        </w:tc>
        <w:tc>
          <w:tcPr>
            <w:tcW w:w="118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36,173</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11,043</w:t>
            </w:r>
          </w:p>
        </w:tc>
        <w:tc>
          <w:tcPr>
            <w:tcW w:w="62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xml:space="preserve">-69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11,196</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10,669</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10,142</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68,391</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TOTAL ASSETS</w:t>
            </w:r>
          </w:p>
        </w:tc>
        <w:tc>
          <w:tcPr>
            <w:tcW w:w="118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47,965</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24,973</w:t>
            </w:r>
          </w:p>
        </w:tc>
        <w:tc>
          <w:tcPr>
            <w:tcW w:w="62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xml:space="preserve">-48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26,774</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28,201</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29,667</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Current Liabilities</w:t>
            </w:r>
          </w:p>
        </w:tc>
        <w:tc>
          <w:tcPr>
            <w:tcW w:w="118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3,942</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Payables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2,930</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3,028</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3,126</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3,224</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3,322</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839</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Finance Leases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812</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846</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880</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914</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948</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18,056</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Employee Benefits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14,251</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14,813</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15,375</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15,938</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16,501</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2,066</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Other Liabilities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885</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872</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858</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844</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830</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24,903</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Total Current Liabilities</w:t>
            </w:r>
          </w:p>
        </w:tc>
        <w:tc>
          <w:tcPr>
            <w:tcW w:w="118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18,878</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19,559</w:t>
            </w:r>
          </w:p>
        </w:tc>
        <w:tc>
          <w:tcPr>
            <w:tcW w:w="62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20,239</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20,920</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21,601</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Non Current Liabilities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600</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Finance Leases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630</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596</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562</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528</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494</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936</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Employee Benefits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1,083</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1,118</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1,153</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1,187</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1,221</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86</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Other</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88</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88</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88</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88</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88</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1,622</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Total Non Current Liabilities</w:t>
            </w:r>
          </w:p>
        </w:tc>
        <w:tc>
          <w:tcPr>
            <w:tcW w:w="118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1,801</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1,802</w:t>
            </w:r>
          </w:p>
        </w:tc>
        <w:tc>
          <w:tcPr>
            <w:tcW w:w="62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1,803</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1,803</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1,803</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26,525</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TOTAL LIABILITIES</w:t>
            </w:r>
          </w:p>
        </w:tc>
        <w:tc>
          <w:tcPr>
            <w:tcW w:w="118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20,679</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21,361</w:t>
            </w:r>
          </w:p>
        </w:tc>
        <w:tc>
          <w:tcPr>
            <w:tcW w:w="62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22,042</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22,723</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23,404</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41,866</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NET ASSETS</w:t>
            </w:r>
          </w:p>
        </w:tc>
        <w:tc>
          <w:tcPr>
            <w:tcW w:w="118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27,286</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3,612</w:t>
            </w:r>
          </w:p>
        </w:tc>
        <w:tc>
          <w:tcPr>
            <w:tcW w:w="62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xml:space="preserve">-87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4,732</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5,478</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6,263</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5B0583" w:rsidRDefault="005B0583" w:rsidP="005B0583">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41,866</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Accumulated Funds</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27,286</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3,612</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xml:space="preserve">-87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4,732</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5,478</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6,263</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41,866</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TOTAL FUNDS EMPLOYED</w:t>
            </w:r>
          </w:p>
        </w:tc>
        <w:tc>
          <w:tcPr>
            <w:tcW w:w="118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27,286</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3,612</w:t>
            </w:r>
          </w:p>
        </w:tc>
        <w:tc>
          <w:tcPr>
            <w:tcW w:w="62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 xml:space="preserve">-87 </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4,732</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5,478</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6,263</w:t>
            </w:r>
          </w:p>
        </w:tc>
      </w:tr>
      <w:tr w:rsidR="005B0583" w:rsidTr="005B0583">
        <w:tc>
          <w:tcPr>
            <w:tcW w:w="1054"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2314" w:type="dxa"/>
            <w:tcBorders>
              <w:top w:val="nil"/>
              <w:left w:val="nil"/>
              <w:bottom w:val="single" w:sz="4" w:space="0" w:color="auto"/>
              <w:right w:val="nil"/>
            </w:tcBorders>
            <w:shd w:val="clear" w:color="000000" w:fill="FFFFFF"/>
            <w:hideMark/>
          </w:tcPr>
          <w:p w:rsidR="005B0583" w:rsidRDefault="005B0583" w:rsidP="005B0583">
            <w:pPr>
              <w:rPr>
                <w:sz w:val="18"/>
                <w:szCs w:val="18"/>
              </w:rPr>
            </w:pPr>
            <w:r>
              <w:rPr>
                <w:sz w:val="18"/>
                <w:szCs w:val="18"/>
              </w:rPr>
              <w:t> </w:t>
            </w:r>
          </w:p>
        </w:tc>
        <w:tc>
          <w:tcPr>
            <w:tcW w:w="1184"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5B0583" w:rsidRDefault="005B0583" w:rsidP="005B0583">
            <w:pPr>
              <w:ind w:left="-283"/>
              <w:jc w:val="right"/>
              <w:rPr>
                <w:sz w:val="18"/>
                <w:szCs w:val="18"/>
              </w:rPr>
            </w:pPr>
            <w:r>
              <w:rPr>
                <w:sz w:val="18"/>
                <w:szCs w:val="18"/>
              </w:rPr>
              <w:t> </w:t>
            </w:r>
          </w:p>
        </w:tc>
      </w:tr>
    </w:tbl>
    <w:p w:rsidR="0042527B" w:rsidRDefault="0042527B">
      <w:pPr>
        <w:rPr>
          <w:rFonts w:ascii="Arial" w:hAnsi="Arial" w:cs="Arial"/>
          <w:b/>
          <w:bCs/>
          <w:szCs w:val="26"/>
        </w:rPr>
      </w:pPr>
      <w:r>
        <w:br w:type="page"/>
      </w:r>
    </w:p>
    <w:tbl>
      <w:tblPr>
        <w:tblW w:w="9356" w:type="dxa"/>
        <w:tblLook w:val="04A0"/>
      </w:tblPr>
      <w:tblGrid>
        <w:gridCol w:w="1054"/>
        <w:gridCol w:w="2392"/>
        <w:gridCol w:w="1106"/>
        <w:gridCol w:w="1054"/>
        <w:gridCol w:w="624"/>
        <w:gridCol w:w="1054"/>
        <w:gridCol w:w="1054"/>
        <w:gridCol w:w="1054"/>
      </w:tblGrid>
      <w:tr w:rsidR="005B0583" w:rsidTr="005B0583">
        <w:trPr>
          <w:tblHeader/>
        </w:trPr>
        <w:tc>
          <w:tcPr>
            <w:tcW w:w="9392" w:type="dxa"/>
            <w:gridSpan w:val="8"/>
            <w:tcBorders>
              <w:top w:val="nil"/>
              <w:left w:val="nil"/>
              <w:bottom w:val="nil"/>
              <w:right w:val="nil"/>
            </w:tcBorders>
            <w:shd w:val="clear" w:color="000000" w:fill="FFFFFF"/>
            <w:noWrap/>
            <w:vAlign w:val="bottom"/>
            <w:hideMark/>
          </w:tcPr>
          <w:p w:rsidR="005B0583" w:rsidRDefault="005B0583" w:rsidP="005B0583">
            <w:pPr>
              <w:jc w:val="center"/>
              <w:rPr>
                <w:rFonts w:ascii="Arial" w:hAnsi="Arial" w:cs="Arial"/>
                <w:b/>
                <w:bCs/>
                <w:szCs w:val="24"/>
              </w:rPr>
            </w:pPr>
            <w:bookmarkStart w:id="2" w:name="RANGE!A1:H31"/>
            <w:r>
              <w:rPr>
                <w:rFonts w:ascii="Arial" w:hAnsi="Arial" w:cs="Arial"/>
                <w:b/>
                <w:bCs/>
              </w:rPr>
              <w:lastRenderedPageBreak/>
              <w:t>Environment and Sustainable Development Directorate</w:t>
            </w:r>
            <w:bookmarkEnd w:id="2"/>
          </w:p>
        </w:tc>
      </w:tr>
      <w:tr w:rsidR="005B0583" w:rsidTr="005B0583">
        <w:trPr>
          <w:tblHeader/>
        </w:trPr>
        <w:tc>
          <w:tcPr>
            <w:tcW w:w="9392" w:type="dxa"/>
            <w:gridSpan w:val="8"/>
            <w:tcBorders>
              <w:top w:val="nil"/>
              <w:left w:val="nil"/>
              <w:bottom w:val="nil"/>
              <w:right w:val="nil"/>
            </w:tcBorders>
            <w:shd w:val="clear" w:color="000000" w:fill="FFFFFF"/>
            <w:noWrap/>
            <w:vAlign w:val="bottom"/>
            <w:hideMark/>
          </w:tcPr>
          <w:p w:rsidR="005B0583" w:rsidRDefault="005B0583" w:rsidP="005B0583">
            <w:pPr>
              <w:jc w:val="center"/>
              <w:rPr>
                <w:rFonts w:ascii="Arial" w:hAnsi="Arial" w:cs="Arial"/>
                <w:b/>
                <w:bCs/>
                <w:szCs w:val="24"/>
              </w:rPr>
            </w:pPr>
            <w:r>
              <w:rPr>
                <w:rFonts w:ascii="Arial" w:hAnsi="Arial" w:cs="Arial"/>
                <w:b/>
                <w:bCs/>
              </w:rPr>
              <w:t>Statement of Changes in Equity</w:t>
            </w:r>
          </w:p>
        </w:tc>
      </w:tr>
      <w:tr w:rsidR="005B0583" w:rsidTr="005B0583">
        <w:trPr>
          <w:tblHeader/>
        </w:trPr>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5B0583" w:rsidRDefault="005B0583" w:rsidP="005B0583">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Estimate</w:t>
            </w:r>
          </w:p>
        </w:tc>
      </w:tr>
      <w:tr w:rsidR="005B0583" w:rsidTr="005B0583">
        <w:trPr>
          <w:tblHeader/>
        </w:trPr>
        <w:tc>
          <w:tcPr>
            <w:tcW w:w="1054"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5B0583" w:rsidRDefault="005B0583" w:rsidP="005B0583">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6"/>
                <w:szCs w:val="16"/>
              </w:rPr>
            </w:pPr>
            <w:r>
              <w:rPr>
                <w:b/>
                <w:bCs/>
                <w:sz w:val="16"/>
                <w:szCs w:val="16"/>
              </w:rPr>
              <w:t>as at 30/6/17</w:t>
            </w:r>
          </w:p>
        </w:tc>
      </w:tr>
      <w:tr w:rsidR="005B0583" w:rsidTr="005B0583">
        <w:trPr>
          <w:tblHeader/>
        </w:trPr>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5B0583" w:rsidRDefault="005B0583" w:rsidP="005B0583">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r>
      <w:tr w:rsidR="005B0583" w:rsidTr="005B0583">
        <w:trPr>
          <w:tblHeader/>
        </w:trPr>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24,114</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19,294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27,286</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41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3,612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4,732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5,478</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24,114</w:t>
            </w:r>
          </w:p>
        </w:tc>
        <w:tc>
          <w:tcPr>
            <w:tcW w:w="2392"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19,294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27,286</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41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3,612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4,732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5,478</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-3,300</w:t>
            </w:r>
          </w:p>
        </w:tc>
        <w:tc>
          <w:tcPr>
            <w:tcW w:w="2392"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-7,837</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-34,129</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-335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-924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-942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-948</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-3,300</w:t>
            </w:r>
          </w:p>
        </w:tc>
        <w:tc>
          <w:tcPr>
            <w:tcW w:w="2392"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-7,837</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-34,129</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-335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-924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-942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-948</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5B0583" w:rsidRDefault="005B0583" w:rsidP="005B0583">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0</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Transactions Involving Owners</w:t>
            </w:r>
          </w:p>
          <w:p w:rsidR="005B0583" w:rsidRDefault="005B0583" w:rsidP="005B0583">
            <w:pPr>
              <w:rPr>
                <w:b/>
                <w:bCs/>
                <w:sz w:val="18"/>
                <w:szCs w:val="18"/>
              </w:rPr>
            </w:pPr>
            <w:r>
              <w:rPr>
                <w:b/>
                <w:bCs/>
                <w:sz w:val="18"/>
                <w:szCs w:val="18"/>
              </w:rPr>
              <w:t xml:space="preserve">   Affecting Accumulated Funds</w:t>
            </w:r>
          </w:p>
          <w:p w:rsidR="005B0583" w:rsidRDefault="005B0583" w:rsidP="005B0583">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21,052</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15,829</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10,455</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-34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2,044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1,688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1,733</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21,052</w:t>
            </w:r>
          </w:p>
        </w:tc>
        <w:tc>
          <w:tcPr>
            <w:tcW w:w="2392"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15,829</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10,455</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-34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2,044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1,688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1,733</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41,866</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27,286</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3,612</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-87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4,732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5,478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6,263</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41,866</w:t>
            </w:r>
          </w:p>
        </w:tc>
        <w:tc>
          <w:tcPr>
            <w:tcW w:w="2392"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27,286</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3,612</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-87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4,732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5,478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6,263</w:t>
            </w:r>
          </w:p>
        </w:tc>
      </w:tr>
      <w:tr w:rsidR="005B0583" w:rsidTr="005B0583">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5B0583" w:rsidRDefault="005B0583" w:rsidP="005B0583">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r>
    </w:tbl>
    <w:p w:rsidR="0042527B" w:rsidRDefault="0042527B">
      <w:pPr>
        <w:rPr>
          <w:rFonts w:ascii="Arial" w:hAnsi="Arial" w:cs="Arial"/>
          <w:b/>
          <w:bCs/>
          <w:szCs w:val="26"/>
        </w:rPr>
      </w:pPr>
      <w:r>
        <w:br w:type="page"/>
      </w:r>
    </w:p>
    <w:tbl>
      <w:tblPr>
        <w:tblW w:w="9356" w:type="dxa"/>
        <w:tblLook w:val="04A0"/>
      </w:tblPr>
      <w:tblGrid>
        <w:gridCol w:w="1054"/>
        <w:gridCol w:w="2314"/>
        <w:gridCol w:w="1184"/>
        <w:gridCol w:w="1054"/>
        <w:gridCol w:w="624"/>
        <w:gridCol w:w="1054"/>
        <w:gridCol w:w="1054"/>
        <w:gridCol w:w="1054"/>
      </w:tblGrid>
      <w:tr w:rsidR="005B0583" w:rsidTr="005B0583">
        <w:trPr>
          <w:tblHeader/>
        </w:trPr>
        <w:tc>
          <w:tcPr>
            <w:tcW w:w="9392" w:type="dxa"/>
            <w:gridSpan w:val="8"/>
            <w:tcBorders>
              <w:top w:val="nil"/>
              <w:left w:val="nil"/>
              <w:bottom w:val="nil"/>
              <w:right w:val="nil"/>
            </w:tcBorders>
            <w:shd w:val="clear" w:color="000000" w:fill="FFFFFF"/>
            <w:noWrap/>
            <w:vAlign w:val="bottom"/>
            <w:hideMark/>
          </w:tcPr>
          <w:p w:rsidR="005B0583" w:rsidRDefault="005B0583" w:rsidP="005B0583">
            <w:pPr>
              <w:jc w:val="center"/>
              <w:rPr>
                <w:rFonts w:ascii="Arial" w:hAnsi="Arial" w:cs="Arial"/>
                <w:b/>
                <w:bCs/>
                <w:szCs w:val="24"/>
              </w:rPr>
            </w:pPr>
            <w:bookmarkStart w:id="3" w:name="RANGE!A1:H49"/>
            <w:r>
              <w:rPr>
                <w:rFonts w:ascii="Arial" w:hAnsi="Arial" w:cs="Arial"/>
                <w:b/>
                <w:bCs/>
              </w:rPr>
              <w:lastRenderedPageBreak/>
              <w:t>Environment and Sustainable Development Directorate</w:t>
            </w:r>
            <w:bookmarkEnd w:id="3"/>
          </w:p>
        </w:tc>
      </w:tr>
      <w:tr w:rsidR="005B0583" w:rsidTr="005B0583">
        <w:trPr>
          <w:tblHeader/>
        </w:trPr>
        <w:tc>
          <w:tcPr>
            <w:tcW w:w="9392" w:type="dxa"/>
            <w:gridSpan w:val="8"/>
            <w:tcBorders>
              <w:top w:val="nil"/>
              <w:left w:val="nil"/>
              <w:bottom w:val="nil"/>
              <w:right w:val="nil"/>
            </w:tcBorders>
            <w:shd w:val="clear" w:color="000000" w:fill="FFFFFF"/>
            <w:noWrap/>
            <w:vAlign w:val="bottom"/>
            <w:hideMark/>
          </w:tcPr>
          <w:p w:rsidR="005B0583" w:rsidRDefault="005B0583" w:rsidP="005B0583">
            <w:pPr>
              <w:jc w:val="center"/>
              <w:rPr>
                <w:rFonts w:ascii="Arial" w:hAnsi="Arial" w:cs="Arial"/>
                <w:b/>
                <w:bCs/>
                <w:szCs w:val="24"/>
              </w:rPr>
            </w:pPr>
            <w:r>
              <w:rPr>
                <w:rFonts w:ascii="Arial" w:hAnsi="Arial" w:cs="Arial"/>
                <w:b/>
                <w:bCs/>
              </w:rPr>
              <w:t>Cash Flow Statement</w:t>
            </w:r>
          </w:p>
        </w:tc>
      </w:tr>
      <w:tr w:rsidR="005B0583" w:rsidTr="005B0583">
        <w:trPr>
          <w:tblHeader/>
        </w:trPr>
        <w:tc>
          <w:tcPr>
            <w:tcW w:w="1054" w:type="dxa"/>
            <w:tcBorders>
              <w:top w:val="single" w:sz="4" w:space="0" w:color="auto"/>
              <w:left w:val="nil"/>
              <w:bottom w:val="nil"/>
              <w:right w:val="nil"/>
            </w:tcBorders>
            <w:shd w:val="clear" w:color="000000" w:fill="FFFFFF"/>
            <w:noWrap/>
            <w:vAlign w:val="bottom"/>
            <w:hideMark/>
          </w:tcPr>
          <w:p w:rsidR="005B0583" w:rsidRDefault="005B0583" w:rsidP="005B0583">
            <w:pPr>
              <w:ind w:left="-283"/>
              <w:jc w:val="right"/>
              <w:rPr>
                <w:b/>
                <w:bCs/>
                <w:sz w:val="18"/>
                <w:szCs w:val="18"/>
              </w:rPr>
            </w:pPr>
            <w:r>
              <w:rPr>
                <w:b/>
                <w:bCs/>
                <w:sz w:val="18"/>
                <w:szCs w:val="18"/>
              </w:rPr>
              <w:t>2012-13</w:t>
            </w:r>
          </w:p>
        </w:tc>
        <w:tc>
          <w:tcPr>
            <w:tcW w:w="2314" w:type="dxa"/>
            <w:tcBorders>
              <w:top w:val="single" w:sz="4" w:space="0" w:color="auto"/>
              <w:left w:val="nil"/>
              <w:bottom w:val="nil"/>
              <w:right w:val="nil"/>
            </w:tcBorders>
            <w:shd w:val="clear" w:color="000000" w:fill="FFFFFF"/>
            <w:noWrap/>
            <w:vAlign w:val="bottom"/>
            <w:hideMark/>
          </w:tcPr>
          <w:p w:rsidR="005B0583" w:rsidRDefault="005B0583" w:rsidP="005B0583">
            <w:pPr>
              <w:rPr>
                <w:b/>
                <w:bCs/>
                <w:sz w:val="18"/>
                <w:szCs w:val="18"/>
              </w:rPr>
            </w:pPr>
            <w:r>
              <w:rPr>
                <w:b/>
                <w:bCs/>
                <w:sz w:val="18"/>
                <w:szCs w:val="18"/>
              </w:rPr>
              <w:t> </w:t>
            </w:r>
          </w:p>
        </w:tc>
        <w:tc>
          <w:tcPr>
            <w:tcW w:w="118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2016-17</w:t>
            </w:r>
          </w:p>
        </w:tc>
      </w:tr>
      <w:tr w:rsidR="005B0583" w:rsidTr="005B0583">
        <w:trPr>
          <w:tblHeader/>
        </w:trPr>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Budget</w:t>
            </w:r>
          </w:p>
        </w:tc>
        <w:tc>
          <w:tcPr>
            <w:tcW w:w="2314" w:type="dxa"/>
            <w:tcBorders>
              <w:top w:val="nil"/>
              <w:left w:val="nil"/>
              <w:bottom w:val="nil"/>
              <w:right w:val="nil"/>
            </w:tcBorders>
            <w:shd w:val="clear" w:color="000000" w:fill="FFFFFF"/>
            <w:noWrap/>
            <w:vAlign w:val="bottom"/>
            <w:hideMark/>
          </w:tcPr>
          <w:p w:rsidR="005B0583" w:rsidRDefault="005B0583" w:rsidP="005B0583">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5B0583" w:rsidRDefault="005B0583" w:rsidP="005B0583">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Estimate</w:t>
            </w:r>
          </w:p>
        </w:tc>
      </w:tr>
      <w:tr w:rsidR="005B0583" w:rsidTr="005B0583">
        <w:trPr>
          <w:tblHeader/>
        </w:trPr>
        <w:tc>
          <w:tcPr>
            <w:tcW w:w="1054" w:type="dxa"/>
            <w:tcBorders>
              <w:top w:val="nil"/>
              <w:left w:val="nil"/>
              <w:bottom w:val="single" w:sz="4" w:space="0" w:color="auto"/>
              <w:right w:val="nil"/>
            </w:tcBorders>
            <w:shd w:val="clear" w:color="000000" w:fill="FFFFFF"/>
            <w:noWrap/>
            <w:vAlign w:val="bottom"/>
            <w:hideMark/>
          </w:tcPr>
          <w:p w:rsidR="005B0583" w:rsidRDefault="005B0583" w:rsidP="005B0583">
            <w:pPr>
              <w:ind w:left="-283"/>
              <w:jc w:val="right"/>
              <w:rPr>
                <w:b/>
                <w:bCs/>
                <w:sz w:val="18"/>
                <w:szCs w:val="18"/>
              </w:rPr>
            </w:pPr>
            <w:r>
              <w:rPr>
                <w:b/>
                <w:bCs/>
                <w:sz w:val="18"/>
                <w:szCs w:val="18"/>
              </w:rPr>
              <w:t>$'000</w:t>
            </w:r>
          </w:p>
        </w:tc>
        <w:tc>
          <w:tcPr>
            <w:tcW w:w="2314" w:type="dxa"/>
            <w:tcBorders>
              <w:top w:val="nil"/>
              <w:left w:val="nil"/>
              <w:bottom w:val="single" w:sz="4" w:space="0" w:color="auto"/>
              <w:right w:val="nil"/>
            </w:tcBorders>
            <w:shd w:val="clear" w:color="000000" w:fill="FFFFFF"/>
            <w:noWrap/>
            <w:vAlign w:val="bottom"/>
            <w:hideMark/>
          </w:tcPr>
          <w:p w:rsidR="005B0583" w:rsidRDefault="005B0583" w:rsidP="005B0583">
            <w:pPr>
              <w:rPr>
                <w:sz w:val="18"/>
                <w:szCs w:val="18"/>
              </w:rPr>
            </w:pPr>
            <w:r>
              <w:rPr>
                <w:sz w:val="18"/>
                <w:szCs w:val="18"/>
              </w:rPr>
              <w:t> </w:t>
            </w:r>
          </w:p>
        </w:tc>
        <w:tc>
          <w:tcPr>
            <w:tcW w:w="118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B0583" w:rsidRDefault="005B0583" w:rsidP="005B0583">
            <w:pPr>
              <w:ind w:left="-283"/>
              <w:jc w:val="right"/>
              <w:rPr>
                <w:b/>
                <w:bCs/>
                <w:sz w:val="18"/>
                <w:szCs w:val="18"/>
              </w:rPr>
            </w:pPr>
            <w:r>
              <w:rPr>
                <w:b/>
                <w:bCs/>
                <w:sz w:val="18"/>
                <w:szCs w:val="18"/>
              </w:rPr>
              <w:t>$'000</w:t>
            </w:r>
          </w:p>
        </w:tc>
      </w:tr>
      <w:tr w:rsidR="005B0583" w:rsidRPr="00AD119F" w:rsidTr="005B0583">
        <w:trPr>
          <w:tblHeader/>
        </w:trPr>
        <w:tc>
          <w:tcPr>
            <w:tcW w:w="1054" w:type="dxa"/>
            <w:tcBorders>
              <w:top w:val="nil"/>
              <w:left w:val="nil"/>
              <w:bottom w:val="nil"/>
              <w:right w:val="nil"/>
            </w:tcBorders>
            <w:shd w:val="clear" w:color="000000" w:fill="FFFFFF"/>
            <w:noWrap/>
            <w:vAlign w:val="bottom"/>
            <w:hideMark/>
          </w:tcPr>
          <w:p w:rsidR="005B0583" w:rsidRPr="00AD119F" w:rsidRDefault="005B0583" w:rsidP="005B0583">
            <w:pPr>
              <w:ind w:left="-283"/>
              <w:rPr>
                <w:b/>
                <w:bCs/>
                <w:sz w:val="10"/>
                <w:szCs w:val="10"/>
              </w:rPr>
            </w:pPr>
            <w:r w:rsidRPr="00AD119F">
              <w:rPr>
                <w:b/>
                <w:bCs/>
                <w:sz w:val="10"/>
                <w:szCs w:val="10"/>
              </w:rPr>
              <w:t> </w:t>
            </w:r>
          </w:p>
        </w:tc>
        <w:tc>
          <w:tcPr>
            <w:tcW w:w="2314" w:type="dxa"/>
            <w:tcBorders>
              <w:top w:val="nil"/>
              <w:left w:val="nil"/>
              <w:bottom w:val="nil"/>
              <w:right w:val="nil"/>
            </w:tcBorders>
            <w:shd w:val="clear" w:color="000000" w:fill="FFFFFF"/>
            <w:noWrap/>
            <w:hideMark/>
          </w:tcPr>
          <w:p w:rsidR="005B0583" w:rsidRPr="00AD119F" w:rsidRDefault="005B0583" w:rsidP="005B0583">
            <w:pPr>
              <w:rPr>
                <w:sz w:val="10"/>
                <w:szCs w:val="10"/>
              </w:rPr>
            </w:pPr>
            <w:r w:rsidRPr="00AD119F">
              <w:rPr>
                <w:sz w:val="10"/>
                <w:szCs w:val="10"/>
              </w:rPr>
              <w:t> </w:t>
            </w:r>
          </w:p>
        </w:tc>
        <w:tc>
          <w:tcPr>
            <w:tcW w:w="118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b/>
                <w:bCs/>
                <w:sz w:val="10"/>
                <w:szCs w:val="10"/>
              </w:rPr>
            </w:pPr>
            <w:r w:rsidRPr="00AD119F">
              <w:rPr>
                <w:b/>
                <w:bCs/>
                <w:sz w:val="10"/>
                <w:szCs w:val="10"/>
              </w:rPr>
              <w:t> </w:t>
            </w:r>
          </w:p>
        </w:tc>
        <w:tc>
          <w:tcPr>
            <w:tcW w:w="624" w:type="dxa"/>
            <w:tcBorders>
              <w:top w:val="nil"/>
              <w:left w:val="nil"/>
              <w:bottom w:val="nil"/>
              <w:right w:val="nil"/>
            </w:tcBorders>
            <w:shd w:val="clear" w:color="000000" w:fill="FFFFFF"/>
            <w:noWrap/>
            <w:hideMark/>
          </w:tcPr>
          <w:p w:rsidR="005B0583" w:rsidRPr="00AD119F" w:rsidRDefault="005B0583" w:rsidP="005B0583">
            <w:pPr>
              <w:ind w:left="-283"/>
              <w:jc w:val="right"/>
              <w:rPr>
                <w:b/>
                <w:bCs/>
                <w:sz w:val="10"/>
                <w:szCs w:val="10"/>
              </w:rPr>
            </w:pPr>
            <w:r w:rsidRPr="00AD119F">
              <w:rPr>
                <w:b/>
                <w:bCs/>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b/>
                <w:bCs/>
                <w:sz w:val="10"/>
                <w:szCs w:val="10"/>
              </w:rPr>
            </w:pPr>
            <w:r w:rsidRPr="00AD119F">
              <w:rPr>
                <w:b/>
                <w:bCs/>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b/>
                <w:bCs/>
                <w:sz w:val="10"/>
                <w:szCs w:val="10"/>
              </w:rPr>
            </w:pPr>
            <w:r w:rsidRPr="00AD119F">
              <w:rPr>
                <w:b/>
                <w:bCs/>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b/>
                <w:bCs/>
                <w:sz w:val="10"/>
                <w:szCs w:val="10"/>
              </w:rPr>
            </w:pPr>
            <w:r w:rsidRPr="00AD119F">
              <w:rPr>
                <w:b/>
                <w:bCs/>
                <w:sz w:val="10"/>
                <w:szCs w:val="10"/>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5B0583" w:rsidRDefault="005B0583" w:rsidP="005B0583">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RPr="00AD119F" w:rsidTr="005B0583">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2314" w:type="dxa"/>
            <w:tcBorders>
              <w:top w:val="nil"/>
              <w:left w:val="nil"/>
              <w:bottom w:val="nil"/>
              <w:right w:val="nil"/>
            </w:tcBorders>
            <w:shd w:val="clear" w:color="000000" w:fill="FFFFFF"/>
            <w:noWrap/>
            <w:hideMark/>
          </w:tcPr>
          <w:p w:rsidR="005B0583" w:rsidRPr="00AD119F" w:rsidRDefault="005B0583" w:rsidP="005B0583">
            <w:pPr>
              <w:rPr>
                <w:b/>
                <w:bCs/>
                <w:sz w:val="10"/>
                <w:szCs w:val="10"/>
              </w:rPr>
            </w:pPr>
            <w:r w:rsidRPr="00AD119F">
              <w:rPr>
                <w:b/>
                <w:bCs/>
                <w:sz w:val="10"/>
                <w:szCs w:val="10"/>
              </w:rPr>
              <w:t> </w:t>
            </w:r>
          </w:p>
        </w:tc>
        <w:tc>
          <w:tcPr>
            <w:tcW w:w="118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62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5B0583" w:rsidRDefault="005B0583" w:rsidP="005B0583">
            <w:pPr>
              <w:rPr>
                <w:b/>
                <w:bCs/>
                <w:sz w:val="18"/>
                <w:szCs w:val="18"/>
              </w:rPr>
            </w:pPr>
            <w:r>
              <w:rPr>
                <w:b/>
                <w:bCs/>
                <w:sz w:val="18"/>
                <w:szCs w:val="18"/>
              </w:rPr>
              <w:t>Receipts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74,824</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Cash from Government</w:t>
            </w:r>
            <w:r>
              <w:rPr>
                <w:sz w:val="18"/>
                <w:szCs w:val="18"/>
              </w:rPr>
              <w:br/>
              <w:t xml:space="preserve">   for Outputs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76,180</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68,992</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65,803</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61,489</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60,878</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6,198</w:t>
            </w:r>
          </w:p>
        </w:tc>
        <w:tc>
          <w:tcPr>
            <w:tcW w:w="2314"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User Charges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4,159</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4,453</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4,588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4,728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4,647</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38</w:t>
            </w:r>
          </w:p>
        </w:tc>
        <w:tc>
          <w:tcPr>
            <w:tcW w:w="2314"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Interest Received</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37</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37</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38</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2,583</w:t>
            </w:r>
          </w:p>
        </w:tc>
        <w:tc>
          <w:tcPr>
            <w:tcW w:w="2314"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Other Receipts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3,680</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2,792</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-24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2,835</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2,882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2,896</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83,643</w:t>
            </w:r>
          </w:p>
        </w:tc>
        <w:tc>
          <w:tcPr>
            <w:tcW w:w="2314" w:type="dxa"/>
            <w:tcBorders>
              <w:top w:val="nil"/>
              <w:left w:val="nil"/>
              <w:bottom w:val="nil"/>
              <w:right w:val="nil"/>
            </w:tcBorders>
            <w:shd w:val="clear" w:color="000000" w:fill="FFFFFF"/>
            <w:noWrap/>
            <w:hideMark/>
          </w:tcPr>
          <w:p w:rsidR="005B0583" w:rsidRDefault="005B0583" w:rsidP="005B0583">
            <w:pPr>
              <w:rPr>
                <w:b/>
                <w:bCs/>
                <w:sz w:val="18"/>
                <w:szCs w:val="18"/>
              </w:rPr>
            </w:pPr>
            <w:r>
              <w:rPr>
                <w:b/>
                <w:bCs/>
                <w:sz w:val="18"/>
                <w:szCs w:val="18"/>
              </w:rPr>
              <w:t>Operating Receipts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84,057</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76,274</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-9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73,263</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69,137</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68,459</w:t>
            </w:r>
          </w:p>
        </w:tc>
      </w:tr>
      <w:tr w:rsidR="005B0583" w:rsidRPr="00AD119F" w:rsidTr="005B0583">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color w:val="0000FF"/>
                <w:sz w:val="10"/>
                <w:szCs w:val="10"/>
              </w:rPr>
            </w:pPr>
            <w:r w:rsidRPr="00AD119F">
              <w:rPr>
                <w:color w:val="0000FF"/>
                <w:sz w:val="10"/>
                <w:szCs w:val="10"/>
              </w:rPr>
              <w:t> </w:t>
            </w:r>
          </w:p>
        </w:tc>
        <w:tc>
          <w:tcPr>
            <w:tcW w:w="2314" w:type="dxa"/>
            <w:tcBorders>
              <w:top w:val="nil"/>
              <w:left w:val="nil"/>
              <w:bottom w:val="nil"/>
              <w:right w:val="nil"/>
            </w:tcBorders>
            <w:shd w:val="clear" w:color="000000" w:fill="FFFFFF"/>
            <w:noWrap/>
            <w:hideMark/>
          </w:tcPr>
          <w:p w:rsidR="005B0583" w:rsidRPr="00AD119F" w:rsidRDefault="005B0583" w:rsidP="005B0583">
            <w:pPr>
              <w:rPr>
                <w:b/>
                <w:bCs/>
                <w:sz w:val="10"/>
                <w:szCs w:val="10"/>
              </w:rPr>
            </w:pPr>
            <w:r w:rsidRPr="00AD119F">
              <w:rPr>
                <w:b/>
                <w:bCs/>
                <w:sz w:val="10"/>
                <w:szCs w:val="10"/>
              </w:rPr>
              <w:t> </w:t>
            </w:r>
          </w:p>
        </w:tc>
        <w:tc>
          <w:tcPr>
            <w:tcW w:w="1184" w:type="dxa"/>
            <w:tcBorders>
              <w:top w:val="nil"/>
              <w:left w:val="nil"/>
              <w:bottom w:val="nil"/>
              <w:right w:val="nil"/>
            </w:tcBorders>
            <w:shd w:val="clear" w:color="000000" w:fill="FFFFFF"/>
            <w:noWrap/>
            <w:hideMark/>
          </w:tcPr>
          <w:p w:rsidR="005B0583" w:rsidRPr="00AD119F" w:rsidRDefault="005B0583" w:rsidP="005B0583">
            <w:pPr>
              <w:ind w:left="-283"/>
              <w:jc w:val="right"/>
              <w:rPr>
                <w:b/>
                <w:bCs/>
                <w:sz w:val="10"/>
                <w:szCs w:val="10"/>
              </w:rPr>
            </w:pPr>
            <w:r w:rsidRPr="00AD119F">
              <w:rPr>
                <w:b/>
                <w:bCs/>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color w:val="0000FF"/>
                <w:sz w:val="10"/>
                <w:szCs w:val="10"/>
              </w:rPr>
            </w:pPr>
            <w:r w:rsidRPr="00AD119F">
              <w:rPr>
                <w:color w:val="0000FF"/>
                <w:sz w:val="10"/>
                <w:szCs w:val="10"/>
              </w:rPr>
              <w:t> </w:t>
            </w:r>
          </w:p>
        </w:tc>
        <w:tc>
          <w:tcPr>
            <w:tcW w:w="624" w:type="dxa"/>
            <w:tcBorders>
              <w:top w:val="nil"/>
              <w:left w:val="nil"/>
              <w:bottom w:val="nil"/>
              <w:right w:val="nil"/>
            </w:tcBorders>
            <w:shd w:val="clear" w:color="000000" w:fill="FFFFFF"/>
            <w:noWrap/>
            <w:hideMark/>
          </w:tcPr>
          <w:p w:rsidR="005B0583" w:rsidRPr="00AD119F" w:rsidRDefault="005B0583" w:rsidP="005B0583">
            <w:pPr>
              <w:ind w:left="-283"/>
              <w:jc w:val="right"/>
              <w:rPr>
                <w:color w:val="0000FF"/>
                <w:sz w:val="10"/>
                <w:szCs w:val="10"/>
              </w:rPr>
            </w:pPr>
            <w:r w:rsidRPr="00AD119F">
              <w:rPr>
                <w:color w:val="0000FF"/>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color w:val="0000FF"/>
                <w:sz w:val="10"/>
                <w:szCs w:val="10"/>
              </w:rPr>
            </w:pPr>
            <w:r w:rsidRPr="00AD119F">
              <w:rPr>
                <w:color w:val="0000FF"/>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color w:val="0000FF"/>
                <w:sz w:val="10"/>
                <w:szCs w:val="10"/>
              </w:rPr>
            </w:pPr>
            <w:r w:rsidRPr="00AD119F">
              <w:rPr>
                <w:color w:val="0000FF"/>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color w:val="0000FF"/>
                <w:sz w:val="10"/>
                <w:szCs w:val="10"/>
              </w:rPr>
            </w:pPr>
            <w:r w:rsidRPr="00AD119F">
              <w:rPr>
                <w:color w:val="0000FF"/>
                <w:sz w:val="10"/>
                <w:szCs w:val="10"/>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color w:val="0000FF"/>
                <w:sz w:val="18"/>
                <w:szCs w:val="18"/>
              </w:rPr>
            </w:pPr>
            <w:r>
              <w:rPr>
                <w:color w:val="0000FF"/>
                <w:sz w:val="18"/>
                <w:szCs w:val="18"/>
              </w:rPr>
              <w:t> </w:t>
            </w:r>
          </w:p>
        </w:tc>
        <w:tc>
          <w:tcPr>
            <w:tcW w:w="2314" w:type="dxa"/>
            <w:tcBorders>
              <w:top w:val="nil"/>
              <w:left w:val="nil"/>
              <w:bottom w:val="nil"/>
              <w:right w:val="nil"/>
            </w:tcBorders>
            <w:shd w:val="clear" w:color="000000" w:fill="FFFFFF"/>
            <w:noWrap/>
            <w:hideMark/>
          </w:tcPr>
          <w:p w:rsidR="005B0583" w:rsidRDefault="005B0583" w:rsidP="005B0583">
            <w:pPr>
              <w:rPr>
                <w:b/>
                <w:bCs/>
                <w:sz w:val="18"/>
                <w:szCs w:val="18"/>
              </w:rPr>
            </w:pPr>
            <w:r>
              <w:rPr>
                <w:b/>
                <w:bCs/>
                <w:sz w:val="18"/>
                <w:szCs w:val="18"/>
              </w:rPr>
              <w:t>Payments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color w:val="0000FF"/>
                <w:sz w:val="18"/>
                <w:szCs w:val="18"/>
              </w:rPr>
            </w:pPr>
            <w:r>
              <w:rPr>
                <w:color w:val="0000FF"/>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36,323</w:t>
            </w:r>
          </w:p>
        </w:tc>
        <w:tc>
          <w:tcPr>
            <w:tcW w:w="2314"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Related to Employees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39,399</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36,320</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-8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34,720</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33,768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33,466</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5,908</w:t>
            </w:r>
          </w:p>
        </w:tc>
        <w:tc>
          <w:tcPr>
            <w:tcW w:w="2314"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Related to Superannuation</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6,482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6,355</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6,234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6,174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6,100</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33,014</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Related to Supplies and</w:t>
            </w:r>
            <w:r>
              <w:rPr>
                <w:sz w:val="18"/>
                <w:szCs w:val="18"/>
              </w:rPr>
              <w:br/>
              <w:t xml:space="preserve">   Services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32,046</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27,392</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-15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24,822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21,147</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20,873</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61</w:t>
            </w:r>
          </w:p>
        </w:tc>
        <w:tc>
          <w:tcPr>
            <w:tcW w:w="2314"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Borrowing Costs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96</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98</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101</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103</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106</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1,812</w:t>
            </w:r>
          </w:p>
        </w:tc>
        <w:tc>
          <w:tcPr>
            <w:tcW w:w="2314" w:type="dxa"/>
            <w:tcBorders>
              <w:top w:val="nil"/>
              <w:left w:val="nil"/>
              <w:bottom w:val="nil"/>
              <w:right w:val="nil"/>
            </w:tcBorders>
            <w:shd w:val="clear" w:color="000000" w:fill="FFFFFF"/>
            <w:noWrap/>
            <w:hideMark/>
          </w:tcPr>
          <w:p w:rsidR="005B0583" w:rsidRDefault="005B0583" w:rsidP="003E27DF">
            <w:pPr>
              <w:ind w:left="142" w:hanging="142"/>
              <w:rPr>
                <w:sz w:val="18"/>
                <w:szCs w:val="18"/>
              </w:rPr>
            </w:pPr>
            <w:r>
              <w:rPr>
                <w:sz w:val="18"/>
                <w:szCs w:val="18"/>
              </w:rPr>
              <w:t>Grants and Purchased Services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3,342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975</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-71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623</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647</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388</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3,937</w:t>
            </w:r>
          </w:p>
        </w:tc>
        <w:tc>
          <w:tcPr>
            <w:tcW w:w="2314"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Other</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4,521</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3,149</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-30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3,247</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3,482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3,806</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2,385</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Territory Receipts to</w:t>
            </w:r>
            <w:r>
              <w:rPr>
                <w:sz w:val="18"/>
                <w:szCs w:val="18"/>
              </w:rPr>
              <w:br/>
              <w:t xml:space="preserve">   Government</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1,779</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3,310</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3,341</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3,245</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83,440</w:t>
            </w:r>
          </w:p>
        </w:tc>
        <w:tc>
          <w:tcPr>
            <w:tcW w:w="2314" w:type="dxa"/>
            <w:tcBorders>
              <w:top w:val="nil"/>
              <w:left w:val="nil"/>
              <w:bottom w:val="nil"/>
              <w:right w:val="nil"/>
            </w:tcBorders>
            <w:shd w:val="clear" w:color="000000" w:fill="FFFFFF"/>
            <w:noWrap/>
            <w:hideMark/>
          </w:tcPr>
          <w:p w:rsidR="005B0583" w:rsidRDefault="005B0583" w:rsidP="005B0583">
            <w:pPr>
              <w:rPr>
                <w:b/>
                <w:bCs/>
                <w:sz w:val="18"/>
                <w:szCs w:val="18"/>
              </w:rPr>
            </w:pPr>
            <w:r>
              <w:rPr>
                <w:b/>
                <w:bCs/>
                <w:sz w:val="18"/>
                <w:szCs w:val="18"/>
              </w:rPr>
              <w:t>Operating Payments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85,886</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76,068</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-11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73,057</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68,662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67,984</w:t>
            </w:r>
          </w:p>
        </w:tc>
      </w:tr>
      <w:tr w:rsidR="005B0583" w:rsidRPr="00AD119F" w:rsidTr="005B0583">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2314" w:type="dxa"/>
            <w:tcBorders>
              <w:top w:val="nil"/>
              <w:left w:val="nil"/>
              <w:bottom w:val="nil"/>
              <w:right w:val="nil"/>
            </w:tcBorders>
            <w:shd w:val="clear" w:color="000000" w:fill="FFFFFF"/>
            <w:noWrap/>
            <w:hideMark/>
          </w:tcPr>
          <w:p w:rsidR="005B0583" w:rsidRPr="00AD119F" w:rsidRDefault="005B0583" w:rsidP="005B0583">
            <w:pPr>
              <w:rPr>
                <w:sz w:val="10"/>
                <w:szCs w:val="10"/>
              </w:rPr>
            </w:pPr>
            <w:r w:rsidRPr="00AD119F">
              <w:rPr>
                <w:sz w:val="10"/>
                <w:szCs w:val="10"/>
              </w:rPr>
              <w:t> </w:t>
            </w:r>
          </w:p>
        </w:tc>
        <w:tc>
          <w:tcPr>
            <w:tcW w:w="118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62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203</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-1,829</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206</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111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206</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475</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475</w:t>
            </w:r>
          </w:p>
        </w:tc>
      </w:tr>
      <w:tr w:rsidR="005B0583" w:rsidRPr="00AD119F" w:rsidTr="005B0583">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color w:val="0000FF"/>
                <w:sz w:val="10"/>
                <w:szCs w:val="10"/>
              </w:rPr>
            </w:pPr>
            <w:r w:rsidRPr="00AD119F">
              <w:rPr>
                <w:color w:val="0000FF"/>
                <w:sz w:val="10"/>
                <w:szCs w:val="10"/>
              </w:rPr>
              <w:t> </w:t>
            </w:r>
          </w:p>
        </w:tc>
        <w:tc>
          <w:tcPr>
            <w:tcW w:w="2314" w:type="dxa"/>
            <w:tcBorders>
              <w:top w:val="nil"/>
              <w:left w:val="nil"/>
              <w:bottom w:val="nil"/>
              <w:right w:val="nil"/>
            </w:tcBorders>
            <w:shd w:val="clear" w:color="000000" w:fill="FFFFFF"/>
            <w:noWrap/>
            <w:hideMark/>
          </w:tcPr>
          <w:p w:rsidR="005B0583" w:rsidRPr="00AD119F" w:rsidRDefault="005B0583" w:rsidP="005B0583">
            <w:pPr>
              <w:rPr>
                <w:b/>
                <w:bCs/>
                <w:sz w:val="10"/>
                <w:szCs w:val="10"/>
              </w:rPr>
            </w:pPr>
            <w:r w:rsidRPr="00AD119F">
              <w:rPr>
                <w:b/>
                <w:bCs/>
                <w:sz w:val="10"/>
                <w:szCs w:val="10"/>
              </w:rPr>
              <w:t> </w:t>
            </w:r>
          </w:p>
        </w:tc>
        <w:tc>
          <w:tcPr>
            <w:tcW w:w="1184" w:type="dxa"/>
            <w:tcBorders>
              <w:top w:val="nil"/>
              <w:left w:val="nil"/>
              <w:bottom w:val="nil"/>
              <w:right w:val="nil"/>
            </w:tcBorders>
            <w:shd w:val="clear" w:color="000000" w:fill="FFFFFF"/>
            <w:noWrap/>
            <w:hideMark/>
          </w:tcPr>
          <w:p w:rsidR="005B0583" w:rsidRPr="00AD119F" w:rsidRDefault="005B0583" w:rsidP="005B0583">
            <w:pPr>
              <w:ind w:left="-283"/>
              <w:jc w:val="right"/>
              <w:rPr>
                <w:b/>
                <w:bCs/>
                <w:sz w:val="10"/>
                <w:szCs w:val="10"/>
              </w:rPr>
            </w:pPr>
            <w:r w:rsidRPr="00AD119F">
              <w:rPr>
                <w:b/>
                <w:bCs/>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color w:val="0000FF"/>
                <w:sz w:val="10"/>
                <w:szCs w:val="10"/>
              </w:rPr>
            </w:pPr>
            <w:r w:rsidRPr="00AD119F">
              <w:rPr>
                <w:color w:val="0000FF"/>
                <w:sz w:val="10"/>
                <w:szCs w:val="10"/>
              </w:rPr>
              <w:t> </w:t>
            </w:r>
          </w:p>
        </w:tc>
        <w:tc>
          <w:tcPr>
            <w:tcW w:w="624" w:type="dxa"/>
            <w:tcBorders>
              <w:top w:val="nil"/>
              <w:left w:val="nil"/>
              <w:bottom w:val="nil"/>
              <w:right w:val="nil"/>
            </w:tcBorders>
            <w:shd w:val="clear" w:color="000000" w:fill="FFFFFF"/>
            <w:noWrap/>
            <w:hideMark/>
          </w:tcPr>
          <w:p w:rsidR="005B0583" w:rsidRPr="00AD119F" w:rsidRDefault="005B0583" w:rsidP="005B0583">
            <w:pPr>
              <w:ind w:left="-283"/>
              <w:jc w:val="right"/>
              <w:rPr>
                <w:color w:val="0000FF"/>
                <w:sz w:val="10"/>
                <w:szCs w:val="10"/>
              </w:rPr>
            </w:pPr>
            <w:r w:rsidRPr="00AD119F">
              <w:rPr>
                <w:color w:val="0000FF"/>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color w:val="0000FF"/>
                <w:sz w:val="10"/>
                <w:szCs w:val="10"/>
              </w:rPr>
            </w:pPr>
            <w:r w:rsidRPr="00AD119F">
              <w:rPr>
                <w:color w:val="0000FF"/>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color w:val="0000FF"/>
                <w:sz w:val="10"/>
                <w:szCs w:val="10"/>
              </w:rPr>
            </w:pPr>
            <w:r w:rsidRPr="00AD119F">
              <w:rPr>
                <w:color w:val="0000FF"/>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color w:val="0000FF"/>
                <w:sz w:val="10"/>
                <w:szCs w:val="10"/>
              </w:rPr>
            </w:pPr>
            <w:r w:rsidRPr="00AD119F">
              <w:rPr>
                <w:color w:val="0000FF"/>
                <w:sz w:val="10"/>
                <w:szCs w:val="10"/>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5B0583" w:rsidRDefault="005B0583" w:rsidP="005B0583">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RPr="00AD119F" w:rsidTr="005B0583">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2314" w:type="dxa"/>
            <w:tcBorders>
              <w:top w:val="nil"/>
              <w:left w:val="nil"/>
              <w:bottom w:val="nil"/>
              <w:right w:val="nil"/>
            </w:tcBorders>
            <w:shd w:val="clear" w:color="000000" w:fill="FFFFFF"/>
            <w:noWrap/>
            <w:hideMark/>
          </w:tcPr>
          <w:p w:rsidR="005B0583" w:rsidRPr="00AD119F" w:rsidRDefault="005B0583" w:rsidP="005B0583">
            <w:pPr>
              <w:rPr>
                <w:b/>
                <w:bCs/>
                <w:sz w:val="10"/>
                <w:szCs w:val="10"/>
              </w:rPr>
            </w:pPr>
            <w:r w:rsidRPr="00AD119F">
              <w:rPr>
                <w:b/>
                <w:bCs/>
                <w:sz w:val="10"/>
                <w:szCs w:val="10"/>
              </w:rPr>
              <w:t> </w:t>
            </w:r>
          </w:p>
        </w:tc>
        <w:tc>
          <w:tcPr>
            <w:tcW w:w="118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62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color w:val="0000FF"/>
                <w:sz w:val="18"/>
                <w:szCs w:val="18"/>
              </w:rPr>
            </w:pPr>
            <w:r>
              <w:rPr>
                <w:color w:val="0000FF"/>
                <w:sz w:val="18"/>
                <w:szCs w:val="18"/>
              </w:rPr>
              <w:t> </w:t>
            </w:r>
          </w:p>
        </w:tc>
        <w:tc>
          <w:tcPr>
            <w:tcW w:w="2314" w:type="dxa"/>
            <w:tcBorders>
              <w:top w:val="nil"/>
              <w:left w:val="nil"/>
              <w:bottom w:val="nil"/>
              <w:right w:val="nil"/>
            </w:tcBorders>
            <w:shd w:val="clear" w:color="000000" w:fill="FFFFFF"/>
            <w:noWrap/>
            <w:hideMark/>
          </w:tcPr>
          <w:p w:rsidR="005B0583" w:rsidRDefault="005B0583" w:rsidP="005B0583">
            <w:pPr>
              <w:rPr>
                <w:b/>
                <w:bCs/>
                <w:sz w:val="18"/>
                <w:szCs w:val="18"/>
              </w:rPr>
            </w:pPr>
            <w:r>
              <w:rPr>
                <w:b/>
                <w:bCs/>
                <w:sz w:val="18"/>
                <w:szCs w:val="18"/>
              </w:rPr>
              <w:t>Payments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color w:val="0000FF"/>
                <w:sz w:val="18"/>
                <w:szCs w:val="18"/>
              </w:rPr>
            </w:pPr>
            <w:r>
              <w:rPr>
                <w:color w:val="0000FF"/>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16,052</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11,551</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6,318</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-45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630</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237</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243</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5,000</w:t>
            </w:r>
          </w:p>
        </w:tc>
        <w:tc>
          <w:tcPr>
            <w:tcW w:w="2314" w:type="dxa"/>
            <w:tcBorders>
              <w:top w:val="nil"/>
              <w:left w:val="nil"/>
              <w:bottom w:val="nil"/>
              <w:right w:val="nil"/>
            </w:tcBorders>
            <w:shd w:val="clear" w:color="000000" w:fill="FFFFFF"/>
            <w:noWrap/>
            <w:hideMark/>
          </w:tcPr>
          <w:p w:rsidR="005B0583" w:rsidRDefault="005B0583" w:rsidP="005B0583">
            <w:pPr>
              <w:rPr>
                <w:sz w:val="18"/>
                <w:szCs w:val="18"/>
              </w:rPr>
            </w:pPr>
            <w:r>
              <w:rPr>
                <w:sz w:val="18"/>
                <w:szCs w:val="18"/>
              </w:rPr>
              <w:t xml:space="preserve">Issue of Loan </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4,278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4,137</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1,414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1,451</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1,490</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21,052</w:t>
            </w:r>
          </w:p>
        </w:tc>
        <w:tc>
          <w:tcPr>
            <w:tcW w:w="2314" w:type="dxa"/>
            <w:tcBorders>
              <w:top w:val="nil"/>
              <w:left w:val="nil"/>
              <w:bottom w:val="nil"/>
              <w:right w:val="nil"/>
            </w:tcBorders>
            <w:shd w:val="clear" w:color="000000" w:fill="FFFFFF"/>
            <w:noWrap/>
            <w:hideMark/>
          </w:tcPr>
          <w:p w:rsidR="005B0583" w:rsidRDefault="005B0583" w:rsidP="005B0583">
            <w:pPr>
              <w:rPr>
                <w:b/>
                <w:bCs/>
                <w:sz w:val="18"/>
                <w:szCs w:val="18"/>
              </w:rPr>
            </w:pPr>
            <w:r>
              <w:rPr>
                <w:b/>
                <w:bCs/>
                <w:sz w:val="18"/>
                <w:szCs w:val="18"/>
              </w:rPr>
              <w:t>Investing Payments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15,829</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10,455</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-34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2,044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1,688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1,733</w:t>
            </w:r>
          </w:p>
        </w:tc>
      </w:tr>
      <w:tr w:rsidR="005B0583" w:rsidRPr="00AD119F" w:rsidTr="005B0583">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2314" w:type="dxa"/>
            <w:tcBorders>
              <w:top w:val="nil"/>
              <w:left w:val="nil"/>
              <w:bottom w:val="nil"/>
              <w:right w:val="nil"/>
            </w:tcBorders>
            <w:shd w:val="clear" w:color="000000" w:fill="FFFFFF"/>
            <w:noWrap/>
            <w:hideMark/>
          </w:tcPr>
          <w:p w:rsidR="005B0583" w:rsidRPr="00AD119F" w:rsidRDefault="005B0583" w:rsidP="005B0583">
            <w:pPr>
              <w:rPr>
                <w:sz w:val="10"/>
                <w:szCs w:val="10"/>
              </w:rPr>
            </w:pPr>
            <w:r w:rsidRPr="00AD119F">
              <w:rPr>
                <w:sz w:val="10"/>
                <w:szCs w:val="10"/>
              </w:rPr>
              <w:t> </w:t>
            </w:r>
          </w:p>
        </w:tc>
        <w:tc>
          <w:tcPr>
            <w:tcW w:w="118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62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-21,052</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-15,829</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-10,455</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34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-2,044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-1,688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-1,733</w:t>
            </w:r>
          </w:p>
        </w:tc>
      </w:tr>
      <w:tr w:rsidR="005B0583" w:rsidRPr="00AD119F" w:rsidTr="005B0583">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2314" w:type="dxa"/>
            <w:tcBorders>
              <w:top w:val="nil"/>
              <w:left w:val="nil"/>
              <w:bottom w:val="nil"/>
              <w:right w:val="nil"/>
            </w:tcBorders>
            <w:shd w:val="clear" w:color="000000" w:fill="FFFFFF"/>
            <w:noWrap/>
            <w:hideMark/>
          </w:tcPr>
          <w:p w:rsidR="005B0583" w:rsidRPr="00AD119F" w:rsidRDefault="005B0583" w:rsidP="005B0583">
            <w:pPr>
              <w:rPr>
                <w:b/>
                <w:bCs/>
                <w:sz w:val="10"/>
                <w:szCs w:val="10"/>
              </w:rPr>
            </w:pPr>
            <w:r w:rsidRPr="00AD119F">
              <w:rPr>
                <w:b/>
                <w:bCs/>
                <w:sz w:val="10"/>
                <w:szCs w:val="10"/>
              </w:rPr>
              <w:t> </w:t>
            </w:r>
          </w:p>
        </w:tc>
        <w:tc>
          <w:tcPr>
            <w:tcW w:w="1184" w:type="dxa"/>
            <w:tcBorders>
              <w:top w:val="nil"/>
              <w:left w:val="nil"/>
              <w:bottom w:val="nil"/>
              <w:right w:val="nil"/>
            </w:tcBorders>
            <w:shd w:val="clear" w:color="000000" w:fill="FFFFFF"/>
            <w:noWrap/>
            <w:hideMark/>
          </w:tcPr>
          <w:p w:rsidR="005B0583" w:rsidRPr="00AD119F" w:rsidRDefault="005B0583" w:rsidP="005B0583">
            <w:pPr>
              <w:ind w:left="-283"/>
              <w:jc w:val="right"/>
              <w:rPr>
                <w:b/>
                <w:bCs/>
                <w:sz w:val="10"/>
                <w:szCs w:val="10"/>
              </w:rPr>
            </w:pPr>
            <w:r w:rsidRPr="00AD119F">
              <w:rPr>
                <w:b/>
                <w:bCs/>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62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CASH FLOWS FROM</w:t>
            </w:r>
            <w:r>
              <w:rPr>
                <w:b/>
                <w:bCs/>
                <w:sz w:val="18"/>
                <w:szCs w:val="18"/>
              </w:rPr>
              <w:br/>
              <w:t xml:space="preserve">   FINANCING ACTIVITIES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RPr="00AD119F" w:rsidTr="005B0583">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2314" w:type="dxa"/>
            <w:tcBorders>
              <w:top w:val="nil"/>
              <w:left w:val="nil"/>
              <w:bottom w:val="nil"/>
              <w:right w:val="nil"/>
            </w:tcBorders>
            <w:shd w:val="clear" w:color="000000" w:fill="FFFFFF"/>
            <w:noWrap/>
            <w:hideMark/>
          </w:tcPr>
          <w:p w:rsidR="005B0583" w:rsidRPr="00AD119F" w:rsidRDefault="005B0583" w:rsidP="005B0583">
            <w:pPr>
              <w:rPr>
                <w:b/>
                <w:bCs/>
                <w:sz w:val="10"/>
                <w:szCs w:val="10"/>
              </w:rPr>
            </w:pPr>
            <w:r w:rsidRPr="00AD119F">
              <w:rPr>
                <w:b/>
                <w:bCs/>
                <w:sz w:val="10"/>
                <w:szCs w:val="10"/>
              </w:rPr>
              <w:t> </w:t>
            </w:r>
          </w:p>
        </w:tc>
        <w:tc>
          <w:tcPr>
            <w:tcW w:w="118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62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5B0583" w:rsidRDefault="005B0583" w:rsidP="005B0583">
            <w:pPr>
              <w:rPr>
                <w:b/>
                <w:bCs/>
                <w:sz w:val="18"/>
                <w:szCs w:val="18"/>
              </w:rPr>
            </w:pPr>
            <w:r>
              <w:rPr>
                <w:b/>
                <w:bCs/>
                <w:sz w:val="18"/>
                <w:szCs w:val="18"/>
              </w:rPr>
              <w:t>Receipts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21,052</w:t>
            </w:r>
          </w:p>
        </w:tc>
        <w:tc>
          <w:tcPr>
            <w:tcW w:w="2314" w:type="dxa"/>
            <w:tcBorders>
              <w:top w:val="nil"/>
              <w:left w:val="nil"/>
              <w:bottom w:val="nil"/>
              <w:right w:val="nil"/>
            </w:tcBorders>
            <w:shd w:val="clear" w:color="000000" w:fill="FFFFFF"/>
            <w:hideMark/>
          </w:tcPr>
          <w:p w:rsidR="005B0583" w:rsidRDefault="005B0583" w:rsidP="005B0583">
            <w:pPr>
              <w:rPr>
                <w:sz w:val="18"/>
                <w:szCs w:val="18"/>
              </w:rPr>
            </w:pPr>
            <w:r>
              <w:rPr>
                <w:sz w:val="18"/>
                <w:szCs w:val="18"/>
              </w:rPr>
              <w:t>Capital Injections from</w:t>
            </w:r>
            <w:r>
              <w:rPr>
                <w:sz w:val="18"/>
                <w:szCs w:val="18"/>
              </w:rPr>
              <w:br/>
              <w:t xml:space="preserve">   Government</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15,829</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10,455</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 xml:space="preserve">-34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2,044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1,688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sz w:val="18"/>
                <w:szCs w:val="18"/>
              </w:rPr>
            </w:pPr>
            <w:r>
              <w:rPr>
                <w:sz w:val="18"/>
                <w:szCs w:val="18"/>
              </w:rPr>
              <w:t>1,733</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21,052</w:t>
            </w:r>
          </w:p>
        </w:tc>
        <w:tc>
          <w:tcPr>
            <w:tcW w:w="2314" w:type="dxa"/>
            <w:tcBorders>
              <w:top w:val="nil"/>
              <w:left w:val="nil"/>
              <w:bottom w:val="nil"/>
              <w:right w:val="nil"/>
            </w:tcBorders>
            <w:shd w:val="clear" w:color="000000" w:fill="FFFFFF"/>
            <w:noWrap/>
            <w:hideMark/>
          </w:tcPr>
          <w:p w:rsidR="005B0583" w:rsidRDefault="005B0583" w:rsidP="005B0583">
            <w:pPr>
              <w:rPr>
                <w:b/>
                <w:bCs/>
                <w:sz w:val="18"/>
                <w:szCs w:val="18"/>
              </w:rPr>
            </w:pPr>
            <w:r>
              <w:rPr>
                <w:b/>
                <w:bCs/>
                <w:sz w:val="18"/>
                <w:szCs w:val="18"/>
              </w:rPr>
              <w:t>Financing Receipts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15,829</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10,455</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-34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2,044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1,688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1,733</w:t>
            </w:r>
          </w:p>
        </w:tc>
      </w:tr>
      <w:tr w:rsidR="005B0583" w:rsidRPr="00AD119F" w:rsidTr="005B0583">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2314" w:type="dxa"/>
            <w:tcBorders>
              <w:top w:val="nil"/>
              <w:left w:val="nil"/>
              <w:bottom w:val="nil"/>
              <w:right w:val="nil"/>
            </w:tcBorders>
            <w:shd w:val="clear" w:color="000000" w:fill="FFFFFF"/>
            <w:noWrap/>
            <w:hideMark/>
          </w:tcPr>
          <w:p w:rsidR="005B0583" w:rsidRPr="00AD119F" w:rsidRDefault="005B0583" w:rsidP="005B0583">
            <w:pPr>
              <w:rPr>
                <w:b/>
                <w:bCs/>
                <w:sz w:val="10"/>
                <w:szCs w:val="10"/>
              </w:rPr>
            </w:pPr>
            <w:r w:rsidRPr="00AD119F">
              <w:rPr>
                <w:b/>
                <w:bCs/>
                <w:sz w:val="10"/>
                <w:szCs w:val="10"/>
              </w:rPr>
              <w:t> </w:t>
            </w:r>
          </w:p>
        </w:tc>
        <w:tc>
          <w:tcPr>
            <w:tcW w:w="1184" w:type="dxa"/>
            <w:tcBorders>
              <w:top w:val="nil"/>
              <w:left w:val="nil"/>
              <w:bottom w:val="nil"/>
              <w:right w:val="nil"/>
            </w:tcBorders>
            <w:shd w:val="clear" w:color="000000" w:fill="FFFFFF"/>
            <w:noWrap/>
            <w:hideMark/>
          </w:tcPr>
          <w:p w:rsidR="005B0583" w:rsidRPr="00AD119F" w:rsidRDefault="005B0583" w:rsidP="005B0583">
            <w:pPr>
              <w:ind w:left="-283"/>
              <w:jc w:val="right"/>
              <w:rPr>
                <w:b/>
                <w:bCs/>
                <w:sz w:val="10"/>
                <w:szCs w:val="10"/>
              </w:rPr>
            </w:pPr>
            <w:r w:rsidRPr="00AD119F">
              <w:rPr>
                <w:b/>
                <w:bCs/>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62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21,052</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15,829</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10,455</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-34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2,044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1,688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1,733</w:t>
            </w:r>
          </w:p>
        </w:tc>
      </w:tr>
      <w:tr w:rsidR="005B0583" w:rsidRPr="00AD119F" w:rsidTr="005B0583">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2314" w:type="dxa"/>
            <w:tcBorders>
              <w:top w:val="nil"/>
              <w:left w:val="nil"/>
              <w:bottom w:val="nil"/>
              <w:right w:val="nil"/>
            </w:tcBorders>
            <w:shd w:val="clear" w:color="000000" w:fill="FFFFFF"/>
            <w:noWrap/>
            <w:hideMark/>
          </w:tcPr>
          <w:p w:rsidR="005B0583" w:rsidRPr="00AD119F" w:rsidRDefault="005B0583" w:rsidP="005B0583">
            <w:pPr>
              <w:rPr>
                <w:b/>
                <w:bCs/>
                <w:sz w:val="10"/>
                <w:szCs w:val="10"/>
              </w:rPr>
            </w:pPr>
            <w:r w:rsidRPr="00AD119F">
              <w:rPr>
                <w:b/>
                <w:bCs/>
                <w:sz w:val="10"/>
                <w:szCs w:val="10"/>
              </w:rPr>
              <w:t> </w:t>
            </w:r>
          </w:p>
        </w:tc>
        <w:tc>
          <w:tcPr>
            <w:tcW w:w="1184" w:type="dxa"/>
            <w:tcBorders>
              <w:top w:val="nil"/>
              <w:left w:val="nil"/>
              <w:bottom w:val="nil"/>
              <w:right w:val="nil"/>
            </w:tcBorders>
            <w:shd w:val="clear" w:color="000000" w:fill="FFFFFF"/>
            <w:noWrap/>
            <w:hideMark/>
          </w:tcPr>
          <w:p w:rsidR="005B0583" w:rsidRPr="00AD119F" w:rsidRDefault="005B0583" w:rsidP="005B0583">
            <w:pPr>
              <w:ind w:left="-283"/>
              <w:jc w:val="right"/>
              <w:rPr>
                <w:b/>
                <w:bCs/>
                <w:sz w:val="10"/>
                <w:szCs w:val="10"/>
              </w:rPr>
            </w:pPr>
            <w:r w:rsidRPr="00AD119F">
              <w:rPr>
                <w:b/>
                <w:bCs/>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62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203</w:t>
            </w:r>
          </w:p>
        </w:tc>
        <w:tc>
          <w:tcPr>
            <w:tcW w:w="2314" w:type="dxa"/>
            <w:tcBorders>
              <w:top w:val="nil"/>
              <w:left w:val="nil"/>
              <w:bottom w:val="nil"/>
              <w:right w:val="nil"/>
            </w:tcBorders>
            <w:shd w:val="clear" w:color="000000" w:fill="FFFFFF"/>
            <w:hideMark/>
          </w:tcPr>
          <w:p w:rsidR="005B0583" w:rsidRDefault="00B352AB" w:rsidP="00B352AB">
            <w:pPr>
              <w:ind w:left="142" w:hanging="142"/>
              <w:rPr>
                <w:b/>
                <w:bCs/>
                <w:sz w:val="18"/>
                <w:szCs w:val="18"/>
              </w:rPr>
            </w:pPr>
            <w:r>
              <w:rPr>
                <w:b/>
                <w:bCs/>
                <w:sz w:val="18"/>
                <w:szCs w:val="18"/>
              </w:rPr>
              <w:t>NET INCREASE /</w:t>
            </w:r>
            <w:r w:rsidR="005B0583">
              <w:rPr>
                <w:b/>
                <w:bCs/>
                <w:sz w:val="18"/>
                <w:szCs w:val="18"/>
              </w:rPr>
              <w:t>(DECREASE)</w:t>
            </w:r>
            <w:r>
              <w:rPr>
                <w:b/>
                <w:bCs/>
                <w:sz w:val="18"/>
                <w:szCs w:val="18"/>
              </w:rPr>
              <w:t xml:space="preserve"> </w:t>
            </w:r>
            <w:r w:rsidR="005B0583">
              <w:rPr>
                <w:b/>
                <w:bCs/>
                <w:sz w:val="18"/>
                <w:szCs w:val="18"/>
              </w:rPr>
              <w:t>IN CASH HELD</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-1,829</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206</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111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206</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475</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475</w:t>
            </w:r>
          </w:p>
        </w:tc>
      </w:tr>
      <w:tr w:rsidR="005B0583" w:rsidRPr="00AD119F" w:rsidTr="005B0583">
        <w:tc>
          <w:tcPr>
            <w:tcW w:w="1054" w:type="dxa"/>
            <w:tcBorders>
              <w:top w:val="nil"/>
              <w:left w:val="nil"/>
              <w:bottom w:val="nil"/>
              <w:right w:val="nil"/>
            </w:tcBorders>
            <w:shd w:val="clear" w:color="000000" w:fill="FFFFFF"/>
            <w:noWrap/>
            <w:hideMark/>
          </w:tcPr>
          <w:p w:rsidR="005B0583" w:rsidRPr="00AD119F" w:rsidRDefault="005B0583" w:rsidP="005B0583">
            <w:pPr>
              <w:ind w:left="-283"/>
              <w:rPr>
                <w:b/>
                <w:bCs/>
                <w:sz w:val="10"/>
                <w:szCs w:val="10"/>
              </w:rPr>
            </w:pPr>
            <w:r w:rsidRPr="00AD119F">
              <w:rPr>
                <w:b/>
                <w:bCs/>
                <w:sz w:val="10"/>
                <w:szCs w:val="10"/>
              </w:rPr>
              <w:t> </w:t>
            </w:r>
          </w:p>
        </w:tc>
        <w:tc>
          <w:tcPr>
            <w:tcW w:w="2314" w:type="dxa"/>
            <w:tcBorders>
              <w:top w:val="nil"/>
              <w:left w:val="nil"/>
              <w:bottom w:val="nil"/>
              <w:right w:val="nil"/>
            </w:tcBorders>
            <w:shd w:val="clear" w:color="000000" w:fill="FFFFFF"/>
            <w:noWrap/>
            <w:hideMark/>
          </w:tcPr>
          <w:p w:rsidR="005B0583" w:rsidRPr="00AD119F" w:rsidRDefault="005B0583" w:rsidP="005B0583">
            <w:pPr>
              <w:rPr>
                <w:sz w:val="10"/>
                <w:szCs w:val="10"/>
              </w:rPr>
            </w:pPr>
            <w:r w:rsidRPr="00AD119F">
              <w:rPr>
                <w:sz w:val="10"/>
                <w:szCs w:val="10"/>
              </w:rPr>
              <w:t> </w:t>
            </w:r>
          </w:p>
        </w:tc>
        <w:tc>
          <w:tcPr>
            <w:tcW w:w="1184" w:type="dxa"/>
            <w:tcBorders>
              <w:top w:val="nil"/>
              <w:left w:val="nil"/>
              <w:bottom w:val="nil"/>
              <w:right w:val="nil"/>
            </w:tcBorders>
            <w:shd w:val="clear" w:color="000000" w:fill="FFFFFF"/>
            <w:noWrap/>
            <w:hideMark/>
          </w:tcPr>
          <w:p w:rsidR="005B0583" w:rsidRPr="00AD119F" w:rsidRDefault="005B0583" w:rsidP="005B0583">
            <w:pPr>
              <w:ind w:left="-283"/>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rPr>
                <w:sz w:val="10"/>
                <w:szCs w:val="10"/>
              </w:rPr>
            </w:pPr>
            <w:r w:rsidRPr="00AD119F">
              <w:rPr>
                <w:sz w:val="10"/>
                <w:szCs w:val="10"/>
              </w:rPr>
              <w:t> </w:t>
            </w:r>
          </w:p>
        </w:tc>
        <w:tc>
          <w:tcPr>
            <w:tcW w:w="624" w:type="dxa"/>
            <w:tcBorders>
              <w:top w:val="nil"/>
              <w:left w:val="nil"/>
              <w:bottom w:val="nil"/>
              <w:right w:val="nil"/>
            </w:tcBorders>
            <w:shd w:val="clear" w:color="000000" w:fill="FFFFFF"/>
            <w:noWrap/>
            <w:hideMark/>
          </w:tcPr>
          <w:p w:rsidR="005B0583" w:rsidRPr="00AD119F" w:rsidRDefault="005B0583" w:rsidP="005B0583">
            <w:pPr>
              <w:ind w:left="-283"/>
              <w:rPr>
                <w:sz w:val="10"/>
                <w:szCs w:val="10"/>
              </w:rPr>
            </w:pPr>
            <w:r w:rsidRPr="00AD119F">
              <w:rPr>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rPr>
                <w:b/>
                <w:bCs/>
                <w:sz w:val="10"/>
                <w:szCs w:val="10"/>
              </w:rPr>
            </w:pPr>
            <w:r w:rsidRPr="00AD119F">
              <w:rPr>
                <w:b/>
                <w:bCs/>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rPr>
                <w:b/>
                <w:bCs/>
                <w:sz w:val="10"/>
                <w:szCs w:val="10"/>
              </w:rPr>
            </w:pPr>
            <w:r w:rsidRPr="00AD119F">
              <w:rPr>
                <w:b/>
                <w:bCs/>
                <w:sz w:val="10"/>
                <w:szCs w:val="10"/>
              </w:rPr>
              <w:t> </w:t>
            </w:r>
          </w:p>
        </w:tc>
        <w:tc>
          <w:tcPr>
            <w:tcW w:w="1054" w:type="dxa"/>
            <w:tcBorders>
              <w:top w:val="nil"/>
              <w:left w:val="nil"/>
              <w:bottom w:val="nil"/>
              <w:right w:val="nil"/>
            </w:tcBorders>
            <w:shd w:val="clear" w:color="000000" w:fill="FFFFFF"/>
            <w:noWrap/>
            <w:hideMark/>
          </w:tcPr>
          <w:p w:rsidR="005B0583" w:rsidRPr="00AD119F" w:rsidRDefault="005B0583" w:rsidP="005B0583">
            <w:pPr>
              <w:ind w:left="-283"/>
              <w:rPr>
                <w:b/>
                <w:bCs/>
                <w:sz w:val="10"/>
                <w:szCs w:val="10"/>
              </w:rPr>
            </w:pPr>
            <w:r w:rsidRPr="00AD119F">
              <w:rPr>
                <w:b/>
                <w:bCs/>
                <w:sz w:val="10"/>
                <w:szCs w:val="10"/>
              </w:rPr>
              <w:t> </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6,621</w:t>
            </w:r>
          </w:p>
        </w:tc>
        <w:tc>
          <w:tcPr>
            <w:tcW w:w="2314" w:type="dxa"/>
            <w:tcBorders>
              <w:top w:val="nil"/>
              <w:left w:val="nil"/>
              <w:bottom w:val="nil"/>
              <w:right w:val="nil"/>
            </w:tcBorders>
            <w:shd w:val="clear" w:color="000000" w:fill="FFFFFF"/>
            <w:hideMark/>
          </w:tcPr>
          <w:p w:rsidR="005B0583" w:rsidRDefault="005B0583" w:rsidP="00B352AB">
            <w:pPr>
              <w:spacing w:after="60"/>
              <w:ind w:left="142" w:hanging="142"/>
              <w:rPr>
                <w:b/>
                <w:bCs/>
                <w:sz w:val="18"/>
                <w:szCs w:val="18"/>
              </w:rPr>
            </w:pPr>
            <w:r>
              <w:rPr>
                <w:b/>
                <w:bCs/>
                <w:sz w:val="18"/>
                <w:szCs w:val="18"/>
              </w:rPr>
              <w:t>CASH AT THE BEGINNING    OF REPORTING PERIOD</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6,881</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5,052</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-27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5,258</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5,464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5,939</w:t>
            </w:r>
          </w:p>
        </w:tc>
      </w:tr>
      <w:tr w:rsidR="005B0583" w:rsidTr="005B0583">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6,824</w:t>
            </w:r>
          </w:p>
        </w:tc>
        <w:tc>
          <w:tcPr>
            <w:tcW w:w="2314" w:type="dxa"/>
            <w:tcBorders>
              <w:top w:val="nil"/>
              <w:left w:val="nil"/>
              <w:bottom w:val="nil"/>
              <w:right w:val="nil"/>
            </w:tcBorders>
            <w:shd w:val="clear" w:color="000000" w:fill="FFFFFF"/>
            <w:hideMark/>
          </w:tcPr>
          <w:p w:rsidR="005B0583" w:rsidRDefault="005B0583" w:rsidP="005B0583">
            <w:pPr>
              <w:rPr>
                <w:b/>
                <w:bCs/>
                <w:sz w:val="18"/>
                <w:szCs w:val="18"/>
              </w:rPr>
            </w:pPr>
            <w:r>
              <w:rPr>
                <w:b/>
                <w:bCs/>
                <w:sz w:val="18"/>
                <w:szCs w:val="18"/>
              </w:rPr>
              <w:t>CASH AT THE END OF</w:t>
            </w:r>
            <w:r>
              <w:rPr>
                <w:b/>
                <w:bCs/>
                <w:sz w:val="18"/>
                <w:szCs w:val="18"/>
              </w:rPr>
              <w:br/>
              <w:t xml:space="preserve">   REPORTING PERIOD</w:t>
            </w:r>
          </w:p>
        </w:tc>
        <w:tc>
          <w:tcPr>
            <w:tcW w:w="118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5,052</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5,258</w:t>
            </w:r>
          </w:p>
        </w:tc>
        <w:tc>
          <w:tcPr>
            <w:tcW w:w="62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5,464</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5,939</w:t>
            </w:r>
          </w:p>
        </w:tc>
        <w:tc>
          <w:tcPr>
            <w:tcW w:w="1054" w:type="dxa"/>
            <w:tcBorders>
              <w:top w:val="nil"/>
              <w:left w:val="nil"/>
              <w:bottom w:val="nil"/>
              <w:right w:val="nil"/>
            </w:tcBorders>
            <w:shd w:val="clear" w:color="000000" w:fill="FFFFFF"/>
            <w:noWrap/>
            <w:hideMark/>
          </w:tcPr>
          <w:p w:rsidR="005B0583" w:rsidRDefault="005B0583" w:rsidP="005B0583">
            <w:pPr>
              <w:ind w:left="-283"/>
              <w:jc w:val="right"/>
              <w:rPr>
                <w:b/>
                <w:bCs/>
                <w:sz w:val="18"/>
                <w:szCs w:val="18"/>
              </w:rPr>
            </w:pPr>
            <w:r>
              <w:rPr>
                <w:b/>
                <w:bCs/>
                <w:sz w:val="18"/>
                <w:szCs w:val="18"/>
              </w:rPr>
              <w:t>6,414</w:t>
            </w:r>
          </w:p>
        </w:tc>
      </w:tr>
      <w:tr w:rsidR="005B0583" w:rsidRPr="00AD119F" w:rsidTr="005B0583">
        <w:tc>
          <w:tcPr>
            <w:tcW w:w="1054" w:type="dxa"/>
            <w:tcBorders>
              <w:top w:val="nil"/>
              <w:left w:val="nil"/>
              <w:bottom w:val="single" w:sz="4" w:space="0" w:color="auto"/>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2314" w:type="dxa"/>
            <w:tcBorders>
              <w:top w:val="nil"/>
              <w:left w:val="nil"/>
              <w:bottom w:val="single" w:sz="4" w:space="0" w:color="auto"/>
              <w:right w:val="nil"/>
            </w:tcBorders>
            <w:shd w:val="clear" w:color="000000" w:fill="FFFFFF"/>
            <w:noWrap/>
            <w:hideMark/>
          </w:tcPr>
          <w:p w:rsidR="005B0583" w:rsidRPr="00AD119F" w:rsidRDefault="005B0583" w:rsidP="005B0583">
            <w:pPr>
              <w:rPr>
                <w:b/>
                <w:bCs/>
                <w:sz w:val="10"/>
                <w:szCs w:val="10"/>
              </w:rPr>
            </w:pPr>
            <w:r w:rsidRPr="00AD119F">
              <w:rPr>
                <w:b/>
                <w:bCs/>
                <w:sz w:val="10"/>
                <w:szCs w:val="10"/>
              </w:rPr>
              <w:t> </w:t>
            </w:r>
          </w:p>
        </w:tc>
        <w:tc>
          <w:tcPr>
            <w:tcW w:w="1184" w:type="dxa"/>
            <w:tcBorders>
              <w:top w:val="nil"/>
              <w:left w:val="nil"/>
              <w:bottom w:val="single" w:sz="4" w:space="0" w:color="auto"/>
              <w:right w:val="nil"/>
            </w:tcBorders>
            <w:shd w:val="clear" w:color="000000" w:fill="FFFFFF"/>
            <w:noWrap/>
            <w:hideMark/>
          </w:tcPr>
          <w:p w:rsidR="005B0583" w:rsidRPr="00AD119F" w:rsidRDefault="005B0583" w:rsidP="005B0583">
            <w:pPr>
              <w:ind w:left="-283"/>
              <w:jc w:val="right"/>
              <w:rPr>
                <w:b/>
                <w:bCs/>
                <w:sz w:val="10"/>
                <w:szCs w:val="10"/>
              </w:rPr>
            </w:pPr>
            <w:r w:rsidRPr="00AD119F">
              <w:rPr>
                <w:b/>
                <w:bCs/>
                <w:sz w:val="10"/>
                <w:szCs w:val="10"/>
              </w:rPr>
              <w:t> </w:t>
            </w:r>
          </w:p>
        </w:tc>
        <w:tc>
          <w:tcPr>
            <w:tcW w:w="1054" w:type="dxa"/>
            <w:tcBorders>
              <w:top w:val="nil"/>
              <w:left w:val="nil"/>
              <w:bottom w:val="single" w:sz="4" w:space="0" w:color="auto"/>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624" w:type="dxa"/>
            <w:tcBorders>
              <w:top w:val="nil"/>
              <w:left w:val="nil"/>
              <w:bottom w:val="single" w:sz="4" w:space="0" w:color="auto"/>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single" w:sz="4" w:space="0" w:color="auto"/>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single" w:sz="4" w:space="0" w:color="auto"/>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c>
          <w:tcPr>
            <w:tcW w:w="1054" w:type="dxa"/>
            <w:tcBorders>
              <w:top w:val="nil"/>
              <w:left w:val="nil"/>
              <w:bottom w:val="single" w:sz="4" w:space="0" w:color="auto"/>
              <w:right w:val="nil"/>
            </w:tcBorders>
            <w:shd w:val="clear" w:color="000000" w:fill="FFFFFF"/>
            <w:noWrap/>
            <w:hideMark/>
          </w:tcPr>
          <w:p w:rsidR="005B0583" w:rsidRPr="00AD119F" w:rsidRDefault="005B0583" w:rsidP="005B0583">
            <w:pPr>
              <w:ind w:left="-283"/>
              <w:jc w:val="right"/>
              <w:rPr>
                <w:sz w:val="10"/>
                <w:szCs w:val="10"/>
              </w:rPr>
            </w:pPr>
            <w:r w:rsidRPr="00AD119F">
              <w:rPr>
                <w:sz w:val="10"/>
                <w:szCs w:val="10"/>
              </w:rPr>
              <w:t> </w:t>
            </w:r>
          </w:p>
        </w:tc>
      </w:tr>
    </w:tbl>
    <w:p w:rsidR="00F4412E" w:rsidRDefault="00F4412E">
      <w:pPr>
        <w:rPr>
          <w:rFonts w:ascii="Arial" w:hAnsi="Arial" w:cs="Arial"/>
          <w:b/>
          <w:bCs/>
          <w:szCs w:val="26"/>
        </w:rPr>
      </w:pPr>
      <w:r>
        <w:br w:type="page"/>
      </w:r>
    </w:p>
    <w:p w:rsidR="00526CBE" w:rsidRPr="00CF1A8C" w:rsidRDefault="00526CBE" w:rsidP="00A361D3">
      <w:pPr>
        <w:pStyle w:val="Heading3"/>
        <w:spacing w:after="120"/>
      </w:pPr>
      <w:r w:rsidRPr="00CF1A8C">
        <w:lastRenderedPageBreak/>
        <w:t>Notes to the Budget</w:t>
      </w:r>
      <w:r>
        <w:t xml:space="preserve"> Statements</w:t>
      </w:r>
    </w:p>
    <w:p w:rsidR="00A361D3" w:rsidRPr="00A361D3" w:rsidRDefault="00A361D3" w:rsidP="00526CBE">
      <w:pPr>
        <w:pStyle w:val="Heading4"/>
        <w:rPr>
          <w:i w:val="0"/>
        </w:rPr>
      </w:pPr>
      <w:r w:rsidRPr="00A361D3">
        <w:rPr>
          <w:i w:val="0"/>
        </w:rPr>
        <w:t>Significant variations are as follows:</w:t>
      </w:r>
    </w:p>
    <w:p w:rsidR="00526CBE" w:rsidRPr="007F629E" w:rsidRDefault="00526CBE" w:rsidP="00A361D3">
      <w:pPr>
        <w:pStyle w:val="Heading4"/>
      </w:pPr>
      <w:r w:rsidRPr="00DE4A0B">
        <w:t>Op</w:t>
      </w:r>
      <w:r>
        <w:t>erating Statement</w:t>
      </w:r>
    </w:p>
    <w:p w:rsidR="00526CBE" w:rsidRPr="00CF1A8C" w:rsidRDefault="00526CBE" w:rsidP="00526CBE">
      <w:pPr>
        <w:pStyle w:val="BodyTextIndent"/>
        <w:numPr>
          <w:ilvl w:val="0"/>
          <w:numId w:val="7"/>
        </w:numPr>
      </w:pPr>
      <w:r>
        <w:t>government payment for outputs</w:t>
      </w:r>
      <w:r w:rsidRPr="00CF1A8C">
        <w:t>:</w:t>
      </w:r>
    </w:p>
    <w:p w:rsidR="00526CBE" w:rsidRPr="00373CBF" w:rsidRDefault="003240A2" w:rsidP="00526CBE">
      <w:pPr>
        <w:pStyle w:val="BodyTextIndent2"/>
      </w:pPr>
      <w:r>
        <w:t>the increase of $1.356</w:t>
      </w:r>
      <w:r w:rsidR="00526CBE" w:rsidRPr="00373CBF">
        <w:t> million in the 2012</w:t>
      </w:r>
      <w:r w:rsidR="00526CBE" w:rsidRPr="00373CBF">
        <w:noBreakHyphen/>
        <w:t>13 estimated outcome from the original budget is mainly due to the rollover of funding for initiatives to 2012</w:t>
      </w:r>
      <w:r w:rsidR="00526CBE" w:rsidRPr="00373CBF">
        <w:noBreakHyphen/>
        <w:t>13 ($3.854 million)</w:t>
      </w:r>
      <w:r w:rsidR="00C237D1">
        <w:t>,</w:t>
      </w:r>
      <w:r w:rsidR="00373CBF" w:rsidRPr="00373CBF">
        <w:t xml:space="preserve"> </w:t>
      </w:r>
      <w:r w:rsidR="00C237D1">
        <w:t>new Commonwealth funded projects ($0.730 million)</w:t>
      </w:r>
      <w:r w:rsidR="00C237D1" w:rsidRPr="00373CBF">
        <w:t xml:space="preserve"> </w:t>
      </w:r>
      <w:r w:rsidR="00C51FBF">
        <w:t>and the transfer to GPO for</w:t>
      </w:r>
      <w:r w:rsidR="00373CBF" w:rsidRPr="00373CBF">
        <w:t xml:space="preserve"> transport initiatives ($0.631 million)</w:t>
      </w:r>
      <w:r w:rsidR="00AB7C56">
        <w:t>,</w:t>
      </w:r>
      <w:r w:rsidR="00C237D1">
        <w:t xml:space="preserve"> </w:t>
      </w:r>
      <w:r w:rsidR="00526CBE" w:rsidRPr="00373CBF">
        <w:t>partially offset by the rollover of funding for initiatives from 2012</w:t>
      </w:r>
      <w:r w:rsidR="00526CBE" w:rsidRPr="00373CBF">
        <w:noBreakHyphen/>
        <w:t>13 to 2013</w:t>
      </w:r>
      <w:r w:rsidR="00526CBE" w:rsidRPr="00373CBF">
        <w:noBreakHyphen/>
        <w:t>14 ($</w:t>
      </w:r>
      <w:r w:rsidR="00373CBF" w:rsidRPr="00373CBF">
        <w:t>2.047</w:t>
      </w:r>
      <w:r w:rsidR="00526CBE" w:rsidRPr="00373CBF">
        <w:t> million)</w:t>
      </w:r>
      <w:r w:rsidR="00C51FBF">
        <w:t>, transfer</w:t>
      </w:r>
      <w:r w:rsidR="00373CBF" w:rsidRPr="00373CBF">
        <w:t xml:space="preserve"> </w:t>
      </w:r>
      <w:r w:rsidR="00C51FBF">
        <w:t xml:space="preserve">of the infrastructure planning functions to </w:t>
      </w:r>
      <w:r w:rsidR="00373CBF" w:rsidRPr="00373CBF">
        <w:t>EDD ($1.146 million) and savings on feasibility studies ($0.666 million)</w:t>
      </w:r>
      <w:r w:rsidR="00526CBE" w:rsidRPr="00373CBF">
        <w:t>; and</w:t>
      </w:r>
    </w:p>
    <w:p w:rsidR="00526CBE" w:rsidRDefault="003240A2" w:rsidP="00526CBE">
      <w:pPr>
        <w:pStyle w:val="BodyTextIndent2"/>
      </w:pPr>
      <w:proofErr w:type="gramStart"/>
      <w:r>
        <w:t>the</w:t>
      </w:r>
      <w:proofErr w:type="gramEnd"/>
      <w:r>
        <w:t xml:space="preserve"> decrease of $7.188</w:t>
      </w:r>
      <w:r w:rsidR="00526CBE">
        <w:t> million in the 2013</w:t>
      </w:r>
      <w:r w:rsidR="00526CBE">
        <w:noBreakHyphen/>
        <w:t>14 Budget from the 2012</w:t>
      </w:r>
      <w:r w:rsidR="00526CBE">
        <w:noBreakHyphen/>
        <w:t xml:space="preserve">13 estimated outcome is mainly due to savings initiatives and the completion of programs such as the Commonwealth funded </w:t>
      </w:r>
      <w:r w:rsidR="00526CBE" w:rsidRPr="00C51FBF">
        <w:rPr>
          <w:i/>
        </w:rPr>
        <w:t>Caring for our Country</w:t>
      </w:r>
      <w:r w:rsidR="00526CBE">
        <w:t xml:space="preserve"> and land release infrastructure studies, partially offset by new initiatives ($1.532 million).</w:t>
      </w:r>
    </w:p>
    <w:p w:rsidR="00526CBE" w:rsidRDefault="00526CBE" w:rsidP="00526CBE">
      <w:pPr>
        <w:pStyle w:val="BodyTextIndent"/>
        <w:numPr>
          <w:ilvl w:val="0"/>
          <w:numId w:val="7"/>
        </w:numPr>
      </w:pPr>
      <w:proofErr w:type="gramStart"/>
      <w:r>
        <w:t>user</w:t>
      </w:r>
      <w:proofErr w:type="gramEnd"/>
      <w:r>
        <w:t xml:space="preserve"> charges – non ACT Government</w:t>
      </w:r>
      <w:r w:rsidRPr="00CF1A8C">
        <w:t>:</w:t>
      </w:r>
      <w:r>
        <w:t xml:space="preserve"> </w:t>
      </w:r>
      <w:r w:rsidR="00BE4FAE">
        <w:t xml:space="preserve"> </w:t>
      </w:r>
      <w:r>
        <w:t>the decrease of $2.157 million in the 2013</w:t>
      </w:r>
      <w:r>
        <w:noBreakHyphen/>
        <w:t>14 Budget from the 2012</w:t>
      </w:r>
      <w:r>
        <w:noBreakHyphen/>
        <w:t>13 estimated outcome is mainly due to a decrease in the collection of extension of time to build fees.</w:t>
      </w:r>
    </w:p>
    <w:p w:rsidR="00526CBE" w:rsidRPr="00CF1A8C" w:rsidRDefault="00526CBE" w:rsidP="00526CBE">
      <w:pPr>
        <w:pStyle w:val="BodyTextIndent"/>
        <w:numPr>
          <w:ilvl w:val="0"/>
          <w:numId w:val="7"/>
        </w:numPr>
      </w:pPr>
      <w:r>
        <w:t>other revenue</w:t>
      </w:r>
      <w:r w:rsidRPr="00CF1A8C">
        <w:t>:</w:t>
      </w:r>
    </w:p>
    <w:p w:rsidR="00526CBE" w:rsidRDefault="00526CBE" w:rsidP="00526CBE">
      <w:pPr>
        <w:pStyle w:val="BodyTextIndent2"/>
        <w:ind w:left="714" w:hanging="357"/>
      </w:pPr>
      <w:r>
        <w:t>the increase of $0.595 </w:t>
      </w:r>
      <w:r w:rsidRPr="00CF1A8C">
        <w:t xml:space="preserve">million in the </w:t>
      </w:r>
      <w:r>
        <w:t>2012</w:t>
      </w:r>
      <w:r>
        <w:noBreakHyphen/>
        <w:t>13</w:t>
      </w:r>
      <w:r w:rsidRPr="00CF1A8C">
        <w:t xml:space="preserve"> estimated outcome from the </w:t>
      </w:r>
      <w:r>
        <w:t>original budget is due to the Directorate accessing funds to assist with redundancy payments; and</w:t>
      </w:r>
    </w:p>
    <w:p w:rsidR="00526CBE" w:rsidRDefault="00526CBE" w:rsidP="00526CBE">
      <w:pPr>
        <w:pStyle w:val="BodyTextIndent2"/>
        <w:ind w:left="714" w:hanging="357"/>
      </w:pPr>
      <w:proofErr w:type="gramStart"/>
      <w:r>
        <w:t>the</w:t>
      </w:r>
      <w:proofErr w:type="gramEnd"/>
      <w:r>
        <w:t xml:space="preserve"> decrease of $0.573 million in the 2013</w:t>
      </w:r>
      <w:r>
        <w:noBreakHyphen/>
        <w:t>14 Budget from the 2012</w:t>
      </w:r>
      <w:r>
        <w:noBreakHyphen/>
        <w:t>13 estimated outcome is mainly due to the one</w:t>
      </w:r>
      <w:r>
        <w:noBreakHyphen/>
        <w:t>off receipt of revenue in 2012</w:t>
      </w:r>
      <w:r>
        <w:noBreakHyphen/>
        <w:t xml:space="preserve">13 to assist with </w:t>
      </w:r>
      <w:r w:rsidR="00C75434">
        <w:t>redundancy payments</w:t>
      </w:r>
      <w:r>
        <w:t>.</w:t>
      </w:r>
    </w:p>
    <w:p w:rsidR="00526CBE" w:rsidRDefault="00526CBE" w:rsidP="00526CBE">
      <w:pPr>
        <w:pStyle w:val="BodyTextIndent"/>
        <w:numPr>
          <w:ilvl w:val="0"/>
          <w:numId w:val="7"/>
        </w:numPr>
      </w:pPr>
      <w:r>
        <w:t>resources received free of charge</w:t>
      </w:r>
      <w:r w:rsidRPr="00CF1A8C">
        <w:t>:</w:t>
      </w:r>
      <w:r>
        <w:t xml:space="preserve"> the increase of $0.502 </w:t>
      </w:r>
      <w:r w:rsidRPr="00CF1A8C">
        <w:t xml:space="preserve">million in the </w:t>
      </w:r>
      <w:r>
        <w:t>2012</w:t>
      </w:r>
      <w:r>
        <w:noBreakHyphen/>
        <w:t>13 </w:t>
      </w:r>
      <w:r w:rsidRPr="00CF1A8C">
        <w:t xml:space="preserve">estimated outcome from the </w:t>
      </w:r>
      <w:r>
        <w:t xml:space="preserve">original budget is mainly due to </w:t>
      </w:r>
      <w:r w:rsidR="00C34D8A">
        <w:t>the re-alignment of budgeted costs to actual costs.</w:t>
      </w:r>
    </w:p>
    <w:p w:rsidR="00526CBE" w:rsidRPr="00CF1A8C" w:rsidRDefault="00526CBE" w:rsidP="00526CBE">
      <w:pPr>
        <w:pStyle w:val="BodyTextIndent"/>
        <w:numPr>
          <w:ilvl w:val="0"/>
          <w:numId w:val="7"/>
        </w:numPr>
      </w:pPr>
      <w:r>
        <w:t>employee expenses</w:t>
      </w:r>
      <w:r w:rsidRPr="00CF1A8C">
        <w:t>:</w:t>
      </w:r>
    </w:p>
    <w:p w:rsidR="00526CBE" w:rsidRDefault="00526CBE" w:rsidP="00526CBE">
      <w:pPr>
        <w:pStyle w:val="BodyTextIndent2"/>
      </w:pPr>
      <w:r>
        <w:t>the increase of $3.009 </w:t>
      </w:r>
      <w:r w:rsidRPr="00CF1A8C">
        <w:t xml:space="preserve">million in the </w:t>
      </w:r>
      <w:r>
        <w:t>2012</w:t>
      </w:r>
      <w:r>
        <w:noBreakHyphen/>
        <w:t>13</w:t>
      </w:r>
      <w:r w:rsidRPr="00CF1A8C">
        <w:t xml:space="preserve"> estimated outcome from the original budget is mainly due to</w:t>
      </w:r>
      <w:r>
        <w:t xml:space="preserve"> the staff required to complete land release feasibility studies ($1.2 million) and transitional costs associated with achieving savings initiatives ($1.9 million); and</w:t>
      </w:r>
    </w:p>
    <w:p w:rsidR="00526CBE" w:rsidRDefault="00526CBE" w:rsidP="00526CBE">
      <w:pPr>
        <w:pStyle w:val="BodyTextIndent2"/>
      </w:pPr>
      <w:r>
        <w:t>the decrease of $3.056 million in the 2013</w:t>
      </w:r>
      <w:r>
        <w:noBreakHyphen/>
        <w:t>14 Budget from the 2012</w:t>
      </w:r>
      <w:r>
        <w:noBreakHyphen/>
        <w:t>13 estimated outcome is mainly due to savings initiatives and the comp</w:t>
      </w:r>
      <w:r w:rsidR="002A2074">
        <w:t xml:space="preserve">letion of programs including </w:t>
      </w:r>
      <w:r w:rsidR="002A2074" w:rsidRPr="00C51FBF">
        <w:rPr>
          <w:i/>
        </w:rPr>
        <w:t>Caring for our Country</w:t>
      </w:r>
      <w:r w:rsidR="002A2074">
        <w:t xml:space="preserve"> and land release infrastructure.</w:t>
      </w:r>
    </w:p>
    <w:p w:rsidR="00C51FBF" w:rsidRDefault="00526CBE" w:rsidP="00526CBE">
      <w:pPr>
        <w:pStyle w:val="BodyTextIndent"/>
        <w:numPr>
          <w:ilvl w:val="0"/>
          <w:numId w:val="7"/>
        </w:numPr>
      </w:pPr>
      <w:r>
        <w:t>superannuation expenses</w:t>
      </w:r>
      <w:r w:rsidRPr="00CF1A8C">
        <w:t>:</w:t>
      </w:r>
      <w:r>
        <w:t xml:space="preserve">  the increase of $0.574 </w:t>
      </w:r>
      <w:r w:rsidRPr="00CF1A8C">
        <w:t xml:space="preserve">million in the </w:t>
      </w:r>
      <w:r>
        <w:t>2012</w:t>
      </w:r>
      <w:r>
        <w:noBreakHyphen/>
        <w:t>13</w:t>
      </w:r>
      <w:r w:rsidRPr="00CF1A8C">
        <w:t xml:space="preserve"> estimated outcome from the original budget is mainly due to</w:t>
      </w:r>
      <w:r>
        <w:t xml:space="preserve"> a change in the superannuation profile of staffing in the Directorate.</w:t>
      </w:r>
    </w:p>
    <w:p w:rsidR="00C51FBF" w:rsidRDefault="00C51FBF" w:rsidP="00C51FBF">
      <w:pPr>
        <w:pStyle w:val="BodyText"/>
        <w:rPr>
          <w:szCs w:val="24"/>
        </w:rPr>
      </w:pPr>
      <w:r>
        <w:br w:type="page"/>
      </w:r>
    </w:p>
    <w:p w:rsidR="00526CBE" w:rsidRPr="00CF1A8C" w:rsidRDefault="00526CBE" w:rsidP="00526CBE">
      <w:pPr>
        <w:pStyle w:val="BodyTextIndent"/>
        <w:numPr>
          <w:ilvl w:val="0"/>
          <w:numId w:val="7"/>
        </w:numPr>
      </w:pPr>
      <w:r>
        <w:lastRenderedPageBreak/>
        <w:t>supplies and services</w:t>
      </w:r>
      <w:r w:rsidRPr="00CF1A8C">
        <w:t>:</w:t>
      </w:r>
    </w:p>
    <w:p w:rsidR="00526CBE" w:rsidRDefault="00526CBE" w:rsidP="00526CBE">
      <w:pPr>
        <w:pStyle w:val="BodyTextIndent2"/>
      </w:pPr>
      <w:r>
        <w:t>the decrease of $1.</w:t>
      </w:r>
      <w:r w:rsidR="00C474F5">
        <w:t>004</w:t>
      </w:r>
      <w:r>
        <w:t> </w:t>
      </w:r>
      <w:r w:rsidRPr="00CF1A8C">
        <w:t xml:space="preserve">million in the </w:t>
      </w:r>
      <w:r>
        <w:t>2012</w:t>
      </w:r>
      <w:r>
        <w:noBreakHyphen/>
        <w:t>13</w:t>
      </w:r>
      <w:r w:rsidRPr="00CF1A8C">
        <w:t xml:space="preserve"> estimated outcome from the original budget is mainly due to</w:t>
      </w:r>
      <w:r>
        <w:t xml:space="preserve"> the rollover of funding to 20</w:t>
      </w:r>
      <w:r w:rsidR="002A2074">
        <w:t>13</w:t>
      </w:r>
      <w:r w:rsidR="002A2074">
        <w:noBreakHyphen/>
        <w:t>14 ($2.047</w:t>
      </w:r>
      <w:r>
        <w:t xml:space="preserve"> million), </w:t>
      </w:r>
      <w:r w:rsidRPr="002C1777">
        <w:t>the re</w:t>
      </w:r>
      <w:r w:rsidRPr="002C1777">
        <w:noBreakHyphen/>
      </w:r>
      <w:r w:rsidR="002C1777" w:rsidRPr="002C1777">
        <w:t xml:space="preserve">classification </w:t>
      </w:r>
      <w:r w:rsidRPr="002C1777">
        <w:t xml:space="preserve">of </w:t>
      </w:r>
      <w:r w:rsidR="002C1777" w:rsidRPr="002C1777">
        <w:t>expenses</w:t>
      </w:r>
      <w:r w:rsidRPr="002C1777">
        <w:t xml:space="preserve"> to better align with actual costs ($2.433 million)</w:t>
      </w:r>
      <w:r w:rsidR="002A2074">
        <w:t xml:space="preserve"> and the savings on feasibility studies ($0.666 million)</w:t>
      </w:r>
      <w:r>
        <w:t>, partially offset by the rollover of funding fo</w:t>
      </w:r>
      <w:r w:rsidR="002A2074">
        <w:t>r initiatives to 2012</w:t>
      </w:r>
      <w:r w:rsidR="002A2074">
        <w:noBreakHyphen/>
        <w:t>13 ($2.953</w:t>
      </w:r>
      <w:r>
        <w:t> million)</w:t>
      </w:r>
      <w:r w:rsidR="00C474F5">
        <w:t>, new Commonwealth funding ($0.730 million)</w:t>
      </w:r>
      <w:r w:rsidR="002A2074">
        <w:t xml:space="preserve"> and the transfer of transport initiatives ($0.631 million)</w:t>
      </w:r>
      <w:r>
        <w:t>; and</w:t>
      </w:r>
    </w:p>
    <w:p w:rsidR="00526CBE" w:rsidRDefault="00526CBE" w:rsidP="00526CBE">
      <w:pPr>
        <w:pStyle w:val="BodyTextIndent2"/>
      </w:pPr>
      <w:r>
        <w:t>the decrease of $4.</w:t>
      </w:r>
      <w:r w:rsidR="003C0EA1">
        <w:t>563</w:t>
      </w:r>
      <w:r>
        <w:t> million in the 2013</w:t>
      </w:r>
      <w:r>
        <w:noBreakHyphen/>
        <w:t>14 Budget from the 2012</w:t>
      </w:r>
      <w:r>
        <w:noBreakHyphen/>
        <w:t>13 estimated outcome is mainly due to the one</w:t>
      </w:r>
      <w:r>
        <w:noBreakHyphen/>
        <w:t>off expenditure in 2012</w:t>
      </w:r>
      <w:r>
        <w:noBreakHyphen/>
        <w:t>13 for programs deferred from 2011</w:t>
      </w:r>
      <w:r>
        <w:noBreakHyphen/>
        <w:t>12 ($2.953 million), the completion of a number of initiatives</w:t>
      </w:r>
      <w:r w:rsidR="002A2074">
        <w:t xml:space="preserve"> mostly associated with land release infrastructure</w:t>
      </w:r>
      <w:r>
        <w:t xml:space="preserve"> ($</w:t>
      </w:r>
      <w:r w:rsidR="003C0EA1">
        <w:t>2.5</w:t>
      </w:r>
      <w:r>
        <w:t> million), savings initiatives and reduced access to funding from own source revenue ($1.281 million), partially offset by the rollover of fun</w:t>
      </w:r>
      <w:r w:rsidR="002A2074">
        <w:t>ding from 2012</w:t>
      </w:r>
      <w:r w:rsidR="002A2074">
        <w:noBreakHyphen/>
        <w:t>13 to 2013</w:t>
      </w:r>
      <w:r w:rsidR="002A2074">
        <w:noBreakHyphen/>
        <w:t>14 ($2.04</w:t>
      </w:r>
      <w:r>
        <w:t>7 million).</w:t>
      </w:r>
    </w:p>
    <w:p w:rsidR="00526CBE" w:rsidRDefault="00526CBE" w:rsidP="00526CBE">
      <w:pPr>
        <w:pStyle w:val="BodyTextIndent"/>
        <w:numPr>
          <w:ilvl w:val="0"/>
          <w:numId w:val="7"/>
        </w:numPr>
      </w:pPr>
      <w:r>
        <w:t>depreciation and amortisation</w:t>
      </w:r>
      <w:r w:rsidRPr="00CF1A8C">
        <w:t>:</w:t>
      </w:r>
      <w:r>
        <w:t xml:space="preserve">  the decrease of $0.681 </w:t>
      </w:r>
      <w:r w:rsidRPr="00CF1A8C">
        <w:t xml:space="preserve">million in the </w:t>
      </w:r>
      <w:r>
        <w:t>2012</w:t>
      </w:r>
      <w:r>
        <w:noBreakHyphen/>
        <w:t>13</w:t>
      </w:r>
      <w:r w:rsidRPr="00CF1A8C">
        <w:t xml:space="preserve"> estimated outcome from the </w:t>
      </w:r>
      <w:r>
        <w:t>original budget is due to the delayed capitalisation of assets.</w:t>
      </w:r>
    </w:p>
    <w:p w:rsidR="00526CBE" w:rsidRPr="00CF1A8C" w:rsidRDefault="00526CBE" w:rsidP="00526CBE">
      <w:pPr>
        <w:pStyle w:val="BodyTextIndent"/>
        <w:numPr>
          <w:ilvl w:val="0"/>
          <w:numId w:val="7"/>
        </w:numPr>
      </w:pPr>
      <w:r>
        <w:t>grants and purchased services</w:t>
      </w:r>
      <w:r w:rsidRPr="00CF1A8C">
        <w:t>:</w:t>
      </w:r>
    </w:p>
    <w:p w:rsidR="00526CBE" w:rsidRDefault="00526CBE" w:rsidP="00526CBE">
      <w:pPr>
        <w:pStyle w:val="BodyTextIndent2"/>
      </w:pPr>
      <w:r>
        <w:t>the increase of $1.530 </w:t>
      </w:r>
      <w:r w:rsidRPr="00CF1A8C">
        <w:t xml:space="preserve">million in the </w:t>
      </w:r>
      <w:r>
        <w:t>2012</w:t>
      </w:r>
      <w:r>
        <w:noBreakHyphen/>
        <w:t>13</w:t>
      </w:r>
      <w:r w:rsidRPr="00CF1A8C">
        <w:t xml:space="preserve"> estimated outcome from the original budget is </w:t>
      </w:r>
      <w:r w:rsidRPr="002C1777">
        <w:t xml:space="preserve">mainly due to the </w:t>
      </w:r>
      <w:r w:rsidR="002C1777" w:rsidRPr="002C1777">
        <w:t xml:space="preserve">reclassification of expenses </w:t>
      </w:r>
      <w:r w:rsidRPr="002C1777">
        <w:t>to better align with actual costs ($0.930 million)</w:t>
      </w:r>
      <w:r>
        <w:t xml:space="preserve"> and the rollover of funding for initiatives to 2012</w:t>
      </w:r>
      <w:r>
        <w:noBreakHyphen/>
        <w:t>13 ($0.6 million); and</w:t>
      </w:r>
    </w:p>
    <w:p w:rsidR="00526CBE" w:rsidRDefault="00526CBE" w:rsidP="00526CBE">
      <w:pPr>
        <w:pStyle w:val="BodyTextIndent2"/>
      </w:pPr>
      <w:r>
        <w:t>the decrease of $2.552 million in the 2013</w:t>
      </w:r>
      <w:r>
        <w:noBreakHyphen/>
        <w:t>14 Budget from the 2012</w:t>
      </w:r>
      <w:r>
        <w:noBreakHyphen/>
        <w:t xml:space="preserve">13 estimated outcome is mainly due to the cessation of </w:t>
      </w:r>
      <w:r w:rsidRPr="00C51FBF">
        <w:rPr>
          <w:i/>
        </w:rPr>
        <w:t>Caring for our Country</w:t>
      </w:r>
      <w:r>
        <w:t xml:space="preserve"> funding from the Commonwealth ($1.359 million) and the one-off expenditure in 2012</w:t>
      </w:r>
      <w:r>
        <w:noBreakHyphen/>
        <w:t>13 for deferred programs ($1.252 million).</w:t>
      </w:r>
    </w:p>
    <w:p w:rsidR="00526CBE" w:rsidRPr="00CF1A8C" w:rsidRDefault="00526CBE" w:rsidP="00526CBE">
      <w:pPr>
        <w:pStyle w:val="BodyTextIndent"/>
        <w:numPr>
          <w:ilvl w:val="0"/>
          <w:numId w:val="7"/>
        </w:numPr>
      </w:pPr>
      <w:r>
        <w:t>other expenses</w:t>
      </w:r>
      <w:r w:rsidRPr="00CF1A8C">
        <w:t>:</w:t>
      </w:r>
    </w:p>
    <w:p w:rsidR="00526CBE" w:rsidRDefault="00526CBE" w:rsidP="00526CBE">
      <w:pPr>
        <w:pStyle w:val="BodyTextIndent2"/>
      </w:pPr>
      <w:r>
        <w:t>the increase of $5.627 </w:t>
      </w:r>
      <w:r w:rsidRPr="00CF1A8C">
        <w:t xml:space="preserve">million in the </w:t>
      </w:r>
      <w:r>
        <w:t>2012</w:t>
      </w:r>
      <w:r>
        <w:noBreakHyphen/>
        <w:t>13</w:t>
      </w:r>
      <w:r w:rsidRPr="00CF1A8C">
        <w:t xml:space="preserve"> estimated outcome from the original budget is mainly due to</w:t>
      </w:r>
      <w:r>
        <w:t xml:space="preserve"> the completion of feasibility studies ($2.413 million), an increase in assets transferred to Government agencies ($1.332 million),</w:t>
      </w:r>
      <w:r w:rsidR="005043FF">
        <w:t xml:space="preserve"> and</w:t>
      </w:r>
      <w:r>
        <w:t xml:space="preserve"> the impairment of receivables ($1.2 million); and</w:t>
      </w:r>
    </w:p>
    <w:p w:rsidR="00526CBE" w:rsidRDefault="00526CBE" w:rsidP="00526CBE">
      <w:pPr>
        <w:pStyle w:val="BodyTextIndent2"/>
      </w:pPr>
      <w:r>
        <w:t>the increase of $25.255 million in the 2013</w:t>
      </w:r>
      <w:r>
        <w:noBreakHyphen/>
        <w:t>14 Budget from the 2012</w:t>
      </w:r>
      <w:r>
        <w:noBreakHyphen/>
        <w:t>13 estimated outcome is mainly due to the transfer of stormwater projects to TAMS ($32.7 million)</w:t>
      </w:r>
      <w:r w:rsidR="00C75434">
        <w:t>,</w:t>
      </w:r>
      <w:r>
        <w:t xml:space="preserve"> partially offset by the one</w:t>
      </w:r>
      <w:r>
        <w:noBreakHyphen/>
        <w:t xml:space="preserve">off expenditure relating to </w:t>
      </w:r>
      <w:r w:rsidR="00C34D8A">
        <w:t xml:space="preserve">completion </w:t>
      </w:r>
      <w:r w:rsidR="00A316B7">
        <w:t>of</w:t>
      </w:r>
      <w:r w:rsidR="00C34D8A">
        <w:t xml:space="preserve"> feasibility studies</w:t>
      </w:r>
      <w:r>
        <w:t>, transfers and impairment in 2012</w:t>
      </w:r>
      <w:r>
        <w:noBreakHyphen/>
        <w:t>13 ($6.162 million) and savings associated with the ACTSmart program($1.165 million).</w:t>
      </w:r>
    </w:p>
    <w:p w:rsidR="00526CBE" w:rsidRPr="00CF1A8C" w:rsidRDefault="00526CBE" w:rsidP="00526CBE">
      <w:pPr>
        <w:pStyle w:val="BodyTextIndent"/>
        <w:numPr>
          <w:ilvl w:val="0"/>
          <w:numId w:val="7"/>
        </w:numPr>
      </w:pPr>
      <w:r>
        <w:t>transfer expenses</w:t>
      </w:r>
      <w:r w:rsidRPr="00CF1A8C">
        <w:t>:</w:t>
      </w:r>
    </w:p>
    <w:p w:rsidR="00526CBE" w:rsidRDefault="00526CBE" w:rsidP="00526CBE">
      <w:pPr>
        <w:pStyle w:val="BodyTextIndent2"/>
      </w:pPr>
      <w:r>
        <w:t>the decrease of $2.385 </w:t>
      </w:r>
      <w:r w:rsidRPr="00CF1A8C">
        <w:t xml:space="preserve">million in the </w:t>
      </w:r>
      <w:r>
        <w:t>2012</w:t>
      </w:r>
      <w:r>
        <w:noBreakHyphen/>
        <w:t>13</w:t>
      </w:r>
      <w:r w:rsidRPr="00CF1A8C">
        <w:t xml:space="preserve"> estimated outcome from the original budget is mainly due to</w:t>
      </w:r>
      <w:r>
        <w:t xml:space="preserve"> a decrease in extension of time to build revenue being returned to the Territory; and</w:t>
      </w:r>
    </w:p>
    <w:p w:rsidR="00C51FBF" w:rsidRDefault="00526CBE" w:rsidP="00526CBE">
      <w:pPr>
        <w:pStyle w:val="BodyTextIndent2"/>
      </w:pPr>
      <w:r>
        <w:t>the increase of $1.779 million in the 2013</w:t>
      </w:r>
      <w:r>
        <w:noBreakHyphen/>
        <w:t>14 Budget from the 2012</w:t>
      </w:r>
      <w:r>
        <w:noBreakHyphen/>
        <w:t>13 estimated outcome is due to an increase in revenue being returned to the Territory.</w:t>
      </w:r>
    </w:p>
    <w:p w:rsidR="00C51FBF" w:rsidRDefault="00C51FBF">
      <w:r>
        <w:br w:type="page"/>
      </w:r>
    </w:p>
    <w:p w:rsidR="00526CBE" w:rsidRPr="00A361D3" w:rsidRDefault="00526CBE" w:rsidP="00A361D3">
      <w:pPr>
        <w:pStyle w:val="Heading4"/>
      </w:pPr>
      <w:r w:rsidRPr="00A361D3">
        <w:lastRenderedPageBreak/>
        <w:t>Balance Sheet</w:t>
      </w:r>
    </w:p>
    <w:p w:rsidR="00526CBE" w:rsidRDefault="00526CBE" w:rsidP="00526CBE">
      <w:pPr>
        <w:pStyle w:val="BodyTextIndent"/>
        <w:numPr>
          <w:ilvl w:val="0"/>
          <w:numId w:val="7"/>
        </w:numPr>
      </w:pPr>
      <w:r>
        <w:t>cash and cash equivalents</w:t>
      </w:r>
      <w:r w:rsidRPr="00CF1A8C">
        <w:t>:</w:t>
      </w:r>
      <w:r>
        <w:t xml:space="preserve">  the decrease of $1.772 </w:t>
      </w:r>
      <w:r w:rsidRPr="00CF1A8C">
        <w:t xml:space="preserve">million in the </w:t>
      </w:r>
      <w:r>
        <w:t>2012</w:t>
      </w:r>
      <w:r>
        <w:noBreakHyphen/>
        <w:t>13</w:t>
      </w:r>
      <w:r w:rsidRPr="00CF1A8C">
        <w:t xml:space="preserve"> estimated outcome from the </w:t>
      </w:r>
      <w:r>
        <w:t>original budget mainly relates to the payment of employee benefits for staff savings yet to be fully realised.</w:t>
      </w:r>
    </w:p>
    <w:p w:rsidR="00526CBE" w:rsidRDefault="00526CBE" w:rsidP="00526CBE">
      <w:pPr>
        <w:pStyle w:val="BodyTextIndent"/>
        <w:numPr>
          <w:ilvl w:val="0"/>
          <w:numId w:val="7"/>
        </w:numPr>
      </w:pPr>
      <w:r>
        <w:t>current receivables</w:t>
      </w:r>
      <w:r w:rsidRPr="00CF1A8C">
        <w:t>:</w:t>
      </w:r>
      <w:r>
        <w:t xml:space="preserve">  the increase of $2.191 </w:t>
      </w:r>
      <w:r w:rsidRPr="00CF1A8C">
        <w:t xml:space="preserve">million in the </w:t>
      </w:r>
      <w:r>
        <w:t>2012</w:t>
      </w:r>
      <w:r>
        <w:noBreakHyphen/>
        <w:t>13</w:t>
      </w:r>
      <w:r w:rsidRPr="00CF1A8C">
        <w:t xml:space="preserve"> estimated outcome from the original budget </w:t>
      </w:r>
      <w:r>
        <w:t>and the increase of $1.914 million in the 2013</w:t>
      </w:r>
      <w:r>
        <w:noBreakHyphen/>
        <w:t>14 Budget from the 2012</w:t>
      </w:r>
      <w:r>
        <w:noBreakHyphen/>
        <w:t>13 estimated outcome is mainly due</w:t>
      </w:r>
      <w:r w:rsidRPr="00CF1A8C">
        <w:t xml:space="preserve"> to</w:t>
      </w:r>
      <w:r>
        <w:t xml:space="preserve"> the take-up of the Carbon Neutral Government loan facility by Government agencies.</w:t>
      </w:r>
    </w:p>
    <w:p w:rsidR="00526CBE" w:rsidRDefault="00526CBE" w:rsidP="00526CBE">
      <w:pPr>
        <w:pStyle w:val="BodyTextIndent"/>
        <w:numPr>
          <w:ilvl w:val="0"/>
          <w:numId w:val="7"/>
        </w:numPr>
      </w:pPr>
      <w:r>
        <w:t>other current assets</w:t>
      </w:r>
      <w:r w:rsidRPr="00CF1A8C">
        <w:t>:</w:t>
      </w:r>
      <w:r>
        <w:t xml:space="preserve">  the decrease of $0.749 </w:t>
      </w:r>
      <w:r w:rsidRPr="00CF1A8C">
        <w:t xml:space="preserve">million in the </w:t>
      </w:r>
      <w:r>
        <w:t>2012</w:t>
      </w:r>
      <w:r>
        <w:noBreakHyphen/>
        <w:t>13</w:t>
      </w:r>
      <w:r w:rsidRPr="00CF1A8C">
        <w:t xml:space="preserve"> estimated outcome from the </w:t>
      </w:r>
      <w:r>
        <w:t>original budget is due</w:t>
      </w:r>
      <w:r w:rsidRPr="00DE4A0B">
        <w:t xml:space="preserve"> to the flow</w:t>
      </w:r>
      <w:r w:rsidRPr="00DE4A0B">
        <w:noBreakHyphen/>
        <w:t xml:space="preserve">on </w:t>
      </w:r>
      <w:r>
        <w:t xml:space="preserve">effects </w:t>
      </w:r>
      <w:r w:rsidRPr="00DE4A0B">
        <w:t xml:space="preserve">of the </w:t>
      </w:r>
      <w:r>
        <w:t>2011</w:t>
      </w:r>
      <w:r>
        <w:noBreakHyphen/>
        <w:t>12</w:t>
      </w:r>
      <w:r w:rsidRPr="00DE4A0B">
        <w:t xml:space="preserve"> audited </w:t>
      </w:r>
      <w:r>
        <w:t>financial results.</w:t>
      </w:r>
    </w:p>
    <w:p w:rsidR="00526CBE" w:rsidRPr="00CF1A8C" w:rsidRDefault="00526CBE" w:rsidP="00526CBE">
      <w:pPr>
        <w:pStyle w:val="BodyTextIndent"/>
        <w:numPr>
          <w:ilvl w:val="0"/>
          <w:numId w:val="7"/>
        </w:numPr>
      </w:pPr>
      <w:r>
        <w:t>non current receivables</w:t>
      </w:r>
      <w:r w:rsidRPr="00CF1A8C">
        <w:t>:</w:t>
      </w:r>
    </w:p>
    <w:p w:rsidR="00526CBE" w:rsidRDefault="00526CBE" w:rsidP="00526CBE">
      <w:pPr>
        <w:pStyle w:val="BodyTextIndent2"/>
      </w:pPr>
      <w:r>
        <w:t>the decrease of $2.323 </w:t>
      </w:r>
      <w:r w:rsidRPr="00CF1A8C">
        <w:t xml:space="preserve">million in the </w:t>
      </w:r>
      <w:r>
        <w:t>2012</w:t>
      </w:r>
      <w:r>
        <w:noBreakHyphen/>
        <w:t>13</w:t>
      </w:r>
      <w:r w:rsidRPr="00CF1A8C">
        <w:t xml:space="preserve"> estimated outcome from the original budget </w:t>
      </w:r>
      <w:r>
        <w:t xml:space="preserve">is mainly due to the </w:t>
      </w:r>
      <w:r w:rsidR="002C1777" w:rsidRPr="00DE4A0B">
        <w:t>flow</w:t>
      </w:r>
      <w:r w:rsidR="002C1777" w:rsidRPr="00DE4A0B">
        <w:noBreakHyphen/>
        <w:t xml:space="preserve">on </w:t>
      </w:r>
      <w:r w:rsidR="002C1777">
        <w:t xml:space="preserve">effects </w:t>
      </w:r>
      <w:r w:rsidR="002C1777" w:rsidRPr="00DE4A0B">
        <w:t xml:space="preserve">of the </w:t>
      </w:r>
      <w:r w:rsidR="002C1777">
        <w:t>2011</w:t>
      </w:r>
      <w:r w:rsidR="002C1777">
        <w:noBreakHyphen/>
        <w:t>12</w:t>
      </w:r>
      <w:r w:rsidR="002C1777" w:rsidRPr="00DE4A0B">
        <w:t xml:space="preserve"> audited </w:t>
      </w:r>
      <w:r w:rsidR="002C1777">
        <w:t>financial result</w:t>
      </w:r>
      <w:r>
        <w:t>; and</w:t>
      </w:r>
    </w:p>
    <w:p w:rsidR="00526CBE" w:rsidRDefault="00526CBE" w:rsidP="00526CBE">
      <w:pPr>
        <w:pStyle w:val="BodyTextIndent2"/>
      </w:pPr>
      <w:r>
        <w:t>the increase of $2.235 million in the 2013</w:t>
      </w:r>
      <w:r>
        <w:noBreakHyphen/>
        <w:t>14 Budget from the 2012</w:t>
      </w:r>
      <w:r>
        <w:noBreakHyphen/>
        <w:t>13 estimated outcome mainly relates</w:t>
      </w:r>
      <w:r w:rsidRPr="00CF1A8C">
        <w:t xml:space="preserve"> to</w:t>
      </w:r>
      <w:r>
        <w:t xml:space="preserve"> the take-up by Government agencies of the Carbon Neutral Government loan facility.</w:t>
      </w:r>
    </w:p>
    <w:p w:rsidR="00526CBE" w:rsidRPr="003A7C21" w:rsidRDefault="00C93E02" w:rsidP="00526CBE">
      <w:pPr>
        <w:pStyle w:val="BodyTextIndent"/>
        <w:numPr>
          <w:ilvl w:val="0"/>
          <w:numId w:val="7"/>
        </w:numPr>
      </w:pPr>
      <w:r w:rsidRPr="003A7C21">
        <w:t>property plant and equipment:  the decrease of $30.316 million in the 2012</w:t>
      </w:r>
      <w:r w:rsidRPr="003A7C21">
        <w:noBreakHyphen/>
        <w:t>13 estimated outcome from the original budget is due to delays in the completion and capitalisati</w:t>
      </w:r>
      <w:r w:rsidR="002272D3">
        <w:t>on of stormwater projects.</w:t>
      </w:r>
    </w:p>
    <w:p w:rsidR="00526CBE" w:rsidRPr="003A7C21" w:rsidRDefault="002272D3" w:rsidP="00526CBE">
      <w:pPr>
        <w:pStyle w:val="BodyTextIndent"/>
        <w:numPr>
          <w:ilvl w:val="0"/>
          <w:numId w:val="7"/>
        </w:numPr>
      </w:pPr>
      <w:r>
        <w:t>capital works in progress:</w:t>
      </w:r>
    </w:p>
    <w:p w:rsidR="00526CBE" w:rsidRPr="003A7C21" w:rsidRDefault="002272D3" w:rsidP="00526CBE">
      <w:pPr>
        <w:pStyle w:val="BodyTextIndent2"/>
      </w:pPr>
      <w:r>
        <w:t>the increase of $12.472 million in the 2012</w:t>
      </w:r>
      <w:r>
        <w:noBreakHyphen/>
        <w:t xml:space="preserve">13 estimated outcome from the original budget is due to the delays in the </w:t>
      </w:r>
      <w:r w:rsidR="00FA221E" w:rsidRPr="00FA221E">
        <w:t>completion and capitalisation of the stormwater projects, partially offset by the expensing of completed feasibility studies and rollover of funding to 2013-14; and</w:t>
      </w:r>
    </w:p>
    <w:p w:rsidR="00526CBE" w:rsidRPr="003A7C21" w:rsidRDefault="00FA221E" w:rsidP="00526CBE">
      <w:pPr>
        <w:pStyle w:val="BodyTextIndent2"/>
      </w:pPr>
      <w:r w:rsidRPr="00FA221E">
        <w:t>the decrease of $27.138 million in the 2013</w:t>
      </w:r>
      <w:r w:rsidRPr="00FA221E">
        <w:noBreakHyphen/>
        <w:t>14 Budget from the 2012</w:t>
      </w:r>
      <w:r w:rsidRPr="00FA221E">
        <w:noBreakHyphen/>
        <w:t>13 estimated outcome is mainly due to the transfer of stormwater projects to TAMS upon completion.</w:t>
      </w:r>
    </w:p>
    <w:p w:rsidR="00526CBE" w:rsidRDefault="00526CBE" w:rsidP="00526CBE">
      <w:pPr>
        <w:pStyle w:val="BodyTextIndent"/>
        <w:numPr>
          <w:ilvl w:val="0"/>
          <w:numId w:val="7"/>
        </w:numPr>
      </w:pPr>
      <w:proofErr w:type="gramStart"/>
      <w:r>
        <w:t>payables</w:t>
      </w:r>
      <w:proofErr w:type="gramEnd"/>
      <w:r w:rsidRPr="00CF1A8C">
        <w:t>:</w:t>
      </w:r>
      <w:r>
        <w:t xml:space="preserve">  the decrease of $1.012 </w:t>
      </w:r>
      <w:r w:rsidRPr="00CF1A8C">
        <w:t xml:space="preserve">million in the </w:t>
      </w:r>
      <w:r>
        <w:t>2012</w:t>
      </w:r>
      <w:r>
        <w:noBreakHyphen/>
        <w:t>13</w:t>
      </w:r>
      <w:r w:rsidRPr="00CF1A8C">
        <w:t xml:space="preserve"> estimated outcome from the </w:t>
      </w:r>
      <w:r>
        <w:t xml:space="preserve">original budget </w:t>
      </w:r>
      <w:r w:rsidRPr="00DE4A0B">
        <w:t>relates to the flow</w:t>
      </w:r>
      <w:r w:rsidRPr="00DE4A0B">
        <w:noBreakHyphen/>
      </w:r>
      <w:proofErr w:type="spellStart"/>
      <w:r w:rsidRPr="00DE4A0B">
        <w:t>on</w:t>
      </w:r>
      <w:proofErr w:type="spellEnd"/>
      <w:r w:rsidRPr="00DE4A0B">
        <w:t xml:space="preserve"> </w:t>
      </w:r>
      <w:r>
        <w:t xml:space="preserve">effects </w:t>
      </w:r>
      <w:r w:rsidRPr="00DE4A0B">
        <w:t xml:space="preserve">of the </w:t>
      </w:r>
      <w:r>
        <w:t>2011</w:t>
      </w:r>
      <w:r>
        <w:noBreakHyphen/>
        <w:t>12</w:t>
      </w:r>
      <w:r w:rsidRPr="00DE4A0B">
        <w:t xml:space="preserve"> audited </w:t>
      </w:r>
      <w:r>
        <w:t>financial results.</w:t>
      </w:r>
    </w:p>
    <w:p w:rsidR="00526CBE" w:rsidRPr="00CF1A8C" w:rsidRDefault="00526CBE" w:rsidP="00526CBE">
      <w:pPr>
        <w:pStyle w:val="BodyTextIndent"/>
        <w:numPr>
          <w:ilvl w:val="0"/>
          <w:numId w:val="7"/>
        </w:numPr>
      </w:pPr>
      <w:r>
        <w:t>employee benefits</w:t>
      </w:r>
      <w:r w:rsidRPr="00CF1A8C">
        <w:t>:</w:t>
      </w:r>
    </w:p>
    <w:p w:rsidR="00526CBE" w:rsidRDefault="00526CBE" w:rsidP="00526CBE">
      <w:pPr>
        <w:pStyle w:val="BodyTextIndent2"/>
      </w:pPr>
      <w:r>
        <w:t>the decrease of $3.805 </w:t>
      </w:r>
      <w:r w:rsidRPr="00CF1A8C">
        <w:t xml:space="preserve">million in the </w:t>
      </w:r>
      <w:r>
        <w:t>2012</w:t>
      </w:r>
      <w:r>
        <w:noBreakHyphen/>
        <w:t>13</w:t>
      </w:r>
      <w:r w:rsidRPr="00CF1A8C">
        <w:t xml:space="preserve"> estimated outcome from the original budget </w:t>
      </w:r>
      <w:r>
        <w:t>is due to the</w:t>
      </w:r>
      <w:r w:rsidR="00C75434">
        <w:t xml:space="preserve"> flow</w:t>
      </w:r>
      <w:r w:rsidR="00C75434">
        <w:noBreakHyphen/>
      </w:r>
      <w:proofErr w:type="spellStart"/>
      <w:r w:rsidRPr="00DE4A0B">
        <w:t>on</w:t>
      </w:r>
      <w:proofErr w:type="spellEnd"/>
      <w:r>
        <w:t xml:space="preserve"> effects</w:t>
      </w:r>
      <w:r w:rsidRPr="00DE4A0B">
        <w:t xml:space="preserve"> of the </w:t>
      </w:r>
      <w:r>
        <w:t>2011</w:t>
      </w:r>
      <w:r>
        <w:noBreakHyphen/>
        <w:t>12</w:t>
      </w:r>
      <w:r w:rsidRPr="00DE4A0B">
        <w:t xml:space="preserve"> audited </w:t>
      </w:r>
      <w:r>
        <w:t>financial results; and</w:t>
      </w:r>
    </w:p>
    <w:p w:rsidR="00526CBE" w:rsidRDefault="00526CBE" w:rsidP="00526CBE">
      <w:pPr>
        <w:pStyle w:val="BodyTextIndent2"/>
      </w:pPr>
      <w:r>
        <w:t>the increase of $0.562 million in the 2013</w:t>
      </w:r>
      <w:r>
        <w:noBreakHyphen/>
        <w:t>14 Budget from the 2012</w:t>
      </w:r>
      <w:r>
        <w:noBreakHyphen/>
        <w:t>13 estimated outcome is mainly due</w:t>
      </w:r>
      <w:r w:rsidRPr="00CF1A8C">
        <w:t xml:space="preserve"> to</w:t>
      </w:r>
      <w:r>
        <w:t xml:space="preserve"> the impact of changes to the calculation of long service leave liability.</w:t>
      </w:r>
    </w:p>
    <w:p w:rsidR="00526CBE" w:rsidRDefault="00526CBE" w:rsidP="00526CBE">
      <w:pPr>
        <w:pStyle w:val="BodyTextIndent"/>
        <w:numPr>
          <w:ilvl w:val="0"/>
          <w:numId w:val="7"/>
        </w:numPr>
      </w:pPr>
      <w:proofErr w:type="gramStart"/>
      <w:r>
        <w:t>other</w:t>
      </w:r>
      <w:proofErr w:type="gramEnd"/>
      <w:r>
        <w:t xml:space="preserve"> liabilities</w:t>
      </w:r>
      <w:r w:rsidRPr="00CF1A8C">
        <w:t>:</w:t>
      </w:r>
      <w:r>
        <w:t xml:space="preserve">  the decrease of $1.181 </w:t>
      </w:r>
      <w:r w:rsidRPr="00CF1A8C">
        <w:t xml:space="preserve">million in the </w:t>
      </w:r>
      <w:r>
        <w:t>2012</w:t>
      </w:r>
      <w:r>
        <w:noBreakHyphen/>
        <w:t>13</w:t>
      </w:r>
      <w:r w:rsidRPr="00CF1A8C">
        <w:t xml:space="preserve"> estimated outcome from the </w:t>
      </w:r>
      <w:r>
        <w:t>original budget is due</w:t>
      </w:r>
      <w:r w:rsidRPr="00DE4A0B">
        <w:t xml:space="preserve"> to the flow</w:t>
      </w:r>
      <w:r w:rsidR="00C75434">
        <w:noBreakHyphen/>
      </w:r>
      <w:r w:rsidRPr="00DE4A0B">
        <w:t>on</w:t>
      </w:r>
      <w:r>
        <w:t xml:space="preserve"> effects</w:t>
      </w:r>
      <w:r w:rsidRPr="00DE4A0B">
        <w:t xml:space="preserve"> of the </w:t>
      </w:r>
      <w:r>
        <w:t>2011</w:t>
      </w:r>
      <w:r>
        <w:noBreakHyphen/>
        <w:t>12</w:t>
      </w:r>
      <w:r w:rsidRPr="00DE4A0B">
        <w:t xml:space="preserve"> audited </w:t>
      </w:r>
      <w:r>
        <w:t>financial results.</w:t>
      </w:r>
    </w:p>
    <w:p w:rsidR="00C51FBF" w:rsidRDefault="00C51FBF">
      <w:pPr>
        <w:rPr>
          <w:i/>
        </w:rPr>
      </w:pPr>
      <w:r>
        <w:br w:type="page"/>
      </w:r>
    </w:p>
    <w:p w:rsidR="00526CBE" w:rsidRPr="00B63C97" w:rsidRDefault="00526CBE" w:rsidP="00526CBE">
      <w:pPr>
        <w:pStyle w:val="Heading4"/>
      </w:pPr>
      <w:r w:rsidRPr="00DE4A0B">
        <w:lastRenderedPageBreak/>
        <w:t>Statement o</w:t>
      </w:r>
      <w:r>
        <w:t xml:space="preserve">f Changes in Equity </w:t>
      </w:r>
    </w:p>
    <w:p w:rsidR="00526CBE" w:rsidRDefault="00526CBE" w:rsidP="00526CBE">
      <w:pPr>
        <w:rPr>
          <w:szCs w:val="24"/>
        </w:rPr>
      </w:pPr>
      <w:r w:rsidRPr="005E0936">
        <w:rPr>
          <w:szCs w:val="24"/>
        </w:rPr>
        <w:t>Variations in the statement are explained in the notes above.</w:t>
      </w:r>
    </w:p>
    <w:p w:rsidR="00526CBE" w:rsidRDefault="00526CBE" w:rsidP="00526CBE">
      <w:pPr>
        <w:pStyle w:val="Heading4"/>
      </w:pPr>
      <w:r w:rsidRPr="0038164E">
        <w:t>Cash Flow</w:t>
      </w:r>
    </w:p>
    <w:p w:rsidR="00526CBE" w:rsidRDefault="00526CBE" w:rsidP="00526CBE">
      <w:pPr>
        <w:rPr>
          <w:szCs w:val="24"/>
        </w:rPr>
      </w:pPr>
      <w:r w:rsidRPr="005E0936">
        <w:rPr>
          <w:szCs w:val="24"/>
        </w:rPr>
        <w:t>Variations in the statement are explained in the notes above.</w:t>
      </w:r>
    </w:p>
    <w:p w:rsidR="00526CBE" w:rsidRDefault="00526CBE">
      <w:pPr>
        <w:rPr>
          <w:lang w:eastAsia="en-AU"/>
        </w:rPr>
      </w:pPr>
      <w:r>
        <w:rPr>
          <w:lang w:eastAsia="en-AU"/>
        </w:rPr>
        <w:br w:type="page"/>
      </w:r>
    </w:p>
    <w:tbl>
      <w:tblPr>
        <w:tblW w:w="9356" w:type="dxa"/>
        <w:tblLook w:val="04A0"/>
      </w:tblPr>
      <w:tblGrid>
        <w:gridCol w:w="1050"/>
        <w:gridCol w:w="2319"/>
        <w:gridCol w:w="1167"/>
        <w:gridCol w:w="1049"/>
        <w:gridCol w:w="621"/>
        <w:gridCol w:w="1050"/>
        <w:gridCol w:w="1050"/>
        <w:gridCol w:w="1050"/>
      </w:tblGrid>
      <w:tr w:rsidR="00FF509E" w:rsidTr="00FF509E">
        <w:trPr>
          <w:tblHeader/>
        </w:trPr>
        <w:tc>
          <w:tcPr>
            <w:tcW w:w="9356" w:type="dxa"/>
            <w:gridSpan w:val="8"/>
            <w:tcBorders>
              <w:top w:val="nil"/>
              <w:left w:val="nil"/>
              <w:bottom w:val="nil"/>
              <w:right w:val="nil"/>
            </w:tcBorders>
            <w:shd w:val="clear" w:color="000000" w:fill="FFFFFF"/>
            <w:hideMark/>
          </w:tcPr>
          <w:p w:rsidR="00FF509E" w:rsidRDefault="00FF509E" w:rsidP="00FF509E">
            <w:pPr>
              <w:jc w:val="center"/>
              <w:rPr>
                <w:rFonts w:ascii="Arial" w:hAnsi="Arial" w:cs="Arial"/>
                <w:b/>
                <w:bCs/>
                <w:szCs w:val="24"/>
              </w:rPr>
            </w:pPr>
            <w:bookmarkStart w:id="4" w:name="RANGE!A1:H34"/>
            <w:r>
              <w:rPr>
                <w:rFonts w:ascii="Arial" w:hAnsi="Arial" w:cs="Arial"/>
                <w:b/>
                <w:bCs/>
              </w:rPr>
              <w:lastRenderedPageBreak/>
              <w:t>Environment and Sustainable Development Directorate</w:t>
            </w:r>
            <w:bookmarkEnd w:id="4"/>
          </w:p>
        </w:tc>
      </w:tr>
      <w:tr w:rsidR="00FF509E" w:rsidTr="00FF509E">
        <w:trPr>
          <w:tblHeader/>
        </w:trPr>
        <w:tc>
          <w:tcPr>
            <w:tcW w:w="9356" w:type="dxa"/>
            <w:gridSpan w:val="8"/>
            <w:tcBorders>
              <w:top w:val="nil"/>
              <w:left w:val="nil"/>
              <w:bottom w:val="nil"/>
              <w:right w:val="nil"/>
            </w:tcBorders>
            <w:shd w:val="clear" w:color="000000" w:fill="FFFFFF"/>
            <w:hideMark/>
          </w:tcPr>
          <w:p w:rsidR="00FF509E" w:rsidRDefault="00FF509E" w:rsidP="00FF509E">
            <w:pPr>
              <w:spacing w:after="60"/>
              <w:jc w:val="center"/>
              <w:rPr>
                <w:rFonts w:ascii="Arial" w:hAnsi="Arial" w:cs="Arial"/>
                <w:b/>
                <w:bCs/>
                <w:szCs w:val="24"/>
              </w:rPr>
            </w:pPr>
            <w:r>
              <w:rPr>
                <w:rFonts w:ascii="Arial" w:hAnsi="Arial" w:cs="Arial"/>
                <w:b/>
                <w:bCs/>
              </w:rPr>
              <w:t>Statement of Income and Expenses on Behalf of the Territory</w:t>
            </w:r>
          </w:p>
        </w:tc>
      </w:tr>
      <w:tr w:rsidR="00FF509E" w:rsidTr="00FF509E">
        <w:trPr>
          <w:tblHeader/>
        </w:trPr>
        <w:tc>
          <w:tcPr>
            <w:tcW w:w="1050" w:type="dxa"/>
            <w:tcBorders>
              <w:top w:val="single" w:sz="4" w:space="0" w:color="auto"/>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2012-13</w:t>
            </w:r>
          </w:p>
        </w:tc>
        <w:tc>
          <w:tcPr>
            <w:tcW w:w="2319" w:type="dxa"/>
            <w:tcBorders>
              <w:top w:val="single" w:sz="4" w:space="0" w:color="auto"/>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67" w:type="dxa"/>
            <w:tcBorders>
              <w:top w:val="single" w:sz="4" w:space="0" w:color="auto"/>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2012-13</w:t>
            </w:r>
          </w:p>
        </w:tc>
        <w:tc>
          <w:tcPr>
            <w:tcW w:w="1049" w:type="dxa"/>
            <w:tcBorders>
              <w:top w:val="single" w:sz="4" w:space="0" w:color="auto"/>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2016-17</w:t>
            </w:r>
          </w:p>
        </w:tc>
      </w:tr>
      <w:tr w:rsidR="00FF509E" w:rsidTr="00FF509E">
        <w:trPr>
          <w:tblHeader/>
        </w:trPr>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Budget</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67"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Est. Outcome</w:t>
            </w:r>
          </w:p>
        </w:tc>
        <w:tc>
          <w:tcPr>
            <w:tcW w:w="1049"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Var</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Estimate</w:t>
            </w:r>
          </w:p>
        </w:tc>
      </w:tr>
      <w:tr w:rsidR="00FF509E" w:rsidTr="00FF509E">
        <w:trPr>
          <w:tblHeader/>
        </w:trPr>
        <w:tc>
          <w:tcPr>
            <w:tcW w:w="1050" w:type="dxa"/>
            <w:tcBorders>
              <w:top w:val="nil"/>
              <w:left w:val="nil"/>
              <w:bottom w:val="single" w:sz="4" w:space="0" w:color="auto"/>
              <w:right w:val="nil"/>
            </w:tcBorders>
            <w:shd w:val="clear" w:color="000000" w:fill="FFFFFF"/>
            <w:hideMark/>
          </w:tcPr>
          <w:p w:rsidR="00FF509E" w:rsidRDefault="00FF509E" w:rsidP="00FF509E">
            <w:pPr>
              <w:ind w:left="-283"/>
              <w:jc w:val="right"/>
              <w:rPr>
                <w:b/>
                <w:bCs/>
                <w:sz w:val="18"/>
                <w:szCs w:val="18"/>
              </w:rPr>
            </w:pPr>
            <w:r>
              <w:rPr>
                <w:b/>
                <w:bCs/>
                <w:sz w:val="18"/>
                <w:szCs w:val="18"/>
              </w:rPr>
              <w:t>$'000</w:t>
            </w:r>
          </w:p>
        </w:tc>
        <w:tc>
          <w:tcPr>
            <w:tcW w:w="2319" w:type="dxa"/>
            <w:tcBorders>
              <w:top w:val="nil"/>
              <w:left w:val="nil"/>
              <w:bottom w:val="single" w:sz="4" w:space="0" w:color="auto"/>
              <w:right w:val="nil"/>
            </w:tcBorders>
            <w:shd w:val="clear" w:color="000000" w:fill="FFFFFF"/>
            <w:hideMark/>
          </w:tcPr>
          <w:p w:rsidR="00FF509E" w:rsidRDefault="00FF509E" w:rsidP="00FF509E">
            <w:pPr>
              <w:rPr>
                <w:b/>
                <w:bCs/>
                <w:sz w:val="18"/>
                <w:szCs w:val="18"/>
              </w:rPr>
            </w:pPr>
            <w:r>
              <w:rPr>
                <w:b/>
                <w:bCs/>
                <w:sz w:val="18"/>
                <w:szCs w:val="18"/>
              </w:rPr>
              <w:t> </w:t>
            </w:r>
          </w:p>
        </w:tc>
        <w:tc>
          <w:tcPr>
            <w:tcW w:w="1167" w:type="dxa"/>
            <w:tcBorders>
              <w:top w:val="nil"/>
              <w:left w:val="nil"/>
              <w:bottom w:val="single" w:sz="4" w:space="0" w:color="auto"/>
              <w:right w:val="nil"/>
            </w:tcBorders>
            <w:shd w:val="clear" w:color="000000" w:fill="FFFFFF"/>
            <w:hideMark/>
          </w:tcPr>
          <w:p w:rsidR="00FF509E" w:rsidRDefault="00FF509E" w:rsidP="00FF509E">
            <w:pPr>
              <w:ind w:left="-283"/>
              <w:jc w:val="right"/>
              <w:rPr>
                <w:b/>
                <w:bCs/>
                <w:sz w:val="18"/>
                <w:szCs w:val="18"/>
              </w:rPr>
            </w:pPr>
            <w:r>
              <w:rPr>
                <w:b/>
                <w:bCs/>
                <w:sz w:val="18"/>
                <w:szCs w:val="18"/>
              </w:rPr>
              <w:t>$'000</w:t>
            </w:r>
          </w:p>
        </w:tc>
        <w:tc>
          <w:tcPr>
            <w:tcW w:w="1049" w:type="dxa"/>
            <w:tcBorders>
              <w:top w:val="nil"/>
              <w:left w:val="nil"/>
              <w:bottom w:val="single" w:sz="4" w:space="0" w:color="auto"/>
              <w:right w:val="nil"/>
            </w:tcBorders>
            <w:shd w:val="clear" w:color="000000" w:fill="FFFFFF"/>
            <w:hideMark/>
          </w:tcPr>
          <w:p w:rsidR="00FF509E" w:rsidRDefault="00FF509E" w:rsidP="00FF509E">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FF509E" w:rsidRDefault="00FF509E" w:rsidP="00FF509E">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FF509E" w:rsidRDefault="00FF509E" w:rsidP="00FF509E">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FF509E" w:rsidRDefault="00FF509E" w:rsidP="00FF509E">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FF509E" w:rsidRDefault="00FF509E" w:rsidP="00FF509E">
            <w:pPr>
              <w:ind w:left="-283"/>
              <w:jc w:val="right"/>
              <w:rPr>
                <w:b/>
                <w:bCs/>
                <w:sz w:val="18"/>
                <w:szCs w:val="18"/>
              </w:rPr>
            </w:pPr>
            <w:r>
              <w:rPr>
                <w:b/>
                <w:bCs/>
                <w:sz w:val="18"/>
                <w:szCs w:val="18"/>
              </w:rPr>
              <w:t>$'000</w:t>
            </w:r>
          </w:p>
        </w:tc>
      </w:tr>
      <w:tr w:rsidR="00FF509E" w:rsidTr="00FF509E">
        <w:trPr>
          <w:tblHeader/>
        </w:trPr>
        <w:tc>
          <w:tcPr>
            <w:tcW w:w="1050" w:type="dxa"/>
            <w:tcBorders>
              <w:top w:val="nil"/>
              <w:left w:val="nil"/>
              <w:bottom w:val="nil"/>
              <w:right w:val="nil"/>
            </w:tcBorders>
            <w:shd w:val="clear" w:color="000000" w:fill="FFFFFF"/>
            <w:hideMark/>
          </w:tcPr>
          <w:p w:rsidR="00FF509E" w:rsidRDefault="00FF509E" w:rsidP="00FF509E">
            <w:pPr>
              <w:ind w:left="-283"/>
              <w:jc w:val="right"/>
              <w:rPr>
                <w:b/>
                <w:bCs/>
                <w:i/>
                <w:iCs/>
                <w:sz w:val="18"/>
                <w:szCs w:val="18"/>
              </w:rPr>
            </w:pPr>
            <w:r>
              <w:rPr>
                <w:b/>
                <w:bCs/>
                <w:i/>
                <w:iCs/>
                <w:sz w:val="18"/>
                <w:szCs w:val="18"/>
              </w:rPr>
              <w:t> </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67" w:type="dxa"/>
            <w:tcBorders>
              <w:top w:val="nil"/>
              <w:left w:val="nil"/>
              <w:bottom w:val="nil"/>
              <w:right w:val="nil"/>
            </w:tcBorders>
            <w:shd w:val="clear" w:color="000000" w:fill="FFFFFF"/>
            <w:hideMark/>
          </w:tcPr>
          <w:p w:rsidR="00FF509E" w:rsidRDefault="00FF509E" w:rsidP="00FF509E">
            <w:pPr>
              <w:ind w:left="-283"/>
              <w:jc w:val="right"/>
              <w:rPr>
                <w:b/>
                <w:bCs/>
                <w:i/>
                <w:iCs/>
                <w:sz w:val="18"/>
                <w:szCs w:val="18"/>
              </w:rPr>
            </w:pPr>
            <w:r>
              <w:rPr>
                <w:b/>
                <w:bCs/>
                <w:i/>
                <w:iCs/>
                <w:sz w:val="18"/>
                <w:szCs w:val="18"/>
              </w:rPr>
              <w:t> </w:t>
            </w:r>
          </w:p>
        </w:tc>
        <w:tc>
          <w:tcPr>
            <w:tcW w:w="1049" w:type="dxa"/>
            <w:tcBorders>
              <w:top w:val="nil"/>
              <w:left w:val="nil"/>
              <w:bottom w:val="nil"/>
              <w:right w:val="nil"/>
            </w:tcBorders>
            <w:shd w:val="clear" w:color="000000" w:fill="FFFFFF"/>
            <w:hideMark/>
          </w:tcPr>
          <w:p w:rsidR="00FF509E" w:rsidRDefault="00FF509E" w:rsidP="00FF509E">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FF509E" w:rsidRDefault="00FF509E" w:rsidP="00FF509E">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i/>
                <w:iCs/>
                <w:sz w:val="18"/>
                <w:szCs w:val="18"/>
              </w:rPr>
            </w:pPr>
            <w:r>
              <w:rPr>
                <w:b/>
                <w:bCs/>
                <w:i/>
                <w:iCs/>
                <w:sz w:val="18"/>
                <w:szCs w:val="18"/>
              </w:rPr>
              <w:t> </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Income</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Revenue</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1,767</w:t>
            </w:r>
          </w:p>
        </w:tc>
        <w:tc>
          <w:tcPr>
            <w:tcW w:w="2319"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 xml:space="preserve">Payment for Expenses on </w:t>
            </w:r>
            <w:r>
              <w:rPr>
                <w:sz w:val="18"/>
                <w:szCs w:val="18"/>
              </w:rPr>
              <w:br/>
              <w:t xml:space="preserve">   behalf of Territory</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2,223</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1,800</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-19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1,836</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1,880</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1,918</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68,844</w:t>
            </w:r>
          </w:p>
        </w:tc>
        <w:tc>
          <w:tcPr>
            <w:tcW w:w="2319"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Taxes, Fees and Fines</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65,122</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65,610</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68,579</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70,626</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71,675</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43</w:t>
            </w:r>
          </w:p>
        </w:tc>
        <w:tc>
          <w:tcPr>
            <w:tcW w:w="2319"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Interest</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43</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43</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43</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45</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45</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3,719</w:t>
            </w:r>
          </w:p>
        </w:tc>
        <w:tc>
          <w:tcPr>
            <w:tcW w:w="2319"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Land Revenue</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4,500</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3,812</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-15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3,812</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3,964</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4,103</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74,373</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Total Revenue</w:t>
            </w:r>
          </w:p>
        </w:tc>
        <w:tc>
          <w:tcPr>
            <w:tcW w:w="1167"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71,888</w:t>
            </w:r>
          </w:p>
        </w:tc>
        <w:tc>
          <w:tcPr>
            <w:tcW w:w="1049"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71,265</w:t>
            </w:r>
          </w:p>
        </w:tc>
        <w:tc>
          <w:tcPr>
            <w:tcW w:w="621"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74,270</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76,515</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77,741</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74,373</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Total Income</w:t>
            </w:r>
          </w:p>
        </w:tc>
        <w:tc>
          <w:tcPr>
            <w:tcW w:w="1167"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71,888</w:t>
            </w:r>
          </w:p>
        </w:tc>
        <w:tc>
          <w:tcPr>
            <w:tcW w:w="1049"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71,265</w:t>
            </w:r>
          </w:p>
        </w:tc>
        <w:tc>
          <w:tcPr>
            <w:tcW w:w="621"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74,270</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76,515</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77,741</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xml:space="preserve">Expenses  </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661</w:t>
            </w:r>
          </w:p>
        </w:tc>
        <w:tc>
          <w:tcPr>
            <w:tcW w:w="2319"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Employee Expenses</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658</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671</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679</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687</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695</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98</w:t>
            </w:r>
          </w:p>
        </w:tc>
        <w:tc>
          <w:tcPr>
            <w:tcW w:w="2319"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Superannuation Expenses</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98</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96</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98</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99</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101</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527</w:t>
            </w:r>
          </w:p>
        </w:tc>
        <w:tc>
          <w:tcPr>
            <w:tcW w:w="2319"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Supplies and Services</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677</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537</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-21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551</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586</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601</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w:t>
            </w:r>
          </w:p>
        </w:tc>
        <w:tc>
          <w:tcPr>
            <w:tcW w:w="2319"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 xml:space="preserve">Depreciation and </w:t>
            </w:r>
            <w:r>
              <w:rPr>
                <w:sz w:val="18"/>
                <w:szCs w:val="18"/>
              </w:rPr>
              <w:br/>
              <w:t xml:space="preserve">   Amortisation</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0</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-100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0</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w:t>
            </w:r>
          </w:p>
        </w:tc>
        <w:tc>
          <w:tcPr>
            <w:tcW w:w="2319"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Borrowing Costs</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479</w:t>
            </w:r>
          </w:p>
        </w:tc>
        <w:tc>
          <w:tcPr>
            <w:tcW w:w="2319"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 xml:space="preserve">Grants and Purchased </w:t>
            </w:r>
            <w:r>
              <w:rPr>
                <w:sz w:val="18"/>
                <w:szCs w:val="18"/>
              </w:rPr>
              <w:br/>
              <w:t xml:space="preserve">   Services</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785</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494</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-37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506</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506</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519</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72,606</w:t>
            </w:r>
          </w:p>
        </w:tc>
        <w:tc>
          <w:tcPr>
            <w:tcW w:w="2319"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Transfer Expenses</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69,665</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69,465</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72,434</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74,635</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75,823</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74,377</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Total Ordinary Expenses</w:t>
            </w:r>
          </w:p>
        </w:tc>
        <w:tc>
          <w:tcPr>
            <w:tcW w:w="1167"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71,889</w:t>
            </w:r>
          </w:p>
        </w:tc>
        <w:tc>
          <w:tcPr>
            <w:tcW w:w="1049"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71,265</w:t>
            </w:r>
          </w:p>
        </w:tc>
        <w:tc>
          <w:tcPr>
            <w:tcW w:w="621"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74,270</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76,515</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77,741</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9"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 </w:t>
            </w:r>
          </w:p>
        </w:tc>
        <w:tc>
          <w:tcPr>
            <w:tcW w:w="1167"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-4</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Operating Result</w:t>
            </w:r>
          </w:p>
        </w:tc>
        <w:tc>
          <w:tcPr>
            <w:tcW w:w="1167"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-1</w:t>
            </w:r>
          </w:p>
        </w:tc>
        <w:tc>
          <w:tcPr>
            <w:tcW w:w="1049"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0</w:t>
            </w:r>
          </w:p>
        </w:tc>
        <w:tc>
          <w:tcPr>
            <w:tcW w:w="621"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xml:space="preserve">100 </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0</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67"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1049"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r>
      <w:tr w:rsidR="00FF509E" w:rsidTr="00FF509E">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-4</w:t>
            </w:r>
          </w:p>
        </w:tc>
        <w:tc>
          <w:tcPr>
            <w:tcW w:w="2319"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Total Comprehensive</w:t>
            </w:r>
            <w:r>
              <w:rPr>
                <w:b/>
                <w:bCs/>
                <w:sz w:val="18"/>
                <w:szCs w:val="18"/>
              </w:rPr>
              <w:br/>
              <w:t xml:space="preserve">   Income</w:t>
            </w:r>
          </w:p>
        </w:tc>
        <w:tc>
          <w:tcPr>
            <w:tcW w:w="1167"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-1</w:t>
            </w:r>
          </w:p>
        </w:tc>
        <w:tc>
          <w:tcPr>
            <w:tcW w:w="1049"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0</w:t>
            </w:r>
          </w:p>
        </w:tc>
        <w:tc>
          <w:tcPr>
            <w:tcW w:w="621"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xml:space="preserve">100 </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0</w:t>
            </w:r>
          </w:p>
        </w:tc>
      </w:tr>
      <w:tr w:rsidR="00FF509E" w:rsidTr="00FF509E">
        <w:tc>
          <w:tcPr>
            <w:tcW w:w="1050"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9" w:type="dxa"/>
            <w:tcBorders>
              <w:top w:val="nil"/>
              <w:left w:val="nil"/>
              <w:bottom w:val="single" w:sz="4" w:space="0" w:color="auto"/>
              <w:right w:val="nil"/>
            </w:tcBorders>
            <w:shd w:val="clear" w:color="000000" w:fill="FFFFFF"/>
            <w:hideMark/>
          </w:tcPr>
          <w:p w:rsidR="00FF509E" w:rsidRDefault="00FF509E" w:rsidP="00FF509E">
            <w:pPr>
              <w:rPr>
                <w:sz w:val="18"/>
                <w:szCs w:val="18"/>
              </w:rPr>
            </w:pPr>
            <w:r>
              <w:rPr>
                <w:sz w:val="18"/>
                <w:szCs w:val="18"/>
              </w:rPr>
              <w:t> </w:t>
            </w:r>
          </w:p>
        </w:tc>
        <w:tc>
          <w:tcPr>
            <w:tcW w:w="1167"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49"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r>
    </w:tbl>
    <w:p w:rsidR="00BA501F" w:rsidRDefault="00BA501F">
      <w:pPr>
        <w:rPr>
          <w:lang w:eastAsia="en-AU"/>
        </w:rPr>
      </w:pPr>
      <w:r>
        <w:rPr>
          <w:lang w:eastAsia="en-AU"/>
        </w:rPr>
        <w:br w:type="page"/>
      </w:r>
    </w:p>
    <w:tbl>
      <w:tblPr>
        <w:tblW w:w="9392" w:type="dxa"/>
        <w:tblLook w:val="04A0"/>
      </w:tblPr>
      <w:tblGrid>
        <w:gridCol w:w="1054"/>
        <w:gridCol w:w="2315"/>
        <w:gridCol w:w="1183"/>
        <w:gridCol w:w="1054"/>
        <w:gridCol w:w="624"/>
        <w:gridCol w:w="1054"/>
        <w:gridCol w:w="1054"/>
        <w:gridCol w:w="1054"/>
      </w:tblGrid>
      <w:tr w:rsidR="00FF509E" w:rsidTr="00FF509E">
        <w:trPr>
          <w:tblHeader/>
        </w:trPr>
        <w:tc>
          <w:tcPr>
            <w:tcW w:w="9392" w:type="dxa"/>
            <w:gridSpan w:val="8"/>
            <w:tcBorders>
              <w:top w:val="nil"/>
              <w:left w:val="nil"/>
              <w:bottom w:val="nil"/>
              <w:right w:val="nil"/>
            </w:tcBorders>
            <w:shd w:val="clear" w:color="000000" w:fill="FFFFFF"/>
            <w:noWrap/>
            <w:vAlign w:val="bottom"/>
            <w:hideMark/>
          </w:tcPr>
          <w:p w:rsidR="00FF509E" w:rsidRDefault="00FF509E" w:rsidP="00FF509E">
            <w:pPr>
              <w:jc w:val="center"/>
              <w:rPr>
                <w:rFonts w:ascii="Arial" w:hAnsi="Arial" w:cs="Arial"/>
                <w:b/>
                <w:bCs/>
                <w:szCs w:val="24"/>
              </w:rPr>
            </w:pPr>
            <w:bookmarkStart w:id="5" w:name="RANGE!A1:H46"/>
            <w:r>
              <w:rPr>
                <w:rFonts w:ascii="Arial" w:hAnsi="Arial" w:cs="Arial"/>
                <w:b/>
                <w:bCs/>
              </w:rPr>
              <w:lastRenderedPageBreak/>
              <w:t>Environment and Sustainable Development Directorate</w:t>
            </w:r>
            <w:bookmarkEnd w:id="5"/>
          </w:p>
        </w:tc>
      </w:tr>
      <w:tr w:rsidR="00FF509E" w:rsidTr="00FF509E">
        <w:trPr>
          <w:tblHeader/>
        </w:trPr>
        <w:tc>
          <w:tcPr>
            <w:tcW w:w="9392" w:type="dxa"/>
            <w:gridSpan w:val="8"/>
            <w:tcBorders>
              <w:top w:val="nil"/>
              <w:left w:val="nil"/>
              <w:bottom w:val="nil"/>
              <w:right w:val="nil"/>
            </w:tcBorders>
            <w:shd w:val="clear" w:color="000000" w:fill="FFFFFF"/>
            <w:noWrap/>
            <w:vAlign w:val="bottom"/>
            <w:hideMark/>
          </w:tcPr>
          <w:p w:rsidR="00FF509E" w:rsidRDefault="00FF509E" w:rsidP="00FF509E">
            <w:pPr>
              <w:spacing w:after="60"/>
              <w:jc w:val="center"/>
              <w:rPr>
                <w:rFonts w:ascii="Arial" w:hAnsi="Arial" w:cs="Arial"/>
                <w:b/>
                <w:bCs/>
                <w:szCs w:val="24"/>
              </w:rPr>
            </w:pPr>
            <w:r>
              <w:rPr>
                <w:rFonts w:ascii="Arial" w:hAnsi="Arial" w:cs="Arial"/>
                <w:b/>
                <w:bCs/>
              </w:rPr>
              <w:t>Statement of Assets and Liabilities on Behalf of the Territory</w:t>
            </w:r>
          </w:p>
        </w:tc>
      </w:tr>
      <w:tr w:rsidR="00FF509E" w:rsidTr="00FF509E">
        <w:trPr>
          <w:tblHeader/>
        </w:trPr>
        <w:tc>
          <w:tcPr>
            <w:tcW w:w="1054"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Budget</w:t>
            </w:r>
          </w:p>
        </w:tc>
        <w:tc>
          <w:tcPr>
            <w:tcW w:w="2315" w:type="dxa"/>
            <w:tcBorders>
              <w:top w:val="single" w:sz="4" w:space="0" w:color="auto"/>
              <w:left w:val="nil"/>
              <w:bottom w:val="nil"/>
              <w:right w:val="nil"/>
            </w:tcBorders>
            <w:shd w:val="clear" w:color="000000" w:fill="FFFFFF"/>
            <w:noWrap/>
            <w:hideMark/>
          </w:tcPr>
          <w:p w:rsidR="00FF509E" w:rsidRDefault="00FF509E" w:rsidP="00FF509E">
            <w:pPr>
              <w:rPr>
                <w:b/>
                <w:bCs/>
                <w:sz w:val="18"/>
                <w:szCs w:val="18"/>
              </w:rPr>
            </w:pPr>
            <w:r>
              <w:rPr>
                <w:b/>
                <w:bCs/>
                <w:sz w:val="18"/>
                <w:szCs w:val="18"/>
              </w:rPr>
              <w:t> </w:t>
            </w:r>
          </w:p>
        </w:tc>
        <w:tc>
          <w:tcPr>
            <w:tcW w:w="1183"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Estimate</w:t>
            </w:r>
          </w:p>
        </w:tc>
      </w:tr>
      <w:tr w:rsidR="00FF509E" w:rsidTr="00FF509E">
        <w:trPr>
          <w:tblHeader/>
        </w:trPr>
        <w:tc>
          <w:tcPr>
            <w:tcW w:w="1054"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as at 30/6/13</w:t>
            </w:r>
          </w:p>
        </w:tc>
        <w:tc>
          <w:tcPr>
            <w:tcW w:w="2315" w:type="dxa"/>
            <w:tcBorders>
              <w:top w:val="nil"/>
              <w:left w:val="nil"/>
              <w:bottom w:val="nil"/>
              <w:right w:val="nil"/>
            </w:tcBorders>
            <w:shd w:val="clear" w:color="000000" w:fill="FFFFFF"/>
            <w:noWrap/>
            <w:hideMark/>
          </w:tcPr>
          <w:p w:rsidR="00FF509E" w:rsidRDefault="00FF509E" w:rsidP="00FF509E">
            <w:pPr>
              <w:rPr>
                <w:b/>
                <w:bCs/>
                <w:sz w:val="16"/>
                <w:szCs w:val="16"/>
              </w:rPr>
            </w:pPr>
            <w:r>
              <w:rPr>
                <w:b/>
                <w:bCs/>
                <w:sz w:val="16"/>
                <w:szCs w:val="16"/>
              </w:rPr>
              <w:t xml:space="preserve"> </w:t>
            </w:r>
          </w:p>
        </w:tc>
        <w:tc>
          <w:tcPr>
            <w:tcW w:w="1183"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as at 30/6/17</w:t>
            </w:r>
          </w:p>
        </w:tc>
      </w:tr>
      <w:tr w:rsidR="00FF509E" w:rsidTr="00FF509E">
        <w:trPr>
          <w:tblHeader/>
        </w:trPr>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$'000</w:t>
            </w:r>
          </w:p>
        </w:tc>
        <w:tc>
          <w:tcPr>
            <w:tcW w:w="2315" w:type="dxa"/>
            <w:tcBorders>
              <w:top w:val="nil"/>
              <w:left w:val="nil"/>
              <w:bottom w:val="single" w:sz="4" w:space="0" w:color="auto"/>
              <w:right w:val="nil"/>
            </w:tcBorders>
            <w:shd w:val="clear" w:color="000000" w:fill="FFFFFF"/>
            <w:noWrap/>
            <w:hideMark/>
          </w:tcPr>
          <w:p w:rsidR="00FF509E" w:rsidRDefault="00FF509E" w:rsidP="00FF509E">
            <w:pPr>
              <w:rPr>
                <w:sz w:val="18"/>
                <w:szCs w:val="18"/>
              </w:rPr>
            </w:pPr>
            <w:r>
              <w:rPr>
                <w:sz w:val="18"/>
                <w:szCs w:val="18"/>
              </w:rPr>
              <w:t> </w:t>
            </w:r>
          </w:p>
        </w:tc>
        <w:tc>
          <w:tcPr>
            <w:tcW w:w="1183"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$'000</w:t>
            </w:r>
          </w:p>
        </w:tc>
      </w:tr>
      <w:tr w:rsidR="00FF509E" w:rsidTr="00FF509E">
        <w:trPr>
          <w:tblHeader/>
        </w:trPr>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FF509E" w:rsidRDefault="00FF509E" w:rsidP="00FF509E">
            <w:pPr>
              <w:rPr>
                <w:sz w:val="18"/>
                <w:szCs w:val="18"/>
              </w:rPr>
            </w:pPr>
            <w:r>
              <w:rPr>
                <w:sz w:val="18"/>
                <w:szCs w:val="18"/>
              </w:rPr>
              <w:t> </w:t>
            </w:r>
          </w:p>
        </w:tc>
        <w:tc>
          <w:tcPr>
            <w:tcW w:w="1183"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i/>
                <w:iCs/>
                <w:sz w:val="18"/>
                <w:szCs w:val="18"/>
              </w:rPr>
            </w:pPr>
            <w:r>
              <w:rPr>
                <w:i/>
                <w:iCs/>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Current Assets</w:t>
            </w:r>
          </w:p>
        </w:tc>
        <w:tc>
          <w:tcPr>
            <w:tcW w:w="1183"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619</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Cash and Cash</w:t>
            </w:r>
            <w:r>
              <w:rPr>
                <w:sz w:val="18"/>
                <w:szCs w:val="18"/>
              </w:rPr>
              <w:br/>
              <w:t xml:space="preserve">   Equivalents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1,130</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1,097</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1,064</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1,031</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998</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8,628</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Receivables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8,212</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8,487</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8,762</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9,037</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9,312</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 </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9,247</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Total Current Assets</w:t>
            </w:r>
          </w:p>
        </w:tc>
        <w:tc>
          <w:tcPr>
            <w:tcW w:w="1183"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9,342</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9,584</w:t>
            </w:r>
          </w:p>
        </w:tc>
        <w:tc>
          <w:tcPr>
            <w:tcW w:w="62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9,826</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10,068</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10,310</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Non Current Assets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3,178</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Receivables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3,029</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3,135</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3,241</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3,347</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3,453</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46,256</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Property, Plant and</w:t>
            </w:r>
            <w:r>
              <w:rPr>
                <w:sz w:val="18"/>
                <w:szCs w:val="18"/>
              </w:rPr>
              <w:br/>
              <w:t xml:space="preserve">   Equipment</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78,162</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78,162</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78,162</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78,162</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78,162</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 </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49,434</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Total Non Current Assets</w:t>
            </w:r>
          </w:p>
        </w:tc>
        <w:tc>
          <w:tcPr>
            <w:tcW w:w="1183"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81,191</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81,297</w:t>
            </w:r>
          </w:p>
        </w:tc>
        <w:tc>
          <w:tcPr>
            <w:tcW w:w="62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81,403</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81,509</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81,615</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 </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58,681</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TOTAL ASSETS</w:t>
            </w:r>
          </w:p>
        </w:tc>
        <w:tc>
          <w:tcPr>
            <w:tcW w:w="1183"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90,533</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90,881</w:t>
            </w:r>
          </w:p>
        </w:tc>
        <w:tc>
          <w:tcPr>
            <w:tcW w:w="62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91,229</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91,577</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91,925</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Current Liabilities</w:t>
            </w:r>
          </w:p>
        </w:tc>
        <w:tc>
          <w:tcPr>
            <w:tcW w:w="1183"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8,284</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Payables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8,546</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8,773</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9,000</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9,227</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9,454</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24</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Finance Leases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9</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111</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Employee Benefits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269</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274</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279</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284</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289</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534</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Other Liabilities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608</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613</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618</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623</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628</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 </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8,953</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Total Current Liabilities</w:t>
            </w:r>
          </w:p>
        </w:tc>
        <w:tc>
          <w:tcPr>
            <w:tcW w:w="1183"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9,432</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9,669</w:t>
            </w:r>
          </w:p>
        </w:tc>
        <w:tc>
          <w:tcPr>
            <w:tcW w:w="62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9,906</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10,143</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10,380</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 </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Non Current Liabilities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3,419</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Payables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3,033</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3,144</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3,255</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3,366</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3,477</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0</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Finance Leases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27</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27</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27</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27</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27</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8</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Employee Benefits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5</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5</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5</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5</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5</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 </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3,427</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Total Non Current Liabilities</w:t>
            </w:r>
          </w:p>
        </w:tc>
        <w:tc>
          <w:tcPr>
            <w:tcW w:w="1183"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3,065</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3,176</w:t>
            </w:r>
          </w:p>
        </w:tc>
        <w:tc>
          <w:tcPr>
            <w:tcW w:w="62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3,287</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3,398</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3,509</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12,380</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TOTAL LIABILITIES</w:t>
            </w:r>
          </w:p>
        </w:tc>
        <w:tc>
          <w:tcPr>
            <w:tcW w:w="1183"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12,497</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12,845</w:t>
            </w:r>
          </w:p>
        </w:tc>
        <w:tc>
          <w:tcPr>
            <w:tcW w:w="62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13,193</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13,541</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13,889</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 </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46,301</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NET ASSETS</w:t>
            </w:r>
          </w:p>
        </w:tc>
        <w:tc>
          <w:tcPr>
            <w:tcW w:w="1183"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78,036</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78,036</w:t>
            </w:r>
          </w:p>
        </w:tc>
        <w:tc>
          <w:tcPr>
            <w:tcW w:w="62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78,036</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78,036</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78,036</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FF509E" w:rsidRDefault="00FF509E" w:rsidP="00FF509E">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32,128</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Accumulated Funds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31,970</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31,970</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31,970</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31,970</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31,970</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14,173</w:t>
            </w:r>
          </w:p>
        </w:tc>
        <w:tc>
          <w:tcPr>
            <w:tcW w:w="2315"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Reserves</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46,066</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46,066</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46,066</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46,066</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46,066</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46,301</w:t>
            </w:r>
          </w:p>
        </w:tc>
        <w:tc>
          <w:tcPr>
            <w:tcW w:w="2315"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TOTAL FUNDS EMPLOYED</w:t>
            </w:r>
          </w:p>
        </w:tc>
        <w:tc>
          <w:tcPr>
            <w:tcW w:w="1183"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78,036</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78,036</w:t>
            </w:r>
          </w:p>
        </w:tc>
        <w:tc>
          <w:tcPr>
            <w:tcW w:w="62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78,036</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78,036</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8"/>
                <w:szCs w:val="18"/>
              </w:rPr>
            </w:pPr>
            <w:r>
              <w:rPr>
                <w:b/>
                <w:bCs/>
                <w:sz w:val="18"/>
                <w:szCs w:val="18"/>
              </w:rPr>
              <w:t>78,036</w:t>
            </w:r>
          </w:p>
        </w:tc>
      </w:tr>
      <w:tr w:rsidR="00FF509E" w:rsidTr="00FF509E">
        <w:tc>
          <w:tcPr>
            <w:tcW w:w="1054"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2315" w:type="dxa"/>
            <w:tcBorders>
              <w:top w:val="nil"/>
              <w:left w:val="nil"/>
              <w:bottom w:val="single" w:sz="4" w:space="0" w:color="auto"/>
              <w:right w:val="nil"/>
            </w:tcBorders>
            <w:shd w:val="clear" w:color="000000" w:fill="FFFFFF"/>
            <w:hideMark/>
          </w:tcPr>
          <w:p w:rsidR="00FF509E" w:rsidRDefault="00FF509E" w:rsidP="00FF509E">
            <w:pPr>
              <w:rPr>
                <w:sz w:val="18"/>
                <w:szCs w:val="18"/>
              </w:rPr>
            </w:pPr>
            <w:r>
              <w:rPr>
                <w:sz w:val="18"/>
                <w:szCs w:val="18"/>
              </w:rPr>
              <w:t> </w:t>
            </w:r>
          </w:p>
        </w:tc>
        <w:tc>
          <w:tcPr>
            <w:tcW w:w="1183"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FF509E" w:rsidRDefault="00FF509E" w:rsidP="00FF509E">
            <w:pPr>
              <w:ind w:left="-283"/>
              <w:jc w:val="right"/>
              <w:rPr>
                <w:sz w:val="18"/>
                <w:szCs w:val="18"/>
              </w:rPr>
            </w:pPr>
            <w:r>
              <w:rPr>
                <w:sz w:val="18"/>
                <w:szCs w:val="18"/>
              </w:rPr>
              <w:t> </w:t>
            </w:r>
          </w:p>
        </w:tc>
      </w:tr>
    </w:tbl>
    <w:p w:rsidR="00BA501F" w:rsidRDefault="00BA501F">
      <w:pPr>
        <w:rPr>
          <w:lang w:eastAsia="en-AU"/>
        </w:rPr>
      </w:pPr>
      <w:r>
        <w:rPr>
          <w:lang w:eastAsia="en-AU"/>
        </w:rPr>
        <w:br w:type="page"/>
      </w:r>
    </w:p>
    <w:tbl>
      <w:tblPr>
        <w:tblW w:w="9356" w:type="dxa"/>
        <w:tblLook w:val="04A0"/>
      </w:tblPr>
      <w:tblGrid>
        <w:gridCol w:w="1054"/>
        <w:gridCol w:w="2314"/>
        <w:gridCol w:w="1184"/>
        <w:gridCol w:w="1054"/>
        <w:gridCol w:w="624"/>
        <w:gridCol w:w="1054"/>
        <w:gridCol w:w="1054"/>
        <w:gridCol w:w="1054"/>
      </w:tblGrid>
      <w:tr w:rsidR="00FF509E" w:rsidTr="00FF509E">
        <w:trPr>
          <w:tblHeader/>
        </w:trPr>
        <w:tc>
          <w:tcPr>
            <w:tcW w:w="9392" w:type="dxa"/>
            <w:gridSpan w:val="8"/>
            <w:tcBorders>
              <w:top w:val="nil"/>
              <w:left w:val="nil"/>
              <w:bottom w:val="nil"/>
              <w:right w:val="nil"/>
            </w:tcBorders>
            <w:shd w:val="clear" w:color="000000" w:fill="FFFFFF"/>
            <w:noWrap/>
            <w:vAlign w:val="bottom"/>
            <w:hideMark/>
          </w:tcPr>
          <w:p w:rsidR="00FF509E" w:rsidRDefault="00FF509E" w:rsidP="00FF509E">
            <w:pPr>
              <w:jc w:val="center"/>
              <w:rPr>
                <w:rFonts w:ascii="Arial" w:hAnsi="Arial" w:cs="Arial"/>
                <w:b/>
                <w:bCs/>
                <w:szCs w:val="24"/>
              </w:rPr>
            </w:pPr>
            <w:bookmarkStart w:id="6" w:name="RANGE!A1:H29"/>
            <w:r>
              <w:rPr>
                <w:rFonts w:ascii="Arial" w:hAnsi="Arial" w:cs="Arial"/>
                <w:b/>
                <w:bCs/>
              </w:rPr>
              <w:lastRenderedPageBreak/>
              <w:t>Environment and Sustainable Development Directorate</w:t>
            </w:r>
            <w:bookmarkEnd w:id="6"/>
          </w:p>
        </w:tc>
      </w:tr>
      <w:tr w:rsidR="00FF509E" w:rsidTr="00FF509E">
        <w:trPr>
          <w:tblHeader/>
        </w:trPr>
        <w:tc>
          <w:tcPr>
            <w:tcW w:w="9392" w:type="dxa"/>
            <w:gridSpan w:val="8"/>
            <w:tcBorders>
              <w:top w:val="nil"/>
              <w:left w:val="nil"/>
              <w:bottom w:val="nil"/>
              <w:right w:val="nil"/>
            </w:tcBorders>
            <w:shd w:val="clear" w:color="000000" w:fill="FFFFFF"/>
            <w:noWrap/>
            <w:vAlign w:val="bottom"/>
            <w:hideMark/>
          </w:tcPr>
          <w:p w:rsidR="00FF509E" w:rsidRDefault="00FF509E" w:rsidP="00FF509E">
            <w:pPr>
              <w:spacing w:after="60"/>
              <w:jc w:val="center"/>
              <w:rPr>
                <w:rFonts w:ascii="Arial" w:hAnsi="Arial" w:cs="Arial"/>
                <w:b/>
                <w:bCs/>
                <w:szCs w:val="24"/>
              </w:rPr>
            </w:pPr>
            <w:r>
              <w:rPr>
                <w:rFonts w:ascii="Arial" w:hAnsi="Arial" w:cs="Arial"/>
                <w:b/>
                <w:bCs/>
              </w:rPr>
              <w:t>Statement of Changes in Equity on Behalf of the Territory</w:t>
            </w:r>
          </w:p>
        </w:tc>
      </w:tr>
      <w:tr w:rsidR="00FF509E" w:rsidTr="00FF509E">
        <w:trPr>
          <w:tblHeader/>
        </w:trPr>
        <w:tc>
          <w:tcPr>
            <w:tcW w:w="1054"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Budget</w:t>
            </w:r>
          </w:p>
        </w:tc>
        <w:tc>
          <w:tcPr>
            <w:tcW w:w="2314" w:type="dxa"/>
            <w:tcBorders>
              <w:top w:val="single" w:sz="4" w:space="0" w:color="auto"/>
              <w:left w:val="nil"/>
              <w:bottom w:val="nil"/>
              <w:right w:val="nil"/>
            </w:tcBorders>
            <w:shd w:val="clear" w:color="000000" w:fill="FFFFFF"/>
            <w:noWrap/>
            <w:hideMark/>
          </w:tcPr>
          <w:p w:rsidR="00FF509E" w:rsidRDefault="00FF509E" w:rsidP="00FF509E">
            <w:pPr>
              <w:rPr>
                <w:b/>
                <w:bCs/>
                <w:sz w:val="18"/>
                <w:szCs w:val="18"/>
              </w:rPr>
            </w:pPr>
            <w:r>
              <w:rPr>
                <w:b/>
                <w:bCs/>
                <w:sz w:val="18"/>
                <w:szCs w:val="18"/>
              </w:rPr>
              <w:t xml:space="preserve"> </w:t>
            </w:r>
          </w:p>
        </w:tc>
        <w:tc>
          <w:tcPr>
            <w:tcW w:w="1184"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Estimate</w:t>
            </w:r>
          </w:p>
        </w:tc>
      </w:tr>
      <w:tr w:rsidR="00FF509E" w:rsidTr="00FF509E">
        <w:trPr>
          <w:tblHeader/>
        </w:trPr>
        <w:tc>
          <w:tcPr>
            <w:tcW w:w="1054"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as at 30/6/13</w:t>
            </w:r>
          </w:p>
        </w:tc>
        <w:tc>
          <w:tcPr>
            <w:tcW w:w="2314" w:type="dxa"/>
            <w:tcBorders>
              <w:top w:val="nil"/>
              <w:left w:val="nil"/>
              <w:bottom w:val="nil"/>
              <w:right w:val="nil"/>
            </w:tcBorders>
            <w:shd w:val="clear" w:color="000000" w:fill="FFFFFF"/>
            <w:noWrap/>
            <w:hideMark/>
          </w:tcPr>
          <w:p w:rsidR="00FF509E" w:rsidRDefault="00FF509E" w:rsidP="00FF509E">
            <w:pPr>
              <w:rPr>
                <w:b/>
                <w:bCs/>
                <w:sz w:val="16"/>
                <w:szCs w:val="16"/>
              </w:rPr>
            </w:pPr>
            <w:r>
              <w:rPr>
                <w:b/>
                <w:bCs/>
                <w:sz w:val="16"/>
                <w:szCs w:val="16"/>
              </w:rPr>
              <w:t xml:space="preserve"> </w:t>
            </w:r>
          </w:p>
        </w:tc>
        <w:tc>
          <w:tcPr>
            <w:tcW w:w="1184"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FF509E" w:rsidRDefault="00FF509E" w:rsidP="00FF509E">
            <w:pPr>
              <w:ind w:left="-283"/>
              <w:jc w:val="right"/>
              <w:rPr>
                <w:b/>
                <w:bCs/>
                <w:sz w:val="16"/>
                <w:szCs w:val="16"/>
              </w:rPr>
            </w:pPr>
            <w:r>
              <w:rPr>
                <w:b/>
                <w:bCs/>
                <w:sz w:val="16"/>
                <w:szCs w:val="16"/>
              </w:rPr>
              <w:t>as at 30/6/17</w:t>
            </w:r>
          </w:p>
        </w:tc>
      </w:tr>
      <w:tr w:rsidR="00FF509E" w:rsidTr="00FF509E">
        <w:trPr>
          <w:tblHeader/>
        </w:trPr>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$'000</w:t>
            </w:r>
          </w:p>
        </w:tc>
        <w:tc>
          <w:tcPr>
            <w:tcW w:w="2314" w:type="dxa"/>
            <w:tcBorders>
              <w:top w:val="nil"/>
              <w:left w:val="nil"/>
              <w:bottom w:val="single" w:sz="4" w:space="0" w:color="auto"/>
              <w:right w:val="nil"/>
            </w:tcBorders>
            <w:shd w:val="clear" w:color="000000" w:fill="FFFFFF"/>
            <w:noWrap/>
            <w:hideMark/>
          </w:tcPr>
          <w:p w:rsidR="00FF509E" w:rsidRDefault="00FF509E" w:rsidP="00FF509E">
            <w:pPr>
              <w:rPr>
                <w:sz w:val="18"/>
                <w:szCs w:val="18"/>
              </w:rPr>
            </w:pPr>
            <w:r>
              <w:rPr>
                <w:sz w:val="18"/>
                <w:szCs w:val="18"/>
              </w:rPr>
              <w:t xml:space="preserve"> </w:t>
            </w:r>
          </w:p>
        </w:tc>
        <w:tc>
          <w:tcPr>
            <w:tcW w:w="118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$'000</w:t>
            </w:r>
          </w:p>
        </w:tc>
      </w:tr>
      <w:tr w:rsidR="00FF509E" w:rsidTr="00FF509E">
        <w:trPr>
          <w:tblHeader/>
        </w:trPr>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FF509E" w:rsidRDefault="00FF509E" w:rsidP="00FF509E">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FF509E" w:rsidRDefault="00FF509E" w:rsidP="00FF509E">
            <w:pPr>
              <w:rPr>
                <w:b/>
                <w:bCs/>
                <w:sz w:val="18"/>
                <w:szCs w:val="18"/>
              </w:rPr>
            </w:pPr>
            <w:r>
              <w:rPr>
                <w:b/>
                <w:bCs/>
                <w:sz w:val="18"/>
                <w:szCs w:val="18"/>
              </w:rPr>
              <w:t>Opening Equity</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FF509E" w:rsidRDefault="00FF509E" w:rsidP="00FF509E">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32,132</w:t>
            </w:r>
          </w:p>
        </w:tc>
        <w:tc>
          <w:tcPr>
            <w:tcW w:w="2314" w:type="dxa"/>
            <w:tcBorders>
              <w:top w:val="nil"/>
              <w:left w:val="nil"/>
              <w:bottom w:val="nil"/>
              <w:right w:val="nil"/>
            </w:tcBorders>
            <w:shd w:val="clear" w:color="000000" w:fill="FFFFFF"/>
            <w:noWrap/>
            <w:hideMark/>
          </w:tcPr>
          <w:p w:rsidR="00FF509E" w:rsidRDefault="00FF509E" w:rsidP="00FF509E">
            <w:pPr>
              <w:rPr>
                <w:sz w:val="18"/>
                <w:szCs w:val="18"/>
              </w:rPr>
            </w:pPr>
            <w:r>
              <w:rPr>
                <w:sz w:val="18"/>
                <w:szCs w:val="18"/>
              </w:rPr>
              <w:t>Opening Accumulated Funds</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31,971</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31,970</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31,970</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31,970</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31,970</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14,173</w:t>
            </w:r>
          </w:p>
        </w:tc>
        <w:tc>
          <w:tcPr>
            <w:tcW w:w="2314"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Opening Asset Revaluation</w:t>
            </w:r>
            <w:r>
              <w:rPr>
                <w:sz w:val="18"/>
                <w:szCs w:val="18"/>
              </w:rPr>
              <w:br/>
              <w:t xml:space="preserve">   Reserve</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46,066</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46,066</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46,066</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46,066</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46,066</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FF509E" w:rsidRDefault="00FF509E" w:rsidP="00FF509E">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46,305</w:t>
            </w:r>
          </w:p>
        </w:tc>
        <w:tc>
          <w:tcPr>
            <w:tcW w:w="2314"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Balance at the Start of the</w:t>
            </w:r>
            <w:r>
              <w:rPr>
                <w:b/>
                <w:bCs/>
                <w:sz w:val="18"/>
                <w:szCs w:val="18"/>
              </w:rPr>
              <w:br/>
              <w:t xml:space="preserve">   Reporting Period</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78,037</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78,036</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78,036</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78,036</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78,036</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FF509E" w:rsidRDefault="00FF509E" w:rsidP="00FF509E">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FF509E" w:rsidRDefault="00FF509E" w:rsidP="00FF509E">
            <w:pPr>
              <w:rPr>
                <w:b/>
                <w:bCs/>
                <w:sz w:val="18"/>
                <w:szCs w:val="18"/>
              </w:rPr>
            </w:pPr>
            <w:r>
              <w:rPr>
                <w:b/>
                <w:bCs/>
                <w:sz w:val="18"/>
                <w:szCs w:val="18"/>
              </w:rPr>
              <w:t>Comprehensive Income</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FF509E" w:rsidRDefault="00FF509E" w:rsidP="00FF509E">
            <w:pPr>
              <w:rPr>
                <w:b/>
                <w:bCs/>
                <w:sz w:val="18"/>
                <w:szCs w:val="18"/>
              </w:rPr>
            </w:pPr>
            <w:r>
              <w:rPr>
                <w:b/>
                <w:bCs/>
                <w:sz w:val="18"/>
                <w:szCs w:val="18"/>
              </w:rPr>
              <w:t> </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-4</w:t>
            </w:r>
          </w:p>
        </w:tc>
        <w:tc>
          <w:tcPr>
            <w:tcW w:w="2314"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Operating Result for the</w:t>
            </w:r>
            <w:r>
              <w:rPr>
                <w:sz w:val="18"/>
                <w:szCs w:val="18"/>
              </w:rPr>
              <w:br/>
              <w:t xml:space="preserve">   Period</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-1</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0</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FF509E" w:rsidRDefault="00FF509E" w:rsidP="00FF509E">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-4</w:t>
            </w:r>
          </w:p>
        </w:tc>
        <w:tc>
          <w:tcPr>
            <w:tcW w:w="2314"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Total Comprehensive</w:t>
            </w:r>
            <w:r>
              <w:rPr>
                <w:b/>
                <w:bCs/>
                <w:sz w:val="18"/>
                <w:szCs w:val="18"/>
              </w:rPr>
              <w:br/>
              <w:t xml:space="preserve">   Income</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-1</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0</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FF509E" w:rsidRDefault="00FF509E" w:rsidP="00FF509E">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0</w:t>
            </w:r>
          </w:p>
        </w:tc>
        <w:tc>
          <w:tcPr>
            <w:tcW w:w="2314" w:type="dxa"/>
            <w:tcBorders>
              <w:top w:val="nil"/>
              <w:left w:val="nil"/>
              <w:bottom w:val="nil"/>
              <w:right w:val="nil"/>
            </w:tcBorders>
            <w:shd w:val="clear" w:color="000000" w:fill="FFFFFF"/>
            <w:noWrap/>
            <w:hideMark/>
          </w:tcPr>
          <w:p w:rsidR="00FF509E" w:rsidRDefault="00FF509E" w:rsidP="00FF509E">
            <w:pPr>
              <w:rPr>
                <w:b/>
                <w:bCs/>
                <w:sz w:val="18"/>
                <w:szCs w:val="18"/>
              </w:rPr>
            </w:pPr>
            <w:r>
              <w:rPr>
                <w:b/>
                <w:bCs/>
                <w:sz w:val="18"/>
                <w:szCs w:val="18"/>
              </w:rPr>
              <w:t>Total Movement in Reserves</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0</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FF509E" w:rsidRDefault="00FF509E" w:rsidP="00FF509E">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FF509E" w:rsidRDefault="00FF509E" w:rsidP="00FF509E">
            <w:pPr>
              <w:rPr>
                <w:b/>
                <w:bCs/>
                <w:sz w:val="18"/>
                <w:szCs w:val="18"/>
              </w:rPr>
            </w:pPr>
            <w:r>
              <w:rPr>
                <w:b/>
                <w:bCs/>
                <w:sz w:val="18"/>
                <w:szCs w:val="18"/>
              </w:rPr>
              <w:t>Closing Equity</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FF509E" w:rsidRDefault="00FF509E" w:rsidP="00FF509E">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32,128</w:t>
            </w:r>
          </w:p>
        </w:tc>
        <w:tc>
          <w:tcPr>
            <w:tcW w:w="2314" w:type="dxa"/>
            <w:tcBorders>
              <w:top w:val="nil"/>
              <w:left w:val="nil"/>
              <w:bottom w:val="nil"/>
              <w:right w:val="nil"/>
            </w:tcBorders>
            <w:shd w:val="clear" w:color="000000" w:fill="FFFFFF"/>
            <w:noWrap/>
            <w:hideMark/>
          </w:tcPr>
          <w:p w:rsidR="00FF509E" w:rsidRDefault="00FF509E" w:rsidP="00FF509E">
            <w:pPr>
              <w:rPr>
                <w:sz w:val="18"/>
                <w:szCs w:val="18"/>
              </w:rPr>
            </w:pPr>
            <w:r>
              <w:rPr>
                <w:sz w:val="18"/>
                <w:szCs w:val="18"/>
              </w:rPr>
              <w:t>Closing Accumulated Funds</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31,970</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31,970</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31,970</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31,970</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31,970</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14,173</w:t>
            </w:r>
          </w:p>
        </w:tc>
        <w:tc>
          <w:tcPr>
            <w:tcW w:w="2314" w:type="dxa"/>
            <w:tcBorders>
              <w:top w:val="nil"/>
              <w:left w:val="nil"/>
              <w:bottom w:val="nil"/>
              <w:right w:val="nil"/>
            </w:tcBorders>
            <w:shd w:val="clear" w:color="000000" w:fill="FFFFFF"/>
            <w:hideMark/>
          </w:tcPr>
          <w:p w:rsidR="00FF509E" w:rsidRDefault="00FF509E" w:rsidP="00FF509E">
            <w:pPr>
              <w:rPr>
                <w:sz w:val="18"/>
                <w:szCs w:val="18"/>
              </w:rPr>
            </w:pPr>
            <w:r>
              <w:rPr>
                <w:sz w:val="18"/>
                <w:szCs w:val="18"/>
              </w:rPr>
              <w:t>Closing Asset Revaluation</w:t>
            </w:r>
            <w:r>
              <w:rPr>
                <w:sz w:val="18"/>
                <w:szCs w:val="18"/>
              </w:rPr>
              <w:br/>
              <w:t xml:space="preserve">   Reserve</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46,066</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46,066</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46,066</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46,066</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46,066</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FF509E" w:rsidRDefault="00FF509E" w:rsidP="00FF509E">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sz w:val="18"/>
                <w:szCs w:val="18"/>
              </w:rPr>
            </w:pPr>
            <w:r>
              <w:rPr>
                <w:sz w:val="18"/>
                <w:szCs w:val="18"/>
              </w:rPr>
              <w:t> </w:t>
            </w:r>
          </w:p>
        </w:tc>
      </w:tr>
      <w:tr w:rsidR="00FF509E" w:rsidTr="00FF509E">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46,301</w:t>
            </w:r>
          </w:p>
        </w:tc>
        <w:tc>
          <w:tcPr>
            <w:tcW w:w="2314" w:type="dxa"/>
            <w:tcBorders>
              <w:top w:val="nil"/>
              <w:left w:val="nil"/>
              <w:bottom w:val="nil"/>
              <w:right w:val="nil"/>
            </w:tcBorders>
            <w:shd w:val="clear" w:color="000000" w:fill="FFFFFF"/>
            <w:hideMark/>
          </w:tcPr>
          <w:p w:rsidR="00FF509E" w:rsidRDefault="00FF509E" w:rsidP="00FF509E">
            <w:pPr>
              <w:rPr>
                <w:b/>
                <w:bCs/>
                <w:sz w:val="18"/>
                <w:szCs w:val="18"/>
              </w:rPr>
            </w:pPr>
            <w:r>
              <w:rPr>
                <w:b/>
                <w:bCs/>
                <w:sz w:val="18"/>
                <w:szCs w:val="18"/>
              </w:rPr>
              <w:t>Balance at the End of the</w:t>
            </w:r>
            <w:r>
              <w:rPr>
                <w:b/>
                <w:bCs/>
                <w:sz w:val="18"/>
                <w:szCs w:val="18"/>
              </w:rPr>
              <w:br/>
              <w:t xml:space="preserve">   Reporting Period</w:t>
            </w:r>
          </w:p>
        </w:tc>
        <w:tc>
          <w:tcPr>
            <w:tcW w:w="118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78,036</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78,036</w:t>
            </w:r>
          </w:p>
        </w:tc>
        <w:tc>
          <w:tcPr>
            <w:tcW w:w="62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78,036</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78,036</w:t>
            </w:r>
          </w:p>
        </w:tc>
        <w:tc>
          <w:tcPr>
            <w:tcW w:w="1054" w:type="dxa"/>
            <w:tcBorders>
              <w:top w:val="nil"/>
              <w:left w:val="nil"/>
              <w:bottom w:val="nil"/>
              <w:right w:val="nil"/>
            </w:tcBorders>
            <w:shd w:val="clear" w:color="000000" w:fill="FFFFFF"/>
            <w:noWrap/>
            <w:hideMark/>
          </w:tcPr>
          <w:p w:rsidR="00FF509E" w:rsidRDefault="00FF509E" w:rsidP="00FF509E">
            <w:pPr>
              <w:ind w:left="-283"/>
              <w:jc w:val="right"/>
              <w:rPr>
                <w:b/>
                <w:bCs/>
                <w:sz w:val="18"/>
                <w:szCs w:val="18"/>
              </w:rPr>
            </w:pPr>
            <w:r>
              <w:rPr>
                <w:b/>
                <w:bCs/>
                <w:sz w:val="18"/>
                <w:szCs w:val="18"/>
              </w:rPr>
              <w:t>78,036</w:t>
            </w:r>
          </w:p>
        </w:tc>
      </w:tr>
      <w:tr w:rsidR="00FF509E" w:rsidTr="00FF509E">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2314" w:type="dxa"/>
            <w:tcBorders>
              <w:top w:val="nil"/>
              <w:left w:val="nil"/>
              <w:bottom w:val="single" w:sz="4" w:space="0" w:color="auto"/>
              <w:right w:val="nil"/>
            </w:tcBorders>
            <w:shd w:val="clear" w:color="000000" w:fill="FFFFFF"/>
            <w:noWrap/>
            <w:hideMark/>
          </w:tcPr>
          <w:p w:rsidR="00FF509E" w:rsidRDefault="00FF509E" w:rsidP="00FF509E">
            <w:pPr>
              <w:rPr>
                <w:b/>
                <w:bCs/>
                <w:sz w:val="18"/>
                <w:szCs w:val="18"/>
              </w:rPr>
            </w:pPr>
            <w:r>
              <w:rPr>
                <w:b/>
                <w:bCs/>
                <w:sz w:val="18"/>
                <w:szCs w:val="18"/>
              </w:rPr>
              <w:t> </w:t>
            </w:r>
          </w:p>
        </w:tc>
        <w:tc>
          <w:tcPr>
            <w:tcW w:w="118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FF509E" w:rsidRDefault="00FF509E" w:rsidP="00FF509E">
            <w:pPr>
              <w:ind w:left="-283"/>
              <w:jc w:val="right"/>
              <w:rPr>
                <w:b/>
                <w:bCs/>
                <w:sz w:val="18"/>
                <w:szCs w:val="18"/>
              </w:rPr>
            </w:pPr>
            <w:r>
              <w:rPr>
                <w:b/>
                <w:bCs/>
                <w:sz w:val="18"/>
                <w:szCs w:val="18"/>
              </w:rPr>
              <w:t> </w:t>
            </w:r>
          </w:p>
        </w:tc>
      </w:tr>
    </w:tbl>
    <w:p w:rsidR="00BA501F" w:rsidRDefault="00BA501F">
      <w:pPr>
        <w:rPr>
          <w:rFonts w:ascii="Arial" w:hAnsi="Arial" w:cs="Arial"/>
          <w:b/>
          <w:bCs/>
          <w:szCs w:val="24"/>
          <w:lang w:eastAsia="en-AU"/>
        </w:rPr>
      </w:pPr>
      <w:r>
        <w:rPr>
          <w:rFonts w:ascii="Arial" w:hAnsi="Arial" w:cs="Arial"/>
          <w:b/>
          <w:bCs/>
          <w:szCs w:val="24"/>
          <w:lang w:eastAsia="en-AU"/>
        </w:rPr>
        <w:br w:type="page"/>
      </w:r>
    </w:p>
    <w:tbl>
      <w:tblPr>
        <w:tblW w:w="9356" w:type="dxa"/>
        <w:tblLook w:val="04A0"/>
      </w:tblPr>
      <w:tblGrid>
        <w:gridCol w:w="1054"/>
        <w:gridCol w:w="2314"/>
        <w:gridCol w:w="1184"/>
        <w:gridCol w:w="1054"/>
        <w:gridCol w:w="624"/>
        <w:gridCol w:w="1054"/>
        <w:gridCol w:w="1054"/>
        <w:gridCol w:w="1054"/>
      </w:tblGrid>
      <w:tr w:rsidR="008E037E" w:rsidTr="00EC1ECD">
        <w:trPr>
          <w:tblHeader/>
        </w:trPr>
        <w:tc>
          <w:tcPr>
            <w:tcW w:w="9392" w:type="dxa"/>
            <w:gridSpan w:val="8"/>
            <w:tcBorders>
              <w:top w:val="nil"/>
              <w:left w:val="nil"/>
              <w:bottom w:val="nil"/>
              <w:right w:val="nil"/>
            </w:tcBorders>
            <w:shd w:val="clear" w:color="000000" w:fill="FFFFFF"/>
            <w:noWrap/>
            <w:vAlign w:val="bottom"/>
            <w:hideMark/>
          </w:tcPr>
          <w:p w:rsidR="008E037E" w:rsidRDefault="008E037E" w:rsidP="00EC1ECD">
            <w:pPr>
              <w:jc w:val="center"/>
              <w:rPr>
                <w:rFonts w:ascii="Arial" w:hAnsi="Arial" w:cs="Arial"/>
                <w:b/>
                <w:bCs/>
                <w:szCs w:val="24"/>
              </w:rPr>
            </w:pPr>
            <w:bookmarkStart w:id="7" w:name="RANGE!A1:H32"/>
            <w:r>
              <w:rPr>
                <w:rFonts w:ascii="Arial" w:hAnsi="Arial" w:cs="Arial"/>
                <w:b/>
                <w:bCs/>
              </w:rPr>
              <w:lastRenderedPageBreak/>
              <w:t>Environment and Sustainable Development Directorate</w:t>
            </w:r>
            <w:bookmarkEnd w:id="7"/>
          </w:p>
        </w:tc>
      </w:tr>
      <w:tr w:rsidR="008E037E" w:rsidTr="00EC1ECD">
        <w:trPr>
          <w:tblHeader/>
        </w:trPr>
        <w:tc>
          <w:tcPr>
            <w:tcW w:w="9392" w:type="dxa"/>
            <w:gridSpan w:val="8"/>
            <w:tcBorders>
              <w:top w:val="nil"/>
              <w:left w:val="nil"/>
              <w:bottom w:val="nil"/>
              <w:right w:val="nil"/>
            </w:tcBorders>
            <w:shd w:val="clear" w:color="000000" w:fill="FFFFFF"/>
            <w:noWrap/>
            <w:vAlign w:val="bottom"/>
            <w:hideMark/>
          </w:tcPr>
          <w:p w:rsidR="008E037E" w:rsidRDefault="008E037E" w:rsidP="00EC1ECD">
            <w:pPr>
              <w:spacing w:after="60"/>
              <w:jc w:val="center"/>
              <w:rPr>
                <w:rFonts w:ascii="Arial" w:hAnsi="Arial" w:cs="Arial"/>
                <w:b/>
                <w:bCs/>
                <w:szCs w:val="24"/>
              </w:rPr>
            </w:pPr>
            <w:r>
              <w:rPr>
                <w:rFonts w:ascii="Arial" w:hAnsi="Arial" w:cs="Arial"/>
                <w:b/>
                <w:bCs/>
              </w:rPr>
              <w:t>Statement of Cash Flows on Behalf of the Territory</w:t>
            </w:r>
          </w:p>
        </w:tc>
      </w:tr>
      <w:tr w:rsidR="008E037E" w:rsidTr="00EC1ECD">
        <w:trPr>
          <w:tblHeader/>
        </w:trPr>
        <w:tc>
          <w:tcPr>
            <w:tcW w:w="1054" w:type="dxa"/>
            <w:tcBorders>
              <w:top w:val="single" w:sz="4" w:space="0" w:color="auto"/>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2012-13</w:t>
            </w:r>
          </w:p>
        </w:tc>
        <w:tc>
          <w:tcPr>
            <w:tcW w:w="2314" w:type="dxa"/>
            <w:tcBorders>
              <w:top w:val="single" w:sz="4" w:space="0" w:color="auto"/>
              <w:left w:val="nil"/>
              <w:bottom w:val="nil"/>
              <w:right w:val="nil"/>
            </w:tcBorders>
            <w:shd w:val="clear" w:color="000000" w:fill="FFFFFF"/>
            <w:noWrap/>
            <w:hideMark/>
          </w:tcPr>
          <w:p w:rsidR="008E037E" w:rsidRDefault="008E037E" w:rsidP="00EC1ECD">
            <w:pPr>
              <w:rPr>
                <w:b/>
                <w:bCs/>
                <w:sz w:val="18"/>
                <w:szCs w:val="18"/>
              </w:rPr>
            </w:pPr>
            <w:r>
              <w:rPr>
                <w:b/>
                <w:bCs/>
                <w:sz w:val="18"/>
                <w:szCs w:val="18"/>
              </w:rPr>
              <w:t> </w:t>
            </w:r>
          </w:p>
        </w:tc>
        <w:tc>
          <w:tcPr>
            <w:tcW w:w="1184" w:type="dxa"/>
            <w:tcBorders>
              <w:top w:val="single" w:sz="4" w:space="0" w:color="auto"/>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2016-17</w:t>
            </w:r>
          </w:p>
        </w:tc>
      </w:tr>
      <w:tr w:rsidR="008E037E" w:rsidTr="00EC1ECD">
        <w:trPr>
          <w:tblHeader/>
        </w:trPr>
        <w:tc>
          <w:tcPr>
            <w:tcW w:w="1054" w:type="dxa"/>
            <w:tcBorders>
              <w:top w:val="nil"/>
              <w:left w:val="nil"/>
              <w:bottom w:val="nil"/>
              <w:right w:val="nil"/>
            </w:tcBorders>
            <w:shd w:val="clear" w:color="000000" w:fill="FFFFFF"/>
            <w:hideMark/>
          </w:tcPr>
          <w:p w:rsidR="008E037E" w:rsidRDefault="008E037E" w:rsidP="00EC1ECD">
            <w:pPr>
              <w:ind w:left="-283"/>
              <w:jc w:val="right"/>
              <w:rPr>
                <w:b/>
                <w:bCs/>
                <w:sz w:val="18"/>
                <w:szCs w:val="18"/>
              </w:rPr>
            </w:pPr>
            <w:r>
              <w:rPr>
                <w:b/>
                <w:bCs/>
                <w:sz w:val="18"/>
                <w:szCs w:val="18"/>
              </w:rPr>
              <w:t>Budget</w:t>
            </w:r>
          </w:p>
        </w:tc>
        <w:tc>
          <w:tcPr>
            <w:tcW w:w="2314" w:type="dxa"/>
            <w:tcBorders>
              <w:top w:val="nil"/>
              <w:left w:val="nil"/>
              <w:bottom w:val="nil"/>
              <w:right w:val="nil"/>
            </w:tcBorders>
            <w:shd w:val="clear" w:color="000000" w:fill="FFFFFF"/>
            <w:noWrap/>
            <w:hideMark/>
          </w:tcPr>
          <w:p w:rsidR="008E037E" w:rsidRDefault="008E037E" w:rsidP="00EC1ECD">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8E037E" w:rsidRDefault="008E037E" w:rsidP="00EC1ECD">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8E037E" w:rsidRDefault="008E037E" w:rsidP="00EC1ECD">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8E037E" w:rsidRDefault="008E037E" w:rsidP="00EC1ECD">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Estimate</w:t>
            </w:r>
          </w:p>
        </w:tc>
      </w:tr>
      <w:tr w:rsidR="008E037E" w:rsidTr="00EC1ECD">
        <w:trPr>
          <w:tblHeader/>
        </w:trPr>
        <w:tc>
          <w:tcPr>
            <w:tcW w:w="1054" w:type="dxa"/>
            <w:tcBorders>
              <w:top w:val="nil"/>
              <w:left w:val="nil"/>
              <w:bottom w:val="single" w:sz="4" w:space="0" w:color="auto"/>
              <w:right w:val="nil"/>
            </w:tcBorders>
            <w:shd w:val="clear" w:color="000000" w:fill="FFFFFF"/>
            <w:noWrap/>
            <w:hideMark/>
          </w:tcPr>
          <w:p w:rsidR="008E037E" w:rsidRDefault="008E037E" w:rsidP="00EC1ECD">
            <w:pPr>
              <w:ind w:left="-283"/>
              <w:jc w:val="right"/>
              <w:rPr>
                <w:b/>
                <w:bCs/>
                <w:sz w:val="18"/>
                <w:szCs w:val="18"/>
              </w:rPr>
            </w:pPr>
            <w:r>
              <w:rPr>
                <w:b/>
                <w:bCs/>
                <w:sz w:val="18"/>
                <w:szCs w:val="18"/>
              </w:rPr>
              <w:t>$'000</w:t>
            </w:r>
          </w:p>
        </w:tc>
        <w:tc>
          <w:tcPr>
            <w:tcW w:w="2314" w:type="dxa"/>
            <w:tcBorders>
              <w:top w:val="nil"/>
              <w:left w:val="nil"/>
              <w:bottom w:val="single" w:sz="4" w:space="0" w:color="auto"/>
              <w:right w:val="nil"/>
            </w:tcBorders>
            <w:shd w:val="clear" w:color="000000" w:fill="FFFFFF"/>
            <w:noWrap/>
            <w:hideMark/>
          </w:tcPr>
          <w:p w:rsidR="008E037E" w:rsidRDefault="008E037E" w:rsidP="00EC1ECD">
            <w:pPr>
              <w:rPr>
                <w:sz w:val="18"/>
                <w:szCs w:val="18"/>
              </w:rPr>
            </w:pPr>
            <w:r>
              <w:rPr>
                <w:sz w:val="18"/>
                <w:szCs w:val="18"/>
              </w:rPr>
              <w:t> </w:t>
            </w:r>
          </w:p>
        </w:tc>
        <w:tc>
          <w:tcPr>
            <w:tcW w:w="1184" w:type="dxa"/>
            <w:tcBorders>
              <w:top w:val="nil"/>
              <w:left w:val="nil"/>
              <w:bottom w:val="single" w:sz="4" w:space="0" w:color="auto"/>
              <w:right w:val="nil"/>
            </w:tcBorders>
            <w:shd w:val="clear" w:color="000000" w:fill="FFFFFF"/>
            <w:noWrap/>
            <w:hideMark/>
          </w:tcPr>
          <w:p w:rsidR="008E037E" w:rsidRDefault="008E037E" w:rsidP="00EC1ECD">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8E037E" w:rsidRDefault="008E037E" w:rsidP="00EC1ECD">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8E037E" w:rsidRDefault="008E037E" w:rsidP="00EC1ECD">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8E037E" w:rsidRDefault="008E037E" w:rsidP="00EC1ECD">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8E037E" w:rsidRDefault="008E037E" w:rsidP="00EC1ECD">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8E037E" w:rsidRDefault="008E037E" w:rsidP="00EC1ECD">
            <w:pPr>
              <w:ind w:left="-283"/>
              <w:jc w:val="right"/>
              <w:rPr>
                <w:b/>
                <w:bCs/>
                <w:sz w:val="18"/>
                <w:szCs w:val="18"/>
              </w:rPr>
            </w:pPr>
            <w:r>
              <w:rPr>
                <w:b/>
                <w:bCs/>
                <w:sz w:val="18"/>
                <w:szCs w:val="18"/>
              </w:rPr>
              <w:t>$'000</w:t>
            </w:r>
          </w:p>
        </w:tc>
      </w:tr>
      <w:tr w:rsidR="008E037E" w:rsidTr="00EC1ECD">
        <w:trPr>
          <w:tblHeader/>
        </w:trPr>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8E037E" w:rsidRDefault="008E037E" w:rsidP="00EC1ECD">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8E037E" w:rsidRDefault="008E037E" w:rsidP="00EC1ECD">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8E037E" w:rsidRDefault="008E037E" w:rsidP="00EC1ECD">
            <w:pPr>
              <w:rPr>
                <w:b/>
                <w:bCs/>
                <w:sz w:val="18"/>
                <w:szCs w:val="18"/>
              </w:rPr>
            </w:pPr>
            <w:r>
              <w:rPr>
                <w:b/>
                <w:bCs/>
                <w:sz w:val="18"/>
                <w:szCs w:val="18"/>
              </w:rPr>
              <w:t> </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8E037E" w:rsidRDefault="008E037E" w:rsidP="00EC1ECD">
            <w:pPr>
              <w:rPr>
                <w:b/>
                <w:bCs/>
                <w:sz w:val="18"/>
                <w:szCs w:val="18"/>
              </w:rPr>
            </w:pPr>
            <w:r>
              <w:rPr>
                <w:b/>
                <w:bCs/>
                <w:sz w:val="18"/>
                <w:szCs w:val="18"/>
              </w:rPr>
              <w:t>Receipts</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1,767</w:t>
            </w:r>
          </w:p>
        </w:tc>
        <w:tc>
          <w:tcPr>
            <w:tcW w:w="2314" w:type="dxa"/>
            <w:tcBorders>
              <w:top w:val="nil"/>
              <w:left w:val="nil"/>
              <w:bottom w:val="nil"/>
              <w:right w:val="nil"/>
            </w:tcBorders>
            <w:shd w:val="clear" w:color="000000" w:fill="FFFFFF"/>
            <w:hideMark/>
          </w:tcPr>
          <w:p w:rsidR="008E037E" w:rsidRDefault="008E037E" w:rsidP="00EC1ECD">
            <w:pPr>
              <w:rPr>
                <w:sz w:val="18"/>
                <w:szCs w:val="18"/>
              </w:rPr>
            </w:pPr>
            <w:r>
              <w:rPr>
                <w:sz w:val="18"/>
                <w:szCs w:val="18"/>
              </w:rPr>
              <w:t>Cash from Government for</w:t>
            </w:r>
            <w:r>
              <w:rPr>
                <w:sz w:val="18"/>
                <w:szCs w:val="18"/>
              </w:rPr>
              <w:br/>
              <w:t xml:space="preserve">   EBT</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2,223</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1,800</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xml:space="preserve">-19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1,836</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1,880</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1,918</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68,844</w:t>
            </w:r>
          </w:p>
        </w:tc>
        <w:tc>
          <w:tcPr>
            <w:tcW w:w="2314" w:type="dxa"/>
            <w:tcBorders>
              <w:top w:val="nil"/>
              <w:left w:val="nil"/>
              <w:bottom w:val="nil"/>
              <w:right w:val="nil"/>
            </w:tcBorders>
            <w:shd w:val="clear" w:color="000000" w:fill="FFFFFF"/>
            <w:noWrap/>
            <w:hideMark/>
          </w:tcPr>
          <w:p w:rsidR="008E037E" w:rsidRDefault="008E037E" w:rsidP="00EC1ECD">
            <w:pPr>
              <w:rPr>
                <w:sz w:val="18"/>
                <w:szCs w:val="18"/>
              </w:rPr>
            </w:pPr>
            <w:r>
              <w:rPr>
                <w:sz w:val="18"/>
                <w:szCs w:val="18"/>
              </w:rPr>
              <w:t>Taxes, Fees and Fines</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65,122</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65,610</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68,579</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70,626</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71,675</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43</w:t>
            </w:r>
          </w:p>
        </w:tc>
        <w:tc>
          <w:tcPr>
            <w:tcW w:w="2314" w:type="dxa"/>
            <w:tcBorders>
              <w:top w:val="nil"/>
              <w:left w:val="nil"/>
              <w:bottom w:val="nil"/>
              <w:right w:val="nil"/>
            </w:tcBorders>
            <w:shd w:val="clear" w:color="000000" w:fill="FFFFFF"/>
            <w:noWrap/>
            <w:hideMark/>
          </w:tcPr>
          <w:p w:rsidR="008E037E" w:rsidRDefault="008E037E" w:rsidP="00EC1ECD">
            <w:pPr>
              <w:rPr>
                <w:sz w:val="18"/>
                <w:szCs w:val="18"/>
              </w:rPr>
            </w:pPr>
            <w:r>
              <w:rPr>
                <w:sz w:val="18"/>
                <w:szCs w:val="18"/>
              </w:rPr>
              <w:t>Interest Received</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43</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43</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43</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45</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45</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3,892</w:t>
            </w:r>
          </w:p>
        </w:tc>
        <w:tc>
          <w:tcPr>
            <w:tcW w:w="2314" w:type="dxa"/>
            <w:tcBorders>
              <w:top w:val="nil"/>
              <w:left w:val="nil"/>
              <w:bottom w:val="nil"/>
              <w:right w:val="nil"/>
            </w:tcBorders>
            <w:shd w:val="clear" w:color="000000" w:fill="FFFFFF"/>
            <w:noWrap/>
            <w:hideMark/>
          </w:tcPr>
          <w:p w:rsidR="008E037E" w:rsidRDefault="008E037E" w:rsidP="00EC1ECD">
            <w:pPr>
              <w:rPr>
                <w:sz w:val="18"/>
                <w:szCs w:val="18"/>
              </w:rPr>
            </w:pPr>
            <w:r>
              <w:rPr>
                <w:sz w:val="18"/>
                <w:szCs w:val="18"/>
              </w:rPr>
              <w:t>Other Receipts</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4,673</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3,984</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xml:space="preserve">-15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3,984</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4,136</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4,275</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74,546</w:t>
            </w:r>
          </w:p>
        </w:tc>
        <w:tc>
          <w:tcPr>
            <w:tcW w:w="2314" w:type="dxa"/>
            <w:tcBorders>
              <w:top w:val="nil"/>
              <w:left w:val="nil"/>
              <w:bottom w:val="nil"/>
              <w:right w:val="nil"/>
            </w:tcBorders>
            <w:shd w:val="clear" w:color="000000" w:fill="FFFFFF"/>
            <w:noWrap/>
            <w:hideMark/>
          </w:tcPr>
          <w:p w:rsidR="008E037E" w:rsidRDefault="008E037E" w:rsidP="00EC1ECD">
            <w:pPr>
              <w:rPr>
                <w:b/>
                <w:bCs/>
                <w:sz w:val="18"/>
                <w:szCs w:val="18"/>
              </w:rPr>
            </w:pPr>
            <w:r>
              <w:rPr>
                <w:b/>
                <w:bCs/>
                <w:sz w:val="18"/>
                <w:szCs w:val="18"/>
              </w:rPr>
              <w:t>Operating Receipts</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72,061</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71,437</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74,442</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76,687</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77,913</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2314" w:type="dxa"/>
            <w:tcBorders>
              <w:top w:val="nil"/>
              <w:left w:val="nil"/>
              <w:bottom w:val="nil"/>
              <w:right w:val="nil"/>
            </w:tcBorders>
            <w:shd w:val="clear" w:color="000000" w:fill="FFFFFF"/>
            <w:noWrap/>
            <w:hideMark/>
          </w:tcPr>
          <w:p w:rsidR="008E037E" w:rsidRDefault="008E037E" w:rsidP="00EC1ECD">
            <w:pPr>
              <w:rPr>
                <w:b/>
                <w:bCs/>
                <w:sz w:val="18"/>
                <w:szCs w:val="18"/>
              </w:rPr>
            </w:pPr>
            <w:r>
              <w:rPr>
                <w:b/>
                <w:bCs/>
                <w:sz w:val="18"/>
                <w:szCs w:val="18"/>
              </w:rPr>
              <w:t> </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2314" w:type="dxa"/>
            <w:tcBorders>
              <w:top w:val="nil"/>
              <w:left w:val="nil"/>
              <w:bottom w:val="nil"/>
              <w:right w:val="nil"/>
            </w:tcBorders>
            <w:shd w:val="clear" w:color="000000" w:fill="FFFFFF"/>
            <w:noWrap/>
            <w:hideMark/>
          </w:tcPr>
          <w:p w:rsidR="008E037E" w:rsidRDefault="008E037E" w:rsidP="00EC1ECD">
            <w:pPr>
              <w:rPr>
                <w:b/>
                <w:bCs/>
                <w:sz w:val="18"/>
                <w:szCs w:val="18"/>
              </w:rPr>
            </w:pPr>
            <w:r>
              <w:rPr>
                <w:b/>
                <w:bCs/>
                <w:sz w:val="18"/>
                <w:szCs w:val="18"/>
              </w:rPr>
              <w:t>Payments</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661</w:t>
            </w:r>
          </w:p>
        </w:tc>
        <w:tc>
          <w:tcPr>
            <w:tcW w:w="2314" w:type="dxa"/>
            <w:tcBorders>
              <w:top w:val="nil"/>
              <w:left w:val="nil"/>
              <w:bottom w:val="nil"/>
              <w:right w:val="nil"/>
            </w:tcBorders>
            <w:shd w:val="clear" w:color="000000" w:fill="FFFFFF"/>
            <w:noWrap/>
            <w:hideMark/>
          </w:tcPr>
          <w:p w:rsidR="008E037E" w:rsidRDefault="008E037E" w:rsidP="00EC1ECD">
            <w:pPr>
              <w:rPr>
                <w:sz w:val="18"/>
                <w:szCs w:val="18"/>
              </w:rPr>
            </w:pPr>
            <w:r>
              <w:rPr>
                <w:sz w:val="18"/>
                <w:szCs w:val="18"/>
              </w:rPr>
              <w:t>Related to Employees</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661</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671</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679</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687</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695</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98</w:t>
            </w:r>
          </w:p>
        </w:tc>
        <w:tc>
          <w:tcPr>
            <w:tcW w:w="2314" w:type="dxa"/>
            <w:tcBorders>
              <w:top w:val="nil"/>
              <w:left w:val="nil"/>
              <w:bottom w:val="nil"/>
              <w:right w:val="nil"/>
            </w:tcBorders>
            <w:shd w:val="clear" w:color="000000" w:fill="FFFFFF"/>
            <w:noWrap/>
            <w:hideMark/>
          </w:tcPr>
          <w:p w:rsidR="008E037E" w:rsidRDefault="008E037E" w:rsidP="00EC1ECD">
            <w:pPr>
              <w:rPr>
                <w:sz w:val="18"/>
                <w:szCs w:val="18"/>
              </w:rPr>
            </w:pPr>
            <w:r>
              <w:rPr>
                <w:sz w:val="18"/>
                <w:szCs w:val="18"/>
              </w:rPr>
              <w:t>Related to Superannuation</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98</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96</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98</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99</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101</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527</w:t>
            </w:r>
          </w:p>
        </w:tc>
        <w:tc>
          <w:tcPr>
            <w:tcW w:w="2314" w:type="dxa"/>
            <w:tcBorders>
              <w:top w:val="nil"/>
              <w:left w:val="nil"/>
              <w:bottom w:val="nil"/>
              <w:right w:val="nil"/>
            </w:tcBorders>
            <w:shd w:val="clear" w:color="000000" w:fill="FFFFFF"/>
            <w:hideMark/>
          </w:tcPr>
          <w:p w:rsidR="008E037E" w:rsidRDefault="008E037E" w:rsidP="00EC1ECD">
            <w:pPr>
              <w:rPr>
                <w:sz w:val="18"/>
                <w:szCs w:val="18"/>
              </w:rPr>
            </w:pPr>
            <w:r>
              <w:rPr>
                <w:sz w:val="18"/>
                <w:szCs w:val="18"/>
              </w:rPr>
              <w:t>Related to Supplies and</w:t>
            </w:r>
            <w:r>
              <w:rPr>
                <w:sz w:val="18"/>
                <w:szCs w:val="18"/>
              </w:rPr>
              <w:br/>
              <w:t xml:space="preserve">   Services</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879</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737</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xml:space="preserve">-16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751</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786</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801</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2</w:t>
            </w:r>
          </w:p>
        </w:tc>
        <w:tc>
          <w:tcPr>
            <w:tcW w:w="2314" w:type="dxa"/>
            <w:tcBorders>
              <w:top w:val="nil"/>
              <w:left w:val="nil"/>
              <w:bottom w:val="nil"/>
              <w:right w:val="nil"/>
            </w:tcBorders>
            <w:shd w:val="clear" w:color="000000" w:fill="FFFFFF"/>
            <w:noWrap/>
            <w:hideMark/>
          </w:tcPr>
          <w:p w:rsidR="008E037E" w:rsidRDefault="008E037E" w:rsidP="00EC1ECD">
            <w:pPr>
              <w:rPr>
                <w:sz w:val="18"/>
                <w:szCs w:val="18"/>
              </w:rPr>
            </w:pPr>
            <w:r>
              <w:rPr>
                <w:sz w:val="18"/>
                <w:szCs w:val="18"/>
              </w:rPr>
              <w:t>Borrowing Costs</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2</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2</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2</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2</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2</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479</w:t>
            </w:r>
          </w:p>
        </w:tc>
        <w:tc>
          <w:tcPr>
            <w:tcW w:w="2314" w:type="dxa"/>
            <w:tcBorders>
              <w:top w:val="nil"/>
              <w:left w:val="nil"/>
              <w:bottom w:val="nil"/>
              <w:right w:val="nil"/>
            </w:tcBorders>
            <w:shd w:val="clear" w:color="000000" w:fill="FFFFFF"/>
            <w:noWrap/>
            <w:hideMark/>
          </w:tcPr>
          <w:p w:rsidR="008E037E" w:rsidRDefault="008E037E" w:rsidP="00EC1ECD">
            <w:pPr>
              <w:rPr>
                <w:sz w:val="18"/>
                <w:szCs w:val="18"/>
              </w:rPr>
            </w:pPr>
            <w:r>
              <w:rPr>
                <w:sz w:val="18"/>
                <w:szCs w:val="18"/>
              </w:rPr>
              <w:t>Grants and Purchased Services</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785</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494</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xml:space="preserve">-37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506</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506</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519</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5</w:t>
            </w:r>
          </w:p>
        </w:tc>
        <w:tc>
          <w:tcPr>
            <w:tcW w:w="2314" w:type="dxa"/>
            <w:tcBorders>
              <w:top w:val="nil"/>
              <w:left w:val="nil"/>
              <w:bottom w:val="nil"/>
              <w:right w:val="nil"/>
            </w:tcBorders>
            <w:shd w:val="clear" w:color="000000" w:fill="FFFFFF"/>
            <w:noWrap/>
            <w:hideMark/>
          </w:tcPr>
          <w:p w:rsidR="008E037E" w:rsidRDefault="008E037E" w:rsidP="00EC1ECD">
            <w:pPr>
              <w:rPr>
                <w:sz w:val="18"/>
                <w:szCs w:val="18"/>
              </w:rPr>
            </w:pPr>
            <w:r>
              <w:rPr>
                <w:sz w:val="18"/>
                <w:szCs w:val="18"/>
              </w:rPr>
              <w:t>Other</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5</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5</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5</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5</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5</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72,806</w:t>
            </w:r>
          </w:p>
        </w:tc>
        <w:tc>
          <w:tcPr>
            <w:tcW w:w="2314" w:type="dxa"/>
            <w:tcBorders>
              <w:top w:val="nil"/>
              <w:left w:val="nil"/>
              <w:bottom w:val="nil"/>
              <w:right w:val="nil"/>
            </w:tcBorders>
            <w:shd w:val="clear" w:color="000000" w:fill="FFFFFF"/>
            <w:hideMark/>
          </w:tcPr>
          <w:p w:rsidR="008E037E" w:rsidRDefault="008E037E" w:rsidP="00EC1ECD">
            <w:pPr>
              <w:rPr>
                <w:sz w:val="18"/>
                <w:szCs w:val="18"/>
              </w:rPr>
            </w:pPr>
            <w:r>
              <w:rPr>
                <w:sz w:val="18"/>
                <w:szCs w:val="18"/>
              </w:rPr>
              <w:t>Territory Receipts to</w:t>
            </w:r>
            <w:r>
              <w:rPr>
                <w:sz w:val="18"/>
                <w:szCs w:val="18"/>
              </w:rPr>
              <w:br/>
              <w:t xml:space="preserve">   Government</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69,665</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69,465</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72,434</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74,635</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75,823</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74,578</w:t>
            </w:r>
          </w:p>
        </w:tc>
        <w:tc>
          <w:tcPr>
            <w:tcW w:w="2314" w:type="dxa"/>
            <w:tcBorders>
              <w:top w:val="nil"/>
              <w:left w:val="nil"/>
              <w:bottom w:val="nil"/>
              <w:right w:val="nil"/>
            </w:tcBorders>
            <w:shd w:val="clear" w:color="000000" w:fill="FFFFFF"/>
            <w:noWrap/>
            <w:hideMark/>
          </w:tcPr>
          <w:p w:rsidR="008E037E" w:rsidRDefault="008E037E" w:rsidP="00EC1ECD">
            <w:pPr>
              <w:rPr>
                <w:b/>
                <w:bCs/>
                <w:sz w:val="18"/>
                <w:szCs w:val="18"/>
              </w:rPr>
            </w:pPr>
            <w:r>
              <w:rPr>
                <w:b/>
                <w:bCs/>
                <w:sz w:val="18"/>
                <w:szCs w:val="18"/>
              </w:rPr>
              <w:t>Operating Payments</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72,095</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71,470</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74,475</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76,720</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77,946</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8E037E" w:rsidRDefault="008E037E" w:rsidP="00EC1ECD">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-32</w:t>
            </w:r>
          </w:p>
        </w:tc>
        <w:tc>
          <w:tcPr>
            <w:tcW w:w="2314" w:type="dxa"/>
            <w:tcBorders>
              <w:top w:val="nil"/>
              <w:left w:val="nil"/>
              <w:bottom w:val="nil"/>
              <w:right w:val="nil"/>
            </w:tcBorders>
            <w:shd w:val="clear" w:color="000000" w:fill="FFFFFF"/>
            <w:hideMark/>
          </w:tcPr>
          <w:p w:rsidR="008E037E" w:rsidRDefault="008E037E" w:rsidP="00EC1ECD">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-34</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-33</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-33</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-33</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-33</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2314" w:type="dxa"/>
            <w:tcBorders>
              <w:top w:val="nil"/>
              <w:left w:val="nil"/>
              <w:bottom w:val="nil"/>
              <w:right w:val="nil"/>
            </w:tcBorders>
            <w:shd w:val="clear" w:color="000000" w:fill="FFFFFF"/>
            <w:noWrap/>
            <w:hideMark/>
          </w:tcPr>
          <w:p w:rsidR="008E037E" w:rsidRDefault="008E037E" w:rsidP="00EC1ECD">
            <w:pPr>
              <w:rPr>
                <w:b/>
                <w:bCs/>
                <w:sz w:val="18"/>
                <w:szCs w:val="18"/>
              </w:rPr>
            </w:pPr>
            <w:r>
              <w:rPr>
                <w:b/>
                <w:bCs/>
                <w:sz w:val="18"/>
                <w:szCs w:val="18"/>
              </w:rPr>
              <w:t> </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color w:val="0000FF"/>
                <w:sz w:val="18"/>
                <w:szCs w:val="18"/>
              </w:rPr>
            </w:pPr>
            <w:r>
              <w:rPr>
                <w:color w:val="0000FF"/>
                <w:sz w:val="18"/>
                <w:szCs w:val="18"/>
              </w:rPr>
              <w:t> </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-32</w:t>
            </w:r>
          </w:p>
        </w:tc>
        <w:tc>
          <w:tcPr>
            <w:tcW w:w="2314" w:type="dxa"/>
            <w:tcBorders>
              <w:top w:val="nil"/>
              <w:left w:val="nil"/>
              <w:bottom w:val="nil"/>
              <w:right w:val="nil"/>
            </w:tcBorders>
            <w:shd w:val="clear" w:color="000000" w:fill="FFFFFF"/>
            <w:hideMark/>
          </w:tcPr>
          <w:p w:rsidR="008E037E" w:rsidRDefault="008E037E" w:rsidP="0033352D">
            <w:pPr>
              <w:ind w:left="142" w:hanging="142"/>
              <w:rPr>
                <w:b/>
                <w:bCs/>
                <w:sz w:val="18"/>
                <w:szCs w:val="18"/>
              </w:rPr>
            </w:pPr>
            <w:r>
              <w:rPr>
                <w:b/>
                <w:bCs/>
                <w:sz w:val="18"/>
                <w:szCs w:val="18"/>
              </w:rPr>
              <w:t>NET INCREASE /(DECREASE)</w:t>
            </w:r>
            <w:r w:rsidR="0033352D">
              <w:rPr>
                <w:b/>
                <w:bCs/>
                <w:sz w:val="18"/>
                <w:szCs w:val="18"/>
              </w:rPr>
              <w:t xml:space="preserve"> </w:t>
            </w:r>
            <w:r>
              <w:rPr>
                <w:b/>
                <w:bCs/>
                <w:sz w:val="18"/>
                <w:szCs w:val="18"/>
              </w:rPr>
              <w:t>IN CASH HELD</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-34</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-33</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-33</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-33</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-33</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8E037E" w:rsidRDefault="008E037E" w:rsidP="00EC1ECD">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651</w:t>
            </w:r>
          </w:p>
        </w:tc>
        <w:tc>
          <w:tcPr>
            <w:tcW w:w="2314" w:type="dxa"/>
            <w:tcBorders>
              <w:top w:val="nil"/>
              <w:left w:val="nil"/>
              <w:bottom w:val="nil"/>
              <w:right w:val="nil"/>
            </w:tcBorders>
            <w:shd w:val="clear" w:color="000000" w:fill="FFFFFF"/>
            <w:hideMark/>
          </w:tcPr>
          <w:p w:rsidR="008E037E" w:rsidRDefault="008E037E" w:rsidP="0033352D">
            <w:pPr>
              <w:spacing w:after="60"/>
              <w:ind w:left="142" w:hanging="142"/>
              <w:rPr>
                <w:b/>
                <w:bCs/>
                <w:sz w:val="18"/>
                <w:szCs w:val="18"/>
              </w:rPr>
            </w:pPr>
            <w:r>
              <w:rPr>
                <w:b/>
                <w:bCs/>
                <w:sz w:val="18"/>
                <w:szCs w:val="18"/>
              </w:rPr>
              <w:t>CASH AT THE BEGINNING OF REPORTING PERIOD</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1,164</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1,130</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1,097</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1,064</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1,031</w:t>
            </w:r>
          </w:p>
        </w:tc>
      </w:tr>
      <w:tr w:rsidR="008E037E" w:rsidTr="00EC1ECD">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619</w:t>
            </w:r>
          </w:p>
        </w:tc>
        <w:tc>
          <w:tcPr>
            <w:tcW w:w="2314" w:type="dxa"/>
            <w:tcBorders>
              <w:top w:val="nil"/>
              <w:left w:val="nil"/>
              <w:bottom w:val="nil"/>
              <w:right w:val="nil"/>
            </w:tcBorders>
            <w:shd w:val="clear" w:color="000000" w:fill="FFFFFF"/>
            <w:hideMark/>
          </w:tcPr>
          <w:p w:rsidR="008E037E" w:rsidRDefault="008E037E" w:rsidP="00EC1ECD">
            <w:pPr>
              <w:rPr>
                <w:b/>
                <w:bCs/>
                <w:sz w:val="18"/>
                <w:szCs w:val="18"/>
              </w:rPr>
            </w:pPr>
            <w:r>
              <w:rPr>
                <w:b/>
                <w:bCs/>
                <w:sz w:val="18"/>
                <w:szCs w:val="18"/>
              </w:rPr>
              <w:t>CASH AT THE END OF</w:t>
            </w:r>
            <w:r>
              <w:rPr>
                <w:b/>
                <w:bCs/>
                <w:sz w:val="18"/>
                <w:szCs w:val="18"/>
              </w:rPr>
              <w:br/>
              <w:t xml:space="preserve">   REPORTING PERIOD</w:t>
            </w:r>
          </w:p>
        </w:tc>
        <w:tc>
          <w:tcPr>
            <w:tcW w:w="118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1,130</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1,097</w:t>
            </w:r>
          </w:p>
        </w:tc>
        <w:tc>
          <w:tcPr>
            <w:tcW w:w="62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1,064</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1,031</w:t>
            </w:r>
          </w:p>
        </w:tc>
        <w:tc>
          <w:tcPr>
            <w:tcW w:w="1054" w:type="dxa"/>
            <w:tcBorders>
              <w:top w:val="nil"/>
              <w:left w:val="nil"/>
              <w:bottom w:val="nil"/>
              <w:right w:val="nil"/>
            </w:tcBorders>
            <w:shd w:val="clear" w:color="000000" w:fill="FFFFFF"/>
            <w:noWrap/>
            <w:hideMark/>
          </w:tcPr>
          <w:p w:rsidR="008E037E" w:rsidRDefault="008E037E" w:rsidP="00EC1ECD">
            <w:pPr>
              <w:ind w:left="-283"/>
              <w:jc w:val="right"/>
              <w:rPr>
                <w:b/>
                <w:bCs/>
                <w:sz w:val="18"/>
                <w:szCs w:val="18"/>
              </w:rPr>
            </w:pPr>
            <w:r>
              <w:rPr>
                <w:b/>
                <w:bCs/>
                <w:sz w:val="18"/>
                <w:szCs w:val="18"/>
              </w:rPr>
              <w:t>998</w:t>
            </w:r>
          </w:p>
        </w:tc>
      </w:tr>
      <w:tr w:rsidR="008E037E" w:rsidTr="00EC1ECD">
        <w:tc>
          <w:tcPr>
            <w:tcW w:w="1054" w:type="dxa"/>
            <w:tcBorders>
              <w:top w:val="nil"/>
              <w:left w:val="nil"/>
              <w:bottom w:val="single" w:sz="4" w:space="0" w:color="auto"/>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2314" w:type="dxa"/>
            <w:tcBorders>
              <w:top w:val="nil"/>
              <w:left w:val="nil"/>
              <w:bottom w:val="single" w:sz="4" w:space="0" w:color="auto"/>
              <w:right w:val="nil"/>
            </w:tcBorders>
            <w:shd w:val="clear" w:color="000000" w:fill="FFFFFF"/>
            <w:noWrap/>
            <w:hideMark/>
          </w:tcPr>
          <w:p w:rsidR="008E037E" w:rsidRDefault="008E037E" w:rsidP="00EC1ECD">
            <w:pPr>
              <w:rPr>
                <w:b/>
                <w:bCs/>
                <w:sz w:val="18"/>
                <w:szCs w:val="18"/>
              </w:rPr>
            </w:pPr>
            <w:r>
              <w:rPr>
                <w:b/>
                <w:bCs/>
                <w:sz w:val="18"/>
                <w:szCs w:val="18"/>
              </w:rPr>
              <w:t> </w:t>
            </w:r>
          </w:p>
        </w:tc>
        <w:tc>
          <w:tcPr>
            <w:tcW w:w="1184" w:type="dxa"/>
            <w:tcBorders>
              <w:top w:val="nil"/>
              <w:left w:val="nil"/>
              <w:bottom w:val="single" w:sz="4" w:space="0" w:color="auto"/>
              <w:right w:val="nil"/>
            </w:tcBorders>
            <w:shd w:val="clear" w:color="000000" w:fill="FFFFFF"/>
            <w:noWrap/>
            <w:hideMark/>
          </w:tcPr>
          <w:p w:rsidR="008E037E" w:rsidRDefault="008E037E" w:rsidP="00EC1ECD">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8E037E" w:rsidRDefault="008E037E" w:rsidP="00EC1ECD">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8E037E" w:rsidRDefault="008E037E" w:rsidP="00EC1ECD">
            <w:pPr>
              <w:ind w:left="-283"/>
              <w:jc w:val="right"/>
              <w:rPr>
                <w:sz w:val="18"/>
                <w:szCs w:val="18"/>
              </w:rPr>
            </w:pPr>
            <w:r>
              <w:rPr>
                <w:sz w:val="18"/>
                <w:szCs w:val="18"/>
              </w:rPr>
              <w:t> </w:t>
            </w:r>
          </w:p>
        </w:tc>
      </w:tr>
    </w:tbl>
    <w:p w:rsidR="00526CBE" w:rsidRDefault="00526CBE">
      <w:pPr>
        <w:rPr>
          <w:lang w:eastAsia="en-AU"/>
        </w:rPr>
      </w:pPr>
      <w:r>
        <w:rPr>
          <w:lang w:eastAsia="en-AU"/>
        </w:rPr>
        <w:br w:type="page"/>
      </w:r>
    </w:p>
    <w:p w:rsidR="00526CBE" w:rsidRPr="00CF1A8C" w:rsidRDefault="00526CBE" w:rsidP="00A361D3">
      <w:pPr>
        <w:pStyle w:val="Heading3"/>
        <w:spacing w:after="120"/>
      </w:pPr>
      <w:r w:rsidRPr="00CF1A8C">
        <w:lastRenderedPageBreak/>
        <w:t>Notes to the Budget</w:t>
      </w:r>
      <w:r>
        <w:t xml:space="preserve"> Statements</w:t>
      </w:r>
    </w:p>
    <w:p w:rsidR="00A361D3" w:rsidRPr="00A361D3" w:rsidRDefault="00A361D3" w:rsidP="00A361D3">
      <w:pPr>
        <w:pStyle w:val="Heading4"/>
        <w:rPr>
          <w:i w:val="0"/>
        </w:rPr>
      </w:pPr>
      <w:r w:rsidRPr="00A361D3">
        <w:rPr>
          <w:i w:val="0"/>
        </w:rPr>
        <w:t>Significant variations are as follows:</w:t>
      </w:r>
    </w:p>
    <w:p w:rsidR="00526CBE" w:rsidRPr="007F629E" w:rsidRDefault="00526CBE" w:rsidP="00A361D3">
      <w:pPr>
        <w:pStyle w:val="Heading4"/>
      </w:pPr>
      <w:r>
        <w:t>Statement of Income and Expenses on Behalf of the Territory</w:t>
      </w:r>
    </w:p>
    <w:p w:rsidR="00526CBE" w:rsidRDefault="00526CBE" w:rsidP="00526CBE">
      <w:pPr>
        <w:pStyle w:val="BodyTextIndent"/>
        <w:numPr>
          <w:ilvl w:val="0"/>
          <w:numId w:val="7"/>
        </w:numPr>
      </w:pPr>
      <w:r>
        <w:t>taxes, fees and fines</w:t>
      </w:r>
      <w:r w:rsidRPr="00CF1A8C">
        <w:t>:</w:t>
      </w:r>
      <w:r>
        <w:t xml:space="preserve">  the decrease of $3.722 </w:t>
      </w:r>
      <w:r w:rsidRPr="00CF1A8C">
        <w:t xml:space="preserve">million in the </w:t>
      </w:r>
      <w:r>
        <w:t>2012</w:t>
      </w:r>
      <w:r>
        <w:noBreakHyphen/>
        <w:t>13</w:t>
      </w:r>
      <w:r w:rsidRPr="00CF1A8C">
        <w:t xml:space="preserve"> estimated outcome from the original budget is mainly due </w:t>
      </w:r>
      <w:r>
        <w:t xml:space="preserve">to </w:t>
      </w:r>
      <w:r w:rsidR="002C1777">
        <w:t>lower</w:t>
      </w:r>
      <w:r>
        <w:t xml:space="preserve"> than expected receipts from the Lease Variation Charge.</w:t>
      </w:r>
    </w:p>
    <w:p w:rsidR="00526CBE" w:rsidRDefault="00526CBE" w:rsidP="00526CBE">
      <w:pPr>
        <w:pStyle w:val="BodyTextIndent"/>
        <w:numPr>
          <w:ilvl w:val="0"/>
          <w:numId w:val="7"/>
        </w:numPr>
      </w:pPr>
      <w:r>
        <w:t>land revenue</w:t>
      </w:r>
      <w:r w:rsidRPr="00CF1A8C">
        <w:t>:</w:t>
      </w:r>
      <w:r>
        <w:t xml:space="preserve">  the increase of $0.781 </w:t>
      </w:r>
      <w:r w:rsidRPr="00CF1A8C">
        <w:t xml:space="preserve">million in the </w:t>
      </w:r>
      <w:r>
        <w:t>2012</w:t>
      </w:r>
      <w:r>
        <w:noBreakHyphen/>
        <w:t>13</w:t>
      </w:r>
      <w:r w:rsidRPr="00CF1A8C">
        <w:t xml:space="preserve"> estimated outcome from the </w:t>
      </w:r>
      <w:r>
        <w:t>original budget and the decrease of $0.688 million in the 2013</w:t>
      </w:r>
      <w:r>
        <w:noBreakHyphen/>
        <w:t>14 Budget from the 2012</w:t>
      </w:r>
      <w:r>
        <w:noBreakHyphen/>
        <w:t>13 estimated outcome is due to the receipt of one-off land rent payouts in 2012</w:t>
      </w:r>
      <w:r>
        <w:noBreakHyphen/>
        <w:t>13.</w:t>
      </w:r>
    </w:p>
    <w:p w:rsidR="00526CBE" w:rsidRDefault="00526CBE" w:rsidP="00526CBE">
      <w:pPr>
        <w:pStyle w:val="BodyTextIndent"/>
        <w:numPr>
          <w:ilvl w:val="0"/>
          <w:numId w:val="7"/>
        </w:numPr>
      </w:pPr>
      <w:r>
        <w:t>transfer expenses</w:t>
      </w:r>
      <w:r w:rsidRPr="00CF1A8C">
        <w:t>:</w:t>
      </w:r>
      <w:r>
        <w:t xml:space="preserve">  the decrease of $2.941 </w:t>
      </w:r>
      <w:r w:rsidRPr="00CF1A8C">
        <w:t xml:space="preserve">million in the </w:t>
      </w:r>
      <w:r>
        <w:t>2012</w:t>
      </w:r>
      <w:r>
        <w:noBreakHyphen/>
        <w:t>13</w:t>
      </w:r>
      <w:r w:rsidRPr="00CF1A8C">
        <w:t xml:space="preserve"> estimated outcome from the original budget is mainly due </w:t>
      </w:r>
      <w:r>
        <w:t xml:space="preserve">to </w:t>
      </w:r>
      <w:r w:rsidR="00F5154F">
        <w:t>lower</w:t>
      </w:r>
      <w:r>
        <w:t xml:space="preserve"> than expected Lease Variation Charge revenue.</w:t>
      </w:r>
    </w:p>
    <w:p w:rsidR="00526CBE" w:rsidRPr="00F14115" w:rsidRDefault="00526CBE" w:rsidP="00526CBE">
      <w:pPr>
        <w:pStyle w:val="Heading4"/>
      </w:pPr>
      <w:r>
        <w:t>Statement of Assets and Liabilities on Behalf of the Territory</w:t>
      </w:r>
    </w:p>
    <w:p w:rsidR="00526CBE" w:rsidRDefault="00526CBE" w:rsidP="00526CBE">
      <w:pPr>
        <w:pStyle w:val="BodyTextIndent"/>
        <w:numPr>
          <w:ilvl w:val="0"/>
          <w:numId w:val="7"/>
        </w:numPr>
      </w:pPr>
      <w:r>
        <w:t>cash and cash equivalents</w:t>
      </w:r>
      <w:r w:rsidRPr="00CF1A8C">
        <w:t>:</w:t>
      </w:r>
      <w:r>
        <w:t xml:space="preserve">  the increase of $0.511 </w:t>
      </w:r>
      <w:r w:rsidRPr="00CF1A8C">
        <w:t xml:space="preserve">million in the </w:t>
      </w:r>
      <w:r>
        <w:t>2012</w:t>
      </w:r>
      <w:r>
        <w:noBreakHyphen/>
        <w:t>13</w:t>
      </w:r>
      <w:r w:rsidRPr="00CF1A8C">
        <w:t xml:space="preserve"> estimated outcome from the </w:t>
      </w:r>
      <w:r>
        <w:t>original budget is due</w:t>
      </w:r>
      <w:r w:rsidRPr="00DE4A0B">
        <w:t xml:space="preserve"> to the flow</w:t>
      </w:r>
      <w:r w:rsidRPr="00DE4A0B">
        <w:noBreakHyphen/>
        <w:t xml:space="preserve">on </w:t>
      </w:r>
      <w:r>
        <w:t xml:space="preserve">effects </w:t>
      </w:r>
      <w:r w:rsidRPr="00DE4A0B">
        <w:t xml:space="preserve">of the </w:t>
      </w:r>
      <w:r>
        <w:t>2011</w:t>
      </w:r>
      <w:r>
        <w:noBreakHyphen/>
        <w:t>12</w:t>
      </w:r>
      <w:r w:rsidRPr="00DE4A0B">
        <w:t xml:space="preserve"> audited </w:t>
      </w:r>
      <w:r>
        <w:t>financial results.</w:t>
      </w:r>
    </w:p>
    <w:p w:rsidR="00526CBE" w:rsidRDefault="00526CBE" w:rsidP="00526CBE">
      <w:pPr>
        <w:pStyle w:val="BodyTextIndent"/>
        <w:numPr>
          <w:ilvl w:val="0"/>
          <w:numId w:val="7"/>
        </w:numPr>
      </w:pPr>
      <w:r>
        <w:t>property plant and equipment</w:t>
      </w:r>
      <w:r w:rsidRPr="00CF1A8C">
        <w:t>:</w:t>
      </w:r>
      <w:r>
        <w:t xml:space="preserve">  the increase of $31.906 </w:t>
      </w:r>
      <w:r w:rsidRPr="00CF1A8C">
        <w:t xml:space="preserve">million in the </w:t>
      </w:r>
      <w:r>
        <w:t>2012</w:t>
      </w:r>
      <w:r>
        <w:noBreakHyphen/>
        <w:t>13</w:t>
      </w:r>
      <w:r w:rsidRPr="00CF1A8C">
        <w:t xml:space="preserve"> estimated outcome from the </w:t>
      </w:r>
      <w:r>
        <w:t>original budget is mainly due</w:t>
      </w:r>
      <w:r w:rsidRPr="00DE4A0B">
        <w:t xml:space="preserve"> to the </w:t>
      </w:r>
      <w:r>
        <w:t>revaluation of land</w:t>
      </w:r>
      <w:r w:rsidRPr="00DE4A0B">
        <w:t xml:space="preserve"> </w:t>
      </w:r>
      <w:r>
        <w:t>as at 30 June 2012.</w:t>
      </w:r>
    </w:p>
    <w:p w:rsidR="00526CBE" w:rsidRPr="00F14115" w:rsidRDefault="00526CBE" w:rsidP="00526CBE">
      <w:pPr>
        <w:pStyle w:val="BodyTextIndent"/>
        <w:numPr>
          <w:ilvl w:val="0"/>
          <w:numId w:val="7"/>
        </w:numPr>
      </w:pPr>
      <w:r>
        <w:t>reserves:  the increase of $31.893 million in the 2012-13 estimated outcome from the original budget is mainly due to the revaluation of land as at 30 June 2012.</w:t>
      </w:r>
    </w:p>
    <w:p w:rsidR="00526CBE" w:rsidRPr="00B63C97" w:rsidRDefault="00526CBE" w:rsidP="00526CBE">
      <w:pPr>
        <w:pStyle w:val="Heading4"/>
      </w:pPr>
      <w:r w:rsidRPr="00DE4A0B">
        <w:t>Statement o</w:t>
      </w:r>
      <w:r>
        <w:t xml:space="preserve">f Changes in Equity on Behalf of the Territory </w:t>
      </w:r>
    </w:p>
    <w:p w:rsidR="00526CBE" w:rsidRDefault="00526CBE" w:rsidP="00526CBE">
      <w:pPr>
        <w:rPr>
          <w:szCs w:val="24"/>
        </w:rPr>
      </w:pPr>
      <w:r w:rsidRPr="00757D24">
        <w:rPr>
          <w:szCs w:val="24"/>
        </w:rPr>
        <w:t>Variations in the statement are explained in the notes above.</w:t>
      </w:r>
    </w:p>
    <w:p w:rsidR="00526CBE" w:rsidRDefault="00526CBE" w:rsidP="00526CBE">
      <w:pPr>
        <w:pStyle w:val="Heading4"/>
      </w:pPr>
      <w:r>
        <w:t xml:space="preserve">Statement of </w:t>
      </w:r>
      <w:r w:rsidRPr="00F14115">
        <w:t>Cash Flow</w:t>
      </w:r>
      <w:r>
        <w:t xml:space="preserve">s on Behalf of the Territory </w:t>
      </w:r>
    </w:p>
    <w:p w:rsidR="00526CBE" w:rsidRDefault="00526CBE" w:rsidP="00526CBE">
      <w:pPr>
        <w:rPr>
          <w:szCs w:val="24"/>
        </w:rPr>
      </w:pPr>
      <w:r w:rsidRPr="00757D24">
        <w:rPr>
          <w:szCs w:val="24"/>
        </w:rPr>
        <w:t>Variations in the statement are explained in the notes above.</w:t>
      </w:r>
    </w:p>
    <w:p w:rsidR="00B26ED7" w:rsidRDefault="00B26ED7">
      <w:pPr>
        <w:rPr>
          <w:lang w:eastAsia="en-AU"/>
        </w:rPr>
      </w:pPr>
    </w:p>
    <w:sectPr w:rsidR="00B26ED7" w:rsidSect="00B359D4">
      <w:pgSz w:w="11907" w:h="16840" w:code="9"/>
      <w:pgMar w:top="1151" w:right="1440" w:bottom="1729" w:left="1440" w:header="720" w:footer="720" w:gutter="0"/>
      <w:pgNumType w:start="25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E51" w:rsidRDefault="00235E51">
      <w:r>
        <w:separator/>
      </w:r>
    </w:p>
  </w:endnote>
  <w:endnote w:type="continuationSeparator" w:id="0">
    <w:p w:rsidR="00235E51" w:rsidRDefault="00235E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9D4" w:rsidRDefault="00B359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E51" w:rsidRDefault="00235E51">
    <w:pPr>
      <w:pStyle w:val="FooterBP"/>
    </w:pPr>
    <w:r>
      <w:t>2013-14 Budget Paper No. 4</w:t>
    </w:r>
    <w:r>
      <w:tab/>
    </w:r>
    <w:fldSimple w:instr=" PAGE   \* MERGEFORMAT ">
      <w:r w:rsidR="000F2169">
        <w:rPr>
          <w:noProof/>
        </w:rPr>
        <w:t>278</w:t>
      </w:r>
    </w:fldSimple>
    <w:r>
      <w:tab/>
      <w:t>Environment and Sustainable Development Directorate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9D4" w:rsidRDefault="00B35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E51" w:rsidRDefault="00235E51">
      <w:r>
        <w:separator/>
      </w:r>
    </w:p>
  </w:footnote>
  <w:footnote w:type="continuationSeparator" w:id="0">
    <w:p w:rsidR="00235E51" w:rsidRDefault="00235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9D4" w:rsidRDefault="00B359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9D4" w:rsidRDefault="00B359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9D4" w:rsidRDefault="00B359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E"/>
    <w:multiLevelType w:val="singleLevel"/>
    <w:tmpl w:val="0000000E"/>
    <w:lvl w:ilvl="0">
      <w:start w:val="1"/>
      <w:numFmt w:val="bullet"/>
      <w:lvlText w:val=""/>
      <w:lvlJc w:val="left"/>
      <w:pPr>
        <w:ind w:left="357" w:hanging="357"/>
      </w:pPr>
      <w:rPr>
        <w:rFonts w:ascii="Symbol" w:hAnsi="Symbol" w:hint="default"/>
        <w:b w:val="0"/>
        <w:i w:val="0"/>
        <w:strike w:val="0"/>
        <w:color w:val="auto"/>
        <w:sz w:val="24"/>
        <w:u w:val="none"/>
      </w:rPr>
    </w:lvl>
  </w:abstractNum>
  <w:abstractNum w:abstractNumId="11">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2">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3">
    <w:nsid w:val="104007E8"/>
    <w:multiLevelType w:val="hybridMultilevel"/>
    <w:tmpl w:val="21A04668"/>
    <w:lvl w:ilvl="0" w:tplc="3096549E">
      <w:start w:val="1"/>
      <w:numFmt w:val="bullet"/>
      <w:lvlText w:val=""/>
      <w:lvlJc w:val="left"/>
      <w:pPr>
        <w:tabs>
          <w:tab w:val="num" w:pos="360"/>
        </w:tabs>
        <w:ind w:left="360" w:hanging="360"/>
      </w:pPr>
      <w:rPr>
        <w:rFonts w:ascii="Symbol" w:hAnsi="Symbol" w:cs="Times New Roman" w:hint="default"/>
      </w:rPr>
    </w:lvl>
    <w:lvl w:ilvl="1" w:tplc="0C090001">
      <w:start w:val="1"/>
      <w:numFmt w:val="bullet"/>
      <w:lvlText w:val=""/>
      <w:lvlJc w:val="left"/>
      <w:pPr>
        <w:tabs>
          <w:tab w:val="num" w:pos="360"/>
        </w:tabs>
        <w:ind w:left="360" w:hanging="360"/>
      </w:pPr>
      <w:rPr>
        <w:rFonts w:ascii="Symbol" w:hAnsi="Symbol"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4">
    <w:nsid w:val="18E249C1"/>
    <w:multiLevelType w:val="hybridMultilevel"/>
    <w:tmpl w:val="785E3FFC"/>
    <w:lvl w:ilvl="0" w:tplc="2E2CD254">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1B874B9B"/>
    <w:multiLevelType w:val="hybridMultilevel"/>
    <w:tmpl w:val="EAFC5224"/>
    <w:lvl w:ilvl="0" w:tplc="92C4E00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1E50260F"/>
    <w:multiLevelType w:val="hybridMultilevel"/>
    <w:tmpl w:val="3E605496"/>
    <w:lvl w:ilvl="0" w:tplc="88B635FA">
      <w:start w:val="1"/>
      <w:numFmt w:val="lowerLetter"/>
      <w:lvlText w:val="%1."/>
      <w:lvlJc w:val="left"/>
      <w:pPr>
        <w:ind w:left="360" w:hanging="360"/>
      </w:pPr>
      <w:rPr>
        <w:rFonts w:hint="default"/>
        <w:sz w:val="20"/>
        <w:szCs w:val="20"/>
      </w:rPr>
    </w:lvl>
    <w:lvl w:ilvl="1" w:tplc="9DA68FE2">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0406B23"/>
    <w:multiLevelType w:val="hybridMultilevel"/>
    <w:tmpl w:val="69626C30"/>
    <w:lvl w:ilvl="0" w:tplc="D126506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9">
    <w:nsid w:val="224E3BDC"/>
    <w:multiLevelType w:val="hybridMultilevel"/>
    <w:tmpl w:val="4BE89B3E"/>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nsid w:val="25C07455"/>
    <w:multiLevelType w:val="hybridMultilevel"/>
    <w:tmpl w:val="A5FE7EB2"/>
    <w:lvl w:ilvl="0" w:tplc="1C7C2F9A">
      <w:start w:val="1"/>
      <w:numFmt w:val="decimal"/>
      <w:lvlText w:val="%1."/>
      <w:lvlJc w:val="left"/>
      <w:pPr>
        <w:tabs>
          <w:tab w:val="num" w:pos="785"/>
        </w:tabs>
        <w:ind w:left="785" w:hanging="360"/>
      </w:pPr>
      <w:rPr>
        <w:rFonts w:ascii="Times New Roman" w:hAnsi="Times New Roman" w:hint="default"/>
        <w:b w:val="0"/>
        <w:i w:val="0"/>
        <w:caps w:val="0"/>
        <w:strike w:val="0"/>
        <w:dstrike w:val="0"/>
        <w:outline w:val="0"/>
        <w:shadow w:val="0"/>
        <w:emboss w:val="0"/>
        <w:imprint w:val="0"/>
        <w:vanish w:val="0"/>
        <w:sz w:val="16"/>
        <w:vertAlign w:val="superscript"/>
      </w:rPr>
    </w:lvl>
    <w:lvl w:ilvl="1" w:tplc="04090019" w:tentative="1">
      <w:start w:val="1"/>
      <w:numFmt w:val="lowerLetter"/>
      <w:pStyle w:val="Numbering"/>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BCE1549"/>
    <w:multiLevelType w:val="singleLevel"/>
    <w:tmpl w:val="8304C526"/>
    <w:lvl w:ilvl="0">
      <w:start w:val="1"/>
      <w:numFmt w:val="lowerLetter"/>
      <w:pStyle w:val="TableFootnoteText"/>
      <w:lvlText w:val="(%1)"/>
      <w:legacy w:legacy="1" w:legacySpace="0" w:legacyIndent="360"/>
      <w:lvlJc w:val="left"/>
      <w:pPr>
        <w:ind w:left="360" w:hanging="360"/>
      </w:pPr>
      <w:rPr>
        <w:rFonts w:cs="Times New Roman"/>
      </w:rPr>
    </w:lvl>
  </w:abstractNum>
  <w:abstractNum w:abstractNumId="22">
    <w:nsid w:val="3EC954BB"/>
    <w:multiLevelType w:val="hybridMultilevel"/>
    <w:tmpl w:val="4A46E0C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464457A5"/>
    <w:multiLevelType w:val="hybridMultilevel"/>
    <w:tmpl w:val="8272DE36"/>
    <w:lvl w:ilvl="0" w:tplc="F4C6DF18">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4DF57032"/>
    <w:multiLevelType w:val="hybridMultilevel"/>
    <w:tmpl w:val="FA4CC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E351229"/>
    <w:multiLevelType w:val="hybridMultilevel"/>
    <w:tmpl w:val="1AA0EFE6"/>
    <w:lvl w:ilvl="0" w:tplc="92C4E00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4EAA1946"/>
    <w:multiLevelType w:val="hybridMultilevel"/>
    <w:tmpl w:val="B44C51C0"/>
    <w:lvl w:ilvl="0" w:tplc="FFFFFFFF">
      <w:start w:val="1"/>
      <w:numFmt w:val="bullet"/>
      <w:lvlText w:val=""/>
      <w:lvlJc w:val="left"/>
      <w:pPr>
        <w:tabs>
          <w:tab w:val="num" w:pos="360"/>
        </w:tabs>
        <w:ind w:left="360" w:hanging="360"/>
      </w:pPr>
      <w:rPr>
        <w:rFonts w:ascii="Symbol" w:hAnsi="Symbol" w:hint="default"/>
        <w:sz w:val="16"/>
      </w:rPr>
    </w:lvl>
    <w:lvl w:ilvl="1" w:tplc="FFFFFFFF">
      <w:start w:val="24"/>
      <w:numFmt w:val="decimal"/>
      <w:pStyle w:val="AIBlurb"/>
      <w:lvlText w:val="%2."/>
      <w:lvlJc w:val="left"/>
      <w:pPr>
        <w:tabs>
          <w:tab w:val="num" w:pos="1440"/>
        </w:tabs>
        <w:ind w:left="1440" w:hanging="360"/>
      </w:pPr>
      <w:rPr>
        <w:rFonts w:cs="Times New Roman" w:hint="default"/>
      </w:rPr>
    </w:lvl>
    <w:lvl w:ilvl="2" w:tplc="FFFFFFFF">
      <w:start w:val="10"/>
      <w:numFmt w:val="decimal"/>
      <w:lvlText w:val="%3."/>
      <w:lvlJc w:val="left"/>
      <w:pPr>
        <w:tabs>
          <w:tab w:val="num" w:pos="2160"/>
        </w:tabs>
        <w:ind w:left="2160" w:hanging="360"/>
      </w:pPr>
      <w:rPr>
        <w:rFont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F5C4946"/>
    <w:multiLevelType w:val="hybridMultilevel"/>
    <w:tmpl w:val="82E4D284"/>
    <w:lvl w:ilvl="0" w:tplc="80EC7E52">
      <w:start w:val="1"/>
      <w:numFmt w:val="lowerLetter"/>
      <w:lvlText w:val="%1."/>
      <w:lvlJc w:val="left"/>
      <w:pPr>
        <w:ind w:left="360" w:hanging="360"/>
      </w:pPr>
      <w:rPr>
        <w:rFonts w:hint="default"/>
      </w:rPr>
    </w:lvl>
    <w:lvl w:ilvl="1" w:tplc="9DA68FE2">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F9969DD"/>
    <w:multiLevelType w:val="hybridMultilevel"/>
    <w:tmpl w:val="8272DE36"/>
    <w:lvl w:ilvl="0" w:tplc="F4C6DF18">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3B919E1"/>
    <w:multiLevelType w:val="hybridMultilevel"/>
    <w:tmpl w:val="88A2194A"/>
    <w:lvl w:ilvl="0" w:tplc="F978181E">
      <w:start w:val="1"/>
      <w:numFmt w:val="lowerLetter"/>
      <w:lvlText w:val="%1."/>
      <w:lvlJc w:val="left"/>
      <w:pPr>
        <w:ind w:left="360" w:hanging="360"/>
      </w:pPr>
      <w:rPr>
        <w:rFonts w:hint="default"/>
      </w:rPr>
    </w:lvl>
    <w:lvl w:ilvl="1" w:tplc="7D1ADF76">
      <w:start w:val="1"/>
      <w:numFmt w:val="bullet"/>
      <w:lvlText w:val=""/>
      <w:lvlJc w:val="left"/>
      <w:pPr>
        <w:ind w:left="1440" w:hanging="360"/>
      </w:pPr>
      <w:rPr>
        <w:rFonts w:ascii="Symbol" w:hAnsi="Symbol" w:hint="default"/>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52073BA"/>
    <w:multiLevelType w:val="hybridMultilevel"/>
    <w:tmpl w:val="8272DE36"/>
    <w:lvl w:ilvl="0" w:tplc="F4C6DF18">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9D420E"/>
    <w:multiLevelType w:val="hybridMultilevel"/>
    <w:tmpl w:val="95D21432"/>
    <w:lvl w:ilvl="0" w:tplc="45CAD1C4">
      <w:start w:val="1"/>
      <w:numFmt w:val="bullet"/>
      <w:lvlText w:val=""/>
      <w:lvlJc w:val="left"/>
      <w:pPr>
        <w:tabs>
          <w:tab w:val="num" w:pos="360"/>
        </w:tabs>
        <w:ind w:left="357" w:hanging="357"/>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4">
    <w:nsid w:val="69287A3D"/>
    <w:multiLevelType w:val="hybridMultilevel"/>
    <w:tmpl w:val="93F0E396"/>
    <w:lvl w:ilvl="0" w:tplc="DC6E0470">
      <w:start w:val="1"/>
      <w:numFmt w:val="decimal"/>
      <w:pStyle w:val="Memopara"/>
      <w:lvlText w:val="%1."/>
      <w:lvlJc w:val="left"/>
      <w:pPr>
        <w:tabs>
          <w:tab w:val="num" w:pos="360"/>
        </w:tabs>
        <w:ind w:left="360" w:hanging="360"/>
      </w:pPr>
      <w:rPr>
        <w:rFonts w:hint="default"/>
        <w:b w:val="0"/>
        <w:i w:val="0"/>
        <w:vertAlign w:val="baseline"/>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5">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6">
    <w:nsid w:val="735141C2"/>
    <w:multiLevelType w:val="hybridMultilevel"/>
    <w:tmpl w:val="669A95BE"/>
    <w:lvl w:ilvl="0" w:tplc="04545DA6">
      <w:start w:val="1"/>
      <w:numFmt w:val="decimal"/>
      <w:pStyle w:val="AINotes"/>
      <w:lvlText w:val="%1."/>
      <w:lvlJc w:val="left"/>
      <w:pPr>
        <w:tabs>
          <w:tab w:val="num" w:pos="357"/>
        </w:tabs>
        <w:ind w:left="357" w:hanging="357"/>
      </w:pPr>
      <w:rPr>
        <w:rFonts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7F4676E3"/>
    <w:multiLevelType w:val="hybridMultilevel"/>
    <w:tmpl w:val="50A4399C"/>
    <w:lvl w:ilvl="0" w:tplc="3BA6C952">
      <w:start w:val="3"/>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FDC714A"/>
    <w:multiLevelType w:val="hybridMultilevel"/>
    <w:tmpl w:val="F8CE8928"/>
    <w:lvl w:ilvl="0" w:tplc="9A2CFAF4">
      <w:start w:val="1"/>
      <w:numFmt w:val="lowerLetter"/>
      <w:lvlText w:val="%1."/>
      <w:lvlJc w:val="left"/>
      <w:pPr>
        <w:ind w:left="360" w:hanging="360"/>
      </w:pPr>
      <w:rPr>
        <w:rFonts w:hint="default"/>
        <w:sz w:val="20"/>
        <w:szCs w:val="20"/>
      </w:rPr>
    </w:lvl>
    <w:lvl w:ilvl="1" w:tplc="9DA68FE2">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20"/>
  </w:num>
  <w:num w:numId="3">
    <w:abstractNumId w:val="34"/>
  </w:num>
  <w:num w:numId="4">
    <w:abstractNumId w:val="21"/>
  </w:num>
  <w:num w:numId="5">
    <w:abstractNumId w:val="26"/>
  </w:num>
  <w:num w:numId="6">
    <w:abstractNumId w:val="10"/>
  </w:num>
  <w:num w:numId="7">
    <w:abstractNumId w:val="33"/>
  </w:num>
  <w:num w:numId="8">
    <w:abstractNumId w:val="13"/>
  </w:num>
  <w:num w:numId="9">
    <w:abstractNumId w:val="27"/>
  </w:num>
  <w:num w:numId="10">
    <w:abstractNumId w:val="30"/>
  </w:num>
  <w:num w:numId="11">
    <w:abstractNumId w:val="23"/>
  </w:num>
  <w:num w:numId="12">
    <w:abstractNumId w:val="24"/>
  </w:num>
  <w:num w:numId="13">
    <w:abstractNumId w:val="17"/>
  </w:num>
  <w:num w:numId="14">
    <w:abstractNumId w:val="40"/>
  </w:num>
  <w:num w:numId="15">
    <w:abstractNumId w:val="41"/>
  </w:num>
  <w:num w:numId="16">
    <w:abstractNumId w:val="14"/>
  </w:num>
  <w:num w:numId="17">
    <w:abstractNumId w:val="25"/>
  </w:num>
  <w:num w:numId="18">
    <w:abstractNumId w:val="16"/>
  </w:num>
  <w:num w:numId="19">
    <w:abstractNumId w:val="15"/>
  </w:num>
  <w:num w:numId="20">
    <w:abstractNumId w:val="31"/>
  </w:num>
  <w:num w:numId="21">
    <w:abstractNumId w:val="28"/>
  </w:num>
  <w:num w:numId="22">
    <w:abstractNumId w:val="38"/>
  </w:num>
  <w:num w:numId="23">
    <w:abstractNumId w:val="32"/>
  </w:num>
  <w:num w:numId="24">
    <w:abstractNumId w:val="36"/>
  </w:num>
  <w:num w:numId="25">
    <w:abstractNumId w:val="37"/>
  </w:num>
  <w:num w:numId="26">
    <w:abstractNumId w:val="19"/>
  </w:num>
  <w:num w:numId="27">
    <w:abstractNumId w:val="11"/>
  </w:num>
  <w:num w:numId="28">
    <w:abstractNumId w:val="18"/>
  </w:num>
  <w:num w:numId="29">
    <w:abstractNumId w:val="12"/>
  </w:num>
  <w:num w:numId="30">
    <w:abstractNumId w:val="35"/>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9"/>
  </w:num>
  <w:num w:numId="42">
    <w:abstractNumId w:val="39"/>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6"/>
    <w:lvlOverride w:ilvl="0">
      <w:startOverride w:val="1"/>
    </w:lvlOverride>
  </w:num>
  <w:num w:numId="48">
    <w:abstractNumId w:val="36"/>
    <w:lvlOverride w:ilvl="0">
      <w:startOverride w:val="1"/>
    </w:lvlOverride>
  </w:num>
  <w:num w:numId="49">
    <w:abstractNumId w:val="36"/>
    <w:lvlOverride w:ilvl="0">
      <w:startOverride w:val="1"/>
    </w:lvlOverride>
  </w:num>
  <w:num w:numId="50">
    <w:abstractNumId w:val="36"/>
    <w:lvlOverride w:ilvl="0">
      <w:startOverride w:val="1"/>
    </w:lvlOverride>
  </w:num>
  <w:num w:numId="51">
    <w:abstractNumId w:val="36"/>
    <w:lvlOverride w:ilvl="0">
      <w:startOverride w:val="1"/>
    </w:lvlOverride>
  </w:num>
  <w:num w:numId="52">
    <w:abstractNumId w:val="36"/>
    <w:lvlOverride w:ilvl="0">
      <w:startOverride w:val="1"/>
    </w:lvlOverride>
  </w:num>
  <w:num w:numId="53">
    <w:abstractNumId w:val="36"/>
    <w:lvlOverride w:ilvl="0">
      <w:startOverride w:val="1"/>
    </w:lvlOverride>
  </w:num>
  <w:num w:numId="54">
    <w:abstractNumId w:val="36"/>
    <w:lvlOverride w:ilvl="0">
      <w:startOverride w:val="1"/>
    </w:lvlOverride>
  </w:num>
  <w:num w:numId="55">
    <w:abstractNumId w:val="36"/>
    <w:lvlOverride w:ilvl="0">
      <w:startOverride w:val="1"/>
    </w:lvlOverride>
  </w:num>
  <w:num w:numId="56">
    <w:abstractNumId w:val="22"/>
  </w:num>
  <w:num w:numId="57">
    <w:abstractNumId w:val="19"/>
  </w:num>
  <w:num w:numId="58">
    <w:abstractNumId w:val="11"/>
  </w:num>
  <w:num w:numId="59">
    <w:abstractNumId w:val="11"/>
  </w:num>
  <w:num w:numId="60">
    <w:abstractNumId w:val="11"/>
  </w:num>
  <w:num w:numId="61">
    <w:abstractNumId w:val="11"/>
  </w:num>
  <w:num w:numId="62">
    <w:abstractNumId w:val="11"/>
  </w:num>
  <w:num w:numId="63">
    <w:abstractNumId w:val="11"/>
  </w:num>
  <w:num w:numId="64">
    <w:abstractNumId w:val="11"/>
  </w:num>
  <w:num w:numId="65">
    <w:abstractNumId w:val="19"/>
  </w:num>
  <w:num w:numId="66">
    <w:abstractNumId w:val="19"/>
  </w:num>
  <w:num w:numId="67">
    <w:abstractNumId w:val="11"/>
  </w:num>
  <w:num w:numId="68">
    <w:abstractNumId w:val="11"/>
  </w:num>
  <w:num w:numId="69">
    <w:abstractNumId w:val="11"/>
  </w:num>
  <w:num w:numId="70">
    <w:abstractNumId w:val="11"/>
  </w:num>
  <w:num w:numId="71">
    <w:abstractNumId w:val="11"/>
  </w:num>
  <w:num w:numId="72">
    <w:abstractNumId w:val="19"/>
  </w:num>
  <w:num w:numId="73">
    <w:abstractNumId w:val="19"/>
  </w:num>
  <w:num w:numId="74">
    <w:abstractNumId w:val="19"/>
  </w:num>
  <w:num w:numId="75">
    <w:abstractNumId w:val="19"/>
  </w:num>
  <w:num w:numId="76">
    <w:abstractNumId w:val="36"/>
    <w:lvlOverride w:ilvl="0">
      <w:startOverride w:val="1"/>
    </w:lvlOverride>
  </w:num>
  <w:num w:numId="77">
    <w:abstractNumId w:val="11"/>
  </w:num>
  <w:num w:numId="78">
    <w:abstractNumId w:val="11"/>
  </w:num>
  <w:num w:numId="79">
    <w:abstractNumId w:val="36"/>
  </w:num>
  <w:num w:numId="80">
    <w:abstractNumId w:val="36"/>
    <w:lvlOverride w:ilvl="0">
      <w:startOverride w:val="1"/>
    </w:lvlOverride>
  </w:num>
  <w:num w:numId="81">
    <w:abstractNumId w:val="36"/>
  </w:num>
  <w:num w:numId="82">
    <w:abstractNumId w:val="36"/>
  </w:num>
  <w:num w:numId="83">
    <w:abstractNumId w:val="19"/>
  </w:num>
  <w:num w:numId="84">
    <w:abstractNumId w:val="19"/>
  </w:num>
  <w:num w:numId="85">
    <w:abstractNumId w:val="19"/>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0004"/>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D816A3"/>
    <w:rsid w:val="00000AA2"/>
    <w:rsid w:val="00002919"/>
    <w:rsid w:val="000031CB"/>
    <w:rsid w:val="00007E74"/>
    <w:rsid w:val="0001761A"/>
    <w:rsid w:val="00017B71"/>
    <w:rsid w:val="00024438"/>
    <w:rsid w:val="00024E53"/>
    <w:rsid w:val="00032900"/>
    <w:rsid w:val="00032A5F"/>
    <w:rsid w:val="00034452"/>
    <w:rsid w:val="00034504"/>
    <w:rsid w:val="00036A3B"/>
    <w:rsid w:val="00037B4E"/>
    <w:rsid w:val="00037EAC"/>
    <w:rsid w:val="00037F27"/>
    <w:rsid w:val="00040387"/>
    <w:rsid w:val="00054B1B"/>
    <w:rsid w:val="00060636"/>
    <w:rsid w:val="0008286B"/>
    <w:rsid w:val="00082885"/>
    <w:rsid w:val="0008304E"/>
    <w:rsid w:val="00083257"/>
    <w:rsid w:val="00090AD1"/>
    <w:rsid w:val="000921DD"/>
    <w:rsid w:val="00092363"/>
    <w:rsid w:val="00096AAA"/>
    <w:rsid w:val="000A1D81"/>
    <w:rsid w:val="000A2566"/>
    <w:rsid w:val="000A3FAD"/>
    <w:rsid w:val="000A717F"/>
    <w:rsid w:val="000A7636"/>
    <w:rsid w:val="000B25A1"/>
    <w:rsid w:val="000C2A96"/>
    <w:rsid w:val="000C62AF"/>
    <w:rsid w:val="000C69F8"/>
    <w:rsid w:val="000C7A59"/>
    <w:rsid w:val="000D0038"/>
    <w:rsid w:val="000D3EE3"/>
    <w:rsid w:val="000D40FC"/>
    <w:rsid w:val="000D7A4C"/>
    <w:rsid w:val="000F1FB9"/>
    <w:rsid w:val="000F2169"/>
    <w:rsid w:val="000F43D3"/>
    <w:rsid w:val="000F4570"/>
    <w:rsid w:val="000F7664"/>
    <w:rsid w:val="001022C9"/>
    <w:rsid w:val="00102810"/>
    <w:rsid w:val="00102DE0"/>
    <w:rsid w:val="00103E42"/>
    <w:rsid w:val="00104C0D"/>
    <w:rsid w:val="00107310"/>
    <w:rsid w:val="00107618"/>
    <w:rsid w:val="0011732B"/>
    <w:rsid w:val="00120385"/>
    <w:rsid w:val="00132D8E"/>
    <w:rsid w:val="001345B6"/>
    <w:rsid w:val="00143868"/>
    <w:rsid w:val="00147FFE"/>
    <w:rsid w:val="00151B88"/>
    <w:rsid w:val="00151C3F"/>
    <w:rsid w:val="001533FB"/>
    <w:rsid w:val="001546E9"/>
    <w:rsid w:val="00155D2F"/>
    <w:rsid w:val="00157D4D"/>
    <w:rsid w:val="00171C6F"/>
    <w:rsid w:val="0017352D"/>
    <w:rsid w:val="00174920"/>
    <w:rsid w:val="00182FE7"/>
    <w:rsid w:val="001848BA"/>
    <w:rsid w:val="00196E31"/>
    <w:rsid w:val="001A1172"/>
    <w:rsid w:val="001A1573"/>
    <w:rsid w:val="001A4AF4"/>
    <w:rsid w:val="001B0CA2"/>
    <w:rsid w:val="001B2372"/>
    <w:rsid w:val="001B52F9"/>
    <w:rsid w:val="001B7B5E"/>
    <w:rsid w:val="001C17F3"/>
    <w:rsid w:val="001C48DE"/>
    <w:rsid w:val="001C4CEC"/>
    <w:rsid w:val="001C696E"/>
    <w:rsid w:val="001D512F"/>
    <w:rsid w:val="001D5644"/>
    <w:rsid w:val="001D6EB9"/>
    <w:rsid w:val="001D6F77"/>
    <w:rsid w:val="001D7ACE"/>
    <w:rsid w:val="001E033B"/>
    <w:rsid w:val="001E1E93"/>
    <w:rsid w:val="001E3F4E"/>
    <w:rsid w:val="001E5327"/>
    <w:rsid w:val="001F0A71"/>
    <w:rsid w:val="001F1F50"/>
    <w:rsid w:val="001F5930"/>
    <w:rsid w:val="00203198"/>
    <w:rsid w:val="00204ADB"/>
    <w:rsid w:val="00217036"/>
    <w:rsid w:val="0022292D"/>
    <w:rsid w:val="00225275"/>
    <w:rsid w:val="002266A2"/>
    <w:rsid w:val="00226BE5"/>
    <w:rsid w:val="002272D3"/>
    <w:rsid w:val="002301D3"/>
    <w:rsid w:val="00232964"/>
    <w:rsid w:val="00235E51"/>
    <w:rsid w:val="00235E9C"/>
    <w:rsid w:val="00241F25"/>
    <w:rsid w:val="002423F6"/>
    <w:rsid w:val="00243EE3"/>
    <w:rsid w:val="0024531F"/>
    <w:rsid w:val="00250566"/>
    <w:rsid w:val="00250767"/>
    <w:rsid w:val="00253A00"/>
    <w:rsid w:val="0025741E"/>
    <w:rsid w:val="00257458"/>
    <w:rsid w:val="002747A0"/>
    <w:rsid w:val="002755CD"/>
    <w:rsid w:val="00284514"/>
    <w:rsid w:val="0028493C"/>
    <w:rsid w:val="00293A7F"/>
    <w:rsid w:val="00293AE2"/>
    <w:rsid w:val="00294840"/>
    <w:rsid w:val="00297610"/>
    <w:rsid w:val="002A1946"/>
    <w:rsid w:val="002A2074"/>
    <w:rsid w:val="002A25A6"/>
    <w:rsid w:val="002A3C39"/>
    <w:rsid w:val="002A70B4"/>
    <w:rsid w:val="002C1777"/>
    <w:rsid w:val="002C2BB5"/>
    <w:rsid w:val="002C5F50"/>
    <w:rsid w:val="002D673C"/>
    <w:rsid w:val="002E0544"/>
    <w:rsid w:val="002F2E87"/>
    <w:rsid w:val="00303A69"/>
    <w:rsid w:val="003100EA"/>
    <w:rsid w:val="003205A1"/>
    <w:rsid w:val="003240A2"/>
    <w:rsid w:val="00332DE7"/>
    <w:rsid w:val="0033352D"/>
    <w:rsid w:val="003408B7"/>
    <w:rsid w:val="00342AA1"/>
    <w:rsid w:val="00344648"/>
    <w:rsid w:val="0034713D"/>
    <w:rsid w:val="003514F5"/>
    <w:rsid w:val="0035244E"/>
    <w:rsid w:val="00352A22"/>
    <w:rsid w:val="003669EE"/>
    <w:rsid w:val="003675B4"/>
    <w:rsid w:val="00373CBF"/>
    <w:rsid w:val="003759A3"/>
    <w:rsid w:val="00382018"/>
    <w:rsid w:val="00384046"/>
    <w:rsid w:val="00384D30"/>
    <w:rsid w:val="00386B78"/>
    <w:rsid w:val="00393491"/>
    <w:rsid w:val="003A1CB6"/>
    <w:rsid w:val="003A406F"/>
    <w:rsid w:val="003A71DC"/>
    <w:rsid w:val="003A7C21"/>
    <w:rsid w:val="003A7F0F"/>
    <w:rsid w:val="003B0755"/>
    <w:rsid w:val="003B0901"/>
    <w:rsid w:val="003B4778"/>
    <w:rsid w:val="003C09C3"/>
    <w:rsid w:val="003C0EA1"/>
    <w:rsid w:val="003C3553"/>
    <w:rsid w:val="003C6D0A"/>
    <w:rsid w:val="003C74ED"/>
    <w:rsid w:val="003E0055"/>
    <w:rsid w:val="003E25F9"/>
    <w:rsid w:val="003E27DF"/>
    <w:rsid w:val="003E7550"/>
    <w:rsid w:val="003F1782"/>
    <w:rsid w:val="003F6F04"/>
    <w:rsid w:val="00403A43"/>
    <w:rsid w:val="004075DE"/>
    <w:rsid w:val="00407D12"/>
    <w:rsid w:val="004119E6"/>
    <w:rsid w:val="004168CC"/>
    <w:rsid w:val="00420891"/>
    <w:rsid w:val="00422042"/>
    <w:rsid w:val="00424037"/>
    <w:rsid w:val="0042527B"/>
    <w:rsid w:val="0042755F"/>
    <w:rsid w:val="00430666"/>
    <w:rsid w:val="00435CA1"/>
    <w:rsid w:val="0044239F"/>
    <w:rsid w:val="00445D6D"/>
    <w:rsid w:val="004576EE"/>
    <w:rsid w:val="00461776"/>
    <w:rsid w:val="00467CCC"/>
    <w:rsid w:val="00467D82"/>
    <w:rsid w:val="00471ADD"/>
    <w:rsid w:val="004727CD"/>
    <w:rsid w:val="00477707"/>
    <w:rsid w:val="00482141"/>
    <w:rsid w:val="00492C54"/>
    <w:rsid w:val="004945EB"/>
    <w:rsid w:val="004964F6"/>
    <w:rsid w:val="004B0D4D"/>
    <w:rsid w:val="004B2D58"/>
    <w:rsid w:val="004B2E3F"/>
    <w:rsid w:val="004C0F22"/>
    <w:rsid w:val="004C373B"/>
    <w:rsid w:val="004C5F8C"/>
    <w:rsid w:val="004D486D"/>
    <w:rsid w:val="004D4A17"/>
    <w:rsid w:val="004D4FE0"/>
    <w:rsid w:val="004D51F7"/>
    <w:rsid w:val="004D7E6B"/>
    <w:rsid w:val="004E11B5"/>
    <w:rsid w:val="004E6641"/>
    <w:rsid w:val="004E707E"/>
    <w:rsid w:val="004F1950"/>
    <w:rsid w:val="004F1C78"/>
    <w:rsid w:val="00500A65"/>
    <w:rsid w:val="005043FF"/>
    <w:rsid w:val="00507876"/>
    <w:rsid w:val="00517053"/>
    <w:rsid w:val="00522EBB"/>
    <w:rsid w:val="00526C77"/>
    <w:rsid w:val="00526CBE"/>
    <w:rsid w:val="0053535E"/>
    <w:rsid w:val="00536E57"/>
    <w:rsid w:val="00544077"/>
    <w:rsid w:val="00544943"/>
    <w:rsid w:val="00547216"/>
    <w:rsid w:val="00554E37"/>
    <w:rsid w:val="00556D44"/>
    <w:rsid w:val="00562C02"/>
    <w:rsid w:val="00563B95"/>
    <w:rsid w:val="0056579A"/>
    <w:rsid w:val="00565CDC"/>
    <w:rsid w:val="005672F1"/>
    <w:rsid w:val="00583773"/>
    <w:rsid w:val="00585FCB"/>
    <w:rsid w:val="00587FA5"/>
    <w:rsid w:val="00590E80"/>
    <w:rsid w:val="00591F1D"/>
    <w:rsid w:val="0059419D"/>
    <w:rsid w:val="005960AE"/>
    <w:rsid w:val="005A1EC7"/>
    <w:rsid w:val="005A6863"/>
    <w:rsid w:val="005A7448"/>
    <w:rsid w:val="005B0583"/>
    <w:rsid w:val="005B3350"/>
    <w:rsid w:val="005C0771"/>
    <w:rsid w:val="005C0A18"/>
    <w:rsid w:val="005C1AA6"/>
    <w:rsid w:val="005C4835"/>
    <w:rsid w:val="005C5855"/>
    <w:rsid w:val="005C7061"/>
    <w:rsid w:val="005C7F3D"/>
    <w:rsid w:val="005D41D4"/>
    <w:rsid w:val="005D42BD"/>
    <w:rsid w:val="005D6FAA"/>
    <w:rsid w:val="005E2C98"/>
    <w:rsid w:val="00600DC9"/>
    <w:rsid w:val="00603EDA"/>
    <w:rsid w:val="00604CB2"/>
    <w:rsid w:val="0060697F"/>
    <w:rsid w:val="00611B67"/>
    <w:rsid w:val="00620764"/>
    <w:rsid w:val="006212A7"/>
    <w:rsid w:val="0062396B"/>
    <w:rsid w:val="00627942"/>
    <w:rsid w:val="0063286F"/>
    <w:rsid w:val="00636544"/>
    <w:rsid w:val="00650624"/>
    <w:rsid w:val="00651E39"/>
    <w:rsid w:val="0065213F"/>
    <w:rsid w:val="00653BD2"/>
    <w:rsid w:val="00656327"/>
    <w:rsid w:val="00657229"/>
    <w:rsid w:val="00670EC7"/>
    <w:rsid w:val="0067404D"/>
    <w:rsid w:val="00686056"/>
    <w:rsid w:val="0068633B"/>
    <w:rsid w:val="006927C5"/>
    <w:rsid w:val="00694FB2"/>
    <w:rsid w:val="006A1FAE"/>
    <w:rsid w:val="006A201F"/>
    <w:rsid w:val="006B028F"/>
    <w:rsid w:val="006B19DE"/>
    <w:rsid w:val="006B3E03"/>
    <w:rsid w:val="006B7D56"/>
    <w:rsid w:val="006C0FB8"/>
    <w:rsid w:val="006C479B"/>
    <w:rsid w:val="006D1027"/>
    <w:rsid w:val="006D1CF1"/>
    <w:rsid w:val="006D2D91"/>
    <w:rsid w:val="006E1905"/>
    <w:rsid w:val="006E6603"/>
    <w:rsid w:val="007039E8"/>
    <w:rsid w:val="00704695"/>
    <w:rsid w:val="00710A23"/>
    <w:rsid w:val="00711CE3"/>
    <w:rsid w:val="007168C1"/>
    <w:rsid w:val="0071795B"/>
    <w:rsid w:val="00720D75"/>
    <w:rsid w:val="0072480A"/>
    <w:rsid w:val="00725E64"/>
    <w:rsid w:val="00726874"/>
    <w:rsid w:val="00732ACC"/>
    <w:rsid w:val="00736014"/>
    <w:rsid w:val="00741F96"/>
    <w:rsid w:val="00745A57"/>
    <w:rsid w:val="00745BF9"/>
    <w:rsid w:val="00745FB4"/>
    <w:rsid w:val="007503F5"/>
    <w:rsid w:val="00751F20"/>
    <w:rsid w:val="007535D9"/>
    <w:rsid w:val="00755112"/>
    <w:rsid w:val="0076786D"/>
    <w:rsid w:val="00772F3F"/>
    <w:rsid w:val="00782153"/>
    <w:rsid w:val="00784309"/>
    <w:rsid w:val="00784328"/>
    <w:rsid w:val="007853F4"/>
    <w:rsid w:val="00790931"/>
    <w:rsid w:val="00792660"/>
    <w:rsid w:val="007975D9"/>
    <w:rsid w:val="00797DB1"/>
    <w:rsid w:val="007A5FB6"/>
    <w:rsid w:val="007A62C3"/>
    <w:rsid w:val="007A74B1"/>
    <w:rsid w:val="007A7569"/>
    <w:rsid w:val="007C07FD"/>
    <w:rsid w:val="007C22CF"/>
    <w:rsid w:val="007C7552"/>
    <w:rsid w:val="007D6952"/>
    <w:rsid w:val="007E1F81"/>
    <w:rsid w:val="007F0056"/>
    <w:rsid w:val="007F16F0"/>
    <w:rsid w:val="007F1B9F"/>
    <w:rsid w:val="00801D9D"/>
    <w:rsid w:val="00804CB1"/>
    <w:rsid w:val="008114C6"/>
    <w:rsid w:val="00813940"/>
    <w:rsid w:val="008161C9"/>
    <w:rsid w:val="0082456C"/>
    <w:rsid w:val="0082551F"/>
    <w:rsid w:val="00826DA4"/>
    <w:rsid w:val="00830D24"/>
    <w:rsid w:val="00830DED"/>
    <w:rsid w:val="0083303F"/>
    <w:rsid w:val="00835656"/>
    <w:rsid w:val="00837F37"/>
    <w:rsid w:val="008400E0"/>
    <w:rsid w:val="0084109C"/>
    <w:rsid w:val="00842E87"/>
    <w:rsid w:val="00844DC3"/>
    <w:rsid w:val="00851B39"/>
    <w:rsid w:val="00854AB0"/>
    <w:rsid w:val="00856414"/>
    <w:rsid w:val="008605B9"/>
    <w:rsid w:val="00863426"/>
    <w:rsid w:val="00866D6A"/>
    <w:rsid w:val="008702A6"/>
    <w:rsid w:val="00871576"/>
    <w:rsid w:val="008770C9"/>
    <w:rsid w:val="00890253"/>
    <w:rsid w:val="008916E7"/>
    <w:rsid w:val="00892EFF"/>
    <w:rsid w:val="00894D9E"/>
    <w:rsid w:val="00896A36"/>
    <w:rsid w:val="008A4C99"/>
    <w:rsid w:val="008A52CB"/>
    <w:rsid w:val="008B5249"/>
    <w:rsid w:val="008C0238"/>
    <w:rsid w:val="008C0470"/>
    <w:rsid w:val="008C6494"/>
    <w:rsid w:val="008C71A2"/>
    <w:rsid w:val="008D033D"/>
    <w:rsid w:val="008D6BC6"/>
    <w:rsid w:val="008D70F0"/>
    <w:rsid w:val="008D78AB"/>
    <w:rsid w:val="008E037E"/>
    <w:rsid w:val="008F08BF"/>
    <w:rsid w:val="00910C2C"/>
    <w:rsid w:val="009118BA"/>
    <w:rsid w:val="00912F4C"/>
    <w:rsid w:val="00915AE4"/>
    <w:rsid w:val="00917047"/>
    <w:rsid w:val="00924137"/>
    <w:rsid w:val="009249F7"/>
    <w:rsid w:val="00930E0C"/>
    <w:rsid w:val="009468D4"/>
    <w:rsid w:val="00946B2A"/>
    <w:rsid w:val="00946D28"/>
    <w:rsid w:val="009545D3"/>
    <w:rsid w:val="00954AA6"/>
    <w:rsid w:val="00954E38"/>
    <w:rsid w:val="0095531B"/>
    <w:rsid w:val="0097024C"/>
    <w:rsid w:val="00972161"/>
    <w:rsid w:val="00972D04"/>
    <w:rsid w:val="00973A30"/>
    <w:rsid w:val="00977AD6"/>
    <w:rsid w:val="009838F1"/>
    <w:rsid w:val="009874B3"/>
    <w:rsid w:val="00990C0F"/>
    <w:rsid w:val="00991CE7"/>
    <w:rsid w:val="00994745"/>
    <w:rsid w:val="009965DA"/>
    <w:rsid w:val="009A74CF"/>
    <w:rsid w:val="009A7E8D"/>
    <w:rsid w:val="009B2149"/>
    <w:rsid w:val="009B7281"/>
    <w:rsid w:val="009B7997"/>
    <w:rsid w:val="009C6534"/>
    <w:rsid w:val="009D3FF6"/>
    <w:rsid w:val="009E710B"/>
    <w:rsid w:val="009F7DFD"/>
    <w:rsid w:val="00A050EA"/>
    <w:rsid w:val="00A14B1B"/>
    <w:rsid w:val="00A157E0"/>
    <w:rsid w:val="00A15A2F"/>
    <w:rsid w:val="00A1791A"/>
    <w:rsid w:val="00A20ACD"/>
    <w:rsid w:val="00A31027"/>
    <w:rsid w:val="00A316B7"/>
    <w:rsid w:val="00A361D3"/>
    <w:rsid w:val="00A42024"/>
    <w:rsid w:val="00A524B3"/>
    <w:rsid w:val="00A54F8F"/>
    <w:rsid w:val="00A557B3"/>
    <w:rsid w:val="00A60069"/>
    <w:rsid w:val="00A66174"/>
    <w:rsid w:val="00A678E4"/>
    <w:rsid w:val="00A67A8E"/>
    <w:rsid w:val="00A709B9"/>
    <w:rsid w:val="00A74547"/>
    <w:rsid w:val="00A811D4"/>
    <w:rsid w:val="00A84995"/>
    <w:rsid w:val="00A97023"/>
    <w:rsid w:val="00A972A1"/>
    <w:rsid w:val="00AA0B1A"/>
    <w:rsid w:val="00AA3F41"/>
    <w:rsid w:val="00AA4D5B"/>
    <w:rsid w:val="00AA570A"/>
    <w:rsid w:val="00AA6DF7"/>
    <w:rsid w:val="00AA7B8A"/>
    <w:rsid w:val="00AB191F"/>
    <w:rsid w:val="00AB22C6"/>
    <w:rsid w:val="00AB416F"/>
    <w:rsid w:val="00AB4A72"/>
    <w:rsid w:val="00AB57E4"/>
    <w:rsid w:val="00AB5AE7"/>
    <w:rsid w:val="00AB7C56"/>
    <w:rsid w:val="00AD1B3B"/>
    <w:rsid w:val="00AD1E28"/>
    <w:rsid w:val="00AD3213"/>
    <w:rsid w:val="00AD5CD1"/>
    <w:rsid w:val="00AD670E"/>
    <w:rsid w:val="00AD6A28"/>
    <w:rsid w:val="00AE43C3"/>
    <w:rsid w:val="00AE67A3"/>
    <w:rsid w:val="00AF012D"/>
    <w:rsid w:val="00AF06AC"/>
    <w:rsid w:val="00AF0BAD"/>
    <w:rsid w:val="00AF2AD9"/>
    <w:rsid w:val="00AF5ACC"/>
    <w:rsid w:val="00AF63FB"/>
    <w:rsid w:val="00B00585"/>
    <w:rsid w:val="00B050DA"/>
    <w:rsid w:val="00B071A9"/>
    <w:rsid w:val="00B10498"/>
    <w:rsid w:val="00B10688"/>
    <w:rsid w:val="00B16445"/>
    <w:rsid w:val="00B2262A"/>
    <w:rsid w:val="00B26DEC"/>
    <w:rsid w:val="00B26ED7"/>
    <w:rsid w:val="00B3334C"/>
    <w:rsid w:val="00B3492D"/>
    <w:rsid w:val="00B352AB"/>
    <w:rsid w:val="00B359D4"/>
    <w:rsid w:val="00B421DA"/>
    <w:rsid w:val="00B430E8"/>
    <w:rsid w:val="00B501EC"/>
    <w:rsid w:val="00B56C7B"/>
    <w:rsid w:val="00B62A97"/>
    <w:rsid w:val="00B64025"/>
    <w:rsid w:val="00B71240"/>
    <w:rsid w:val="00B81618"/>
    <w:rsid w:val="00B82E92"/>
    <w:rsid w:val="00B86235"/>
    <w:rsid w:val="00B87B33"/>
    <w:rsid w:val="00B960DF"/>
    <w:rsid w:val="00B9658E"/>
    <w:rsid w:val="00BA040A"/>
    <w:rsid w:val="00BA07AC"/>
    <w:rsid w:val="00BA501F"/>
    <w:rsid w:val="00BA519C"/>
    <w:rsid w:val="00BB0FFC"/>
    <w:rsid w:val="00BB3458"/>
    <w:rsid w:val="00BB349F"/>
    <w:rsid w:val="00BB5AEB"/>
    <w:rsid w:val="00BB7A29"/>
    <w:rsid w:val="00BD23E9"/>
    <w:rsid w:val="00BE144B"/>
    <w:rsid w:val="00BE2793"/>
    <w:rsid w:val="00BE4FAE"/>
    <w:rsid w:val="00BF30F4"/>
    <w:rsid w:val="00BF7123"/>
    <w:rsid w:val="00C01C50"/>
    <w:rsid w:val="00C03B20"/>
    <w:rsid w:val="00C0459B"/>
    <w:rsid w:val="00C05B95"/>
    <w:rsid w:val="00C07166"/>
    <w:rsid w:val="00C078C9"/>
    <w:rsid w:val="00C11A5E"/>
    <w:rsid w:val="00C1341C"/>
    <w:rsid w:val="00C15A7A"/>
    <w:rsid w:val="00C2020D"/>
    <w:rsid w:val="00C20CF0"/>
    <w:rsid w:val="00C20F6E"/>
    <w:rsid w:val="00C237D1"/>
    <w:rsid w:val="00C244F4"/>
    <w:rsid w:val="00C25123"/>
    <w:rsid w:val="00C33C8B"/>
    <w:rsid w:val="00C34D8A"/>
    <w:rsid w:val="00C3760B"/>
    <w:rsid w:val="00C37DDA"/>
    <w:rsid w:val="00C46F53"/>
    <w:rsid w:val="00C474F5"/>
    <w:rsid w:val="00C51FBF"/>
    <w:rsid w:val="00C55327"/>
    <w:rsid w:val="00C60973"/>
    <w:rsid w:val="00C65A1D"/>
    <w:rsid w:val="00C66ED7"/>
    <w:rsid w:val="00C73C34"/>
    <w:rsid w:val="00C75434"/>
    <w:rsid w:val="00C815E3"/>
    <w:rsid w:val="00C87C76"/>
    <w:rsid w:val="00C93E02"/>
    <w:rsid w:val="00C95720"/>
    <w:rsid w:val="00C95B2A"/>
    <w:rsid w:val="00C96C2E"/>
    <w:rsid w:val="00CA3A29"/>
    <w:rsid w:val="00CA7C2A"/>
    <w:rsid w:val="00CB0C07"/>
    <w:rsid w:val="00CB2C06"/>
    <w:rsid w:val="00CB5BEE"/>
    <w:rsid w:val="00CB77D2"/>
    <w:rsid w:val="00CC0041"/>
    <w:rsid w:val="00CC0C7A"/>
    <w:rsid w:val="00CC4285"/>
    <w:rsid w:val="00CC5F2C"/>
    <w:rsid w:val="00CD01D8"/>
    <w:rsid w:val="00CD1243"/>
    <w:rsid w:val="00CD1F38"/>
    <w:rsid w:val="00CD5B57"/>
    <w:rsid w:val="00CE2182"/>
    <w:rsid w:val="00CE5330"/>
    <w:rsid w:val="00CE677B"/>
    <w:rsid w:val="00CF2460"/>
    <w:rsid w:val="00CF31D3"/>
    <w:rsid w:val="00D0024F"/>
    <w:rsid w:val="00D01AF0"/>
    <w:rsid w:val="00D043EA"/>
    <w:rsid w:val="00D06867"/>
    <w:rsid w:val="00D07F35"/>
    <w:rsid w:val="00D11935"/>
    <w:rsid w:val="00D12464"/>
    <w:rsid w:val="00D132C4"/>
    <w:rsid w:val="00D13A31"/>
    <w:rsid w:val="00D217F0"/>
    <w:rsid w:val="00D22372"/>
    <w:rsid w:val="00D2386B"/>
    <w:rsid w:val="00D27759"/>
    <w:rsid w:val="00D310E7"/>
    <w:rsid w:val="00D323A9"/>
    <w:rsid w:val="00D337D9"/>
    <w:rsid w:val="00D34B14"/>
    <w:rsid w:val="00D37340"/>
    <w:rsid w:val="00D3761D"/>
    <w:rsid w:val="00D434E9"/>
    <w:rsid w:val="00D43EC5"/>
    <w:rsid w:val="00D47714"/>
    <w:rsid w:val="00D5098C"/>
    <w:rsid w:val="00D54A95"/>
    <w:rsid w:val="00D65505"/>
    <w:rsid w:val="00D74579"/>
    <w:rsid w:val="00D745DC"/>
    <w:rsid w:val="00D81312"/>
    <w:rsid w:val="00D816A3"/>
    <w:rsid w:val="00D87859"/>
    <w:rsid w:val="00D87B9F"/>
    <w:rsid w:val="00D92736"/>
    <w:rsid w:val="00D93C5C"/>
    <w:rsid w:val="00D95738"/>
    <w:rsid w:val="00DA02EE"/>
    <w:rsid w:val="00DB1266"/>
    <w:rsid w:val="00DB3ED4"/>
    <w:rsid w:val="00DB4858"/>
    <w:rsid w:val="00DB6180"/>
    <w:rsid w:val="00DC0953"/>
    <w:rsid w:val="00DD143A"/>
    <w:rsid w:val="00DD41EB"/>
    <w:rsid w:val="00DD55FF"/>
    <w:rsid w:val="00DF05DB"/>
    <w:rsid w:val="00DF23EF"/>
    <w:rsid w:val="00E00733"/>
    <w:rsid w:val="00E01E8C"/>
    <w:rsid w:val="00E139EF"/>
    <w:rsid w:val="00E15E7E"/>
    <w:rsid w:val="00E1683F"/>
    <w:rsid w:val="00E25364"/>
    <w:rsid w:val="00E25E55"/>
    <w:rsid w:val="00E27013"/>
    <w:rsid w:val="00E35E3C"/>
    <w:rsid w:val="00E363B8"/>
    <w:rsid w:val="00E406F7"/>
    <w:rsid w:val="00E45B27"/>
    <w:rsid w:val="00E465AB"/>
    <w:rsid w:val="00E56A2F"/>
    <w:rsid w:val="00E5729A"/>
    <w:rsid w:val="00E60A94"/>
    <w:rsid w:val="00E61653"/>
    <w:rsid w:val="00E635A0"/>
    <w:rsid w:val="00E719BC"/>
    <w:rsid w:val="00E72314"/>
    <w:rsid w:val="00E74BF0"/>
    <w:rsid w:val="00E840B3"/>
    <w:rsid w:val="00E85855"/>
    <w:rsid w:val="00E85FFA"/>
    <w:rsid w:val="00E92968"/>
    <w:rsid w:val="00E97AA1"/>
    <w:rsid w:val="00EA14C6"/>
    <w:rsid w:val="00EA33EC"/>
    <w:rsid w:val="00EB2CD1"/>
    <w:rsid w:val="00EB3E1B"/>
    <w:rsid w:val="00EB6AED"/>
    <w:rsid w:val="00EC1ECD"/>
    <w:rsid w:val="00EC3A65"/>
    <w:rsid w:val="00EC61BE"/>
    <w:rsid w:val="00EC7EA9"/>
    <w:rsid w:val="00ED4AD1"/>
    <w:rsid w:val="00ED6B1F"/>
    <w:rsid w:val="00ED764E"/>
    <w:rsid w:val="00EE4B43"/>
    <w:rsid w:val="00EF2479"/>
    <w:rsid w:val="00EF60DB"/>
    <w:rsid w:val="00EF6382"/>
    <w:rsid w:val="00F00BE6"/>
    <w:rsid w:val="00F02229"/>
    <w:rsid w:val="00F1483A"/>
    <w:rsid w:val="00F16C58"/>
    <w:rsid w:val="00F21CF5"/>
    <w:rsid w:val="00F306F5"/>
    <w:rsid w:val="00F30D40"/>
    <w:rsid w:val="00F3453F"/>
    <w:rsid w:val="00F41244"/>
    <w:rsid w:val="00F41B38"/>
    <w:rsid w:val="00F41CCB"/>
    <w:rsid w:val="00F42263"/>
    <w:rsid w:val="00F43633"/>
    <w:rsid w:val="00F4412E"/>
    <w:rsid w:val="00F44419"/>
    <w:rsid w:val="00F47E6C"/>
    <w:rsid w:val="00F5154F"/>
    <w:rsid w:val="00F52DF1"/>
    <w:rsid w:val="00F61BE4"/>
    <w:rsid w:val="00F6495A"/>
    <w:rsid w:val="00F7087A"/>
    <w:rsid w:val="00F71FC3"/>
    <w:rsid w:val="00F770ED"/>
    <w:rsid w:val="00F84B3C"/>
    <w:rsid w:val="00F877EF"/>
    <w:rsid w:val="00F92606"/>
    <w:rsid w:val="00F93EBB"/>
    <w:rsid w:val="00F95AB1"/>
    <w:rsid w:val="00FA221E"/>
    <w:rsid w:val="00FA2A2B"/>
    <w:rsid w:val="00FA478C"/>
    <w:rsid w:val="00FA7199"/>
    <w:rsid w:val="00FA77AC"/>
    <w:rsid w:val="00FB03C0"/>
    <w:rsid w:val="00FB336E"/>
    <w:rsid w:val="00FB38E6"/>
    <w:rsid w:val="00FB5556"/>
    <w:rsid w:val="00FB6BD0"/>
    <w:rsid w:val="00FB72CF"/>
    <w:rsid w:val="00FC3389"/>
    <w:rsid w:val="00FC3E73"/>
    <w:rsid w:val="00FD73F5"/>
    <w:rsid w:val="00FE25E8"/>
    <w:rsid w:val="00FE2AAE"/>
    <w:rsid w:val="00FE6D6B"/>
    <w:rsid w:val="00FE7EB1"/>
    <w:rsid w:val="00FF509E"/>
    <w:rsid w:val="00FF654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D04"/>
    <w:rPr>
      <w:rFonts w:ascii="Calibri" w:hAnsi="Calibri"/>
      <w:sz w:val="24"/>
      <w:lang w:eastAsia="en-US"/>
    </w:rPr>
  </w:style>
  <w:style w:type="paragraph" w:styleId="Heading1">
    <w:name w:val="heading 1"/>
    <w:basedOn w:val="Normal"/>
    <w:next w:val="BodyText"/>
    <w:link w:val="Heading1Char"/>
    <w:qFormat/>
    <w:rsid w:val="00972D04"/>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972D04"/>
    <w:pPr>
      <w:keepNext/>
      <w:spacing w:before="60" w:after="60"/>
      <w:jc w:val="center"/>
      <w:outlineLvl w:val="1"/>
    </w:pPr>
    <w:rPr>
      <w:b/>
      <w:snapToGrid w:val="0"/>
      <w:sz w:val="20"/>
    </w:rPr>
  </w:style>
  <w:style w:type="paragraph" w:styleId="Heading3">
    <w:name w:val="heading 3"/>
    <w:basedOn w:val="Normal"/>
    <w:next w:val="BodyText"/>
    <w:link w:val="Heading3Char"/>
    <w:qFormat/>
    <w:rsid w:val="00972D04"/>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972D04"/>
    <w:pPr>
      <w:keepNext/>
      <w:keepLines/>
      <w:spacing w:before="240" w:after="120"/>
      <w:outlineLvl w:val="3"/>
    </w:pPr>
    <w:rPr>
      <w:i/>
    </w:rPr>
  </w:style>
  <w:style w:type="paragraph" w:styleId="Heading5">
    <w:name w:val="heading 5"/>
    <w:basedOn w:val="Normal"/>
    <w:next w:val="Normal"/>
    <w:link w:val="Heading5Char"/>
    <w:autoRedefine/>
    <w:qFormat/>
    <w:rsid w:val="00972D04"/>
    <w:pPr>
      <w:keepNext/>
      <w:numPr>
        <w:ilvl w:val="4"/>
        <w:numId w:val="30"/>
      </w:numPr>
      <w:outlineLvl w:val="4"/>
    </w:pPr>
    <w:rPr>
      <w:b/>
      <w:i/>
      <w:sz w:val="20"/>
    </w:rPr>
  </w:style>
  <w:style w:type="paragraph" w:styleId="Heading6">
    <w:name w:val="heading 6"/>
    <w:basedOn w:val="Normal"/>
    <w:next w:val="Normal"/>
    <w:link w:val="Heading6Char"/>
    <w:qFormat/>
    <w:rsid w:val="00972D04"/>
    <w:pPr>
      <w:keepNext/>
      <w:jc w:val="right"/>
      <w:outlineLvl w:val="5"/>
    </w:pPr>
    <w:rPr>
      <w:b/>
      <w:sz w:val="20"/>
    </w:rPr>
  </w:style>
  <w:style w:type="paragraph" w:styleId="Heading7">
    <w:name w:val="heading 7"/>
    <w:basedOn w:val="Normal"/>
    <w:next w:val="Normal"/>
    <w:link w:val="Heading7Char"/>
    <w:qFormat/>
    <w:rsid w:val="00972D04"/>
    <w:pPr>
      <w:keepNext/>
      <w:ind w:left="159" w:hanging="159"/>
      <w:outlineLvl w:val="6"/>
    </w:pPr>
    <w:rPr>
      <w:b/>
      <w:sz w:val="20"/>
    </w:rPr>
  </w:style>
  <w:style w:type="paragraph" w:styleId="Heading8">
    <w:name w:val="heading 8"/>
    <w:basedOn w:val="Normal"/>
    <w:next w:val="Normal"/>
    <w:link w:val="Heading8Char"/>
    <w:qFormat/>
    <w:rsid w:val="00972D04"/>
    <w:pPr>
      <w:keepNext/>
      <w:numPr>
        <w:ilvl w:val="7"/>
        <w:numId w:val="30"/>
      </w:numPr>
      <w:outlineLvl w:val="7"/>
    </w:pPr>
    <w:rPr>
      <w:rFonts w:ascii="Arial" w:hAnsi="Arial"/>
      <w:b/>
      <w:snapToGrid w:val="0"/>
      <w:color w:val="000000"/>
      <w:sz w:val="20"/>
    </w:rPr>
  </w:style>
  <w:style w:type="paragraph" w:styleId="Heading9">
    <w:name w:val="heading 9"/>
    <w:basedOn w:val="Normal"/>
    <w:next w:val="Normal"/>
    <w:link w:val="Heading9Char"/>
    <w:qFormat/>
    <w:rsid w:val="00972D04"/>
    <w:pPr>
      <w:keepNext/>
      <w:numPr>
        <w:ilvl w:val="8"/>
        <w:numId w:val="30"/>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Centre">
    <w:name w:val="Table Heading Centre"/>
    <w:basedOn w:val="Normal"/>
    <w:rsid w:val="00972D04"/>
    <w:pPr>
      <w:keepNext/>
      <w:jc w:val="center"/>
    </w:pPr>
    <w:rPr>
      <w:b/>
      <w:sz w:val="20"/>
    </w:rPr>
  </w:style>
  <w:style w:type="character" w:customStyle="1" w:styleId="Heading3Char1">
    <w:name w:val="Heading 3 Char1"/>
    <w:basedOn w:val="DefaultParagraphFont"/>
    <w:link w:val="Heading3"/>
    <w:rsid w:val="00DB1266"/>
    <w:rPr>
      <w:rFonts w:ascii="Arial" w:hAnsi="Arial" w:cs="Arial"/>
      <w:b/>
      <w:bCs/>
      <w:sz w:val="24"/>
      <w:szCs w:val="26"/>
      <w:lang w:val="en-AU" w:eastAsia="en-US" w:bidi="ar-SA"/>
    </w:rPr>
  </w:style>
  <w:style w:type="paragraph" w:styleId="BodyText">
    <w:name w:val="Body Text"/>
    <w:basedOn w:val="Normal"/>
    <w:link w:val="BodyTextChar"/>
    <w:rsid w:val="00972D04"/>
    <w:pPr>
      <w:keepNext/>
      <w:keepLines/>
      <w:spacing w:before="120" w:after="120"/>
      <w:jc w:val="both"/>
    </w:pPr>
  </w:style>
  <w:style w:type="paragraph" w:styleId="BodyTextIndent">
    <w:name w:val="Body Text Indent"/>
    <w:basedOn w:val="Normal"/>
    <w:next w:val="BodyText"/>
    <w:link w:val="BodyTextIndentChar"/>
    <w:rsid w:val="00972D04"/>
    <w:pPr>
      <w:keepNext/>
      <w:keepLines/>
      <w:numPr>
        <w:numId w:val="1"/>
      </w:numPr>
      <w:spacing w:after="120"/>
      <w:jc w:val="both"/>
    </w:pPr>
    <w:rPr>
      <w:szCs w:val="24"/>
    </w:rPr>
  </w:style>
  <w:style w:type="paragraph" w:styleId="BodyTextIndent2">
    <w:name w:val="Body Text Indent 2"/>
    <w:basedOn w:val="Normal"/>
    <w:link w:val="BodyTextIndent2Char"/>
    <w:uiPriority w:val="99"/>
    <w:rsid w:val="00972D04"/>
    <w:pPr>
      <w:keepNext/>
      <w:keepLines/>
      <w:numPr>
        <w:numId w:val="27"/>
      </w:numPr>
      <w:spacing w:after="120"/>
      <w:jc w:val="both"/>
    </w:pPr>
  </w:style>
  <w:style w:type="paragraph" w:styleId="BodyTextIndent3">
    <w:name w:val="Body Text Indent 3"/>
    <w:basedOn w:val="Normal"/>
    <w:link w:val="BodyTextIndent3Char"/>
    <w:rsid w:val="00972D04"/>
    <w:pPr>
      <w:keepNext/>
      <w:keepLines/>
      <w:numPr>
        <w:numId w:val="28"/>
      </w:numPr>
      <w:tabs>
        <w:tab w:val="left" w:pos="1134"/>
      </w:tabs>
      <w:spacing w:after="120"/>
      <w:jc w:val="both"/>
    </w:pPr>
    <w:rPr>
      <w:szCs w:val="24"/>
    </w:rPr>
  </w:style>
  <w:style w:type="paragraph" w:customStyle="1" w:styleId="BodyTextIndent4">
    <w:name w:val="Body Text Indent 4"/>
    <w:basedOn w:val="BodyText"/>
    <w:next w:val="BodyText"/>
    <w:rsid w:val="00972D04"/>
    <w:pPr>
      <w:numPr>
        <w:numId w:val="29"/>
      </w:numPr>
      <w:spacing w:before="0"/>
    </w:pPr>
  </w:style>
  <w:style w:type="paragraph" w:customStyle="1" w:styleId="SIHeading1">
    <w:name w:val="SI Heading 1"/>
    <w:basedOn w:val="Normal"/>
    <w:next w:val="BodyText"/>
    <w:rsid w:val="00972D04"/>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972D04"/>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972D04"/>
    <w:pPr>
      <w:numPr>
        <w:numId w:val="42"/>
      </w:numPr>
      <w:spacing w:before="60"/>
    </w:pPr>
    <w:rPr>
      <w:kern w:val="16"/>
      <w:sz w:val="20"/>
      <w:szCs w:val="24"/>
    </w:rPr>
  </w:style>
  <w:style w:type="paragraph" w:customStyle="1" w:styleId="TableTextRightBold">
    <w:name w:val="Table Text Right Bold"/>
    <w:basedOn w:val="Normal"/>
    <w:rsid w:val="00972D04"/>
    <w:pPr>
      <w:ind w:left="357" w:hanging="357"/>
      <w:jc w:val="right"/>
    </w:pPr>
    <w:rPr>
      <w:b/>
      <w:sz w:val="20"/>
    </w:rPr>
  </w:style>
  <w:style w:type="paragraph" w:customStyle="1" w:styleId="TableHeadingRight">
    <w:name w:val="Table Heading Right"/>
    <w:basedOn w:val="Normal"/>
    <w:rsid w:val="00972D04"/>
    <w:pPr>
      <w:keepNext/>
      <w:jc w:val="right"/>
    </w:pPr>
    <w:rPr>
      <w:b/>
      <w:sz w:val="20"/>
      <w:szCs w:val="24"/>
    </w:rPr>
  </w:style>
  <w:style w:type="paragraph" w:customStyle="1" w:styleId="NoteText">
    <w:name w:val="Note Text"/>
    <w:basedOn w:val="Normal"/>
    <w:rsid w:val="00972D04"/>
    <w:pPr>
      <w:jc w:val="both"/>
    </w:pPr>
    <w:rPr>
      <w:iCs/>
      <w:sz w:val="16"/>
    </w:rPr>
  </w:style>
  <w:style w:type="paragraph" w:styleId="Header">
    <w:name w:val="header"/>
    <w:basedOn w:val="Normal"/>
    <w:link w:val="HeaderChar"/>
    <w:semiHidden/>
    <w:rsid w:val="00972D04"/>
    <w:pPr>
      <w:tabs>
        <w:tab w:val="center" w:pos="4153"/>
        <w:tab w:val="right" w:pos="8306"/>
      </w:tabs>
    </w:pPr>
  </w:style>
  <w:style w:type="paragraph" w:customStyle="1" w:styleId="Noteheading">
    <w:name w:val="Note heading"/>
    <w:basedOn w:val="Normal"/>
    <w:autoRedefine/>
    <w:semiHidden/>
    <w:rsid w:val="00972D04"/>
    <w:pPr>
      <w:spacing w:before="120"/>
      <w:ind w:left="28"/>
    </w:pPr>
    <w:rPr>
      <w:b/>
      <w:bCs/>
      <w:sz w:val="20"/>
    </w:rPr>
  </w:style>
  <w:style w:type="character" w:customStyle="1" w:styleId="BodyTextIndentChar">
    <w:name w:val="Body Text Indent Char"/>
    <w:basedOn w:val="DefaultParagraphFont"/>
    <w:link w:val="BodyTextIndent"/>
    <w:rsid w:val="00DB1266"/>
    <w:rPr>
      <w:rFonts w:ascii="Calibri" w:hAnsi="Calibri"/>
      <w:sz w:val="24"/>
      <w:szCs w:val="24"/>
      <w:lang w:eastAsia="en-US"/>
    </w:rPr>
  </w:style>
  <w:style w:type="paragraph" w:customStyle="1" w:styleId="TableHeadingLeft">
    <w:name w:val="Table Heading Left"/>
    <w:basedOn w:val="Normal"/>
    <w:link w:val="TableHeadingLeftChar"/>
    <w:rsid w:val="00972D04"/>
    <w:pPr>
      <w:keepNext/>
    </w:pPr>
    <w:rPr>
      <w:b/>
      <w:sz w:val="20"/>
      <w:lang w:eastAsia="en-AU"/>
    </w:rPr>
  </w:style>
  <w:style w:type="paragraph" w:customStyle="1" w:styleId="TableTextRight">
    <w:name w:val="Table Text Right"/>
    <w:basedOn w:val="Normal"/>
    <w:rsid w:val="00972D04"/>
    <w:pPr>
      <w:ind w:left="357" w:hanging="357"/>
      <w:jc w:val="right"/>
    </w:pPr>
    <w:rPr>
      <w:sz w:val="20"/>
    </w:rPr>
  </w:style>
  <w:style w:type="paragraph" w:customStyle="1" w:styleId="TableTextLeftBold">
    <w:name w:val="Table Text Left Bold"/>
    <w:basedOn w:val="Normal"/>
    <w:link w:val="TableTextLeftBoldChar"/>
    <w:rsid w:val="00972D04"/>
    <w:pPr>
      <w:ind w:left="357" w:hanging="357"/>
    </w:pPr>
    <w:rPr>
      <w:b/>
      <w:sz w:val="20"/>
    </w:rPr>
  </w:style>
  <w:style w:type="paragraph" w:customStyle="1" w:styleId="TableTextLeft">
    <w:name w:val="Table Text Left"/>
    <w:basedOn w:val="Normal"/>
    <w:rsid w:val="00972D04"/>
    <w:pPr>
      <w:ind w:left="357" w:hanging="357"/>
    </w:pPr>
    <w:rPr>
      <w:sz w:val="20"/>
      <w:szCs w:val="18"/>
    </w:rPr>
  </w:style>
  <w:style w:type="paragraph" w:customStyle="1" w:styleId="TableNumbersRight">
    <w:name w:val="Table Numbers Right"/>
    <w:basedOn w:val="TableHeadingRight"/>
    <w:rsid w:val="00972D04"/>
    <w:rPr>
      <w:b w:val="0"/>
    </w:rPr>
  </w:style>
  <w:style w:type="character" w:customStyle="1" w:styleId="TableHeadingLeftChar">
    <w:name w:val="Table Heading Left Char"/>
    <w:basedOn w:val="DefaultParagraphFont"/>
    <w:link w:val="TableHeadingLeft"/>
    <w:rsid w:val="00DB1266"/>
    <w:rPr>
      <w:rFonts w:ascii="Calibri" w:hAnsi="Calibri"/>
      <w:b/>
    </w:rPr>
  </w:style>
  <w:style w:type="paragraph" w:customStyle="1" w:styleId="FooterBP">
    <w:name w:val="Footer BP"/>
    <w:basedOn w:val="Normal"/>
    <w:next w:val="Normal"/>
    <w:rsid w:val="00972D04"/>
    <w:pPr>
      <w:pBdr>
        <w:top w:val="single" w:sz="4" w:space="1" w:color="auto"/>
      </w:pBdr>
      <w:tabs>
        <w:tab w:val="center" w:pos="4536"/>
        <w:tab w:val="right" w:pos="9356"/>
      </w:tabs>
      <w:ind w:left="-284" w:right="-329"/>
    </w:pPr>
    <w:rPr>
      <w:i/>
      <w:sz w:val="20"/>
    </w:rPr>
  </w:style>
  <w:style w:type="paragraph" w:styleId="Footer">
    <w:name w:val="footer"/>
    <w:basedOn w:val="Normal"/>
    <w:link w:val="FooterChar"/>
    <w:semiHidden/>
    <w:rsid w:val="00972D04"/>
    <w:pPr>
      <w:tabs>
        <w:tab w:val="center" w:pos="4153"/>
        <w:tab w:val="right" w:pos="8306"/>
      </w:tabs>
    </w:pPr>
  </w:style>
  <w:style w:type="character" w:customStyle="1" w:styleId="TableTextLeftBoldChar">
    <w:name w:val="Table Text Left Bold Char"/>
    <w:basedOn w:val="DefaultParagraphFont"/>
    <w:link w:val="TableTextLeftBold"/>
    <w:rsid w:val="00DB1266"/>
    <w:rPr>
      <w:rFonts w:ascii="Calibri" w:hAnsi="Calibri"/>
      <w:b/>
      <w:lang w:eastAsia="en-US"/>
    </w:rPr>
  </w:style>
  <w:style w:type="paragraph" w:customStyle="1" w:styleId="Heading3TopofPage">
    <w:name w:val="Heading 3 Top of Page"/>
    <w:basedOn w:val="Heading3"/>
    <w:next w:val="BodyText"/>
    <w:link w:val="Heading3TopofPageChar"/>
    <w:rsid w:val="00972D04"/>
    <w:pPr>
      <w:spacing w:before="0"/>
    </w:pPr>
    <w:rPr>
      <w:rFonts w:cs="Times New Roman"/>
      <w:lang w:eastAsia="en-AU"/>
    </w:rPr>
  </w:style>
  <w:style w:type="paragraph" w:customStyle="1" w:styleId="Heading3Centred">
    <w:name w:val="Heading 3 Centred"/>
    <w:basedOn w:val="Heading3"/>
    <w:next w:val="BodyText"/>
    <w:rsid w:val="00972D04"/>
    <w:pPr>
      <w:spacing w:before="0"/>
      <w:jc w:val="center"/>
    </w:pPr>
    <w:rPr>
      <w:rFonts w:cs="Times New Roman"/>
      <w:lang w:eastAsia="en-AU"/>
    </w:rPr>
  </w:style>
  <w:style w:type="numbering" w:styleId="ArticleSection">
    <w:name w:val="Outline List 3"/>
    <w:basedOn w:val="NoList"/>
    <w:semiHidden/>
    <w:rsid w:val="00972D04"/>
    <w:pPr>
      <w:numPr>
        <w:numId w:val="25"/>
      </w:numPr>
    </w:pPr>
  </w:style>
  <w:style w:type="paragraph" w:styleId="BodyText2">
    <w:name w:val="Body Text 2"/>
    <w:basedOn w:val="Normal"/>
    <w:link w:val="BodyText2Char"/>
    <w:semiHidden/>
    <w:rsid w:val="00972D04"/>
    <w:pPr>
      <w:spacing w:after="120" w:line="480" w:lineRule="auto"/>
    </w:pPr>
  </w:style>
  <w:style w:type="paragraph" w:customStyle="1" w:styleId="SinglePara">
    <w:name w:val="Single Para"/>
    <w:basedOn w:val="Normal"/>
    <w:semiHidden/>
    <w:rsid w:val="00972D04"/>
  </w:style>
  <w:style w:type="paragraph" w:customStyle="1" w:styleId="xl25">
    <w:name w:val="xl25"/>
    <w:basedOn w:val="Normal"/>
    <w:semiHidden/>
    <w:rsid w:val="00972D04"/>
    <w:pPr>
      <w:spacing w:before="100" w:beforeAutospacing="1" w:after="100" w:afterAutospacing="1"/>
    </w:pPr>
    <w:rPr>
      <w:rFonts w:eastAsia="Arial Unicode MS"/>
      <w:sz w:val="18"/>
      <w:szCs w:val="18"/>
    </w:rPr>
  </w:style>
  <w:style w:type="paragraph" w:styleId="PlainText">
    <w:name w:val="Plain Text"/>
    <w:basedOn w:val="Normal"/>
    <w:link w:val="PlainTextChar"/>
    <w:semiHidden/>
    <w:rsid w:val="00972D04"/>
    <w:rPr>
      <w:sz w:val="20"/>
      <w:lang w:val="en-US"/>
    </w:rPr>
  </w:style>
  <w:style w:type="paragraph" w:styleId="BalloonText">
    <w:name w:val="Balloon Text"/>
    <w:basedOn w:val="Normal"/>
    <w:link w:val="BalloonTextChar"/>
    <w:semiHidden/>
    <w:rsid w:val="00972D04"/>
    <w:rPr>
      <w:rFonts w:ascii="Tahoma" w:hAnsi="Tahoma" w:cs="Tahoma"/>
      <w:sz w:val="16"/>
      <w:szCs w:val="16"/>
    </w:rPr>
  </w:style>
  <w:style w:type="paragraph" w:customStyle="1" w:styleId="Sub-Heading">
    <w:name w:val="Sub-Heading"/>
    <w:basedOn w:val="Normal"/>
    <w:next w:val="BodyText"/>
    <w:rsid w:val="00972D04"/>
    <w:pPr>
      <w:keepNext/>
      <w:spacing w:before="240" w:after="120"/>
      <w:outlineLvl w:val="0"/>
    </w:pPr>
    <w:rPr>
      <w:rFonts w:ascii="Arial" w:hAnsi="Arial"/>
      <w:i/>
    </w:rPr>
  </w:style>
  <w:style w:type="paragraph" w:customStyle="1" w:styleId="Sub-Heading2">
    <w:name w:val="Sub-Heading 2"/>
    <w:basedOn w:val="BodyText"/>
    <w:semiHidden/>
    <w:rsid w:val="00972D04"/>
    <w:rPr>
      <w:i/>
    </w:rPr>
  </w:style>
  <w:style w:type="paragraph" w:customStyle="1" w:styleId="TableName">
    <w:name w:val="Table Name"/>
    <w:basedOn w:val="Normal"/>
    <w:rsid w:val="00972D04"/>
    <w:pPr>
      <w:keepNext/>
      <w:keepLines/>
      <w:spacing w:after="120"/>
      <w:jc w:val="center"/>
    </w:pPr>
    <w:rPr>
      <w:rFonts w:ascii="Arial" w:hAnsi="Arial"/>
      <w:b/>
      <w:sz w:val="20"/>
    </w:rPr>
  </w:style>
  <w:style w:type="paragraph" w:customStyle="1" w:styleId="AIblurb0">
    <w:name w:val="AI blurb"/>
    <w:basedOn w:val="Normal"/>
    <w:rsid w:val="00972D04"/>
    <w:pPr>
      <w:spacing w:before="120" w:after="240"/>
      <w:ind w:left="380"/>
      <w:jc w:val="both"/>
    </w:pPr>
    <w:rPr>
      <w:sz w:val="20"/>
    </w:rPr>
  </w:style>
  <w:style w:type="paragraph" w:styleId="BodyText3">
    <w:name w:val="Body Text 3"/>
    <w:basedOn w:val="Normal"/>
    <w:link w:val="BodyText3Char"/>
    <w:semiHidden/>
    <w:rsid w:val="00972D04"/>
    <w:pPr>
      <w:spacing w:after="120"/>
    </w:pPr>
    <w:rPr>
      <w:sz w:val="16"/>
      <w:szCs w:val="16"/>
    </w:rPr>
  </w:style>
  <w:style w:type="paragraph" w:customStyle="1" w:styleId="AINotes">
    <w:name w:val="AI Notes"/>
    <w:basedOn w:val="Normal"/>
    <w:link w:val="AINotesChar"/>
    <w:rsid w:val="00972D04"/>
    <w:pPr>
      <w:numPr>
        <w:numId w:val="24"/>
      </w:numPr>
      <w:jc w:val="both"/>
    </w:pPr>
    <w:rPr>
      <w:sz w:val="16"/>
    </w:rPr>
  </w:style>
  <w:style w:type="paragraph" w:customStyle="1" w:styleId="n">
    <w:name w:val="n"/>
    <w:basedOn w:val="Normal"/>
    <w:semiHidden/>
    <w:rsid w:val="00972D04"/>
    <w:pPr>
      <w:jc w:val="both"/>
    </w:pPr>
    <w:rPr>
      <w:sz w:val="16"/>
      <w:szCs w:val="24"/>
    </w:rPr>
  </w:style>
  <w:style w:type="paragraph" w:customStyle="1" w:styleId="Notes">
    <w:name w:val="Notes"/>
    <w:basedOn w:val="Normal"/>
    <w:rsid w:val="00972D04"/>
    <w:pPr>
      <w:spacing w:before="120"/>
      <w:ind w:left="28"/>
    </w:pPr>
    <w:rPr>
      <w:b/>
      <w:sz w:val="20"/>
      <w:szCs w:val="24"/>
    </w:rPr>
  </w:style>
  <w:style w:type="numbering" w:styleId="1ai">
    <w:name w:val="Outline List 1"/>
    <w:basedOn w:val="NoList"/>
    <w:semiHidden/>
    <w:rsid w:val="00972D04"/>
    <w:pPr>
      <w:numPr>
        <w:numId w:val="23"/>
      </w:numPr>
    </w:pPr>
  </w:style>
  <w:style w:type="numbering" w:styleId="111111">
    <w:name w:val="Outline List 2"/>
    <w:basedOn w:val="NoList"/>
    <w:semiHidden/>
    <w:rsid w:val="00972D04"/>
    <w:pPr>
      <w:numPr>
        <w:numId w:val="22"/>
      </w:numPr>
    </w:pPr>
  </w:style>
  <w:style w:type="paragraph" w:styleId="BlockText">
    <w:name w:val="Block Text"/>
    <w:basedOn w:val="Normal"/>
    <w:semiHidden/>
    <w:rsid w:val="00972D04"/>
    <w:pPr>
      <w:spacing w:after="120"/>
      <w:ind w:left="1440" w:right="1440"/>
    </w:pPr>
  </w:style>
  <w:style w:type="paragraph" w:styleId="BodyTextFirstIndent">
    <w:name w:val="Body Text First Indent"/>
    <w:basedOn w:val="BodyText"/>
    <w:semiHidden/>
    <w:rsid w:val="00972D04"/>
    <w:pPr>
      <w:spacing w:before="0"/>
      <w:ind w:firstLine="210"/>
      <w:jc w:val="left"/>
    </w:pPr>
  </w:style>
  <w:style w:type="paragraph" w:styleId="BodyTextFirstIndent2">
    <w:name w:val="Body Text First Indent 2"/>
    <w:basedOn w:val="BodyTextIndent"/>
    <w:semiHidden/>
    <w:rsid w:val="00972D04"/>
    <w:pPr>
      <w:numPr>
        <w:numId w:val="0"/>
      </w:numPr>
      <w:ind w:left="283" w:firstLine="210"/>
      <w:jc w:val="left"/>
    </w:pPr>
  </w:style>
  <w:style w:type="paragraph" w:styleId="Closing">
    <w:name w:val="Closing"/>
    <w:basedOn w:val="Normal"/>
    <w:semiHidden/>
    <w:rsid w:val="00972D04"/>
    <w:pPr>
      <w:ind w:left="4252"/>
    </w:pPr>
  </w:style>
  <w:style w:type="paragraph" w:styleId="Date">
    <w:name w:val="Date"/>
    <w:basedOn w:val="Normal"/>
    <w:next w:val="Normal"/>
    <w:semiHidden/>
    <w:rsid w:val="00972D04"/>
  </w:style>
  <w:style w:type="paragraph" w:styleId="E-mailSignature">
    <w:name w:val="E-mail Signature"/>
    <w:basedOn w:val="Normal"/>
    <w:semiHidden/>
    <w:rsid w:val="00972D04"/>
  </w:style>
  <w:style w:type="character" w:styleId="Emphasis">
    <w:name w:val="Emphasis"/>
    <w:basedOn w:val="DefaultParagraphFont"/>
    <w:qFormat/>
    <w:rsid w:val="00972D04"/>
    <w:rPr>
      <w:rFonts w:ascii="Calibri" w:hAnsi="Calibri"/>
      <w:i/>
      <w:iCs/>
    </w:rPr>
  </w:style>
  <w:style w:type="paragraph" w:styleId="EnvelopeAddress">
    <w:name w:val="envelope address"/>
    <w:basedOn w:val="Normal"/>
    <w:semiHidden/>
    <w:rsid w:val="00972D04"/>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972D04"/>
    <w:rPr>
      <w:rFonts w:ascii="Arial" w:hAnsi="Arial" w:cs="Arial"/>
      <w:sz w:val="20"/>
    </w:rPr>
  </w:style>
  <w:style w:type="character" w:styleId="FollowedHyperlink">
    <w:name w:val="FollowedHyperlink"/>
    <w:basedOn w:val="DefaultParagraphFont"/>
    <w:uiPriority w:val="99"/>
    <w:semiHidden/>
    <w:rsid w:val="00972D04"/>
    <w:rPr>
      <w:color w:val="800080"/>
      <w:u w:val="single"/>
    </w:rPr>
  </w:style>
  <w:style w:type="character" w:styleId="HTMLAcronym">
    <w:name w:val="HTML Acronym"/>
    <w:basedOn w:val="DefaultParagraphFont"/>
    <w:semiHidden/>
    <w:rsid w:val="00972D04"/>
  </w:style>
  <w:style w:type="paragraph" w:styleId="HTMLAddress">
    <w:name w:val="HTML Address"/>
    <w:basedOn w:val="Normal"/>
    <w:semiHidden/>
    <w:rsid w:val="00972D04"/>
    <w:rPr>
      <w:i/>
      <w:iCs/>
    </w:rPr>
  </w:style>
  <w:style w:type="character" w:styleId="HTMLCite">
    <w:name w:val="HTML Cite"/>
    <w:basedOn w:val="DefaultParagraphFont"/>
    <w:semiHidden/>
    <w:rsid w:val="00972D04"/>
    <w:rPr>
      <w:i/>
      <w:iCs/>
    </w:rPr>
  </w:style>
  <w:style w:type="character" w:styleId="HTMLCode">
    <w:name w:val="HTML Code"/>
    <w:basedOn w:val="DefaultParagraphFont"/>
    <w:semiHidden/>
    <w:rsid w:val="00972D04"/>
    <w:rPr>
      <w:rFonts w:ascii="Courier New" w:hAnsi="Courier New" w:cs="Courier New"/>
      <w:sz w:val="20"/>
      <w:szCs w:val="20"/>
    </w:rPr>
  </w:style>
  <w:style w:type="character" w:styleId="HTMLDefinition">
    <w:name w:val="HTML Definition"/>
    <w:basedOn w:val="DefaultParagraphFont"/>
    <w:semiHidden/>
    <w:rsid w:val="00972D04"/>
    <w:rPr>
      <w:i/>
      <w:iCs/>
    </w:rPr>
  </w:style>
  <w:style w:type="character" w:styleId="HTMLKeyboard">
    <w:name w:val="HTML Keyboard"/>
    <w:basedOn w:val="DefaultParagraphFont"/>
    <w:semiHidden/>
    <w:rsid w:val="00972D04"/>
    <w:rPr>
      <w:rFonts w:ascii="Courier New" w:hAnsi="Courier New" w:cs="Courier New"/>
      <w:sz w:val="20"/>
      <w:szCs w:val="20"/>
    </w:rPr>
  </w:style>
  <w:style w:type="paragraph" w:styleId="HTMLPreformatted">
    <w:name w:val="HTML Preformatted"/>
    <w:basedOn w:val="Normal"/>
    <w:semiHidden/>
    <w:rsid w:val="00972D04"/>
    <w:rPr>
      <w:rFonts w:ascii="Courier New" w:hAnsi="Courier New" w:cs="Courier New"/>
      <w:sz w:val="20"/>
    </w:rPr>
  </w:style>
  <w:style w:type="character" w:styleId="HTMLSample">
    <w:name w:val="HTML Sample"/>
    <w:basedOn w:val="DefaultParagraphFont"/>
    <w:semiHidden/>
    <w:rsid w:val="00972D04"/>
    <w:rPr>
      <w:rFonts w:ascii="Courier New" w:hAnsi="Courier New" w:cs="Courier New"/>
    </w:rPr>
  </w:style>
  <w:style w:type="character" w:styleId="HTMLTypewriter">
    <w:name w:val="HTML Typewriter"/>
    <w:basedOn w:val="DefaultParagraphFont"/>
    <w:semiHidden/>
    <w:rsid w:val="00972D04"/>
    <w:rPr>
      <w:rFonts w:ascii="Courier New" w:hAnsi="Courier New" w:cs="Courier New"/>
      <w:sz w:val="20"/>
      <w:szCs w:val="20"/>
    </w:rPr>
  </w:style>
  <w:style w:type="character" w:styleId="HTMLVariable">
    <w:name w:val="HTML Variable"/>
    <w:basedOn w:val="DefaultParagraphFont"/>
    <w:semiHidden/>
    <w:rsid w:val="00972D04"/>
    <w:rPr>
      <w:i/>
      <w:iCs/>
    </w:rPr>
  </w:style>
  <w:style w:type="character" w:styleId="Hyperlink">
    <w:name w:val="Hyperlink"/>
    <w:basedOn w:val="DefaultParagraphFont"/>
    <w:uiPriority w:val="99"/>
    <w:semiHidden/>
    <w:rsid w:val="00972D04"/>
    <w:rPr>
      <w:color w:val="0000FF"/>
      <w:u w:val="single"/>
    </w:rPr>
  </w:style>
  <w:style w:type="character" w:styleId="LineNumber">
    <w:name w:val="line number"/>
    <w:basedOn w:val="DefaultParagraphFont"/>
    <w:semiHidden/>
    <w:rsid w:val="00972D04"/>
  </w:style>
  <w:style w:type="paragraph" w:styleId="List">
    <w:name w:val="List"/>
    <w:basedOn w:val="Normal"/>
    <w:semiHidden/>
    <w:rsid w:val="00972D04"/>
    <w:pPr>
      <w:ind w:left="283" w:hanging="283"/>
    </w:pPr>
  </w:style>
  <w:style w:type="paragraph" w:styleId="List2">
    <w:name w:val="List 2"/>
    <w:basedOn w:val="Normal"/>
    <w:semiHidden/>
    <w:rsid w:val="00972D04"/>
    <w:pPr>
      <w:ind w:left="566" w:hanging="283"/>
    </w:pPr>
  </w:style>
  <w:style w:type="paragraph" w:styleId="List3">
    <w:name w:val="List 3"/>
    <w:basedOn w:val="Normal"/>
    <w:semiHidden/>
    <w:rsid w:val="00972D04"/>
    <w:pPr>
      <w:ind w:left="849" w:hanging="283"/>
    </w:pPr>
  </w:style>
  <w:style w:type="paragraph" w:styleId="List4">
    <w:name w:val="List 4"/>
    <w:basedOn w:val="Normal"/>
    <w:semiHidden/>
    <w:rsid w:val="00972D04"/>
    <w:pPr>
      <w:ind w:left="1132" w:hanging="283"/>
    </w:pPr>
  </w:style>
  <w:style w:type="paragraph" w:styleId="List5">
    <w:name w:val="List 5"/>
    <w:basedOn w:val="Normal"/>
    <w:semiHidden/>
    <w:rsid w:val="00972D04"/>
    <w:pPr>
      <w:ind w:left="1415" w:hanging="283"/>
    </w:pPr>
  </w:style>
  <w:style w:type="paragraph" w:styleId="ListBullet">
    <w:name w:val="List Bullet"/>
    <w:basedOn w:val="Normal"/>
    <w:semiHidden/>
    <w:rsid w:val="00972D04"/>
    <w:pPr>
      <w:numPr>
        <w:numId w:val="31"/>
      </w:numPr>
    </w:pPr>
  </w:style>
  <w:style w:type="paragraph" w:styleId="ListBullet2">
    <w:name w:val="List Bullet 2"/>
    <w:basedOn w:val="Normal"/>
    <w:semiHidden/>
    <w:rsid w:val="00972D04"/>
    <w:pPr>
      <w:numPr>
        <w:numId w:val="32"/>
      </w:numPr>
    </w:pPr>
  </w:style>
  <w:style w:type="paragraph" w:styleId="ListBullet3">
    <w:name w:val="List Bullet 3"/>
    <w:basedOn w:val="Normal"/>
    <w:semiHidden/>
    <w:rsid w:val="00972D04"/>
    <w:pPr>
      <w:numPr>
        <w:numId w:val="33"/>
      </w:numPr>
    </w:pPr>
  </w:style>
  <w:style w:type="paragraph" w:styleId="ListBullet4">
    <w:name w:val="List Bullet 4"/>
    <w:basedOn w:val="Normal"/>
    <w:semiHidden/>
    <w:rsid w:val="00972D04"/>
    <w:pPr>
      <w:numPr>
        <w:numId w:val="34"/>
      </w:numPr>
    </w:pPr>
  </w:style>
  <w:style w:type="paragraph" w:styleId="ListBullet5">
    <w:name w:val="List Bullet 5"/>
    <w:basedOn w:val="Normal"/>
    <w:semiHidden/>
    <w:rsid w:val="00972D04"/>
    <w:pPr>
      <w:numPr>
        <w:numId w:val="35"/>
      </w:numPr>
    </w:pPr>
  </w:style>
  <w:style w:type="paragraph" w:styleId="ListContinue">
    <w:name w:val="List Continue"/>
    <w:basedOn w:val="Normal"/>
    <w:semiHidden/>
    <w:rsid w:val="00972D04"/>
    <w:pPr>
      <w:spacing w:after="120"/>
      <w:ind w:left="283"/>
    </w:pPr>
  </w:style>
  <w:style w:type="paragraph" w:styleId="ListContinue2">
    <w:name w:val="List Continue 2"/>
    <w:basedOn w:val="Normal"/>
    <w:semiHidden/>
    <w:rsid w:val="00972D04"/>
    <w:pPr>
      <w:spacing w:after="120"/>
      <w:ind w:left="566"/>
    </w:pPr>
  </w:style>
  <w:style w:type="paragraph" w:styleId="ListContinue3">
    <w:name w:val="List Continue 3"/>
    <w:basedOn w:val="Normal"/>
    <w:semiHidden/>
    <w:rsid w:val="00972D04"/>
    <w:pPr>
      <w:spacing w:after="120"/>
      <w:ind w:left="849"/>
    </w:pPr>
  </w:style>
  <w:style w:type="paragraph" w:styleId="ListContinue4">
    <w:name w:val="List Continue 4"/>
    <w:basedOn w:val="Normal"/>
    <w:semiHidden/>
    <w:rsid w:val="00972D04"/>
    <w:pPr>
      <w:spacing w:after="120"/>
      <w:ind w:left="1132"/>
    </w:pPr>
  </w:style>
  <w:style w:type="paragraph" w:styleId="ListContinue5">
    <w:name w:val="List Continue 5"/>
    <w:basedOn w:val="Normal"/>
    <w:semiHidden/>
    <w:rsid w:val="00972D04"/>
    <w:pPr>
      <w:spacing w:after="120"/>
      <w:ind w:left="1415"/>
    </w:pPr>
  </w:style>
  <w:style w:type="paragraph" w:styleId="ListNumber">
    <w:name w:val="List Number"/>
    <w:basedOn w:val="Normal"/>
    <w:semiHidden/>
    <w:rsid w:val="00972D04"/>
    <w:pPr>
      <w:numPr>
        <w:numId w:val="36"/>
      </w:numPr>
    </w:pPr>
  </w:style>
  <w:style w:type="paragraph" w:styleId="ListNumber2">
    <w:name w:val="List Number 2"/>
    <w:basedOn w:val="Normal"/>
    <w:semiHidden/>
    <w:rsid w:val="00972D04"/>
    <w:pPr>
      <w:numPr>
        <w:numId w:val="37"/>
      </w:numPr>
    </w:pPr>
  </w:style>
  <w:style w:type="paragraph" w:styleId="ListNumber3">
    <w:name w:val="List Number 3"/>
    <w:basedOn w:val="Normal"/>
    <w:semiHidden/>
    <w:rsid w:val="00972D04"/>
    <w:pPr>
      <w:numPr>
        <w:numId w:val="38"/>
      </w:numPr>
    </w:pPr>
  </w:style>
  <w:style w:type="paragraph" w:styleId="ListNumber4">
    <w:name w:val="List Number 4"/>
    <w:basedOn w:val="Normal"/>
    <w:semiHidden/>
    <w:rsid w:val="00972D04"/>
    <w:pPr>
      <w:numPr>
        <w:numId w:val="39"/>
      </w:numPr>
    </w:pPr>
  </w:style>
  <w:style w:type="paragraph" w:styleId="ListNumber5">
    <w:name w:val="List Number 5"/>
    <w:basedOn w:val="Normal"/>
    <w:semiHidden/>
    <w:rsid w:val="00972D04"/>
    <w:pPr>
      <w:numPr>
        <w:numId w:val="40"/>
      </w:numPr>
    </w:pPr>
  </w:style>
  <w:style w:type="paragraph" w:styleId="MessageHeader">
    <w:name w:val="Message Header"/>
    <w:basedOn w:val="Normal"/>
    <w:semiHidden/>
    <w:rsid w:val="00972D0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972D04"/>
    <w:rPr>
      <w:szCs w:val="24"/>
    </w:rPr>
  </w:style>
  <w:style w:type="paragraph" w:styleId="NormalIndent">
    <w:name w:val="Normal Indent"/>
    <w:basedOn w:val="Normal"/>
    <w:semiHidden/>
    <w:rsid w:val="00972D04"/>
    <w:pPr>
      <w:ind w:left="720"/>
    </w:pPr>
  </w:style>
  <w:style w:type="character" w:styleId="PageNumber">
    <w:name w:val="page number"/>
    <w:basedOn w:val="DefaultParagraphFont"/>
    <w:semiHidden/>
    <w:rsid w:val="00972D04"/>
  </w:style>
  <w:style w:type="paragraph" w:styleId="Salutation">
    <w:name w:val="Salutation"/>
    <w:basedOn w:val="Normal"/>
    <w:next w:val="Normal"/>
    <w:semiHidden/>
    <w:rsid w:val="00972D04"/>
  </w:style>
  <w:style w:type="paragraph" w:styleId="Signature">
    <w:name w:val="Signature"/>
    <w:basedOn w:val="Normal"/>
    <w:semiHidden/>
    <w:rsid w:val="00972D04"/>
    <w:pPr>
      <w:ind w:left="4252"/>
    </w:pPr>
  </w:style>
  <w:style w:type="character" w:styleId="Strong">
    <w:name w:val="Strong"/>
    <w:basedOn w:val="DefaultParagraphFont"/>
    <w:qFormat/>
    <w:rsid w:val="00972D04"/>
    <w:rPr>
      <w:b/>
      <w:bCs/>
    </w:rPr>
  </w:style>
  <w:style w:type="paragraph" w:styleId="Subtitle">
    <w:name w:val="Subtitle"/>
    <w:basedOn w:val="Normal"/>
    <w:qFormat/>
    <w:rsid w:val="00972D04"/>
    <w:pPr>
      <w:spacing w:after="60"/>
      <w:jc w:val="center"/>
      <w:outlineLvl w:val="1"/>
    </w:pPr>
    <w:rPr>
      <w:rFonts w:ascii="Arial" w:hAnsi="Arial" w:cs="Arial"/>
      <w:szCs w:val="24"/>
    </w:rPr>
  </w:style>
  <w:style w:type="table" w:styleId="Table3Deffects1">
    <w:name w:val="Table 3D effects 1"/>
    <w:basedOn w:val="TableNormal"/>
    <w:semiHidden/>
    <w:rsid w:val="00972D0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72D0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72D0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72D0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72D0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72D0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72D0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72D0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72D0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72D0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72D0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72D0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72D0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72D0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72D0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72D0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72D0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72D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72D0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72D0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72D0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72D0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72D0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72D0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72D0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72D0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72D0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72D0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72D0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72D0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72D0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72D0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72D0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72D0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72D0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72D0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72D0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72D0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72D0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72D0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72D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72D0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72D0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72D0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72D04"/>
    <w:pPr>
      <w:spacing w:before="240" w:after="60"/>
      <w:jc w:val="center"/>
      <w:outlineLvl w:val="0"/>
    </w:pPr>
    <w:rPr>
      <w:rFonts w:ascii="Arial" w:hAnsi="Arial" w:cs="Arial"/>
      <w:b/>
      <w:bCs/>
      <w:kern w:val="28"/>
      <w:sz w:val="32"/>
      <w:szCs w:val="32"/>
    </w:rPr>
  </w:style>
  <w:style w:type="paragraph" w:styleId="NoteHeading0">
    <w:name w:val="Note Heading"/>
    <w:basedOn w:val="Normal"/>
    <w:next w:val="Normal"/>
    <w:rsid w:val="00972D04"/>
    <w:pPr>
      <w:spacing w:before="120"/>
    </w:pPr>
    <w:rPr>
      <w:b/>
      <w:sz w:val="16"/>
    </w:rPr>
  </w:style>
  <w:style w:type="paragraph" w:customStyle="1" w:styleId="TableNumber">
    <w:name w:val="Table Number"/>
    <w:basedOn w:val="TableName"/>
    <w:next w:val="TableName"/>
    <w:rsid w:val="00972D04"/>
    <w:pPr>
      <w:spacing w:before="60" w:after="0"/>
    </w:pPr>
  </w:style>
  <w:style w:type="paragraph" w:customStyle="1" w:styleId="TableTextIndent">
    <w:name w:val="Table Text Indent"/>
    <w:rsid w:val="00972D04"/>
    <w:pPr>
      <w:numPr>
        <w:numId w:val="41"/>
      </w:numPr>
      <w:spacing w:before="60"/>
    </w:pPr>
    <w:rPr>
      <w:rFonts w:ascii="Calibri" w:hAnsi="Calibri"/>
      <w:szCs w:val="24"/>
      <w:lang w:eastAsia="en-US"/>
    </w:rPr>
  </w:style>
  <w:style w:type="character" w:customStyle="1" w:styleId="Heading1Char">
    <w:name w:val="Heading 1 Char"/>
    <w:basedOn w:val="DefaultParagraphFont"/>
    <w:link w:val="Heading1"/>
    <w:locked/>
    <w:rsid w:val="00DB1266"/>
    <w:rPr>
      <w:rFonts w:ascii="Arial" w:hAnsi="Arial"/>
      <w:b/>
      <w:caps/>
      <w:kern w:val="28"/>
      <w:sz w:val="28"/>
      <w:lang w:eastAsia="en-US"/>
    </w:rPr>
  </w:style>
  <w:style w:type="character" w:customStyle="1" w:styleId="Heading2Char1">
    <w:name w:val="Heading 2 Char1"/>
    <w:basedOn w:val="DefaultParagraphFont"/>
    <w:link w:val="Heading2"/>
    <w:semiHidden/>
    <w:locked/>
    <w:rsid w:val="00DB1266"/>
    <w:rPr>
      <w:b/>
      <w:snapToGrid w:val="0"/>
      <w:lang w:val="en-AU" w:eastAsia="en-US" w:bidi="ar-SA"/>
    </w:rPr>
  </w:style>
  <w:style w:type="character" w:customStyle="1" w:styleId="Heading3Char">
    <w:name w:val="Heading 3 Char"/>
    <w:basedOn w:val="DefaultParagraphFont"/>
    <w:link w:val="Heading3"/>
    <w:rsid w:val="00DB1266"/>
    <w:rPr>
      <w:rFonts w:ascii="Arial" w:hAnsi="Arial" w:cs="Arial"/>
      <w:b/>
      <w:bCs/>
      <w:sz w:val="24"/>
      <w:szCs w:val="26"/>
      <w:lang w:eastAsia="en-US"/>
    </w:rPr>
  </w:style>
  <w:style w:type="character" w:customStyle="1" w:styleId="Heading4Char">
    <w:name w:val="Heading 4 Char"/>
    <w:basedOn w:val="DefaultParagraphFont"/>
    <w:link w:val="Heading4"/>
    <w:locked/>
    <w:rsid w:val="00DB1266"/>
    <w:rPr>
      <w:rFonts w:ascii="Calibri" w:hAnsi="Calibri"/>
      <w:i/>
      <w:sz w:val="24"/>
      <w:lang w:eastAsia="en-US"/>
    </w:rPr>
  </w:style>
  <w:style w:type="character" w:customStyle="1" w:styleId="Heading5Char">
    <w:name w:val="Heading 5 Char"/>
    <w:basedOn w:val="DefaultParagraphFont"/>
    <w:link w:val="Heading5"/>
    <w:locked/>
    <w:rsid w:val="00DB1266"/>
    <w:rPr>
      <w:rFonts w:ascii="Calibri" w:hAnsi="Calibri"/>
      <w:b/>
      <w:i/>
      <w:lang w:eastAsia="en-US"/>
    </w:rPr>
  </w:style>
  <w:style w:type="character" w:customStyle="1" w:styleId="Heading6Char">
    <w:name w:val="Heading 6 Char"/>
    <w:basedOn w:val="DefaultParagraphFont"/>
    <w:link w:val="Heading6"/>
    <w:locked/>
    <w:rsid w:val="00DB1266"/>
    <w:rPr>
      <w:rFonts w:ascii="Calibri" w:hAnsi="Calibri"/>
      <w:b/>
      <w:lang w:eastAsia="en-US"/>
    </w:rPr>
  </w:style>
  <w:style w:type="character" w:customStyle="1" w:styleId="Heading7Char">
    <w:name w:val="Heading 7 Char"/>
    <w:basedOn w:val="DefaultParagraphFont"/>
    <w:link w:val="Heading7"/>
    <w:locked/>
    <w:rsid w:val="00DB1266"/>
    <w:rPr>
      <w:rFonts w:ascii="Calibri" w:hAnsi="Calibri"/>
      <w:b/>
      <w:lang w:eastAsia="en-US"/>
    </w:rPr>
  </w:style>
  <w:style w:type="character" w:customStyle="1" w:styleId="Heading8Char">
    <w:name w:val="Heading 8 Char"/>
    <w:basedOn w:val="DefaultParagraphFont"/>
    <w:link w:val="Heading8"/>
    <w:locked/>
    <w:rsid w:val="00DB1266"/>
    <w:rPr>
      <w:rFonts w:ascii="Arial" w:hAnsi="Arial"/>
      <w:b/>
      <w:snapToGrid w:val="0"/>
      <w:color w:val="000000"/>
      <w:lang w:eastAsia="en-US"/>
    </w:rPr>
  </w:style>
  <w:style w:type="character" w:customStyle="1" w:styleId="Heading9Char">
    <w:name w:val="Heading 9 Char"/>
    <w:basedOn w:val="DefaultParagraphFont"/>
    <w:link w:val="Heading9"/>
    <w:locked/>
    <w:rsid w:val="00DB1266"/>
    <w:rPr>
      <w:rFonts w:ascii="Arial" w:hAnsi="Arial" w:cs="Arial"/>
      <w:b/>
      <w:snapToGrid w:val="0"/>
      <w:color w:val="000000"/>
      <w:sz w:val="18"/>
      <w:lang w:eastAsia="en-US"/>
    </w:rPr>
  </w:style>
  <w:style w:type="paragraph" w:customStyle="1" w:styleId="TableHeadingCentre-BP4">
    <w:name w:val="Table Heading Centre - BP4"/>
    <w:basedOn w:val="Normal"/>
    <w:rsid w:val="00972D04"/>
    <w:pPr>
      <w:keepNext/>
      <w:jc w:val="center"/>
    </w:pPr>
    <w:rPr>
      <w:b/>
      <w:sz w:val="18"/>
    </w:rPr>
  </w:style>
  <w:style w:type="character" w:customStyle="1" w:styleId="BodyTextChar">
    <w:name w:val="Body Text Char"/>
    <w:basedOn w:val="DefaultParagraphFont"/>
    <w:link w:val="BodyText"/>
    <w:locked/>
    <w:rsid w:val="00DB1266"/>
    <w:rPr>
      <w:rFonts w:ascii="Calibri" w:hAnsi="Calibri"/>
      <w:sz w:val="24"/>
      <w:lang w:eastAsia="en-US"/>
    </w:rPr>
  </w:style>
  <w:style w:type="character" w:customStyle="1" w:styleId="BodyTextIndent2Char">
    <w:name w:val="Body Text Indent 2 Char"/>
    <w:basedOn w:val="DefaultParagraphFont"/>
    <w:link w:val="BodyTextIndent2"/>
    <w:uiPriority w:val="99"/>
    <w:locked/>
    <w:rsid w:val="00DB1266"/>
    <w:rPr>
      <w:rFonts w:ascii="Calibri" w:hAnsi="Calibri"/>
      <w:sz w:val="24"/>
      <w:lang w:eastAsia="en-US"/>
    </w:rPr>
  </w:style>
  <w:style w:type="character" w:customStyle="1" w:styleId="BodyTextIndent3Char">
    <w:name w:val="Body Text Indent 3 Char"/>
    <w:basedOn w:val="DefaultParagraphFont"/>
    <w:link w:val="BodyTextIndent3"/>
    <w:locked/>
    <w:rsid w:val="00DB1266"/>
    <w:rPr>
      <w:rFonts w:ascii="Calibri" w:hAnsi="Calibri"/>
      <w:sz w:val="24"/>
      <w:szCs w:val="24"/>
      <w:lang w:eastAsia="en-US"/>
    </w:rPr>
  </w:style>
  <w:style w:type="paragraph" w:customStyle="1" w:styleId="TableTextRightBold-BP4">
    <w:name w:val="Table Text Right Bold - BP4"/>
    <w:basedOn w:val="Normal"/>
    <w:rsid w:val="00972D04"/>
    <w:pPr>
      <w:jc w:val="right"/>
    </w:pPr>
    <w:rPr>
      <w:b/>
      <w:sz w:val="18"/>
    </w:rPr>
  </w:style>
  <w:style w:type="paragraph" w:customStyle="1" w:styleId="TableHeadingRight-BP4">
    <w:name w:val="Table Heading Right - BP4"/>
    <w:basedOn w:val="Normal"/>
    <w:rsid w:val="00972D04"/>
    <w:pPr>
      <w:keepNext/>
      <w:jc w:val="right"/>
    </w:pPr>
    <w:rPr>
      <w:b/>
      <w:sz w:val="18"/>
      <w:szCs w:val="24"/>
    </w:rPr>
  </w:style>
  <w:style w:type="character" w:customStyle="1" w:styleId="HeaderChar">
    <w:name w:val="Header Char"/>
    <w:basedOn w:val="DefaultParagraphFont"/>
    <w:link w:val="Header"/>
    <w:semiHidden/>
    <w:locked/>
    <w:rsid w:val="00DB1266"/>
    <w:rPr>
      <w:rFonts w:ascii="Calibri" w:hAnsi="Calibri"/>
      <w:sz w:val="24"/>
      <w:lang w:eastAsia="en-US"/>
    </w:rPr>
  </w:style>
  <w:style w:type="paragraph" w:customStyle="1" w:styleId="TableHeadingLeft-BP4">
    <w:name w:val="Table Heading Left - BP4"/>
    <w:basedOn w:val="Normal"/>
    <w:link w:val="TableHeadingLeft-BP4CharChar"/>
    <w:rsid w:val="00972D04"/>
    <w:pPr>
      <w:keepNext/>
    </w:pPr>
    <w:rPr>
      <w:b/>
      <w:sz w:val="18"/>
      <w:lang w:eastAsia="en-AU"/>
    </w:rPr>
  </w:style>
  <w:style w:type="character" w:customStyle="1" w:styleId="TableHeadingLeft-BP4CharChar">
    <w:name w:val="Table Heading Left - BP4 Char Char"/>
    <w:basedOn w:val="DefaultParagraphFont"/>
    <w:link w:val="TableHeadingLeft-BP4"/>
    <w:rsid w:val="00DB1266"/>
    <w:rPr>
      <w:rFonts w:ascii="Calibri" w:hAnsi="Calibri"/>
      <w:b/>
      <w:sz w:val="18"/>
    </w:rPr>
  </w:style>
  <w:style w:type="paragraph" w:customStyle="1" w:styleId="TableTextRight-BP4">
    <w:name w:val="Table Text Right - BP4"/>
    <w:basedOn w:val="Normal"/>
    <w:link w:val="TableTextRight-BP4Char"/>
    <w:rsid w:val="00972D04"/>
    <w:pPr>
      <w:jc w:val="right"/>
    </w:pPr>
    <w:rPr>
      <w:sz w:val="18"/>
    </w:rPr>
  </w:style>
  <w:style w:type="paragraph" w:customStyle="1" w:styleId="TableTextLeftBold-BP4">
    <w:name w:val="Table Text Left Bold - BP4"/>
    <w:basedOn w:val="Normal"/>
    <w:link w:val="TableTextLeftBold-BP4CharChar"/>
    <w:rsid w:val="00972D04"/>
    <w:pPr>
      <w:ind w:left="142" w:hanging="142"/>
    </w:pPr>
    <w:rPr>
      <w:b/>
      <w:sz w:val="18"/>
    </w:rPr>
  </w:style>
  <w:style w:type="character" w:customStyle="1" w:styleId="TableTextLeftBold-BP4CharChar">
    <w:name w:val="Table Text Left Bold - BP4 Char Char"/>
    <w:basedOn w:val="DefaultParagraphFont"/>
    <w:link w:val="TableTextLeftBold-BP4"/>
    <w:rsid w:val="00DB1266"/>
    <w:rPr>
      <w:rFonts w:ascii="Calibri" w:hAnsi="Calibri"/>
      <w:b/>
      <w:sz w:val="18"/>
      <w:lang w:eastAsia="en-US"/>
    </w:rPr>
  </w:style>
  <w:style w:type="paragraph" w:customStyle="1" w:styleId="TableTextLeft-BP4">
    <w:name w:val="Table Text Left - BP4"/>
    <w:basedOn w:val="Normal"/>
    <w:rsid w:val="00972D04"/>
    <w:pPr>
      <w:ind w:left="142" w:hanging="142"/>
    </w:pPr>
    <w:rPr>
      <w:sz w:val="18"/>
      <w:szCs w:val="18"/>
    </w:rPr>
  </w:style>
  <w:style w:type="paragraph" w:customStyle="1" w:styleId="TableNumbersRight-BP4">
    <w:name w:val="Table Numbers Right - BP4"/>
    <w:basedOn w:val="Normal"/>
    <w:rsid w:val="00972D04"/>
    <w:pPr>
      <w:jc w:val="right"/>
    </w:pPr>
    <w:rPr>
      <w:sz w:val="18"/>
    </w:rPr>
  </w:style>
  <w:style w:type="character" w:customStyle="1" w:styleId="FooterChar">
    <w:name w:val="Footer Char"/>
    <w:basedOn w:val="DefaultParagraphFont"/>
    <w:link w:val="Footer"/>
    <w:semiHidden/>
    <w:locked/>
    <w:rsid w:val="00DB1266"/>
    <w:rPr>
      <w:rFonts w:ascii="Calibri" w:hAnsi="Calibri"/>
      <w:sz w:val="24"/>
      <w:lang w:eastAsia="en-US"/>
    </w:rPr>
  </w:style>
  <w:style w:type="paragraph" w:customStyle="1" w:styleId="AITableText">
    <w:name w:val="AI Table Text"/>
    <w:basedOn w:val="Normal"/>
    <w:link w:val="AITableTextChar"/>
    <w:rsid w:val="00972D04"/>
    <w:pPr>
      <w:jc w:val="right"/>
    </w:pPr>
    <w:rPr>
      <w:sz w:val="20"/>
      <w:szCs w:val="24"/>
    </w:rPr>
  </w:style>
  <w:style w:type="character" w:customStyle="1" w:styleId="AITableTextChar">
    <w:name w:val="AI Table Text Char"/>
    <w:basedOn w:val="DefaultParagraphFont"/>
    <w:link w:val="AITableText"/>
    <w:rsid w:val="00DB1266"/>
    <w:rPr>
      <w:rFonts w:ascii="Calibri" w:hAnsi="Calibri"/>
      <w:szCs w:val="24"/>
      <w:lang w:eastAsia="en-US"/>
    </w:rPr>
  </w:style>
  <w:style w:type="character" w:customStyle="1" w:styleId="PlainTextChar">
    <w:name w:val="Plain Text Char"/>
    <w:basedOn w:val="DefaultParagraphFont"/>
    <w:link w:val="PlainText"/>
    <w:semiHidden/>
    <w:locked/>
    <w:rsid w:val="00DB1266"/>
    <w:rPr>
      <w:rFonts w:ascii="Calibri" w:hAnsi="Calibri"/>
      <w:lang w:val="en-US" w:eastAsia="en-US"/>
    </w:rPr>
  </w:style>
  <w:style w:type="character" w:customStyle="1" w:styleId="BalloonTextChar">
    <w:name w:val="Balloon Text Char"/>
    <w:basedOn w:val="DefaultParagraphFont"/>
    <w:link w:val="BalloonText"/>
    <w:semiHidden/>
    <w:locked/>
    <w:rsid w:val="00DB1266"/>
    <w:rPr>
      <w:rFonts w:ascii="Tahoma" w:hAnsi="Tahoma" w:cs="Tahoma"/>
      <w:sz w:val="16"/>
      <w:szCs w:val="16"/>
      <w:lang w:eastAsia="en-US"/>
    </w:rPr>
  </w:style>
  <w:style w:type="paragraph" w:customStyle="1" w:styleId="AIIndent">
    <w:name w:val="AI Indent"/>
    <w:basedOn w:val="Normal"/>
    <w:link w:val="AIIndentChar"/>
    <w:rsid w:val="00972D04"/>
    <w:pPr>
      <w:tabs>
        <w:tab w:val="num" w:pos="360"/>
      </w:tabs>
      <w:ind w:left="357" w:hanging="357"/>
    </w:pPr>
    <w:rPr>
      <w:sz w:val="20"/>
    </w:rPr>
  </w:style>
  <w:style w:type="paragraph" w:customStyle="1" w:styleId="TableHeadingCentre-BP3">
    <w:name w:val="Table Heading Centre - BP3"/>
    <w:basedOn w:val="TableHeadingCentre-BP4"/>
    <w:rsid w:val="00972D04"/>
    <w:rPr>
      <w:sz w:val="20"/>
    </w:rPr>
  </w:style>
  <w:style w:type="paragraph" w:customStyle="1" w:styleId="TableHeadingLeft-BP3">
    <w:name w:val="Table Heading Left - BP3"/>
    <w:basedOn w:val="TableHeadingLeft-BP4"/>
    <w:rsid w:val="00972D04"/>
    <w:rPr>
      <w:sz w:val="20"/>
    </w:rPr>
  </w:style>
  <w:style w:type="paragraph" w:customStyle="1" w:styleId="TableHeadingRight-BP3">
    <w:name w:val="Table Heading Right - BP3"/>
    <w:basedOn w:val="TableHeadingRight-BP4"/>
    <w:rsid w:val="00972D04"/>
    <w:rPr>
      <w:sz w:val="20"/>
    </w:rPr>
  </w:style>
  <w:style w:type="paragraph" w:customStyle="1" w:styleId="TableNumbersRight-BP3">
    <w:name w:val="Table Numbers Right - BP3"/>
    <w:basedOn w:val="TableNumbersRight-BP4"/>
    <w:rsid w:val="00972D04"/>
    <w:rPr>
      <w:sz w:val="20"/>
    </w:rPr>
  </w:style>
  <w:style w:type="paragraph" w:customStyle="1" w:styleId="TableTextLeft-BP3">
    <w:name w:val="Table Text Left - BP3"/>
    <w:basedOn w:val="TableTextLeft-BP4"/>
    <w:rsid w:val="00972D04"/>
    <w:rPr>
      <w:sz w:val="20"/>
    </w:rPr>
  </w:style>
  <w:style w:type="paragraph" w:customStyle="1" w:styleId="TableTextLeftBold-BP3">
    <w:name w:val="Table Text Left Bold - BP3"/>
    <w:basedOn w:val="TableTextLeftBold-BP4"/>
    <w:rsid w:val="00972D04"/>
    <w:rPr>
      <w:sz w:val="20"/>
    </w:rPr>
  </w:style>
  <w:style w:type="paragraph" w:customStyle="1" w:styleId="TableTextRight-BP3">
    <w:name w:val="Table Text Right - BP3"/>
    <w:basedOn w:val="TableTextRight-BP4"/>
    <w:rsid w:val="00972D04"/>
    <w:rPr>
      <w:sz w:val="20"/>
    </w:rPr>
  </w:style>
  <w:style w:type="paragraph" w:customStyle="1" w:styleId="TableTextRightBold-BP3">
    <w:name w:val="Table Text Right Bold - BP3"/>
    <w:basedOn w:val="TableTextRightBold-BP4"/>
    <w:rsid w:val="00972D04"/>
  </w:style>
  <w:style w:type="paragraph" w:customStyle="1" w:styleId="TableTextLeft-BP4FS">
    <w:name w:val="Table Text Left - BP4 FS"/>
    <w:basedOn w:val="TableTextLeft-BP4"/>
    <w:rsid w:val="00972D04"/>
    <w:pPr>
      <w:ind w:left="227"/>
    </w:pPr>
  </w:style>
  <w:style w:type="paragraph" w:customStyle="1" w:styleId="TableHeadingCentre-BP410pt">
    <w:name w:val="Table Heading Centre - BP4 10pt"/>
    <w:basedOn w:val="TableHeadingCentre-BP4"/>
    <w:rsid w:val="00972D04"/>
    <w:rPr>
      <w:sz w:val="20"/>
    </w:rPr>
  </w:style>
  <w:style w:type="paragraph" w:customStyle="1" w:styleId="TableHeadingLeft-BP410pt">
    <w:name w:val="Table Heading Left - BP4 10pt"/>
    <w:basedOn w:val="TableHeadingLeft-BP4"/>
    <w:rsid w:val="00972D04"/>
    <w:rPr>
      <w:sz w:val="20"/>
    </w:rPr>
  </w:style>
  <w:style w:type="paragraph" w:customStyle="1" w:styleId="TableHeadingRight-BP410pt">
    <w:name w:val="Table Heading Right - BP4 10pt"/>
    <w:basedOn w:val="TableHeadingRight-BP4"/>
    <w:rsid w:val="00972D04"/>
    <w:rPr>
      <w:sz w:val="20"/>
    </w:rPr>
  </w:style>
  <w:style w:type="paragraph" w:customStyle="1" w:styleId="TableTextLeft-BP410pt">
    <w:name w:val="Table Text Left - BP4 10pt"/>
    <w:basedOn w:val="TableTextLeft-BP4"/>
    <w:rsid w:val="00972D04"/>
    <w:rPr>
      <w:sz w:val="20"/>
    </w:rPr>
  </w:style>
  <w:style w:type="paragraph" w:customStyle="1" w:styleId="TableTextLeftBold-BP410pt">
    <w:name w:val="Table Text Left Bold - BP4 10pt"/>
    <w:basedOn w:val="TableTextLeftBold-BP4"/>
    <w:rsid w:val="00972D04"/>
    <w:rPr>
      <w:sz w:val="20"/>
    </w:rPr>
  </w:style>
  <w:style w:type="paragraph" w:customStyle="1" w:styleId="TableTextRight-BP410pt">
    <w:name w:val="Table Text Right - BP4 10pt"/>
    <w:basedOn w:val="TableTextRight-BP4"/>
    <w:link w:val="TableTextRight-BP410ptChar"/>
    <w:rsid w:val="00972D04"/>
    <w:rPr>
      <w:sz w:val="20"/>
    </w:rPr>
  </w:style>
  <w:style w:type="paragraph" w:customStyle="1" w:styleId="TableTextRightBold-BP410pt">
    <w:name w:val="Table Text Right Bold - BP4 10pt"/>
    <w:basedOn w:val="TableTextRightBold-BP4"/>
    <w:rsid w:val="00972D04"/>
    <w:rPr>
      <w:sz w:val="20"/>
    </w:rPr>
  </w:style>
  <w:style w:type="paragraph" w:styleId="FootnoteText">
    <w:name w:val="footnote text"/>
    <w:basedOn w:val="Normal"/>
    <w:link w:val="FootnoteTextChar"/>
    <w:semiHidden/>
    <w:rsid w:val="00972D04"/>
    <w:rPr>
      <w:sz w:val="20"/>
    </w:rPr>
  </w:style>
  <w:style w:type="character" w:customStyle="1" w:styleId="FootnoteTextChar">
    <w:name w:val="Footnote Text Char"/>
    <w:basedOn w:val="DefaultParagraphFont"/>
    <w:link w:val="FootnoteText"/>
    <w:semiHidden/>
    <w:locked/>
    <w:rsid w:val="00DB1266"/>
    <w:rPr>
      <w:rFonts w:ascii="Calibri" w:hAnsi="Calibri"/>
      <w:lang w:eastAsia="en-US"/>
    </w:rPr>
  </w:style>
  <w:style w:type="paragraph" w:styleId="TOC1">
    <w:name w:val="toc 1"/>
    <w:basedOn w:val="Normal"/>
    <w:next w:val="Normal"/>
    <w:autoRedefine/>
    <w:rsid w:val="00972D04"/>
  </w:style>
  <w:style w:type="paragraph" w:styleId="TOC2">
    <w:name w:val="toc 2"/>
    <w:basedOn w:val="Normal"/>
    <w:next w:val="Normal"/>
    <w:autoRedefine/>
    <w:rsid w:val="00972D04"/>
    <w:pPr>
      <w:ind w:left="240"/>
    </w:pPr>
  </w:style>
  <w:style w:type="paragraph" w:styleId="TOC3">
    <w:name w:val="toc 3"/>
    <w:basedOn w:val="Normal"/>
    <w:next w:val="Normal"/>
    <w:autoRedefine/>
    <w:rsid w:val="00972D04"/>
    <w:pPr>
      <w:ind w:left="480"/>
    </w:pPr>
  </w:style>
  <w:style w:type="paragraph" w:styleId="TOC4">
    <w:name w:val="toc 4"/>
    <w:basedOn w:val="Normal"/>
    <w:next w:val="Normal"/>
    <w:autoRedefine/>
    <w:rsid w:val="00972D04"/>
    <w:pPr>
      <w:ind w:left="720"/>
    </w:pPr>
  </w:style>
  <w:style w:type="paragraph" w:styleId="TOC5">
    <w:name w:val="toc 5"/>
    <w:basedOn w:val="Normal"/>
    <w:next w:val="Normal"/>
    <w:autoRedefine/>
    <w:rsid w:val="00972D04"/>
    <w:pPr>
      <w:ind w:left="960"/>
    </w:pPr>
  </w:style>
  <w:style w:type="paragraph" w:styleId="TOC6">
    <w:name w:val="toc 6"/>
    <w:basedOn w:val="Normal"/>
    <w:next w:val="Normal"/>
    <w:autoRedefine/>
    <w:rsid w:val="00972D04"/>
    <w:pPr>
      <w:ind w:left="1200"/>
    </w:pPr>
  </w:style>
  <w:style w:type="paragraph" w:styleId="TOC7">
    <w:name w:val="toc 7"/>
    <w:basedOn w:val="Normal"/>
    <w:next w:val="Normal"/>
    <w:autoRedefine/>
    <w:rsid w:val="00972D04"/>
    <w:pPr>
      <w:ind w:left="1440"/>
    </w:pPr>
  </w:style>
  <w:style w:type="paragraph" w:styleId="TOC8">
    <w:name w:val="toc 8"/>
    <w:basedOn w:val="Normal"/>
    <w:next w:val="Normal"/>
    <w:autoRedefine/>
    <w:rsid w:val="00972D04"/>
    <w:pPr>
      <w:ind w:left="1680"/>
    </w:pPr>
  </w:style>
  <w:style w:type="paragraph" w:styleId="TOC9">
    <w:name w:val="toc 9"/>
    <w:basedOn w:val="Normal"/>
    <w:next w:val="Normal"/>
    <w:autoRedefine/>
    <w:rsid w:val="00972D04"/>
    <w:pPr>
      <w:ind w:left="1920"/>
    </w:pPr>
  </w:style>
  <w:style w:type="paragraph" w:customStyle="1" w:styleId="PH4">
    <w:name w:val="PH4"/>
    <w:basedOn w:val="Normal"/>
    <w:rsid w:val="00DB1266"/>
    <w:pPr>
      <w:spacing w:before="120"/>
    </w:pPr>
    <w:rPr>
      <w:b/>
      <w:sz w:val="20"/>
    </w:rPr>
  </w:style>
  <w:style w:type="paragraph" w:customStyle="1" w:styleId="MinorHeading">
    <w:name w:val="Minor Heading"/>
    <w:basedOn w:val="Normal"/>
    <w:rsid w:val="00DB1266"/>
    <w:rPr>
      <w:rFonts w:ascii="Arial" w:hAnsi="Arial"/>
      <w:b/>
    </w:rPr>
  </w:style>
  <w:style w:type="paragraph" w:customStyle="1" w:styleId="TableFootnoteText">
    <w:name w:val="Table Footnote Text"/>
    <w:basedOn w:val="FootnoteText"/>
    <w:rsid w:val="00DB1266"/>
    <w:pPr>
      <w:keepNext/>
      <w:numPr>
        <w:numId w:val="4"/>
      </w:numPr>
      <w:tabs>
        <w:tab w:val="num" w:pos="360"/>
        <w:tab w:val="left" w:pos="426"/>
        <w:tab w:val="num" w:pos="1797"/>
      </w:tabs>
      <w:spacing w:after="120"/>
      <w:ind w:left="357" w:hanging="357"/>
      <w:jc w:val="both"/>
    </w:pPr>
    <w:rPr>
      <w:sz w:val="18"/>
      <w:lang w:val="en-US"/>
    </w:rPr>
  </w:style>
  <w:style w:type="paragraph" w:customStyle="1" w:styleId="PH3">
    <w:name w:val="PH3"/>
    <w:basedOn w:val="Normal"/>
    <w:rsid w:val="00DB1266"/>
    <w:pPr>
      <w:keepNext/>
      <w:outlineLvl w:val="0"/>
    </w:pPr>
    <w:rPr>
      <w:rFonts w:ascii="Arial" w:hAnsi="Arial"/>
      <w:b/>
      <w:kern w:val="28"/>
      <w:lang w:val="en-GB"/>
    </w:rPr>
  </w:style>
  <w:style w:type="character" w:customStyle="1" w:styleId="BodyText2Char">
    <w:name w:val="Body Text 2 Char"/>
    <w:basedOn w:val="DefaultParagraphFont"/>
    <w:link w:val="BodyText2"/>
    <w:semiHidden/>
    <w:locked/>
    <w:rsid w:val="00DB1266"/>
    <w:rPr>
      <w:rFonts w:ascii="Calibri" w:hAnsi="Calibri"/>
      <w:sz w:val="24"/>
      <w:lang w:eastAsia="en-US"/>
    </w:rPr>
  </w:style>
  <w:style w:type="character" w:customStyle="1" w:styleId="BodyText3Char">
    <w:name w:val="Body Text 3 Char"/>
    <w:basedOn w:val="DefaultParagraphFont"/>
    <w:link w:val="BodyText3"/>
    <w:semiHidden/>
    <w:locked/>
    <w:rsid w:val="00DB1266"/>
    <w:rPr>
      <w:rFonts w:ascii="Calibri" w:hAnsi="Calibri"/>
      <w:sz w:val="16"/>
      <w:szCs w:val="16"/>
      <w:lang w:eastAsia="en-US"/>
    </w:rPr>
  </w:style>
  <w:style w:type="paragraph" w:customStyle="1" w:styleId="Numbering">
    <w:name w:val="Numbering"/>
    <w:basedOn w:val="Normal"/>
    <w:uiPriority w:val="99"/>
    <w:rsid w:val="00DB1266"/>
    <w:pPr>
      <w:numPr>
        <w:ilvl w:val="1"/>
        <w:numId w:val="2"/>
      </w:numPr>
      <w:spacing w:before="120" w:after="120"/>
      <w:jc w:val="both"/>
    </w:pPr>
    <w:rPr>
      <w:lang w:val="en-US"/>
    </w:rPr>
  </w:style>
  <w:style w:type="paragraph" w:customStyle="1" w:styleId="AIBlurb">
    <w:name w:val="AI Blurb"/>
    <w:basedOn w:val="Normal"/>
    <w:rsid w:val="00DB1266"/>
    <w:pPr>
      <w:numPr>
        <w:ilvl w:val="1"/>
        <w:numId w:val="5"/>
      </w:numPr>
      <w:tabs>
        <w:tab w:val="clear" w:pos="1440"/>
      </w:tabs>
      <w:spacing w:before="120" w:after="240"/>
      <w:ind w:left="0" w:firstLine="0"/>
      <w:jc w:val="both"/>
    </w:pPr>
    <w:rPr>
      <w:rFonts w:ascii="Times New (W1)" w:hAnsi="Times New (W1)"/>
      <w:sz w:val="20"/>
    </w:rPr>
  </w:style>
  <w:style w:type="paragraph" w:customStyle="1" w:styleId="BodyText1">
    <w:name w:val="Body Text 1"/>
    <w:basedOn w:val="Normal"/>
    <w:rsid w:val="00DB1266"/>
    <w:pPr>
      <w:jc w:val="both"/>
    </w:pPr>
  </w:style>
  <w:style w:type="paragraph" w:customStyle="1" w:styleId="PH1">
    <w:name w:val="PH1"/>
    <w:basedOn w:val="Heading1"/>
    <w:rsid w:val="00DB1266"/>
    <w:pPr>
      <w:jc w:val="center"/>
    </w:pPr>
    <w:rPr>
      <w:szCs w:val="24"/>
      <w:lang w:val="en-GB"/>
    </w:rPr>
  </w:style>
  <w:style w:type="paragraph" w:customStyle="1" w:styleId="PH2">
    <w:name w:val="PH2"/>
    <w:basedOn w:val="PH1"/>
    <w:rsid w:val="00DB1266"/>
    <w:rPr>
      <w:b w:val="0"/>
      <w:sz w:val="24"/>
    </w:rPr>
  </w:style>
  <w:style w:type="paragraph" w:customStyle="1" w:styleId="PText">
    <w:name w:val="PText"/>
    <w:basedOn w:val="Normal"/>
    <w:rsid w:val="00DB1266"/>
    <w:rPr>
      <w:sz w:val="20"/>
    </w:rPr>
  </w:style>
  <w:style w:type="paragraph" w:customStyle="1" w:styleId="MajorHeading">
    <w:name w:val="Major Heading"/>
    <w:basedOn w:val="Normal"/>
    <w:rsid w:val="00DB1266"/>
    <w:pPr>
      <w:pBdr>
        <w:bottom w:val="single" w:sz="18" w:space="1" w:color="auto"/>
      </w:pBdr>
      <w:tabs>
        <w:tab w:val="right" w:pos="9072"/>
      </w:tabs>
      <w:spacing w:before="240" w:after="240"/>
    </w:pPr>
    <w:rPr>
      <w:rFonts w:ascii="Arial" w:hAnsi="Arial"/>
      <w:b/>
      <w:caps/>
      <w:sz w:val="28"/>
      <w:lang w:val="en-GB"/>
    </w:rPr>
  </w:style>
  <w:style w:type="paragraph" w:customStyle="1" w:styleId="MajorHeading2">
    <w:name w:val="Major Heading 2"/>
    <w:basedOn w:val="MajorHeading1"/>
    <w:rsid w:val="00DB1266"/>
    <w:pPr>
      <w:pBdr>
        <w:bottom w:val="none" w:sz="0" w:space="0" w:color="auto"/>
      </w:pBdr>
    </w:pPr>
  </w:style>
  <w:style w:type="paragraph" w:customStyle="1" w:styleId="MajorHeading1">
    <w:name w:val="Major Heading 1"/>
    <w:basedOn w:val="Normal"/>
    <w:rsid w:val="00DB1266"/>
    <w:pPr>
      <w:pBdr>
        <w:bottom w:val="single" w:sz="18" w:space="1" w:color="auto"/>
      </w:pBdr>
      <w:tabs>
        <w:tab w:val="right" w:pos="9072"/>
      </w:tabs>
      <w:spacing w:before="240" w:after="240"/>
    </w:pPr>
    <w:rPr>
      <w:rFonts w:ascii="Arial" w:hAnsi="Arial"/>
      <w:b/>
      <w:caps/>
      <w:sz w:val="28"/>
      <w:lang w:val="en-GB"/>
    </w:rPr>
  </w:style>
  <w:style w:type="paragraph" w:customStyle="1" w:styleId="Sub-Heading3">
    <w:name w:val="Sub-Heading 3"/>
    <w:basedOn w:val="Sub-Heading2"/>
    <w:rsid w:val="00DB1266"/>
    <w:pPr>
      <w:keepNext w:val="0"/>
      <w:keepLines w:val="0"/>
      <w:spacing w:after="0"/>
      <w:jc w:val="left"/>
    </w:pPr>
    <w:rPr>
      <w:sz w:val="20"/>
      <w:szCs w:val="24"/>
    </w:rPr>
  </w:style>
  <w:style w:type="paragraph" w:customStyle="1" w:styleId="Tableformat">
    <w:name w:val="Table format"/>
    <w:basedOn w:val="BodyText"/>
    <w:rsid w:val="00DB1266"/>
    <w:pPr>
      <w:keepLines w:val="0"/>
      <w:spacing w:before="100" w:beforeAutospacing="1" w:afterAutospacing="1"/>
    </w:pPr>
    <w:rPr>
      <w:b/>
      <w:sz w:val="20"/>
      <w:szCs w:val="24"/>
    </w:rPr>
  </w:style>
  <w:style w:type="paragraph" w:customStyle="1" w:styleId="TableGraphic">
    <w:name w:val="TableGraphic"/>
    <w:basedOn w:val="Normal"/>
    <w:next w:val="Normal"/>
    <w:rsid w:val="00DB1266"/>
    <w:pPr>
      <w:keepNext/>
      <w:spacing w:after="20"/>
      <w:ind w:right="-113"/>
    </w:pPr>
    <w:rPr>
      <w:rFonts w:ascii="Tahoma" w:hAnsi="Tahoma"/>
      <w:b/>
      <w:color w:val="000000"/>
      <w:sz w:val="20"/>
    </w:rPr>
  </w:style>
  <w:style w:type="paragraph" w:customStyle="1" w:styleId="Text">
    <w:name w:val="Text"/>
    <w:basedOn w:val="Normal"/>
    <w:rsid w:val="00DB1266"/>
    <w:pPr>
      <w:jc w:val="both"/>
    </w:pPr>
  </w:style>
  <w:style w:type="paragraph" w:customStyle="1" w:styleId="Text1">
    <w:name w:val="Text 1"/>
    <w:basedOn w:val="Normal"/>
    <w:rsid w:val="00DB1266"/>
    <w:pPr>
      <w:jc w:val="both"/>
    </w:pPr>
    <w:rPr>
      <w:rFonts w:ascii="Arial" w:hAnsi="Arial"/>
    </w:rPr>
  </w:style>
  <w:style w:type="character" w:customStyle="1" w:styleId="EmailStyle232">
    <w:name w:val="EmailStyle2321"/>
    <w:aliases w:val="EmailStyle2321"/>
    <w:basedOn w:val="DefaultParagraphFont"/>
    <w:personal/>
    <w:rsid w:val="00DB1266"/>
    <w:rPr>
      <w:rFonts w:ascii="Arial" w:hAnsi="Arial" w:cs="Arial"/>
      <w:color w:val="000080"/>
      <w:sz w:val="20"/>
    </w:rPr>
  </w:style>
  <w:style w:type="character" w:customStyle="1" w:styleId="EmailStyle233">
    <w:name w:val="EmailStyle2331"/>
    <w:aliases w:val="EmailStyle2331"/>
    <w:basedOn w:val="DefaultParagraphFont"/>
    <w:personal/>
    <w:rsid w:val="00DB1266"/>
    <w:rPr>
      <w:rFonts w:ascii="Arial" w:hAnsi="Arial" w:cs="Arial"/>
      <w:color w:val="auto"/>
      <w:sz w:val="20"/>
    </w:rPr>
  </w:style>
  <w:style w:type="character" w:customStyle="1" w:styleId="EmailStyle234">
    <w:name w:val="EmailStyle2341"/>
    <w:aliases w:val="EmailStyle2341"/>
    <w:basedOn w:val="DefaultParagraphFont"/>
    <w:personal/>
    <w:rsid w:val="00DB1266"/>
    <w:rPr>
      <w:rFonts w:ascii="Arial" w:hAnsi="Arial" w:cs="Arial"/>
      <w:color w:val="auto"/>
      <w:sz w:val="20"/>
    </w:rPr>
  </w:style>
  <w:style w:type="paragraph" w:customStyle="1" w:styleId="Output1">
    <w:name w:val="Output 1"/>
    <w:basedOn w:val="Normal"/>
    <w:autoRedefine/>
    <w:rsid w:val="00DB1266"/>
    <w:pPr>
      <w:keepNext/>
      <w:keepLines/>
      <w:spacing w:before="100" w:beforeAutospacing="1" w:after="100" w:afterAutospacing="1"/>
      <w:ind w:left="425"/>
      <w:jc w:val="both"/>
    </w:pPr>
    <w:rPr>
      <w:rFonts w:ascii="Times New (W1)" w:hAnsi="Times New (W1)"/>
    </w:rPr>
  </w:style>
  <w:style w:type="paragraph" w:customStyle="1" w:styleId="Output2">
    <w:name w:val="Output 2"/>
    <w:basedOn w:val="Output1"/>
    <w:autoRedefine/>
    <w:rsid w:val="00DB1266"/>
    <w:pPr>
      <w:ind w:left="709"/>
    </w:pPr>
    <w:rPr>
      <w:i/>
    </w:rPr>
  </w:style>
  <w:style w:type="paragraph" w:customStyle="1" w:styleId="Output2Indent">
    <w:name w:val="Output 2 Indent"/>
    <w:basedOn w:val="Output2"/>
    <w:autoRedefine/>
    <w:rsid w:val="00DB1266"/>
    <w:pPr>
      <w:keepNext w:val="0"/>
      <w:tabs>
        <w:tab w:val="num" w:pos="1429"/>
      </w:tabs>
      <w:spacing w:before="0" w:beforeAutospacing="0"/>
      <w:ind w:left="1429" w:hanging="360"/>
    </w:pPr>
  </w:style>
  <w:style w:type="paragraph" w:customStyle="1" w:styleId="Bullet">
    <w:name w:val="Bullet"/>
    <w:basedOn w:val="Normal"/>
    <w:rsid w:val="00DB1266"/>
    <w:pPr>
      <w:tabs>
        <w:tab w:val="num" w:pos="360"/>
      </w:tabs>
      <w:ind w:left="360" w:hanging="360"/>
    </w:pPr>
  </w:style>
  <w:style w:type="paragraph" w:customStyle="1" w:styleId="bullet2">
    <w:name w:val="bullet 2"/>
    <w:basedOn w:val="Normal"/>
    <w:rsid w:val="00DB1266"/>
    <w:pPr>
      <w:tabs>
        <w:tab w:val="left" w:pos="360"/>
        <w:tab w:val="left" w:pos="454"/>
      </w:tabs>
      <w:spacing w:after="120"/>
      <w:ind w:left="454" w:hanging="454"/>
      <w:jc w:val="both"/>
    </w:pPr>
    <w:rPr>
      <w:color w:val="000000"/>
    </w:rPr>
  </w:style>
  <w:style w:type="paragraph" w:customStyle="1" w:styleId="GalText">
    <w:name w:val="GalText"/>
    <w:basedOn w:val="Normal"/>
    <w:rsid w:val="00DB1266"/>
    <w:pPr>
      <w:spacing w:before="60" w:after="60"/>
    </w:pPr>
    <w:rPr>
      <w:rFonts w:ascii="Arial Narrow" w:hAnsi="Arial Narrow"/>
    </w:rPr>
  </w:style>
  <w:style w:type="paragraph" w:customStyle="1" w:styleId="NumberedNotes">
    <w:name w:val="Numbered Notes"/>
    <w:basedOn w:val="FootnoteText"/>
    <w:rsid w:val="00DB1266"/>
    <w:pPr>
      <w:spacing w:after="60"/>
      <w:ind w:left="357" w:hanging="357"/>
      <w:jc w:val="both"/>
    </w:pPr>
    <w:rPr>
      <w:sz w:val="16"/>
    </w:rPr>
  </w:style>
  <w:style w:type="paragraph" w:customStyle="1" w:styleId="PI1">
    <w:name w:val="PI 1"/>
    <w:basedOn w:val="Normal"/>
    <w:rsid w:val="00DB1266"/>
    <w:pPr>
      <w:spacing w:before="240"/>
    </w:pPr>
    <w:rPr>
      <w:rFonts w:ascii="Times New (W1)" w:hAnsi="Times New (W1)"/>
    </w:rPr>
  </w:style>
  <w:style w:type="paragraph" w:customStyle="1" w:styleId="PI2">
    <w:name w:val="PI 2"/>
    <w:basedOn w:val="PI1"/>
    <w:rsid w:val="00DB1266"/>
    <w:pPr>
      <w:spacing w:after="240"/>
    </w:pPr>
    <w:rPr>
      <w:i/>
    </w:rPr>
  </w:style>
  <w:style w:type="paragraph" w:customStyle="1" w:styleId="PI2Indent">
    <w:name w:val="PI 2  Indent"/>
    <w:basedOn w:val="Normal"/>
    <w:rsid w:val="00DB1266"/>
    <w:pPr>
      <w:ind w:left="357" w:hanging="357"/>
    </w:pPr>
  </w:style>
  <w:style w:type="paragraph" w:customStyle="1" w:styleId="Style1">
    <w:name w:val="Style1"/>
    <w:basedOn w:val="AITableText"/>
    <w:rsid w:val="00DB1266"/>
    <w:pPr>
      <w:spacing w:before="120" w:after="240"/>
      <w:ind w:left="714" w:hanging="357"/>
    </w:pPr>
    <w:rPr>
      <w:rFonts w:ascii="Times New (W1)" w:hAnsi="Times New (W1)"/>
    </w:rPr>
  </w:style>
  <w:style w:type="paragraph" w:customStyle="1" w:styleId="Style1Indent">
    <w:name w:val="Style1 Indent"/>
    <w:basedOn w:val="Normal"/>
    <w:rsid w:val="00DB1266"/>
    <w:pPr>
      <w:tabs>
        <w:tab w:val="num" w:pos="1440"/>
      </w:tabs>
      <w:ind w:left="1440" w:hanging="360"/>
    </w:pPr>
    <w:rPr>
      <w:sz w:val="20"/>
    </w:rPr>
  </w:style>
  <w:style w:type="paragraph" w:customStyle="1" w:styleId="Sub-Heading1">
    <w:name w:val="Sub-Heading 1"/>
    <w:basedOn w:val="Normal"/>
    <w:next w:val="Normal"/>
    <w:autoRedefine/>
    <w:rsid w:val="00DB1266"/>
    <w:pPr>
      <w:keepNext/>
      <w:spacing w:before="240" w:after="240"/>
      <w:outlineLvl w:val="0"/>
    </w:pPr>
    <w:rPr>
      <w:rFonts w:ascii="Arial" w:hAnsi="Arial"/>
      <w:i/>
    </w:rPr>
  </w:style>
  <w:style w:type="paragraph" w:customStyle="1" w:styleId="Sub-Headings">
    <w:name w:val="Sub-Headings"/>
    <w:basedOn w:val="MinorHeading"/>
    <w:rsid w:val="00DB1266"/>
    <w:pPr>
      <w:keepNext/>
      <w:spacing w:before="240" w:after="120"/>
      <w:outlineLvl w:val="0"/>
    </w:pPr>
    <w:rPr>
      <w:rFonts w:cs="Arial"/>
      <w:b w:val="0"/>
      <w:bCs/>
      <w:i/>
      <w:szCs w:val="24"/>
    </w:rPr>
  </w:style>
  <w:style w:type="paragraph" w:customStyle="1" w:styleId="TableText">
    <w:name w:val="TableText"/>
    <w:basedOn w:val="BodyText"/>
    <w:rsid w:val="00DB1266"/>
    <w:pPr>
      <w:keepNext w:val="0"/>
      <w:keepLines w:val="0"/>
      <w:spacing w:before="100" w:beforeAutospacing="1" w:afterAutospacing="1"/>
      <w:jc w:val="left"/>
    </w:pPr>
    <w:rPr>
      <w:rFonts w:ascii="Arial" w:hAnsi="Arial"/>
      <w:kern w:val="28"/>
      <w:sz w:val="22"/>
      <w:szCs w:val="24"/>
    </w:rPr>
  </w:style>
  <w:style w:type="paragraph" w:customStyle="1" w:styleId="dot">
    <w:name w:val="dot"/>
    <w:basedOn w:val="Normal"/>
    <w:rsid w:val="00DB1266"/>
    <w:pPr>
      <w:tabs>
        <w:tab w:val="num" w:pos="360"/>
      </w:tabs>
      <w:ind w:left="360" w:hanging="360"/>
    </w:pPr>
  </w:style>
  <w:style w:type="paragraph" w:customStyle="1" w:styleId="xl30">
    <w:name w:val="xl30"/>
    <w:basedOn w:val="Normal"/>
    <w:rsid w:val="00DB1266"/>
    <w:pPr>
      <w:spacing w:before="100" w:beforeAutospacing="1" w:after="100" w:afterAutospacing="1"/>
    </w:pPr>
    <w:rPr>
      <w:rFonts w:eastAsia="Arial Unicode MS"/>
      <w:b/>
      <w:bCs/>
      <w:sz w:val="18"/>
      <w:szCs w:val="18"/>
    </w:rPr>
  </w:style>
  <w:style w:type="paragraph" w:customStyle="1" w:styleId="Memopara">
    <w:name w:val="Memo para"/>
    <w:basedOn w:val="Numbering"/>
    <w:rsid w:val="00DB1266"/>
    <w:pPr>
      <w:numPr>
        <w:ilvl w:val="0"/>
        <w:numId w:val="3"/>
      </w:numPr>
      <w:ind w:left="0" w:firstLine="0"/>
    </w:pPr>
    <w:rPr>
      <w:szCs w:val="24"/>
    </w:rPr>
  </w:style>
  <w:style w:type="paragraph" w:customStyle="1" w:styleId="para">
    <w:name w:val="para"/>
    <w:basedOn w:val="Normal"/>
    <w:rsid w:val="00DB1266"/>
  </w:style>
  <w:style w:type="character" w:customStyle="1" w:styleId="NoteTextChar">
    <w:name w:val="Note Text Char"/>
    <w:basedOn w:val="DefaultParagraphFont"/>
    <w:rsid w:val="00DB1266"/>
    <w:rPr>
      <w:rFonts w:cs="Times New Roman"/>
    </w:rPr>
  </w:style>
  <w:style w:type="paragraph" w:styleId="DocumentMap">
    <w:name w:val="Document Map"/>
    <w:basedOn w:val="Normal"/>
    <w:semiHidden/>
    <w:rsid w:val="00DB1266"/>
    <w:pPr>
      <w:shd w:val="clear" w:color="auto" w:fill="000080"/>
    </w:pPr>
    <w:rPr>
      <w:rFonts w:ascii="Tahoma" w:hAnsi="Tahoma" w:cs="Tahoma"/>
      <w:sz w:val="20"/>
    </w:rPr>
  </w:style>
  <w:style w:type="character" w:customStyle="1" w:styleId="TableTextRight-BP4Char">
    <w:name w:val="Table Text Right - BP4 Char"/>
    <w:basedOn w:val="DefaultParagraphFont"/>
    <w:link w:val="TableTextRight-BP4"/>
    <w:rsid w:val="00DB1266"/>
    <w:rPr>
      <w:rFonts w:ascii="Calibri" w:hAnsi="Calibri"/>
      <w:sz w:val="18"/>
      <w:lang w:eastAsia="en-US"/>
    </w:rPr>
  </w:style>
  <w:style w:type="character" w:customStyle="1" w:styleId="TableTextRight-BP410ptChar">
    <w:name w:val="Table Text Right - BP4 10pt Char"/>
    <w:basedOn w:val="TableTextRight-BP4Char"/>
    <w:link w:val="TableTextRight-BP410pt"/>
    <w:rsid w:val="00DB1266"/>
  </w:style>
  <w:style w:type="character" w:customStyle="1" w:styleId="Heading2Char">
    <w:name w:val="Heading 2 Char"/>
    <w:basedOn w:val="DefaultParagraphFont"/>
    <w:link w:val="Heading2"/>
    <w:locked/>
    <w:rsid w:val="00DB1266"/>
    <w:rPr>
      <w:rFonts w:ascii="Calibri" w:hAnsi="Calibri"/>
      <w:b/>
      <w:snapToGrid w:val="0"/>
      <w:lang w:eastAsia="en-US"/>
    </w:rPr>
  </w:style>
  <w:style w:type="character" w:customStyle="1" w:styleId="AINotesChar">
    <w:name w:val="AI Notes Char"/>
    <w:basedOn w:val="DefaultParagraphFont"/>
    <w:link w:val="AINotes"/>
    <w:rsid w:val="00DB1266"/>
    <w:rPr>
      <w:rFonts w:ascii="Calibri" w:hAnsi="Calibri"/>
      <w:sz w:val="16"/>
      <w:lang w:eastAsia="en-US"/>
    </w:rPr>
  </w:style>
  <w:style w:type="character" w:customStyle="1" w:styleId="AIIndentChar">
    <w:name w:val="AI Indent Char"/>
    <w:basedOn w:val="AITableTextChar"/>
    <w:link w:val="AIIndent"/>
    <w:rsid w:val="00DB1266"/>
  </w:style>
  <w:style w:type="character" w:styleId="CommentReference">
    <w:name w:val="annotation reference"/>
    <w:basedOn w:val="DefaultParagraphFont"/>
    <w:uiPriority w:val="99"/>
    <w:rsid w:val="00972D04"/>
    <w:rPr>
      <w:rFonts w:ascii="Calibri" w:hAnsi="Calibri"/>
      <w:sz w:val="16"/>
      <w:szCs w:val="16"/>
    </w:rPr>
  </w:style>
  <w:style w:type="paragraph" w:styleId="CommentText">
    <w:name w:val="annotation text"/>
    <w:basedOn w:val="Normal"/>
    <w:link w:val="CommentTextChar"/>
    <w:uiPriority w:val="99"/>
    <w:rsid w:val="00972D04"/>
    <w:rPr>
      <w:sz w:val="20"/>
    </w:rPr>
  </w:style>
  <w:style w:type="paragraph" w:styleId="CommentSubject">
    <w:name w:val="annotation subject"/>
    <w:basedOn w:val="CommentText"/>
    <w:next w:val="CommentText"/>
    <w:rsid w:val="00972D04"/>
    <w:rPr>
      <w:b/>
      <w:bCs/>
    </w:rPr>
  </w:style>
  <w:style w:type="character" w:customStyle="1" w:styleId="Heading3TopofPageChar">
    <w:name w:val="Heading 3 Top of Page Char"/>
    <w:basedOn w:val="DefaultParagraphFont"/>
    <w:link w:val="Heading3TopofPage"/>
    <w:rsid w:val="00DB1266"/>
    <w:rPr>
      <w:rFonts w:ascii="Arial" w:hAnsi="Arial"/>
      <w:b/>
      <w:bCs/>
      <w:sz w:val="24"/>
      <w:szCs w:val="26"/>
    </w:rPr>
  </w:style>
  <w:style w:type="paragraph" w:customStyle="1" w:styleId="1n">
    <w:name w:val="1. n"/>
    <w:basedOn w:val="n"/>
    <w:rsid w:val="00972D04"/>
    <w:rPr>
      <w:iCs/>
      <w:szCs w:val="20"/>
    </w:rPr>
  </w:style>
  <w:style w:type="paragraph" w:customStyle="1" w:styleId="an">
    <w:name w:val="a. n"/>
    <w:basedOn w:val="n"/>
    <w:rsid w:val="00972D04"/>
    <w:rPr>
      <w:iCs/>
      <w:szCs w:val="20"/>
    </w:rPr>
  </w:style>
  <w:style w:type="character" w:customStyle="1" w:styleId="CharChar">
    <w:name w:val="Char Char"/>
    <w:basedOn w:val="DefaultParagraphFont"/>
    <w:rsid w:val="00972D04"/>
    <w:rPr>
      <w:rFonts w:ascii="Calibri" w:hAnsi="Calibri"/>
      <w:sz w:val="24"/>
      <w:lang w:val="en-AU" w:eastAsia="en-US" w:bidi="ar-SA"/>
    </w:rPr>
  </w:style>
  <w:style w:type="character" w:customStyle="1" w:styleId="CharChar1">
    <w:name w:val="Char Char1"/>
    <w:basedOn w:val="DefaultParagraphFont"/>
    <w:rsid w:val="00972D04"/>
    <w:rPr>
      <w:rFonts w:ascii="Arial" w:hAnsi="Arial" w:cs="Arial"/>
      <w:b/>
      <w:bCs/>
      <w:sz w:val="24"/>
      <w:szCs w:val="26"/>
      <w:lang w:val="en-AU" w:eastAsia="en-US" w:bidi="ar-SA"/>
    </w:rPr>
  </w:style>
  <w:style w:type="table" w:styleId="ColorfulGrid-Accent2">
    <w:name w:val="Colorful Grid Accent 2"/>
    <w:basedOn w:val="TableNormal"/>
    <w:uiPriority w:val="73"/>
    <w:rsid w:val="00972D04"/>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72D04"/>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72D04"/>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72D04"/>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72D04"/>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EndnoteReference">
    <w:name w:val="endnote reference"/>
    <w:basedOn w:val="DefaultParagraphFont"/>
    <w:rsid w:val="00972D04"/>
    <w:rPr>
      <w:rFonts w:ascii="Calibri" w:hAnsi="Calibri"/>
      <w:vertAlign w:val="superscript"/>
    </w:rPr>
  </w:style>
  <w:style w:type="paragraph" w:styleId="EndnoteText">
    <w:name w:val="endnote text"/>
    <w:basedOn w:val="Normal"/>
    <w:link w:val="EndnoteTextChar"/>
    <w:rsid w:val="00972D04"/>
    <w:rPr>
      <w:sz w:val="20"/>
    </w:rPr>
  </w:style>
  <w:style w:type="character" w:customStyle="1" w:styleId="EndnoteTextChar">
    <w:name w:val="Endnote Text Char"/>
    <w:basedOn w:val="DefaultParagraphFont"/>
    <w:link w:val="EndnoteText"/>
    <w:rsid w:val="00B050DA"/>
    <w:rPr>
      <w:rFonts w:ascii="Calibri" w:hAnsi="Calibri"/>
      <w:lang w:eastAsia="en-US"/>
    </w:rPr>
  </w:style>
  <w:style w:type="character" w:styleId="FootnoteReference">
    <w:name w:val="footnote reference"/>
    <w:basedOn w:val="DefaultParagraphFont"/>
    <w:rsid w:val="00972D04"/>
    <w:rPr>
      <w:rFonts w:ascii="Calibri" w:hAnsi="Calibri"/>
      <w:vertAlign w:val="superscript"/>
    </w:rPr>
  </w:style>
  <w:style w:type="paragraph" w:styleId="Index1">
    <w:name w:val="index 1"/>
    <w:basedOn w:val="Normal"/>
    <w:next w:val="Normal"/>
    <w:autoRedefine/>
    <w:rsid w:val="00972D04"/>
    <w:pPr>
      <w:ind w:left="240" w:hanging="240"/>
    </w:pPr>
  </w:style>
  <w:style w:type="paragraph" w:styleId="Index2">
    <w:name w:val="index 2"/>
    <w:basedOn w:val="Normal"/>
    <w:next w:val="Normal"/>
    <w:autoRedefine/>
    <w:rsid w:val="00972D04"/>
    <w:pPr>
      <w:ind w:left="480" w:hanging="240"/>
    </w:pPr>
  </w:style>
  <w:style w:type="paragraph" w:styleId="Index3">
    <w:name w:val="index 3"/>
    <w:basedOn w:val="Normal"/>
    <w:next w:val="Normal"/>
    <w:autoRedefine/>
    <w:rsid w:val="00972D04"/>
    <w:pPr>
      <w:ind w:left="720" w:hanging="240"/>
    </w:pPr>
  </w:style>
  <w:style w:type="paragraph" w:styleId="Index4">
    <w:name w:val="index 4"/>
    <w:basedOn w:val="Normal"/>
    <w:next w:val="Normal"/>
    <w:autoRedefine/>
    <w:rsid w:val="00972D04"/>
    <w:pPr>
      <w:ind w:left="960" w:hanging="240"/>
    </w:pPr>
  </w:style>
  <w:style w:type="paragraph" w:styleId="Index5">
    <w:name w:val="index 5"/>
    <w:basedOn w:val="Normal"/>
    <w:next w:val="Normal"/>
    <w:autoRedefine/>
    <w:rsid w:val="00972D04"/>
    <w:pPr>
      <w:ind w:left="1200" w:hanging="240"/>
    </w:pPr>
  </w:style>
  <w:style w:type="paragraph" w:styleId="Index6">
    <w:name w:val="index 6"/>
    <w:basedOn w:val="Normal"/>
    <w:next w:val="Normal"/>
    <w:autoRedefine/>
    <w:rsid w:val="00972D04"/>
    <w:pPr>
      <w:ind w:left="1440" w:hanging="240"/>
    </w:pPr>
  </w:style>
  <w:style w:type="paragraph" w:styleId="Index7">
    <w:name w:val="index 7"/>
    <w:basedOn w:val="Normal"/>
    <w:next w:val="Normal"/>
    <w:autoRedefine/>
    <w:rsid w:val="00972D04"/>
    <w:pPr>
      <w:ind w:left="1680" w:hanging="240"/>
    </w:pPr>
  </w:style>
  <w:style w:type="paragraph" w:styleId="Index8">
    <w:name w:val="index 8"/>
    <w:basedOn w:val="Normal"/>
    <w:next w:val="Normal"/>
    <w:autoRedefine/>
    <w:rsid w:val="00972D04"/>
    <w:pPr>
      <w:ind w:left="1920" w:hanging="240"/>
    </w:pPr>
  </w:style>
  <w:style w:type="paragraph" w:styleId="Index9">
    <w:name w:val="index 9"/>
    <w:basedOn w:val="Normal"/>
    <w:next w:val="Normal"/>
    <w:autoRedefine/>
    <w:rsid w:val="00972D04"/>
    <w:pPr>
      <w:ind w:left="2160" w:hanging="240"/>
    </w:pPr>
  </w:style>
  <w:style w:type="paragraph" w:styleId="IndexHeading">
    <w:name w:val="index heading"/>
    <w:basedOn w:val="Normal"/>
    <w:next w:val="Index1"/>
    <w:rsid w:val="00972D04"/>
    <w:rPr>
      <w:b/>
      <w:bCs/>
    </w:rPr>
  </w:style>
  <w:style w:type="paragraph" w:styleId="ListParagraph">
    <w:name w:val="List Paragraph"/>
    <w:basedOn w:val="Normal"/>
    <w:uiPriority w:val="34"/>
    <w:qFormat/>
    <w:rsid w:val="00972D04"/>
    <w:pPr>
      <w:ind w:left="720"/>
    </w:pPr>
    <w:rPr>
      <w:szCs w:val="24"/>
    </w:rPr>
  </w:style>
  <w:style w:type="paragraph" w:styleId="TableofAuthorities">
    <w:name w:val="table of authorities"/>
    <w:basedOn w:val="Normal"/>
    <w:next w:val="Normal"/>
    <w:rsid w:val="00972D04"/>
    <w:pPr>
      <w:ind w:left="240" w:hanging="240"/>
    </w:pPr>
  </w:style>
  <w:style w:type="paragraph" w:styleId="TableofFigures">
    <w:name w:val="table of figures"/>
    <w:basedOn w:val="Normal"/>
    <w:next w:val="Normal"/>
    <w:rsid w:val="00972D04"/>
  </w:style>
  <w:style w:type="paragraph" w:styleId="TOAHeading">
    <w:name w:val="toa heading"/>
    <w:basedOn w:val="Normal"/>
    <w:next w:val="Normal"/>
    <w:rsid w:val="00972D04"/>
    <w:pPr>
      <w:spacing w:before="120"/>
    </w:pPr>
    <w:rPr>
      <w:b/>
      <w:bCs/>
      <w:szCs w:val="24"/>
    </w:rPr>
  </w:style>
  <w:style w:type="paragraph" w:styleId="Caption">
    <w:name w:val="caption"/>
    <w:basedOn w:val="Normal"/>
    <w:next w:val="Normal"/>
    <w:unhideWhenUsed/>
    <w:qFormat/>
    <w:rsid w:val="004119E6"/>
    <w:pPr>
      <w:spacing w:after="200"/>
    </w:pPr>
    <w:rPr>
      <w:b/>
      <w:bCs/>
      <w:color w:val="4F81BD"/>
      <w:sz w:val="18"/>
      <w:szCs w:val="18"/>
    </w:rPr>
  </w:style>
  <w:style w:type="paragraph" w:customStyle="1" w:styleId="xl64">
    <w:name w:val="xl64"/>
    <w:basedOn w:val="Normal"/>
    <w:rsid w:val="00837F37"/>
    <w:pPr>
      <w:spacing w:before="100" w:beforeAutospacing="1" w:after="100" w:afterAutospacing="1"/>
      <w:textAlignment w:val="top"/>
    </w:pPr>
    <w:rPr>
      <w:rFonts w:ascii="Times New Roman" w:hAnsi="Times New Roman"/>
      <w:szCs w:val="24"/>
      <w:lang w:eastAsia="en-AU"/>
    </w:rPr>
  </w:style>
  <w:style w:type="paragraph" w:customStyle="1" w:styleId="xl65">
    <w:name w:val="xl65"/>
    <w:basedOn w:val="Normal"/>
    <w:rsid w:val="00837F37"/>
    <w:pPr>
      <w:spacing w:before="100" w:beforeAutospacing="1" w:after="100" w:afterAutospacing="1"/>
    </w:pPr>
    <w:rPr>
      <w:rFonts w:ascii="Times New Roman" w:hAnsi="Times New Roman"/>
      <w:b/>
      <w:bCs/>
      <w:sz w:val="18"/>
      <w:szCs w:val="18"/>
      <w:lang w:eastAsia="en-AU"/>
    </w:rPr>
  </w:style>
  <w:style w:type="paragraph" w:customStyle="1" w:styleId="xl66">
    <w:name w:val="xl66"/>
    <w:basedOn w:val="Normal"/>
    <w:rsid w:val="00837F37"/>
    <w:pPr>
      <w:spacing w:before="100" w:beforeAutospacing="1" w:after="100" w:afterAutospacing="1"/>
    </w:pPr>
    <w:rPr>
      <w:rFonts w:ascii="Times New Roman" w:hAnsi="Times New Roman"/>
      <w:sz w:val="18"/>
      <w:szCs w:val="18"/>
      <w:lang w:eastAsia="en-AU"/>
    </w:rPr>
  </w:style>
  <w:style w:type="paragraph" w:customStyle="1" w:styleId="xl67">
    <w:name w:val="xl67"/>
    <w:basedOn w:val="Normal"/>
    <w:rsid w:val="00837F37"/>
    <w:pPr>
      <w:pBdr>
        <w:top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68">
    <w:name w:val="xl68"/>
    <w:basedOn w:val="Normal"/>
    <w:rsid w:val="00837F37"/>
    <w:pPr>
      <w:pBdr>
        <w:top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69">
    <w:name w:val="xl69"/>
    <w:basedOn w:val="Normal"/>
    <w:rsid w:val="00837F37"/>
    <w:pPr>
      <w:spacing w:before="100" w:beforeAutospacing="1" w:after="100" w:afterAutospacing="1"/>
      <w:jc w:val="right"/>
    </w:pPr>
    <w:rPr>
      <w:rFonts w:ascii="Times New Roman" w:hAnsi="Times New Roman"/>
      <w:b/>
      <w:bCs/>
      <w:sz w:val="18"/>
      <w:szCs w:val="18"/>
      <w:lang w:eastAsia="en-AU"/>
    </w:rPr>
  </w:style>
  <w:style w:type="paragraph" w:customStyle="1" w:styleId="xl70">
    <w:name w:val="xl70"/>
    <w:basedOn w:val="Normal"/>
    <w:rsid w:val="00837F37"/>
    <w:pPr>
      <w:pBdr>
        <w:bottom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71">
    <w:name w:val="xl71"/>
    <w:basedOn w:val="Normal"/>
    <w:rsid w:val="00837F37"/>
    <w:pPr>
      <w:pBdr>
        <w:bottom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72">
    <w:name w:val="xl72"/>
    <w:basedOn w:val="Normal"/>
    <w:rsid w:val="00837F37"/>
    <w:pPr>
      <w:spacing w:before="100" w:beforeAutospacing="1" w:after="100" w:afterAutospacing="1"/>
    </w:pPr>
    <w:rPr>
      <w:rFonts w:ascii="Times New Roman" w:hAnsi="Times New Roman"/>
      <w:sz w:val="18"/>
      <w:szCs w:val="18"/>
      <w:lang w:eastAsia="en-AU"/>
    </w:rPr>
  </w:style>
  <w:style w:type="paragraph" w:customStyle="1" w:styleId="xl73">
    <w:name w:val="xl73"/>
    <w:basedOn w:val="Normal"/>
    <w:rsid w:val="00837F37"/>
    <w:pPr>
      <w:spacing w:before="100" w:beforeAutospacing="1" w:after="100" w:afterAutospacing="1"/>
      <w:jc w:val="center"/>
    </w:pPr>
    <w:rPr>
      <w:rFonts w:ascii="Times New Roman" w:hAnsi="Times New Roman"/>
      <w:sz w:val="18"/>
      <w:szCs w:val="18"/>
      <w:lang w:eastAsia="en-AU"/>
    </w:rPr>
  </w:style>
  <w:style w:type="paragraph" w:customStyle="1" w:styleId="xl74">
    <w:name w:val="xl74"/>
    <w:basedOn w:val="Normal"/>
    <w:rsid w:val="00837F37"/>
    <w:pPr>
      <w:spacing w:before="100" w:beforeAutospacing="1" w:after="100" w:afterAutospacing="1"/>
      <w:textAlignment w:val="top"/>
    </w:pPr>
    <w:rPr>
      <w:rFonts w:ascii="Times New Roman" w:hAnsi="Times New Roman"/>
      <w:b/>
      <w:bCs/>
      <w:sz w:val="18"/>
      <w:szCs w:val="18"/>
      <w:lang w:eastAsia="en-AU"/>
    </w:rPr>
  </w:style>
  <w:style w:type="paragraph" w:customStyle="1" w:styleId="xl75">
    <w:name w:val="xl75"/>
    <w:basedOn w:val="Normal"/>
    <w:rsid w:val="00837F37"/>
    <w:pPr>
      <w:spacing w:before="100" w:beforeAutospacing="1" w:after="100" w:afterAutospacing="1"/>
      <w:textAlignment w:val="top"/>
    </w:pPr>
    <w:rPr>
      <w:rFonts w:ascii="Times New Roman" w:hAnsi="Times New Roman"/>
      <w:b/>
      <w:bCs/>
      <w:sz w:val="18"/>
      <w:szCs w:val="18"/>
      <w:lang w:eastAsia="en-AU"/>
    </w:rPr>
  </w:style>
  <w:style w:type="paragraph" w:customStyle="1" w:styleId="xl76">
    <w:name w:val="xl76"/>
    <w:basedOn w:val="Normal"/>
    <w:rsid w:val="00837F37"/>
    <w:pPr>
      <w:spacing w:before="100" w:beforeAutospacing="1" w:after="100" w:afterAutospacing="1"/>
      <w:textAlignment w:val="top"/>
    </w:pPr>
    <w:rPr>
      <w:rFonts w:ascii="Times New Roman" w:hAnsi="Times New Roman"/>
      <w:sz w:val="18"/>
      <w:szCs w:val="18"/>
      <w:lang w:eastAsia="en-AU"/>
    </w:rPr>
  </w:style>
  <w:style w:type="paragraph" w:customStyle="1" w:styleId="xl77">
    <w:name w:val="xl77"/>
    <w:basedOn w:val="Normal"/>
    <w:rsid w:val="00837F37"/>
    <w:pPr>
      <w:spacing w:before="100" w:beforeAutospacing="1" w:after="100" w:afterAutospacing="1"/>
      <w:textAlignment w:val="top"/>
    </w:pPr>
    <w:rPr>
      <w:rFonts w:ascii="Times New Roman" w:hAnsi="Times New Roman"/>
      <w:sz w:val="18"/>
      <w:szCs w:val="18"/>
      <w:lang w:eastAsia="en-AU"/>
    </w:rPr>
  </w:style>
  <w:style w:type="paragraph" w:customStyle="1" w:styleId="xl78">
    <w:name w:val="xl78"/>
    <w:basedOn w:val="Normal"/>
    <w:rsid w:val="00837F37"/>
    <w:pPr>
      <w:spacing w:before="100" w:beforeAutospacing="1" w:after="100" w:afterAutospacing="1"/>
      <w:textAlignment w:val="top"/>
    </w:pPr>
    <w:rPr>
      <w:rFonts w:ascii="Times New Roman" w:hAnsi="Times New Roman"/>
      <w:sz w:val="18"/>
      <w:szCs w:val="18"/>
      <w:lang w:eastAsia="en-AU"/>
    </w:rPr>
  </w:style>
  <w:style w:type="paragraph" w:customStyle="1" w:styleId="xl79">
    <w:name w:val="xl79"/>
    <w:basedOn w:val="Normal"/>
    <w:rsid w:val="00837F37"/>
    <w:pPr>
      <w:spacing w:before="100" w:beforeAutospacing="1" w:after="100" w:afterAutospacing="1"/>
    </w:pPr>
    <w:rPr>
      <w:rFonts w:ascii="Times New Roman" w:hAnsi="Times New Roman"/>
      <w:b/>
      <w:bCs/>
      <w:sz w:val="18"/>
      <w:szCs w:val="18"/>
      <w:lang w:eastAsia="en-AU"/>
    </w:rPr>
  </w:style>
  <w:style w:type="paragraph" w:customStyle="1" w:styleId="xl80">
    <w:name w:val="xl80"/>
    <w:basedOn w:val="Normal"/>
    <w:rsid w:val="00837F37"/>
    <w:pPr>
      <w:spacing w:before="100" w:beforeAutospacing="1" w:after="100" w:afterAutospacing="1"/>
    </w:pPr>
    <w:rPr>
      <w:rFonts w:ascii="Times New Roman" w:hAnsi="Times New Roman"/>
      <w:sz w:val="18"/>
      <w:szCs w:val="18"/>
      <w:lang w:eastAsia="en-AU"/>
    </w:rPr>
  </w:style>
  <w:style w:type="paragraph" w:customStyle="1" w:styleId="xl81">
    <w:name w:val="xl81"/>
    <w:basedOn w:val="Normal"/>
    <w:rsid w:val="00837F37"/>
    <w:pPr>
      <w:pBdr>
        <w:top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82">
    <w:name w:val="xl82"/>
    <w:basedOn w:val="Normal"/>
    <w:rsid w:val="00837F37"/>
    <w:pPr>
      <w:spacing w:before="100" w:beforeAutospacing="1" w:after="100" w:afterAutospacing="1"/>
      <w:jc w:val="right"/>
    </w:pPr>
    <w:rPr>
      <w:rFonts w:ascii="Times New Roman" w:hAnsi="Times New Roman"/>
      <w:b/>
      <w:bCs/>
      <w:sz w:val="18"/>
      <w:szCs w:val="18"/>
      <w:lang w:eastAsia="en-AU"/>
    </w:rPr>
  </w:style>
  <w:style w:type="paragraph" w:customStyle="1" w:styleId="xl83">
    <w:name w:val="xl83"/>
    <w:basedOn w:val="Normal"/>
    <w:rsid w:val="00837F37"/>
    <w:pPr>
      <w:pBdr>
        <w:bottom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84">
    <w:name w:val="xl84"/>
    <w:basedOn w:val="Normal"/>
    <w:rsid w:val="00837F37"/>
    <w:pPr>
      <w:spacing w:before="100" w:beforeAutospacing="1" w:after="100" w:afterAutospacing="1"/>
      <w:textAlignment w:val="top"/>
    </w:pPr>
    <w:rPr>
      <w:rFonts w:ascii="Times New Roman" w:hAnsi="Times New Roman"/>
      <w:sz w:val="18"/>
      <w:szCs w:val="18"/>
      <w:lang w:eastAsia="en-AU"/>
    </w:rPr>
  </w:style>
  <w:style w:type="paragraph" w:customStyle="1" w:styleId="xl85">
    <w:name w:val="xl85"/>
    <w:basedOn w:val="Normal"/>
    <w:rsid w:val="00837F37"/>
    <w:pPr>
      <w:spacing w:before="100" w:beforeAutospacing="1" w:after="100" w:afterAutospacing="1"/>
      <w:textAlignment w:val="center"/>
    </w:pPr>
    <w:rPr>
      <w:rFonts w:ascii="Times New Roman" w:hAnsi="Times New Roman"/>
      <w:sz w:val="18"/>
      <w:szCs w:val="18"/>
      <w:lang w:eastAsia="en-AU"/>
    </w:rPr>
  </w:style>
  <w:style w:type="paragraph" w:customStyle="1" w:styleId="xl86">
    <w:name w:val="xl86"/>
    <w:basedOn w:val="Normal"/>
    <w:rsid w:val="00837F37"/>
    <w:pPr>
      <w:spacing w:before="100" w:beforeAutospacing="1" w:after="100" w:afterAutospacing="1"/>
      <w:textAlignment w:val="center"/>
    </w:pPr>
    <w:rPr>
      <w:rFonts w:ascii="Times New Roman" w:hAnsi="Times New Roman"/>
      <w:sz w:val="18"/>
      <w:szCs w:val="18"/>
      <w:lang w:eastAsia="en-AU"/>
    </w:rPr>
  </w:style>
  <w:style w:type="paragraph" w:customStyle="1" w:styleId="xl87">
    <w:name w:val="xl87"/>
    <w:basedOn w:val="Normal"/>
    <w:rsid w:val="00837F37"/>
    <w:pPr>
      <w:pBdr>
        <w:bottom w:val="single" w:sz="4" w:space="0" w:color="auto"/>
      </w:pBdr>
      <w:spacing w:before="100" w:beforeAutospacing="1" w:after="100" w:afterAutospacing="1"/>
    </w:pPr>
    <w:rPr>
      <w:rFonts w:ascii="Times New Roman" w:hAnsi="Times New Roman"/>
      <w:b/>
      <w:bCs/>
      <w:sz w:val="18"/>
      <w:szCs w:val="18"/>
      <w:lang w:eastAsia="en-AU"/>
    </w:rPr>
  </w:style>
  <w:style w:type="paragraph" w:styleId="Revision">
    <w:name w:val="Revision"/>
    <w:hidden/>
    <w:uiPriority w:val="99"/>
    <w:semiHidden/>
    <w:rsid w:val="000D0038"/>
    <w:rPr>
      <w:rFonts w:ascii="Calibri" w:hAnsi="Calibri"/>
      <w:sz w:val="24"/>
      <w:lang w:eastAsia="en-US"/>
    </w:rPr>
  </w:style>
  <w:style w:type="character" w:customStyle="1" w:styleId="CommentTextChar">
    <w:name w:val="Comment Text Char"/>
    <w:basedOn w:val="DefaultParagraphFont"/>
    <w:link w:val="CommentText"/>
    <w:uiPriority w:val="99"/>
    <w:rsid w:val="00526CBE"/>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114325482">
      <w:bodyDiv w:val="1"/>
      <w:marLeft w:val="0"/>
      <w:marRight w:val="0"/>
      <w:marTop w:val="0"/>
      <w:marBottom w:val="0"/>
      <w:divBdr>
        <w:top w:val="none" w:sz="0" w:space="0" w:color="auto"/>
        <w:left w:val="none" w:sz="0" w:space="0" w:color="auto"/>
        <w:bottom w:val="none" w:sz="0" w:space="0" w:color="auto"/>
        <w:right w:val="none" w:sz="0" w:space="0" w:color="auto"/>
      </w:divBdr>
    </w:div>
    <w:div w:id="220674789">
      <w:bodyDiv w:val="1"/>
      <w:marLeft w:val="0"/>
      <w:marRight w:val="0"/>
      <w:marTop w:val="0"/>
      <w:marBottom w:val="0"/>
      <w:divBdr>
        <w:top w:val="none" w:sz="0" w:space="0" w:color="auto"/>
        <w:left w:val="none" w:sz="0" w:space="0" w:color="auto"/>
        <w:bottom w:val="none" w:sz="0" w:space="0" w:color="auto"/>
        <w:right w:val="none" w:sz="0" w:space="0" w:color="auto"/>
      </w:divBdr>
    </w:div>
    <w:div w:id="225577270">
      <w:bodyDiv w:val="1"/>
      <w:marLeft w:val="0"/>
      <w:marRight w:val="0"/>
      <w:marTop w:val="0"/>
      <w:marBottom w:val="0"/>
      <w:divBdr>
        <w:top w:val="none" w:sz="0" w:space="0" w:color="auto"/>
        <w:left w:val="none" w:sz="0" w:space="0" w:color="auto"/>
        <w:bottom w:val="none" w:sz="0" w:space="0" w:color="auto"/>
        <w:right w:val="none" w:sz="0" w:space="0" w:color="auto"/>
      </w:divBdr>
    </w:div>
    <w:div w:id="354503600">
      <w:bodyDiv w:val="1"/>
      <w:marLeft w:val="0"/>
      <w:marRight w:val="0"/>
      <w:marTop w:val="0"/>
      <w:marBottom w:val="0"/>
      <w:divBdr>
        <w:top w:val="none" w:sz="0" w:space="0" w:color="auto"/>
        <w:left w:val="none" w:sz="0" w:space="0" w:color="auto"/>
        <w:bottom w:val="none" w:sz="0" w:space="0" w:color="auto"/>
        <w:right w:val="none" w:sz="0" w:space="0" w:color="auto"/>
      </w:divBdr>
    </w:div>
    <w:div w:id="438986529">
      <w:bodyDiv w:val="1"/>
      <w:marLeft w:val="0"/>
      <w:marRight w:val="0"/>
      <w:marTop w:val="0"/>
      <w:marBottom w:val="0"/>
      <w:divBdr>
        <w:top w:val="none" w:sz="0" w:space="0" w:color="auto"/>
        <w:left w:val="none" w:sz="0" w:space="0" w:color="auto"/>
        <w:bottom w:val="none" w:sz="0" w:space="0" w:color="auto"/>
        <w:right w:val="none" w:sz="0" w:space="0" w:color="auto"/>
      </w:divBdr>
    </w:div>
    <w:div w:id="446890965">
      <w:bodyDiv w:val="1"/>
      <w:marLeft w:val="0"/>
      <w:marRight w:val="0"/>
      <w:marTop w:val="0"/>
      <w:marBottom w:val="0"/>
      <w:divBdr>
        <w:top w:val="none" w:sz="0" w:space="0" w:color="auto"/>
        <w:left w:val="none" w:sz="0" w:space="0" w:color="auto"/>
        <w:bottom w:val="none" w:sz="0" w:space="0" w:color="auto"/>
        <w:right w:val="none" w:sz="0" w:space="0" w:color="auto"/>
      </w:divBdr>
    </w:div>
    <w:div w:id="538128520">
      <w:bodyDiv w:val="1"/>
      <w:marLeft w:val="0"/>
      <w:marRight w:val="0"/>
      <w:marTop w:val="0"/>
      <w:marBottom w:val="0"/>
      <w:divBdr>
        <w:top w:val="none" w:sz="0" w:space="0" w:color="auto"/>
        <w:left w:val="none" w:sz="0" w:space="0" w:color="auto"/>
        <w:bottom w:val="none" w:sz="0" w:space="0" w:color="auto"/>
        <w:right w:val="none" w:sz="0" w:space="0" w:color="auto"/>
      </w:divBdr>
    </w:div>
    <w:div w:id="680468827">
      <w:bodyDiv w:val="1"/>
      <w:marLeft w:val="0"/>
      <w:marRight w:val="0"/>
      <w:marTop w:val="0"/>
      <w:marBottom w:val="0"/>
      <w:divBdr>
        <w:top w:val="none" w:sz="0" w:space="0" w:color="auto"/>
        <w:left w:val="none" w:sz="0" w:space="0" w:color="auto"/>
        <w:bottom w:val="none" w:sz="0" w:space="0" w:color="auto"/>
        <w:right w:val="none" w:sz="0" w:space="0" w:color="auto"/>
      </w:divBdr>
      <w:divsChild>
        <w:div w:id="300772514">
          <w:marLeft w:val="0"/>
          <w:marRight w:val="0"/>
          <w:marTop w:val="0"/>
          <w:marBottom w:val="0"/>
          <w:divBdr>
            <w:top w:val="none" w:sz="0" w:space="0" w:color="auto"/>
            <w:left w:val="none" w:sz="0" w:space="0" w:color="auto"/>
            <w:bottom w:val="none" w:sz="0" w:space="0" w:color="auto"/>
            <w:right w:val="none" w:sz="0" w:space="0" w:color="auto"/>
          </w:divBdr>
          <w:divsChild>
            <w:div w:id="1111818424">
              <w:marLeft w:val="0"/>
              <w:marRight w:val="0"/>
              <w:marTop w:val="300"/>
              <w:marBottom w:val="0"/>
              <w:divBdr>
                <w:top w:val="none" w:sz="0" w:space="0" w:color="auto"/>
                <w:left w:val="none" w:sz="0" w:space="0" w:color="auto"/>
                <w:bottom w:val="none" w:sz="0" w:space="0" w:color="auto"/>
                <w:right w:val="none" w:sz="0" w:space="0" w:color="auto"/>
              </w:divBdr>
              <w:divsChild>
                <w:div w:id="1553537608">
                  <w:marLeft w:val="3750"/>
                  <w:marRight w:val="2325"/>
                  <w:marTop w:val="0"/>
                  <w:marBottom w:val="300"/>
                  <w:divBdr>
                    <w:top w:val="single" w:sz="12" w:space="0" w:color="CCCCCC"/>
                    <w:left w:val="single" w:sz="12" w:space="0" w:color="CCCCCC"/>
                    <w:bottom w:val="none" w:sz="0" w:space="0" w:color="auto"/>
                    <w:right w:val="single" w:sz="12" w:space="0" w:color="CCCCCC"/>
                  </w:divBdr>
                  <w:divsChild>
                    <w:div w:id="590504078">
                      <w:marLeft w:val="0"/>
                      <w:marRight w:val="0"/>
                      <w:marTop w:val="0"/>
                      <w:marBottom w:val="0"/>
                      <w:divBdr>
                        <w:top w:val="none" w:sz="0" w:space="0" w:color="auto"/>
                        <w:left w:val="none" w:sz="0" w:space="0" w:color="auto"/>
                        <w:bottom w:val="none" w:sz="0" w:space="0" w:color="auto"/>
                        <w:right w:val="none" w:sz="0" w:space="0" w:color="auto"/>
                      </w:divBdr>
                      <w:divsChild>
                        <w:div w:id="12755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49495">
      <w:bodyDiv w:val="1"/>
      <w:marLeft w:val="0"/>
      <w:marRight w:val="0"/>
      <w:marTop w:val="0"/>
      <w:marBottom w:val="0"/>
      <w:divBdr>
        <w:top w:val="none" w:sz="0" w:space="0" w:color="auto"/>
        <w:left w:val="none" w:sz="0" w:space="0" w:color="auto"/>
        <w:bottom w:val="none" w:sz="0" w:space="0" w:color="auto"/>
        <w:right w:val="none" w:sz="0" w:space="0" w:color="auto"/>
      </w:divBdr>
    </w:div>
    <w:div w:id="848788660">
      <w:bodyDiv w:val="1"/>
      <w:marLeft w:val="0"/>
      <w:marRight w:val="0"/>
      <w:marTop w:val="0"/>
      <w:marBottom w:val="0"/>
      <w:divBdr>
        <w:top w:val="none" w:sz="0" w:space="0" w:color="auto"/>
        <w:left w:val="none" w:sz="0" w:space="0" w:color="auto"/>
        <w:bottom w:val="none" w:sz="0" w:space="0" w:color="auto"/>
        <w:right w:val="none" w:sz="0" w:space="0" w:color="auto"/>
      </w:divBdr>
    </w:div>
    <w:div w:id="865480046">
      <w:bodyDiv w:val="1"/>
      <w:marLeft w:val="0"/>
      <w:marRight w:val="0"/>
      <w:marTop w:val="0"/>
      <w:marBottom w:val="0"/>
      <w:divBdr>
        <w:top w:val="none" w:sz="0" w:space="0" w:color="auto"/>
        <w:left w:val="none" w:sz="0" w:space="0" w:color="auto"/>
        <w:bottom w:val="none" w:sz="0" w:space="0" w:color="auto"/>
        <w:right w:val="none" w:sz="0" w:space="0" w:color="auto"/>
      </w:divBdr>
    </w:div>
    <w:div w:id="943458810">
      <w:bodyDiv w:val="1"/>
      <w:marLeft w:val="0"/>
      <w:marRight w:val="0"/>
      <w:marTop w:val="0"/>
      <w:marBottom w:val="0"/>
      <w:divBdr>
        <w:top w:val="none" w:sz="0" w:space="0" w:color="auto"/>
        <w:left w:val="none" w:sz="0" w:space="0" w:color="auto"/>
        <w:bottom w:val="none" w:sz="0" w:space="0" w:color="auto"/>
        <w:right w:val="none" w:sz="0" w:space="0" w:color="auto"/>
      </w:divBdr>
    </w:div>
    <w:div w:id="1017776749">
      <w:bodyDiv w:val="1"/>
      <w:marLeft w:val="0"/>
      <w:marRight w:val="0"/>
      <w:marTop w:val="0"/>
      <w:marBottom w:val="0"/>
      <w:divBdr>
        <w:top w:val="none" w:sz="0" w:space="0" w:color="auto"/>
        <w:left w:val="none" w:sz="0" w:space="0" w:color="auto"/>
        <w:bottom w:val="none" w:sz="0" w:space="0" w:color="auto"/>
        <w:right w:val="none" w:sz="0" w:space="0" w:color="auto"/>
      </w:divBdr>
    </w:div>
    <w:div w:id="1106925824">
      <w:bodyDiv w:val="1"/>
      <w:marLeft w:val="0"/>
      <w:marRight w:val="0"/>
      <w:marTop w:val="0"/>
      <w:marBottom w:val="0"/>
      <w:divBdr>
        <w:top w:val="none" w:sz="0" w:space="0" w:color="auto"/>
        <w:left w:val="none" w:sz="0" w:space="0" w:color="auto"/>
        <w:bottom w:val="none" w:sz="0" w:space="0" w:color="auto"/>
        <w:right w:val="none" w:sz="0" w:space="0" w:color="auto"/>
      </w:divBdr>
    </w:div>
    <w:div w:id="1134375307">
      <w:bodyDiv w:val="1"/>
      <w:marLeft w:val="0"/>
      <w:marRight w:val="0"/>
      <w:marTop w:val="0"/>
      <w:marBottom w:val="0"/>
      <w:divBdr>
        <w:top w:val="none" w:sz="0" w:space="0" w:color="auto"/>
        <w:left w:val="none" w:sz="0" w:space="0" w:color="auto"/>
        <w:bottom w:val="none" w:sz="0" w:space="0" w:color="auto"/>
        <w:right w:val="none" w:sz="0" w:space="0" w:color="auto"/>
      </w:divBdr>
    </w:div>
    <w:div w:id="1226453532">
      <w:bodyDiv w:val="1"/>
      <w:marLeft w:val="0"/>
      <w:marRight w:val="0"/>
      <w:marTop w:val="0"/>
      <w:marBottom w:val="0"/>
      <w:divBdr>
        <w:top w:val="none" w:sz="0" w:space="0" w:color="auto"/>
        <w:left w:val="none" w:sz="0" w:space="0" w:color="auto"/>
        <w:bottom w:val="none" w:sz="0" w:space="0" w:color="auto"/>
        <w:right w:val="none" w:sz="0" w:space="0" w:color="auto"/>
      </w:divBdr>
      <w:divsChild>
        <w:div w:id="149489977">
          <w:marLeft w:val="0"/>
          <w:marRight w:val="0"/>
          <w:marTop w:val="0"/>
          <w:marBottom w:val="0"/>
          <w:divBdr>
            <w:top w:val="none" w:sz="0" w:space="0" w:color="auto"/>
            <w:left w:val="none" w:sz="0" w:space="0" w:color="auto"/>
            <w:bottom w:val="none" w:sz="0" w:space="0" w:color="auto"/>
            <w:right w:val="none" w:sz="0" w:space="0" w:color="auto"/>
          </w:divBdr>
          <w:divsChild>
            <w:div w:id="1940676084">
              <w:marLeft w:val="0"/>
              <w:marRight w:val="0"/>
              <w:marTop w:val="300"/>
              <w:marBottom w:val="0"/>
              <w:divBdr>
                <w:top w:val="none" w:sz="0" w:space="0" w:color="auto"/>
                <w:left w:val="none" w:sz="0" w:space="0" w:color="auto"/>
                <w:bottom w:val="none" w:sz="0" w:space="0" w:color="auto"/>
                <w:right w:val="none" w:sz="0" w:space="0" w:color="auto"/>
              </w:divBdr>
              <w:divsChild>
                <w:div w:id="960846117">
                  <w:marLeft w:val="3750"/>
                  <w:marRight w:val="2325"/>
                  <w:marTop w:val="0"/>
                  <w:marBottom w:val="300"/>
                  <w:divBdr>
                    <w:top w:val="single" w:sz="12" w:space="0" w:color="CCCCCC"/>
                    <w:left w:val="single" w:sz="12" w:space="0" w:color="CCCCCC"/>
                    <w:bottom w:val="none" w:sz="0" w:space="0" w:color="auto"/>
                    <w:right w:val="single" w:sz="12" w:space="0" w:color="CCCCCC"/>
                  </w:divBdr>
                  <w:divsChild>
                    <w:div w:id="93670153">
                      <w:marLeft w:val="0"/>
                      <w:marRight w:val="0"/>
                      <w:marTop w:val="0"/>
                      <w:marBottom w:val="0"/>
                      <w:divBdr>
                        <w:top w:val="none" w:sz="0" w:space="0" w:color="auto"/>
                        <w:left w:val="none" w:sz="0" w:space="0" w:color="auto"/>
                        <w:bottom w:val="none" w:sz="0" w:space="0" w:color="auto"/>
                        <w:right w:val="none" w:sz="0" w:space="0" w:color="auto"/>
                      </w:divBdr>
                      <w:divsChild>
                        <w:div w:id="157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178450">
      <w:bodyDiv w:val="1"/>
      <w:marLeft w:val="0"/>
      <w:marRight w:val="0"/>
      <w:marTop w:val="0"/>
      <w:marBottom w:val="0"/>
      <w:divBdr>
        <w:top w:val="none" w:sz="0" w:space="0" w:color="auto"/>
        <w:left w:val="none" w:sz="0" w:space="0" w:color="auto"/>
        <w:bottom w:val="none" w:sz="0" w:space="0" w:color="auto"/>
        <w:right w:val="none" w:sz="0" w:space="0" w:color="auto"/>
      </w:divBdr>
    </w:div>
    <w:div w:id="1314749448">
      <w:bodyDiv w:val="1"/>
      <w:marLeft w:val="0"/>
      <w:marRight w:val="0"/>
      <w:marTop w:val="0"/>
      <w:marBottom w:val="0"/>
      <w:divBdr>
        <w:top w:val="none" w:sz="0" w:space="0" w:color="auto"/>
        <w:left w:val="none" w:sz="0" w:space="0" w:color="auto"/>
        <w:bottom w:val="none" w:sz="0" w:space="0" w:color="auto"/>
        <w:right w:val="none" w:sz="0" w:space="0" w:color="auto"/>
      </w:divBdr>
    </w:div>
    <w:div w:id="1505513504">
      <w:bodyDiv w:val="1"/>
      <w:marLeft w:val="0"/>
      <w:marRight w:val="0"/>
      <w:marTop w:val="0"/>
      <w:marBottom w:val="0"/>
      <w:divBdr>
        <w:top w:val="none" w:sz="0" w:space="0" w:color="auto"/>
        <w:left w:val="none" w:sz="0" w:space="0" w:color="auto"/>
        <w:bottom w:val="none" w:sz="0" w:space="0" w:color="auto"/>
        <w:right w:val="none" w:sz="0" w:space="0" w:color="auto"/>
      </w:divBdr>
    </w:div>
    <w:div w:id="1562519358">
      <w:bodyDiv w:val="1"/>
      <w:marLeft w:val="0"/>
      <w:marRight w:val="0"/>
      <w:marTop w:val="0"/>
      <w:marBottom w:val="0"/>
      <w:divBdr>
        <w:top w:val="none" w:sz="0" w:space="0" w:color="auto"/>
        <w:left w:val="none" w:sz="0" w:space="0" w:color="auto"/>
        <w:bottom w:val="none" w:sz="0" w:space="0" w:color="auto"/>
        <w:right w:val="none" w:sz="0" w:space="0" w:color="auto"/>
      </w:divBdr>
    </w:div>
    <w:div w:id="1607081963">
      <w:bodyDiv w:val="1"/>
      <w:marLeft w:val="0"/>
      <w:marRight w:val="0"/>
      <w:marTop w:val="0"/>
      <w:marBottom w:val="0"/>
      <w:divBdr>
        <w:top w:val="none" w:sz="0" w:space="0" w:color="auto"/>
        <w:left w:val="none" w:sz="0" w:space="0" w:color="auto"/>
        <w:bottom w:val="none" w:sz="0" w:space="0" w:color="auto"/>
        <w:right w:val="none" w:sz="0" w:space="0" w:color="auto"/>
      </w:divBdr>
    </w:div>
    <w:div w:id="1791975006">
      <w:bodyDiv w:val="1"/>
      <w:marLeft w:val="0"/>
      <w:marRight w:val="0"/>
      <w:marTop w:val="0"/>
      <w:marBottom w:val="0"/>
      <w:divBdr>
        <w:top w:val="none" w:sz="0" w:space="0" w:color="auto"/>
        <w:left w:val="none" w:sz="0" w:space="0" w:color="auto"/>
        <w:bottom w:val="none" w:sz="0" w:space="0" w:color="auto"/>
        <w:right w:val="none" w:sz="0" w:space="0" w:color="auto"/>
      </w:divBdr>
    </w:div>
    <w:div w:id="1804882361">
      <w:bodyDiv w:val="1"/>
      <w:marLeft w:val="0"/>
      <w:marRight w:val="0"/>
      <w:marTop w:val="0"/>
      <w:marBottom w:val="0"/>
      <w:divBdr>
        <w:top w:val="none" w:sz="0" w:space="0" w:color="auto"/>
        <w:left w:val="none" w:sz="0" w:space="0" w:color="auto"/>
        <w:bottom w:val="none" w:sz="0" w:space="0" w:color="auto"/>
        <w:right w:val="none" w:sz="0" w:space="0" w:color="auto"/>
      </w:divBdr>
    </w:div>
    <w:div w:id="1815753709">
      <w:bodyDiv w:val="1"/>
      <w:marLeft w:val="0"/>
      <w:marRight w:val="0"/>
      <w:marTop w:val="0"/>
      <w:marBottom w:val="0"/>
      <w:divBdr>
        <w:top w:val="none" w:sz="0" w:space="0" w:color="auto"/>
        <w:left w:val="none" w:sz="0" w:space="0" w:color="auto"/>
        <w:bottom w:val="none" w:sz="0" w:space="0" w:color="auto"/>
        <w:right w:val="none" w:sz="0" w:space="0" w:color="auto"/>
      </w:divBdr>
    </w:div>
    <w:div w:id="1834763231">
      <w:bodyDiv w:val="1"/>
      <w:marLeft w:val="0"/>
      <w:marRight w:val="0"/>
      <w:marTop w:val="0"/>
      <w:marBottom w:val="0"/>
      <w:divBdr>
        <w:top w:val="none" w:sz="0" w:space="0" w:color="auto"/>
        <w:left w:val="none" w:sz="0" w:space="0" w:color="auto"/>
        <w:bottom w:val="none" w:sz="0" w:space="0" w:color="auto"/>
        <w:right w:val="none" w:sz="0" w:space="0" w:color="auto"/>
      </w:divBdr>
    </w:div>
    <w:div w:id="1921476928">
      <w:bodyDiv w:val="1"/>
      <w:marLeft w:val="0"/>
      <w:marRight w:val="0"/>
      <w:marTop w:val="0"/>
      <w:marBottom w:val="0"/>
      <w:divBdr>
        <w:top w:val="none" w:sz="0" w:space="0" w:color="auto"/>
        <w:left w:val="none" w:sz="0" w:space="0" w:color="auto"/>
        <w:bottom w:val="none" w:sz="0" w:space="0" w:color="auto"/>
        <w:right w:val="none" w:sz="0" w:space="0" w:color="auto"/>
      </w:divBdr>
    </w:div>
    <w:div w:id="1924030405">
      <w:bodyDiv w:val="1"/>
      <w:marLeft w:val="0"/>
      <w:marRight w:val="0"/>
      <w:marTop w:val="0"/>
      <w:marBottom w:val="0"/>
      <w:divBdr>
        <w:top w:val="none" w:sz="0" w:space="0" w:color="auto"/>
        <w:left w:val="none" w:sz="0" w:space="0" w:color="auto"/>
        <w:bottom w:val="none" w:sz="0" w:space="0" w:color="auto"/>
        <w:right w:val="none" w:sz="0" w:space="0" w:color="auto"/>
      </w:divBdr>
    </w:div>
    <w:div w:id="19698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233D-C1A0-4F84-A894-D11031B5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8830</Words>
  <Characters>51849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2013-14 Budget Paper 4: Environment and Sustainable Development Directorate</vt:lpstr>
    </vt:vector>
  </TitlesOfParts>
  <Company>ACT Government</Company>
  <LinksUpToDate>false</LinksUpToDate>
  <CharactersWithSpaces>60558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Environment and Sustainable Development Directorate</dc:title>
  <dc:subject>Environment and Sustainable Development Directorate</dc:subject>
  <dc:creator>Chief Minister and Treasury Directorate</dc:creator>
  <cp:lastModifiedBy>Keaton Paterson</cp:lastModifiedBy>
  <cp:revision>3</cp:revision>
  <cp:lastPrinted>2013-05-26T05:28:00Z</cp:lastPrinted>
  <dcterms:created xsi:type="dcterms:W3CDTF">2013-05-28T10:03:00Z</dcterms:created>
  <dcterms:modified xsi:type="dcterms:W3CDTF">2013-05-30T02:57:00Z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