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CC3" w:rsidRPr="00CF1A8C" w:rsidRDefault="00280701" w:rsidP="00377CC3">
      <w:pPr>
        <w:pStyle w:val="Heading1"/>
      </w:pPr>
      <w:r>
        <w:t>chief minister and treasury directorate</w:t>
      </w:r>
    </w:p>
    <w:p w:rsidR="00377CC3" w:rsidRPr="00CF1A8C" w:rsidRDefault="00DE6A93" w:rsidP="00377CC3">
      <w:pPr>
        <w:pStyle w:val="Heading3"/>
      </w:pPr>
      <w:r>
        <w:t>Purpose</w:t>
      </w:r>
      <w:r w:rsidR="00377CC3" w:rsidRPr="00CF1A8C">
        <w:t xml:space="preserve"> </w:t>
      </w:r>
      <w:r w:rsidR="00280701">
        <w:t xml:space="preserve"> </w:t>
      </w:r>
    </w:p>
    <w:p w:rsidR="00DD3228" w:rsidRDefault="00280701" w:rsidP="00561B4D">
      <w:pPr>
        <w:pStyle w:val="BodyText"/>
        <w:keepNext/>
        <w:keepLines/>
      </w:pPr>
      <w:bookmarkStart w:id="0" w:name="OLE_LINK2"/>
      <w:r w:rsidRPr="005D28D8">
        <w:t xml:space="preserve">The Chief Minister and </w:t>
      </w:r>
      <w:r w:rsidR="00B43366" w:rsidRPr="005D28D8">
        <w:t>Treasury</w:t>
      </w:r>
      <w:r w:rsidRPr="005D28D8">
        <w:t xml:space="preserve"> Directorate (the Directorate) provides strategic</w:t>
      </w:r>
      <w:r w:rsidR="007A657B">
        <w:t xml:space="preserve"> policy</w:t>
      </w:r>
      <w:r w:rsidRPr="005D28D8">
        <w:t xml:space="preserve"> advice and </w:t>
      </w:r>
      <w:r w:rsidR="007A657B">
        <w:t xml:space="preserve">high level </w:t>
      </w:r>
      <w:r w:rsidRPr="005D28D8">
        <w:t>support to the Chief Minister</w:t>
      </w:r>
      <w:r w:rsidR="00B43366" w:rsidRPr="005D28D8">
        <w:t>, Treasurer, Minister for Workplace Safety</w:t>
      </w:r>
      <w:r w:rsidR="005D28D8">
        <w:t xml:space="preserve"> and Industrial Relations</w:t>
      </w:r>
      <w:r w:rsidRPr="005D28D8">
        <w:t xml:space="preserve"> and the Cabinet on policy development, service delivery and whole</w:t>
      </w:r>
      <w:r w:rsidR="00CC7FBE">
        <w:t xml:space="preserve"> </w:t>
      </w:r>
      <w:r w:rsidRPr="005D28D8">
        <w:t>of</w:t>
      </w:r>
      <w:r w:rsidR="00CC7FBE">
        <w:t xml:space="preserve"> </w:t>
      </w:r>
      <w:r w:rsidRPr="005D28D8">
        <w:t>government issues</w:t>
      </w:r>
      <w:r w:rsidR="007A657B">
        <w:t xml:space="preserve">; </w:t>
      </w:r>
      <w:r w:rsidR="001C763B">
        <w:t>preparation of the annual budget</w:t>
      </w:r>
      <w:r w:rsidR="0088636C">
        <w:t xml:space="preserve"> and whole of government financial reports</w:t>
      </w:r>
      <w:r w:rsidR="0055016D">
        <w:t>;</w:t>
      </w:r>
      <w:r w:rsidR="001C763B">
        <w:t xml:space="preserve"> and ad</w:t>
      </w:r>
      <w:r w:rsidR="0088636C">
        <w:t>vice on financial management,</w:t>
      </w:r>
      <w:r w:rsidR="001C763B">
        <w:t xml:space="preserve"> economic issues</w:t>
      </w:r>
      <w:r w:rsidR="00C17D95">
        <w:t xml:space="preserve"> and revenue policy</w:t>
      </w:r>
      <w:r w:rsidR="001C763B">
        <w:t xml:space="preserve">; </w:t>
      </w:r>
      <w:r w:rsidR="007A657B">
        <w:t>in addition to support</w:t>
      </w:r>
      <w:r w:rsidR="00DD3228" w:rsidRPr="005D28D8">
        <w:t xml:space="preserve"> through machinery of government and </w:t>
      </w:r>
      <w:r w:rsidR="003F2E7D">
        <w:t>C</w:t>
      </w:r>
      <w:r w:rsidR="003F2E7D" w:rsidRPr="005D28D8">
        <w:t xml:space="preserve">abinet </w:t>
      </w:r>
      <w:r w:rsidR="00DD3228" w:rsidRPr="005D28D8">
        <w:t>processes</w:t>
      </w:r>
      <w:r w:rsidR="007A657B">
        <w:t>.</w:t>
      </w:r>
    </w:p>
    <w:p w:rsidR="00280701" w:rsidRDefault="00DD3228" w:rsidP="00561B4D">
      <w:pPr>
        <w:pStyle w:val="BodyText"/>
        <w:keepNext/>
        <w:keepLines/>
      </w:pPr>
      <w:r>
        <w:t>The Directorate also</w:t>
      </w:r>
      <w:r w:rsidR="00280701" w:rsidRPr="005D28D8">
        <w:t xml:space="preserve"> provid</w:t>
      </w:r>
      <w:r>
        <w:t>es</w:t>
      </w:r>
      <w:r w:rsidR="00280701" w:rsidRPr="005D28D8">
        <w:t xml:space="preserve"> policy and procedural support for the leadership role of the Head of Service, who chairs the ACT Public Service Strategic Board.</w:t>
      </w:r>
    </w:p>
    <w:p w:rsidR="00280701" w:rsidRPr="005D28D8" w:rsidRDefault="007A657B" w:rsidP="00561B4D">
      <w:pPr>
        <w:pStyle w:val="BodyText"/>
        <w:keepNext/>
        <w:keepLines/>
      </w:pPr>
      <w:r>
        <w:t>A</w:t>
      </w:r>
      <w:r w:rsidR="000547D8">
        <w:t>s a</w:t>
      </w:r>
      <w:r>
        <w:t xml:space="preserve"> central agency,</w:t>
      </w:r>
      <w:r w:rsidR="000547D8">
        <w:t xml:space="preserve"> a key focus</w:t>
      </w:r>
      <w:r>
        <w:t xml:space="preserve"> is the</w:t>
      </w:r>
      <w:r w:rsidR="007B5983">
        <w:t xml:space="preserve"> </w:t>
      </w:r>
      <w:r w:rsidR="007B5983" w:rsidRPr="005D28D8">
        <w:t>facilitat</w:t>
      </w:r>
      <w:r w:rsidR="007B5983">
        <w:t>ion of</w:t>
      </w:r>
      <w:r w:rsidR="007B5983" w:rsidRPr="005D28D8">
        <w:t xml:space="preserve"> </w:t>
      </w:r>
      <w:r w:rsidR="007B5983">
        <w:t>implementing</w:t>
      </w:r>
      <w:r w:rsidR="007B5983" w:rsidRPr="005D28D8">
        <w:t xml:space="preserve"> Government priorities</w:t>
      </w:r>
      <w:r w:rsidR="007B5983">
        <w:t xml:space="preserve"> and the </w:t>
      </w:r>
      <w:r>
        <w:t xml:space="preserve">provision of </w:t>
      </w:r>
      <w:r w:rsidR="00DD3228">
        <w:t xml:space="preserve">advice and direction </w:t>
      </w:r>
      <w:r w:rsidR="007B5983" w:rsidRPr="005D28D8">
        <w:t>across the ACT Public Service (ACTPS) on</w:t>
      </w:r>
      <w:r w:rsidR="007B5983">
        <w:t xml:space="preserve"> </w:t>
      </w:r>
      <w:r w:rsidR="007B5983" w:rsidRPr="005D28D8">
        <w:t>policy and strategy</w:t>
      </w:r>
      <w:r w:rsidR="000547D8">
        <w:t>. This</w:t>
      </w:r>
      <w:r w:rsidR="007B5983" w:rsidRPr="005D28D8">
        <w:t xml:space="preserve"> includ</w:t>
      </w:r>
      <w:r w:rsidR="000547D8">
        <w:t>es</w:t>
      </w:r>
      <w:r w:rsidR="007B5983" w:rsidRPr="005D28D8">
        <w:t xml:space="preserve"> a specific role in areas such as </w:t>
      </w:r>
      <w:r w:rsidR="007B5983">
        <w:t xml:space="preserve">financial and economic management for the Territory, </w:t>
      </w:r>
      <w:r w:rsidR="007B5983" w:rsidRPr="005D28D8">
        <w:t>sustainability policy alignment, demograph</w:t>
      </w:r>
      <w:r w:rsidR="007B5983">
        <w:t>ic</w:t>
      </w:r>
      <w:r w:rsidR="007B5983" w:rsidRPr="005D28D8">
        <w:t xml:space="preserve"> and regional policy and relationships, managing the ACT’s intergovernmental relationships and supporting the Chief Minister’s role on the Council of Australian Governments (COAG).</w:t>
      </w:r>
    </w:p>
    <w:p w:rsidR="00280701" w:rsidRPr="005D28D8" w:rsidRDefault="00280701" w:rsidP="00561B4D">
      <w:pPr>
        <w:pStyle w:val="BodyText"/>
        <w:keepNext/>
        <w:keepLines/>
      </w:pPr>
      <w:r w:rsidRPr="005D28D8">
        <w:t xml:space="preserve">The Directorate is responsible for strategic planning and direction on public sector standards, including </w:t>
      </w:r>
      <w:r w:rsidR="000C2C5A">
        <w:t>across</w:t>
      </w:r>
      <w:r w:rsidR="00A67072">
        <w:noBreakHyphen/>
      </w:r>
      <w:proofErr w:type="spellStart"/>
      <w:r w:rsidR="000C2C5A">
        <w:t>government</w:t>
      </w:r>
      <w:proofErr w:type="spellEnd"/>
      <w:r w:rsidRPr="005D28D8">
        <w:t xml:space="preserve"> employment, workforce culture and capability, industrial relations, learning and development, the implementation of machinery of government changes, and the promotion of</w:t>
      </w:r>
      <w:r w:rsidR="00C32A2B">
        <w:t xml:space="preserve"> transparency,</w:t>
      </w:r>
      <w:r w:rsidRPr="005D28D8">
        <w:t xml:space="preserve"> ethics and accountability.</w:t>
      </w:r>
    </w:p>
    <w:p w:rsidR="00280701" w:rsidRPr="005D28D8" w:rsidRDefault="00280701" w:rsidP="00561B4D">
      <w:pPr>
        <w:pStyle w:val="BodyText"/>
        <w:keepNext/>
        <w:keepLines/>
      </w:pPr>
      <w:r w:rsidRPr="005D28D8">
        <w:t xml:space="preserve">A primary objective is the enhancement of workplace health and safety and private sector workers’ compensation through policy development, advice to </w:t>
      </w:r>
      <w:r w:rsidR="006C1E8C">
        <w:t>the G</w:t>
      </w:r>
      <w:r w:rsidRPr="005D28D8">
        <w:t>overnment</w:t>
      </w:r>
      <w:r w:rsidR="007B5983">
        <w:t>,</w:t>
      </w:r>
      <w:r w:rsidRPr="005D28D8">
        <w:t xml:space="preserve"> and coordination of Territory consultative bodies.</w:t>
      </w:r>
    </w:p>
    <w:p w:rsidR="00280701" w:rsidRPr="005D28D8" w:rsidRDefault="00280701" w:rsidP="00561B4D">
      <w:pPr>
        <w:pStyle w:val="BodyText"/>
        <w:keepNext/>
        <w:keepLines/>
      </w:pPr>
      <w:r w:rsidRPr="005D28D8">
        <w:t xml:space="preserve">The Directorate is </w:t>
      </w:r>
      <w:r w:rsidR="00C67C12">
        <w:t xml:space="preserve">also </w:t>
      </w:r>
      <w:r w:rsidRPr="005D28D8">
        <w:t>responsible for whole</w:t>
      </w:r>
      <w:r w:rsidR="00CC7FBE">
        <w:t xml:space="preserve"> </w:t>
      </w:r>
      <w:r w:rsidRPr="005D28D8">
        <w:t>of</w:t>
      </w:r>
      <w:r w:rsidR="00CC7FBE">
        <w:t xml:space="preserve"> </w:t>
      </w:r>
      <w:r w:rsidRPr="005D28D8">
        <w:t xml:space="preserve">government communications, the provision </w:t>
      </w:r>
      <w:proofErr w:type="gramStart"/>
      <w:r w:rsidRPr="005D28D8">
        <w:t>of</w:t>
      </w:r>
      <w:proofErr w:type="gramEnd"/>
      <w:r w:rsidRPr="005D28D8">
        <w:t xml:space="preserve"> public affairs advice and the coordination of the compliance with campaign advertising legislation and guidelines</w:t>
      </w:r>
      <w:r w:rsidR="00E95C73">
        <w:t xml:space="preserve"> by all directorates</w:t>
      </w:r>
      <w:r w:rsidRPr="005D28D8">
        <w:t>.  This includes work to enhance communications and community engagement across</w:t>
      </w:r>
      <w:r w:rsidR="00CC7FBE">
        <w:t xml:space="preserve"> </w:t>
      </w:r>
      <w:r w:rsidRPr="005D28D8">
        <w:t>government, and to seek the community’s views as part of decision-making processes.</w:t>
      </w:r>
    </w:p>
    <w:p w:rsidR="003746DE" w:rsidRDefault="00280701" w:rsidP="00561B4D">
      <w:pPr>
        <w:pStyle w:val="BodyText"/>
        <w:keepNext/>
        <w:keepLines/>
      </w:pPr>
      <w:r w:rsidRPr="005D28D8">
        <w:t xml:space="preserve">The </w:t>
      </w:r>
      <w:r w:rsidR="000547D8">
        <w:t xml:space="preserve">final half of the </w:t>
      </w:r>
      <w:r w:rsidRPr="005D28D8">
        <w:t xml:space="preserve">Centenary of Canberra program </w:t>
      </w:r>
      <w:r w:rsidR="000547D8">
        <w:t>will be a</w:t>
      </w:r>
      <w:r w:rsidRPr="005D28D8">
        <w:t xml:space="preserve"> </w:t>
      </w:r>
      <w:r w:rsidR="007B5983">
        <w:t>significant</w:t>
      </w:r>
      <w:r w:rsidRPr="005D28D8">
        <w:t xml:space="preserve"> focus for the Directorate </w:t>
      </w:r>
      <w:r w:rsidR="000547D8">
        <w:t>in</w:t>
      </w:r>
      <w:r w:rsidRPr="005D28D8">
        <w:t xml:space="preserve"> 201</w:t>
      </w:r>
      <w:r w:rsidR="007F6A65">
        <w:t>3</w:t>
      </w:r>
      <w:r w:rsidRPr="005D28D8">
        <w:t>-1</w:t>
      </w:r>
      <w:r w:rsidR="007F6A65">
        <w:t>4</w:t>
      </w:r>
      <w:r w:rsidRPr="005D28D8">
        <w:t>.</w:t>
      </w:r>
    </w:p>
    <w:p w:rsidR="001A3742" w:rsidRPr="009205DC" w:rsidRDefault="008B0241" w:rsidP="003746DE">
      <w:pPr>
        <w:pStyle w:val="Heading3"/>
      </w:pPr>
      <w:r w:rsidRPr="009205DC">
        <w:t>2013-14</w:t>
      </w:r>
      <w:r w:rsidR="001A3742" w:rsidRPr="009205DC">
        <w:t xml:space="preserve"> Priorities</w:t>
      </w:r>
      <w:bookmarkEnd w:id="0"/>
      <w:r w:rsidR="001A3742" w:rsidRPr="009205DC">
        <w:t xml:space="preserve"> </w:t>
      </w:r>
      <w:r w:rsidR="00245B13" w:rsidRPr="009205DC">
        <w:t xml:space="preserve"> </w:t>
      </w:r>
    </w:p>
    <w:p w:rsidR="003746DE" w:rsidRDefault="00245B13" w:rsidP="00561B4D">
      <w:pPr>
        <w:pStyle w:val="BodyText"/>
        <w:keepNext/>
        <w:keepLines/>
      </w:pPr>
      <w:r w:rsidRPr="007F6A65">
        <w:t>Strategic and operational issues to be pursued in 201</w:t>
      </w:r>
      <w:r w:rsidR="007F6A65" w:rsidRPr="007F6A65">
        <w:t>3</w:t>
      </w:r>
      <w:r w:rsidRPr="007F6A65">
        <w:t>-1</w:t>
      </w:r>
      <w:r w:rsidR="007F6A65" w:rsidRPr="007F6A65">
        <w:t>4</w:t>
      </w:r>
      <w:r w:rsidRPr="007F6A65">
        <w:t xml:space="preserve"> include:</w:t>
      </w:r>
    </w:p>
    <w:p w:rsidR="001A4C64" w:rsidRPr="001A4C64" w:rsidRDefault="001A4C64" w:rsidP="00BD3A73">
      <w:pPr>
        <w:pStyle w:val="BodyTextIndent"/>
        <w:numPr>
          <w:ilvl w:val="0"/>
          <w:numId w:val="2"/>
        </w:numPr>
        <w:tabs>
          <w:tab w:val="clear" w:pos="1209"/>
          <w:tab w:val="num" w:pos="360"/>
        </w:tabs>
        <w:ind w:left="360"/>
      </w:pPr>
      <w:r w:rsidRPr="001A4C64">
        <w:t>progressing whole of government approaches to strategic policy development and implementation;</w:t>
      </w:r>
    </w:p>
    <w:p w:rsidR="001A4C64" w:rsidRPr="001A4C64" w:rsidRDefault="001A4C64" w:rsidP="00BD3A73">
      <w:pPr>
        <w:pStyle w:val="BodyTextIndent"/>
        <w:numPr>
          <w:ilvl w:val="0"/>
          <w:numId w:val="2"/>
        </w:numPr>
        <w:tabs>
          <w:tab w:val="clear" w:pos="1209"/>
          <w:tab w:val="num" w:pos="360"/>
        </w:tabs>
        <w:ind w:left="360"/>
      </w:pPr>
      <w:r w:rsidRPr="001A4C64">
        <w:t>guiding cultural change across government in order to achieve greater collaboration and innovation in the delivery of the Government’s priorities;</w:t>
      </w:r>
    </w:p>
    <w:p w:rsidR="001A4C64" w:rsidRPr="001A4C64" w:rsidRDefault="001A4C64" w:rsidP="00BD3A73">
      <w:pPr>
        <w:pStyle w:val="BodyTextIndent"/>
        <w:numPr>
          <w:ilvl w:val="0"/>
          <w:numId w:val="2"/>
        </w:numPr>
        <w:tabs>
          <w:tab w:val="clear" w:pos="1209"/>
          <w:tab w:val="num" w:pos="360"/>
        </w:tabs>
        <w:ind w:left="360"/>
      </w:pPr>
      <w:r w:rsidRPr="001A4C64">
        <w:t>assisting the Government to maintain the Territory’s AAA credit rating through sound and sustainable economic and financial management;</w:t>
      </w:r>
    </w:p>
    <w:p w:rsidR="001A4C64" w:rsidRPr="001A4C64" w:rsidRDefault="001A4C64" w:rsidP="00BD3A73">
      <w:pPr>
        <w:pStyle w:val="BodyTextIndent"/>
        <w:numPr>
          <w:ilvl w:val="0"/>
          <w:numId w:val="2"/>
        </w:numPr>
        <w:tabs>
          <w:tab w:val="clear" w:pos="1209"/>
          <w:tab w:val="num" w:pos="360"/>
        </w:tabs>
        <w:ind w:left="360"/>
      </w:pPr>
      <w:r w:rsidRPr="001A4C64">
        <w:t>progressing, and continuing to improve, the Government’s service pla</w:t>
      </w:r>
      <w:r w:rsidR="0056005E">
        <w:t>nning and financial management</w:t>
      </w:r>
      <w:r w:rsidRPr="001A4C64">
        <w:t xml:space="preserve"> frameworks;</w:t>
      </w:r>
    </w:p>
    <w:p w:rsidR="001A4C64" w:rsidRPr="001A4C64" w:rsidRDefault="001A4C64" w:rsidP="00BD3A73">
      <w:pPr>
        <w:pStyle w:val="BodyTextIndent"/>
        <w:numPr>
          <w:ilvl w:val="0"/>
          <w:numId w:val="2"/>
        </w:numPr>
        <w:tabs>
          <w:tab w:val="clear" w:pos="1209"/>
          <w:tab w:val="num" w:pos="360"/>
        </w:tabs>
        <w:ind w:left="360"/>
      </w:pPr>
      <w:r w:rsidRPr="001A4C64">
        <w:lastRenderedPageBreak/>
        <w:t>coordinating the Government’s budget</w:t>
      </w:r>
      <w:r w:rsidR="0056005E">
        <w:t xml:space="preserve"> processes</w:t>
      </w:r>
      <w:r w:rsidRPr="001A4C64">
        <w:t xml:space="preserve"> and reporting on financial outcomes; </w:t>
      </w:r>
    </w:p>
    <w:p w:rsidR="001A4C64" w:rsidRPr="001A4C64" w:rsidRDefault="001A4C64" w:rsidP="00BD3A73">
      <w:pPr>
        <w:pStyle w:val="BodyTextIndent"/>
        <w:numPr>
          <w:ilvl w:val="0"/>
          <w:numId w:val="2"/>
        </w:numPr>
        <w:tabs>
          <w:tab w:val="clear" w:pos="1209"/>
          <w:tab w:val="num" w:pos="360"/>
        </w:tabs>
        <w:ind w:left="360"/>
      </w:pPr>
      <w:r w:rsidRPr="001A4C64">
        <w:t xml:space="preserve">reviewing and evaluating programs, functions and projects to support a return of the Budget to surplus by 2015-16; </w:t>
      </w:r>
    </w:p>
    <w:p w:rsidR="001A4C64" w:rsidRPr="001A4C64" w:rsidRDefault="001A4C64" w:rsidP="00BD3A73">
      <w:pPr>
        <w:pStyle w:val="BodyTextIndent"/>
        <w:numPr>
          <w:ilvl w:val="0"/>
          <w:numId w:val="2"/>
        </w:numPr>
        <w:tabs>
          <w:tab w:val="clear" w:pos="1209"/>
          <w:tab w:val="num" w:pos="360"/>
        </w:tabs>
        <w:ind w:left="360"/>
      </w:pPr>
      <w:r w:rsidRPr="001A4C64">
        <w:t>delivering the 2014-15 Budget</w:t>
      </w:r>
      <w:r w:rsidR="00635DBB">
        <w:t xml:space="preserve"> and 2013</w:t>
      </w:r>
      <w:r w:rsidR="00635DBB">
        <w:noBreakHyphen/>
        <w:t>14 Budget Review</w:t>
      </w:r>
      <w:r w:rsidRPr="001A4C64">
        <w:t>;</w:t>
      </w:r>
    </w:p>
    <w:p w:rsidR="001A4C64" w:rsidRPr="001A4C64" w:rsidRDefault="001A4C64" w:rsidP="00BD3A73">
      <w:pPr>
        <w:pStyle w:val="BodyTextIndent"/>
        <w:numPr>
          <w:ilvl w:val="0"/>
          <w:numId w:val="2"/>
        </w:numPr>
        <w:tabs>
          <w:tab w:val="clear" w:pos="1209"/>
          <w:tab w:val="num" w:pos="360"/>
        </w:tabs>
        <w:ind w:left="360"/>
      </w:pPr>
      <w:r w:rsidRPr="001A4C64">
        <w:t>progressing the implementation and further development of tax reform initiatives;</w:t>
      </w:r>
    </w:p>
    <w:p w:rsidR="001A4C64" w:rsidRPr="001A4C64" w:rsidRDefault="001A4C64" w:rsidP="001A4C64">
      <w:pPr>
        <w:pStyle w:val="BodyTextIndent"/>
      </w:pPr>
      <w:r w:rsidRPr="001A4C64">
        <w:t xml:space="preserve">undertaking a review of the </w:t>
      </w:r>
      <w:r w:rsidRPr="001A4C64">
        <w:rPr>
          <w:i/>
        </w:rPr>
        <w:t>Election Commitments Costing Act 2012</w:t>
      </w:r>
      <w:r w:rsidRPr="001A4C64">
        <w:t>;</w:t>
      </w:r>
    </w:p>
    <w:p w:rsidR="001A4C64" w:rsidRPr="001A4C64" w:rsidRDefault="001A4C64" w:rsidP="00BD3A73">
      <w:pPr>
        <w:pStyle w:val="BodyTextIndent"/>
        <w:numPr>
          <w:ilvl w:val="0"/>
          <w:numId w:val="2"/>
        </w:numPr>
        <w:tabs>
          <w:tab w:val="clear" w:pos="1209"/>
          <w:tab w:val="num" w:pos="360"/>
        </w:tabs>
        <w:ind w:left="360"/>
      </w:pPr>
      <w:r w:rsidRPr="001A4C64">
        <w:t>leading and coordinating the implementation of the Government’s Open Government reforms;</w:t>
      </w:r>
    </w:p>
    <w:p w:rsidR="001A4C64" w:rsidRPr="001A4C64" w:rsidRDefault="001A4C64" w:rsidP="00BD3A73">
      <w:pPr>
        <w:pStyle w:val="BodyTextIndent"/>
        <w:numPr>
          <w:ilvl w:val="0"/>
          <w:numId w:val="2"/>
        </w:numPr>
        <w:tabs>
          <w:tab w:val="clear" w:pos="1209"/>
          <w:tab w:val="num" w:pos="360"/>
        </w:tabs>
        <w:ind w:left="360"/>
      </w:pPr>
      <w:r w:rsidRPr="001A4C64">
        <w:t>implementing initiatives under the Memorandum of Understanding on regional collaboration with NSW;</w:t>
      </w:r>
    </w:p>
    <w:p w:rsidR="001A4C64" w:rsidRPr="001A4C64" w:rsidRDefault="001A4C64" w:rsidP="00BD3A73">
      <w:pPr>
        <w:pStyle w:val="BodyTextIndent"/>
        <w:numPr>
          <w:ilvl w:val="0"/>
          <w:numId w:val="2"/>
        </w:numPr>
        <w:tabs>
          <w:tab w:val="clear" w:pos="1209"/>
          <w:tab w:val="num" w:pos="360"/>
        </w:tabs>
        <w:ind w:left="360"/>
      </w:pPr>
      <w:r w:rsidRPr="001A4C64">
        <w:t>leading whole of government initiatives to strengthen public sector capability and integrity;</w:t>
      </w:r>
    </w:p>
    <w:p w:rsidR="001A4C64" w:rsidRPr="001A4C64" w:rsidRDefault="001A4C64" w:rsidP="00BD3A73">
      <w:pPr>
        <w:pStyle w:val="BodyTextIndent"/>
        <w:numPr>
          <w:ilvl w:val="0"/>
          <w:numId w:val="2"/>
        </w:numPr>
        <w:tabs>
          <w:tab w:val="clear" w:pos="1209"/>
          <w:tab w:val="num" w:pos="360"/>
        </w:tabs>
        <w:ind w:left="360"/>
      </w:pPr>
      <w:r w:rsidRPr="001A4C64">
        <w:t>leading whole of government initiatives to improve work health and safety and return to work outcomes for injured employees;</w:t>
      </w:r>
    </w:p>
    <w:p w:rsidR="001A4C64" w:rsidRPr="001A4C64" w:rsidRDefault="001A4C64" w:rsidP="00BD3A73">
      <w:pPr>
        <w:pStyle w:val="BodyTextIndent"/>
        <w:numPr>
          <w:ilvl w:val="0"/>
          <w:numId w:val="2"/>
        </w:numPr>
        <w:tabs>
          <w:tab w:val="clear" w:pos="1209"/>
          <w:tab w:val="num" w:pos="360"/>
        </w:tabs>
        <w:ind w:left="360"/>
      </w:pPr>
      <w:r w:rsidRPr="001A4C64">
        <w:t>support</w:t>
      </w:r>
      <w:r w:rsidR="00F9766E">
        <w:t>ing</w:t>
      </w:r>
      <w:r w:rsidRPr="001A4C64">
        <w:t xml:space="preserve"> the Enterprise Agreement negotiations; </w:t>
      </w:r>
    </w:p>
    <w:p w:rsidR="001A4C64" w:rsidRPr="001A4C64" w:rsidRDefault="001A4C64" w:rsidP="00BD3A73">
      <w:pPr>
        <w:pStyle w:val="BodyTextIndent"/>
        <w:numPr>
          <w:ilvl w:val="0"/>
          <w:numId w:val="2"/>
        </w:numPr>
        <w:tabs>
          <w:tab w:val="clear" w:pos="1209"/>
          <w:tab w:val="num" w:pos="360"/>
        </w:tabs>
        <w:ind w:left="360"/>
      </w:pPr>
      <w:r w:rsidRPr="001A4C64">
        <w:t xml:space="preserve">progressing initiatives to improve the performance of the ACT private sector workers’ compensation scheme; </w:t>
      </w:r>
    </w:p>
    <w:p w:rsidR="001A4C64" w:rsidRDefault="001A4C64" w:rsidP="00BD3A73">
      <w:pPr>
        <w:pStyle w:val="BodyTextIndent"/>
        <w:numPr>
          <w:ilvl w:val="0"/>
          <w:numId w:val="2"/>
        </w:numPr>
        <w:tabs>
          <w:tab w:val="clear" w:pos="1209"/>
          <w:tab w:val="num" w:pos="360"/>
        </w:tabs>
        <w:ind w:left="360"/>
        <w:rPr>
          <w:i/>
        </w:rPr>
      </w:pPr>
      <w:r w:rsidRPr="001A4C64">
        <w:t>implementing the recommendations of the</w:t>
      </w:r>
      <w:r w:rsidRPr="001A4C64">
        <w:rPr>
          <w:i/>
        </w:rPr>
        <w:t xml:space="preserve"> Getting Home Safely </w:t>
      </w:r>
      <w:r w:rsidRPr="001A4C64">
        <w:t>Report</w:t>
      </w:r>
      <w:r w:rsidRPr="001A4C64">
        <w:rPr>
          <w:i/>
        </w:rPr>
        <w:t>;</w:t>
      </w:r>
    </w:p>
    <w:p w:rsidR="008B15D3" w:rsidRDefault="008B15D3" w:rsidP="008B15D3">
      <w:pPr>
        <w:pStyle w:val="BodyTextIndent"/>
        <w:numPr>
          <w:ilvl w:val="0"/>
          <w:numId w:val="2"/>
        </w:numPr>
        <w:tabs>
          <w:tab w:val="clear" w:pos="1209"/>
          <w:tab w:val="num" w:pos="360"/>
        </w:tabs>
        <w:ind w:left="360"/>
      </w:pPr>
      <w:r>
        <w:t>c</w:t>
      </w:r>
      <w:r w:rsidRPr="008B15D3">
        <w:t>ompleting</w:t>
      </w:r>
      <w:r>
        <w:t xml:space="preserve"> op</w:t>
      </w:r>
      <w:r w:rsidR="0041055E">
        <w:t>erational reviews of ACTION, Emergency Services Agency (ESA)</w:t>
      </w:r>
      <w:r>
        <w:t>, Corrections</w:t>
      </w:r>
      <w:r w:rsidR="008367FD">
        <w:t>,</w:t>
      </w:r>
      <w:r>
        <w:t xml:space="preserve"> and Parks and Conservation Services as announced in the 2013</w:t>
      </w:r>
      <w:r>
        <w:noBreakHyphen/>
        <w:t>14 Budget;</w:t>
      </w:r>
    </w:p>
    <w:p w:rsidR="008B15D3" w:rsidRPr="008B15D3" w:rsidRDefault="008B15D3" w:rsidP="008B15D3">
      <w:pPr>
        <w:pStyle w:val="BodyTextIndent"/>
        <w:numPr>
          <w:ilvl w:val="0"/>
          <w:numId w:val="2"/>
        </w:numPr>
        <w:tabs>
          <w:tab w:val="clear" w:pos="1209"/>
          <w:tab w:val="num" w:pos="360"/>
        </w:tabs>
        <w:ind w:left="360"/>
      </w:pPr>
      <w:r>
        <w:t>underlying investigation work on alternative capital funding and procurement processes including Private Public Partnerships; and</w:t>
      </w:r>
    </w:p>
    <w:p w:rsidR="001A4C64" w:rsidRPr="001A4C64" w:rsidRDefault="001A4C64" w:rsidP="00BD3A73">
      <w:pPr>
        <w:pStyle w:val="BodyTextIndent"/>
        <w:numPr>
          <w:ilvl w:val="0"/>
          <w:numId w:val="2"/>
        </w:numPr>
        <w:tabs>
          <w:tab w:val="clear" w:pos="1209"/>
          <w:tab w:val="num" w:pos="360"/>
        </w:tabs>
        <w:ind w:left="360"/>
      </w:pPr>
      <w:proofErr w:type="gramStart"/>
      <w:r w:rsidRPr="001A4C64">
        <w:t>progressing</w:t>
      </w:r>
      <w:proofErr w:type="gramEnd"/>
      <w:r w:rsidRPr="001A4C64">
        <w:t xml:space="preserve"> the development of a National Injury Insurance Scheme and further reform of Compulsory Third Party (CTP) insurance arrangements.</w:t>
      </w:r>
    </w:p>
    <w:p w:rsidR="001A3742" w:rsidRPr="00CF1A8C" w:rsidRDefault="001A3742" w:rsidP="000B6543">
      <w:pPr>
        <w:pStyle w:val="Heading3"/>
        <w:keepNext w:val="0"/>
      </w:pPr>
      <w:r w:rsidRPr="00CF1A8C">
        <w:t xml:space="preserve">Business and Corporate Strategies </w:t>
      </w:r>
    </w:p>
    <w:p w:rsidR="00245B13" w:rsidRDefault="00245B13" w:rsidP="000B6543">
      <w:pPr>
        <w:pStyle w:val="BodyText"/>
      </w:pPr>
      <w:r w:rsidRPr="007F6A65">
        <w:t>The Directorate will continue to develop and implement corporate and business strategies to help achieve its priorities in 201</w:t>
      </w:r>
      <w:r w:rsidR="007F6A65" w:rsidRPr="007F6A65">
        <w:t>3</w:t>
      </w:r>
      <w:r w:rsidRPr="007F6A65">
        <w:t>-1</w:t>
      </w:r>
      <w:r w:rsidR="007F6A65" w:rsidRPr="007F6A65">
        <w:t>4</w:t>
      </w:r>
      <w:r w:rsidRPr="007F6A65">
        <w:t xml:space="preserve"> that include:</w:t>
      </w:r>
    </w:p>
    <w:p w:rsidR="00E34952" w:rsidRDefault="00E34952" w:rsidP="000B6543">
      <w:pPr>
        <w:pStyle w:val="BodyTextIndent"/>
        <w:keepNext w:val="0"/>
        <w:numPr>
          <w:ilvl w:val="0"/>
          <w:numId w:val="10"/>
        </w:numPr>
        <w:tabs>
          <w:tab w:val="clear" w:pos="1209"/>
          <w:tab w:val="num" w:pos="360"/>
        </w:tabs>
        <w:ind w:left="360"/>
      </w:pPr>
      <w:r w:rsidRPr="007F6A65">
        <w:t>improving governance and accountability frameworks, policies and practices in business planning, risk management, financial management and reporting;</w:t>
      </w:r>
    </w:p>
    <w:p w:rsidR="00E34952" w:rsidRPr="00C32A2B" w:rsidRDefault="00EF7A01" w:rsidP="000B6543">
      <w:pPr>
        <w:pStyle w:val="BodyTextIndent"/>
        <w:keepNext w:val="0"/>
        <w:numPr>
          <w:ilvl w:val="0"/>
          <w:numId w:val="10"/>
        </w:numPr>
        <w:tabs>
          <w:tab w:val="clear" w:pos="1209"/>
          <w:tab w:val="num" w:pos="360"/>
        </w:tabs>
        <w:ind w:left="360"/>
      </w:pPr>
      <w:r>
        <w:t>identifying</w:t>
      </w:r>
      <w:r w:rsidR="00E34952">
        <w:t xml:space="preserve"> the most effective and efficient use of available resources through analysing programs and expenditure proposals;</w:t>
      </w:r>
    </w:p>
    <w:p w:rsidR="00E34952" w:rsidRPr="007F6A65" w:rsidRDefault="00E34952" w:rsidP="000B6543">
      <w:pPr>
        <w:pStyle w:val="BodyTextIndent"/>
        <w:keepNext w:val="0"/>
        <w:numPr>
          <w:ilvl w:val="0"/>
          <w:numId w:val="10"/>
        </w:numPr>
        <w:tabs>
          <w:tab w:val="clear" w:pos="1209"/>
          <w:tab w:val="num" w:pos="360"/>
        </w:tabs>
        <w:ind w:left="360"/>
      </w:pPr>
      <w:r w:rsidRPr="007F6A65">
        <w:t>attracting and retaining skilled employees, building capabilities through learning and development, and encouraging a work life balance;</w:t>
      </w:r>
    </w:p>
    <w:p w:rsidR="00E34952" w:rsidRPr="007F6A65" w:rsidRDefault="00E34952" w:rsidP="000B6543">
      <w:pPr>
        <w:pStyle w:val="BodyTextIndent"/>
        <w:keepNext w:val="0"/>
        <w:numPr>
          <w:ilvl w:val="0"/>
          <w:numId w:val="10"/>
        </w:numPr>
        <w:tabs>
          <w:tab w:val="clear" w:pos="1209"/>
          <w:tab w:val="num" w:pos="360"/>
        </w:tabs>
        <w:ind w:left="360"/>
      </w:pPr>
      <w:r w:rsidRPr="007F6A65">
        <w:t xml:space="preserve">establishing and maintaining an effective health and safety culture through </w:t>
      </w:r>
      <w:r>
        <w:t xml:space="preserve">a </w:t>
      </w:r>
      <w:r w:rsidRPr="007F6A65">
        <w:t>commitment to supportive and preventative workplace behaviours to promote a positive work environment and minimise the risk of workplace illness and injuries; and</w:t>
      </w:r>
    </w:p>
    <w:p w:rsidR="00E34952" w:rsidRDefault="00E34952" w:rsidP="000B6543">
      <w:pPr>
        <w:pStyle w:val="BodyTextIndent"/>
        <w:keepNext w:val="0"/>
        <w:numPr>
          <w:ilvl w:val="0"/>
          <w:numId w:val="10"/>
        </w:numPr>
        <w:tabs>
          <w:tab w:val="clear" w:pos="1209"/>
          <w:tab w:val="num" w:pos="360"/>
        </w:tabs>
        <w:ind w:left="360"/>
      </w:pPr>
      <w:proofErr w:type="gramStart"/>
      <w:r w:rsidRPr="007F6A65">
        <w:lastRenderedPageBreak/>
        <w:t>strengthening</w:t>
      </w:r>
      <w:proofErr w:type="gramEnd"/>
      <w:r w:rsidRPr="007F6A65">
        <w:t xml:space="preserve"> collaborative relationships within the ACTPS, as well as with other jurisdictions, external organisations and the community through consultation, negotiation and engagement.</w:t>
      </w:r>
    </w:p>
    <w:p w:rsidR="001A3742" w:rsidRDefault="001A3742" w:rsidP="00561B4D">
      <w:pPr>
        <w:pStyle w:val="Heading3"/>
      </w:pPr>
      <w:r w:rsidRPr="00CF1A8C">
        <w:t xml:space="preserve">Estimated Employment Level </w:t>
      </w:r>
    </w:p>
    <w:tbl>
      <w:tblPr>
        <w:tblW w:w="9100" w:type="dxa"/>
        <w:tblLayout w:type="fixed"/>
        <w:tblCellMar>
          <w:left w:w="0" w:type="dxa"/>
          <w:right w:w="0" w:type="dxa"/>
        </w:tblCellMar>
        <w:tblLook w:val="0000"/>
      </w:tblPr>
      <w:tblGrid>
        <w:gridCol w:w="1638"/>
        <w:gridCol w:w="2545"/>
        <w:gridCol w:w="1639"/>
        <w:gridCol w:w="1639"/>
        <w:gridCol w:w="1639"/>
      </w:tblGrid>
      <w:tr w:rsidR="00561B4D" w:rsidRPr="002A6EEA" w:rsidTr="0095516C">
        <w:trPr>
          <w:trHeight w:hRule="exact" w:val="550"/>
        </w:trPr>
        <w:tc>
          <w:tcPr>
            <w:tcW w:w="1638" w:type="dxa"/>
            <w:tcBorders>
              <w:top w:val="single" w:sz="4" w:space="0" w:color="auto"/>
              <w:left w:val="nil"/>
              <w:bottom w:val="single" w:sz="4" w:space="0" w:color="auto"/>
              <w:right w:val="nil"/>
            </w:tcBorders>
          </w:tcPr>
          <w:p w:rsidR="00561B4D" w:rsidRPr="002A6EEA" w:rsidRDefault="00561B4D" w:rsidP="0095516C">
            <w:pPr>
              <w:pStyle w:val="Heading6"/>
            </w:pPr>
            <w:r w:rsidRPr="002A6EEA">
              <w:t>201</w:t>
            </w:r>
            <w:r>
              <w:t>1</w:t>
            </w:r>
            <w:r w:rsidRPr="002A6EEA">
              <w:noBreakHyphen/>
              <w:t>1</w:t>
            </w:r>
            <w:r>
              <w:t>2</w:t>
            </w:r>
          </w:p>
          <w:p w:rsidR="00561B4D" w:rsidRPr="002A6EEA" w:rsidRDefault="00561B4D" w:rsidP="0095516C">
            <w:pPr>
              <w:pStyle w:val="Heading6"/>
            </w:pPr>
            <w:r w:rsidRPr="002A6EEA">
              <w:t>Actual Outcome</w:t>
            </w:r>
          </w:p>
        </w:tc>
        <w:tc>
          <w:tcPr>
            <w:tcW w:w="2545" w:type="dxa"/>
            <w:tcBorders>
              <w:top w:val="single" w:sz="4" w:space="0" w:color="auto"/>
              <w:left w:val="nil"/>
              <w:bottom w:val="single" w:sz="4" w:space="0" w:color="auto"/>
              <w:right w:val="nil"/>
            </w:tcBorders>
            <w:noWrap/>
            <w:tcMar>
              <w:top w:w="18" w:type="dxa"/>
              <w:left w:w="18" w:type="dxa"/>
              <w:bottom w:w="0" w:type="dxa"/>
              <w:right w:w="18" w:type="dxa"/>
            </w:tcMar>
          </w:tcPr>
          <w:p w:rsidR="00561B4D" w:rsidRPr="002A6EEA" w:rsidRDefault="00561B4D" w:rsidP="0095516C">
            <w:pPr>
              <w:pStyle w:val="TableTextRightBold-BP410pt"/>
              <w:jc w:val="center"/>
              <w:rPr>
                <w:rFonts w:cs="Arial"/>
                <w:bCs/>
              </w:rPr>
            </w:pPr>
          </w:p>
        </w:tc>
        <w:tc>
          <w:tcPr>
            <w:tcW w:w="1639" w:type="dxa"/>
            <w:tcBorders>
              <w:top w:val="single" w:sz="4" w:space="0" w:color="auto"/>
              <w:left w:val="nil"/>
              <w:bottom w:val="single" w:sz="4" w:space="0" w:color="auto"/>
              <w:right w:val="nil"/>
            </w:tcBorders>
          </w:tcPr>
          <w:p w:rsidR="00561B4D" w:rsidRPr="002A6EEA" w:rsidRDefault="00561B4D" w:rsidP="0095516C">
            <w:pPr>
              <w:pStyle w:val="Heading6"/>
            </w:pPr>
            <w:r w:rsidRPr="002A6EEA">
              <w:t>201</w:t>
            </w:r>
            <w:r>
              <w:t>2-13</w:t>
            </w:r>
          </w:p>
          <w:p w:rsidR="00561B4D" w:rsidRPr="002A6EEA" w:rsidRDefault="00561B4D" w:rsidP="0095516C">
            <w:pPr>
              <w:pStyle w:val="Heading6"/>
            </w:pPr>
            <w:r w:rsidRPr="002A6EEA">
              <w:t>Budget</w:t>
            </w:r>
          </w:p>
          <w:p w:rsidR="00561B4D" w:rsidRPr="002A6EEA" w:rsidRDefault="00561B4D" w:rsidP="0095516C">
            <w:pPr>
              <w:pStyle w:val="Heading6"/>
            </w:pPr>
          </w:p>
        </w:tc>
        <w:tc>
          <w:tcPr>
            <w:tcW w:w="1639" w:type="dxa"/>
            <w:tcBorders>
              <w:top w:val="single" w:sz="4" w:space="0" w:color="auto"/>
              <w:left w:val="nil"/>
              <w:bottom w:val="single" w:sz="4" w:space="0" w:color="auto"/>
              <w:right w:val="nil"/>
            </w:tcBorders>
          </w:tcPr>
          <w:p w:rsidR="00561B4D" w:rsidRPr="002A6EEA" w:rsidRDefault="00561B4D" w:rsidP="0095516C">
            <w:pPr>
              <w:pStyle w:val="Heading6"/>
            </w:pPr>
            <w:r w:rsidRPr="002A6EEA">
              <w:t>201</w:t>
            </w:r>
            <w:r>
              <w:t>2</w:t>
            </w:r>
            <w:r w:rsidRPr="002A6EEA">
              <w:t>-1</w:t>
            </w:r>
            <w:r>
              <w:t>3</w:t>
            </w:r>
          </w:p>
          <w:p w:rsidR="00561B4D" w:rsidRPr="002A6EEA" w:rsidRDefault="00561B4D" w:rsidP="0095516C">
            <w:pPr>
              <w:pStyle w:val="Heading6"/>
            </w:pPr>
            <w:r w:rsidRPr="002A6EEA">
              <w:t>Est. Outcome</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tcPr>
          <w:p w:rsidR="00561B4D" w:rsidRPr="002A6EEA" w:rsidRDefault="00561B4D" w:rsidP="0095516C">
            <w:pPr>
              <w:pStyle w:val="Heading6"/>
            </w:pPr>
            <w:r w:rsidRPr="002A6EEA">
              <w:t>201</w:t>
            </w:r>
            <w:r>
              <w:t>3-14</w:t>
            </w:r>
          </w:p>
          <w:p w:rsidR="00561B4D" w:rsidRPr="002A6EEA" w:rsidRDefault="00561B4D" w:rsidP="0095516C">
            <w:pPr>
              <w:pStyle w:val="Heading6"/>
            </w:pPr>
            <w:r w:rsidRPr="002A6EEA">
              <w:t>Budget</w:t>
            </w:r>
          </w:p>
        </w:tc>
      </w:tr>
      <w:tr w:rsidR="00561B4D" w:rsidRPr="002A6EEA" w:rsidTr="0095516C">
        <w:trPr>
          <w:trHeight w:val="392"/>
        </w:trPr>
        <w:tc>
          <w:tcPr>
            <w:tcW w:w="1638" w:type="dxa"/>
            <w:tcBorders>
              <w:top w:val="single" w:sz="4" w:space="0" w:color="auto"/>
              <w:left w:val="nil"/>
              <w:bottom w:val="single" w:sz="4" w:space="0" w:color="auto"/>
              <w:right w:val="nil"/>
            </w:tcBorders>
            <w:vAlign w:val="center"/>
          </w:tcPr>
          <w:p w:rsidR="00561B4D" w:rsidRPr="002A6EEA" w:rsidRDefault="00561B4D" w:rsidP="0095516C">
            <w:pPr>
              <w:pStyle w:val="TableTextRight-BP410pt"/>
            </w:pPr>
            <w:r>
              <w:t>141</w:t>
            </w:r>
          </w:p>
        </w:tc>
        <w:tc>
          <w:tcPr>
            <w:tcW w:w="2545" w:type="dxa"/>
            <w:tcBorders>
              <w:top w:val="single" w:sz="4" w:space="0" w:color="auto"/>
              <w:left w:val="nil"/>
              <w:bottom w:val="single" w:sz="4" w:space="0" w:color="auto"/>
              <w:right w:val="nil"/>
            </w:tcBorders>
            <w:tcMar>
              <w:top w:w="18" w:type="dxa"/>
              <w:left w:w="421" w:type="dxa"/>
              <w:bottom w:w="0" w:type="dxa"/>
              <w:right w:w="18" w:type="dxa"/>
            </w:tcMar>
            <w:vAlign w:val="center"/>
          </w:tcPr>
          <w:p w:rsidR="00561B4D" w:rsidRPr="002A6EEA" w:rsidRDefault="00561B4D" w:rsidP="0095516C">
            <w:pPr>
              <w:pStyle w:val="Heading7"/>
              <w:rPr>
                <w:vertAlign w:val="superscript"/>
              </w:rPr>
            </w:pPr>
            <w:r w:rsidRPr="002A6EEA">
              <w:t>Staffing (FTE)</w:t>
            </w:r>
          </w:p>
        </w:tc>
        <w:tc>
          <w:tcPr>
            <w:tcW w:w="1639" w:type="dxa"/>
            <w:tcBorders>
              <w:top w:val="single" w:sz="4" w:space="0" w:color="auto"/>
              <w:left w:val="nil"/>
              <w:bottom w:val="single" w:sz="4" w:space="0" w:color="auto"/>
              <w:right w:val="nil"/>
            </w:tcBorders>
            <w:vAlign w:val="center"/>
          </w:tcPr>
          <w:p w:rsidR="00561B4D" w:rsidRPr="002A6EEA" w:rsidRDefault="00561B4D" w:rsidP="00561B4D">
            <w:pPr>
              <w:pStyle w:val="TableTextRight-BP410pt"/>
            </w:pPr>
            <w:r w:rsidRPr="002A6EEA">
              <w:t>13</w:t>
            </w:r>
            <w:r>
              <w:t>9</w:t>
            </w:r>
          </w:p>
        </w:tc>
        <w:tc>
          <w:tcPr>
            <w:tcW w:w="1639" w:type="dxa"/>
            <w:tcBorders>
              <w:top w:val="single" w:sz="4" w:space="0" w:color="auto"/>
              <w:left w:val="nil"/>
              <w:bottom w:val="single" w:sz="4" w:space="0" w:color="auto"/>
              <w:right w:val="nil"/>
            </w:tcBorders>
            <w:vAlign w:val="center"/>
          </w:tcPr>
          <w:p w:rsidR="00561B4D" w:rsidRPr="002A6EEA" w:rsidRDefault="00561B4D" w:rsidP="0095516C">
            <w:pPr>
              <w:pStyle w:val="TableTextRight-BP410pt"/>
            </w:pPr>
            <w:r>
              <w:t>275</w:t>
            </w:r>
            <w:r w:rsidR="00EF7A01" w:rsidRPr="00CF7D92">
              <w:rPr>
                <w:vertAlign w:val="superscript"/>
              </w:rPr>
              <w:t>1</w:t>
            </w:r>
          </w:p>
        </w:tc>
        <w:tc>
          <w:tcPr>
            <w:tcW w:w="1639"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561B4D" w:rsidRPr="002A6EEA" w:rsidRDefault="00561B4D" w:rsidP="0095516C">
            <w:pPr>
              <w:pStyle w:val="TableTextRight-BP410pt"/>
            </w:pPr>
            <w:r>
              <w:t>272</w:t>
            </w:r>
            <w:r w:rsidR="00EF7A01">
              <w:rPr>
                <w:vertAlign w:val="superscript"/>
              </w:rPr>
              <w:t>2</w:t>
            </w:r>
          </w:p>
        </w:tc>
      </w:tr>
    </w:tbl>
    <w:p w:rsidR="00B10686" w:rsidRPr="007C77E1" w:rsidRDefault="00B10686" w:rsidP="00B10686">
      <w:pPr>
        <w:pStyle w:val="NoteHeading0"/>
      </w:pPr>
      <w:r w:rsidRPr="007C77E1">
        <w:t>Notes:</w:t>
      </w:r>
    </w:p>
    <w:p w:rsidR="00F52F42" w:rsidRPr="00561B4D" w:rsidRDefault="00B10686" w:rsidP="00BD3A73">
      <w:pPr>
        <w:pStyle w:val="AINotes"/>
        <w:numPr>
          <w:ilvl w:val="0"/>
          <w:numId w:val="9"/>
        </w:numPr>
        <w:tabs>
          <w:tab w:val="num" w:pos="357"/>
        </w:tabs>
        <w:ind w:left="357" w:hanging="357"/>
      </w:pPr>
      <w:r w:rsidRPr="007C77E1">
        <w:t>The increase</w:t>
      </w:r>
      <w:r w:rsidR="009E175F">
        <w:t xml:space="preserve"> of</w:t>
      </w:r>
      <w:r w:rsidRPr="007C77E1">
        <w:t xml:space="preserve"> </w:t>
      </w:r>
      <w:r w:rsidR="00291DF4">
        <w:t>136</w:t>
      </w:r>
      <w:r>
        <w:t xml:space="preserve"> </w:t>
      </w:r>
      <w:r w:rsidRPr="007C77E1">
        <w:t>FTE in the 201</w:t>
      </w:r>
      <w:r>
        <w:t>2</w:t>
      </w:r>
      <w:r w:rsidRPr="007C77E1">
        <w:noBreakHyphen/>
        <w:t>1</w:t>
      </w:r>
      <w:r>
        <w:t>3</w:t>
      </w:r>
      <w:r w:rsidRPr="007C77E1">
        <w:t xml:space="preserve"> estimated outcome from the original budget is </w:t>
      </w:r>
      <w:r w:rsidRPr="00561B4D">
        <w:t xml:space="preserve">mainly due to the inclusion of staff from the </w:t>
      </w:r>
      <w:r w:rsidR="0055016D" w:rsidRPr="00561B4D">
        <w:t>former</w:t>
      </w:r>
      <w:r w:rsidR="00943CC5" w:rsidRPr="00561B4D">
        <w:t xml:space="preserve"> </w:t>
      </w:r>
      <w:r w:rsidRPr="00561B4D">
        <w:t xml:space="preserve">Treasury Directorate and </w:t>
      </w:r>
      <w:r w:rsidR="00634FBD" w:rsidRPr="00561B4D">
        <w:t xml:space="preserve">the </w:t>
      </w:r>
      <w:r w:rsidRPr="00561B4D">
        <w:t xml:space="preserve">Injury Management and Safety </w:t>
      </w:r>
      <w:r w:rsidR="009E175F">
        <w:t>U</w:t>
      </w:r>
      <w:r w:rsidRPr="00561B4D">
        <w:t xml:space="preserve">nit from Shared Services </w:t>
      </w:r>
      <w:r w:rsidR="0055016D" w:rsidRPr="00561B4D">
        <w:t>Centre</w:t>
      </w:r>
      <w:r w:rsidR="009E175F">
        <w:t>.</w:t>
      </w:r>
    </w:p>
    <w:p w:rsidR="00F52F42" w:rsidRPr="00561B4D" w:rsidRDefault="00B10686" w:rsidP="00BD3A73">
      <w:pPr>
        <w:pStyle w:val="AINotes"/>
        <w:numPr>
          <w:ilvl w:val="0"/>
          <w:numId w:val="9"/>
        </w:numPr>
        <w:tabs>
          <w:tab w:val="num" w:pos="357"/>
        </w:tabs>
        <w:ind w:left="357" w:hanging="357"/>
      </w:pPr>
      <w:r w:rsidRPr="007C77E1">
        <w:t xml:space="preserve">The </w:t>
      </w:r>
      <w:r>
        <w:t>de</w:t>
      </w:r>
      <w:r w:rsidRPr="007C77E1">
        <w:t xml:space="preserve">crease </w:t>
      </w:r>
      <w:r w:rsidR="009E2991">
        <w:t>of</w:t>
      </w:r>
      <w:r w:rsidR="009E2991" w:rsidRPr="007C77E1">
        <w:t xml:space="preserve"> </w:t>
      </w:r>
      <w:r w:rsidR="00E57A3E">
        <w:t>3</w:t>
      </w:r>
      <w:r>
        <w:t xml:space="preserve"> </w:t>
      </w:r>
      <w:r w:rsidRPr="007C77E1">
        <w:t>FTE in the 201</w:t>
      </w:r>
      <w:r>
        <w:t>3</w:t>
      </w:r>
      <w:r w:rsidRPr="007C77E1">
        <w:noBreakHyphen/>
        <w:t>1</w:t>
      </w:r>
      <w:r>
        <w:t>4</w:t>
      </w:r>
      <w:r w:rsidRPr="007C77E1">
        <w:t xml:space="preserve"> Budget is </w:t>
      </w:r>
      <w:r>
        <w:t xml:space="preserve">mainly </w:t>
      </w:r>
      <w:r w:rsidRPr="007C77E1">
        <w:t xml:space="preserve">due </w:t>
      </w:r>
      <w:r w:rsidR="009E175F">
        <w:t xml:space="preserve">to </w:t>
      </w:r>
      <w:r w:rsidRPr="00561B4D">
        <w:t>the cessation of temporary contract positions</w:t>
      </w:r>
      <w:r w:rsidR="00291DF4" w:rsidRPr="00561B4D">
        <w:t>.</w:t>
      </w:r>
    </w:p>
    <w:p w:rsidR="001A3742" w:rsidRPr="0095516C" w:rsidRDefault="001A3742" w:rsidP="0095516C">
      <w:pPr>
        <w:pStyle w:val="Heading3"/>
        <w:keepNext w:val="0"/>
        <w:keepLines w:val="0"/>
        <w:rPr>
          <w:bCs w:val="0"/>
        </w:rPr>
      </w:pPr>
      <w:r w:rsidRPr="0095516C">
        <w:rPr>
          <w:bCs w:val="0"/>
        </w:rPr>
        <w:t xml:space="preserve">Strategic </w:t>
      </w:r>
      <w:r w:rsidR="00DE6A93" w:rsidRPr="0095516C">
        <w:rPr>
          <w:bCs w:val="0"/>
        </w:rPr>
        <w:t xml:space="preserve">Objectives and </w:t>
      </w:r>
      <w:r w:rsidRPr="0095516C">
        <w:rPr>
          <w:bCs w:val="0"/>
        </w:rPr>
        <w:t xml:space="preserve">Indicators </w:t>
      </w:r>
    </w:p>
    <w:p w:rsidR="001A3742" w:rsidRPr="00CF1A8C" w:rsidRDefault="001A3742" w:rsidP="0095516C">
      <w:pPr>
        <w:pStyle w:val="SIHeading1"/>
        <w:keepNext w:val="0"/>
        <w:keepLines w:val="0"/>
      </w:pPr>
      <w:r w:rsidRPr="00CF1A8C">
        <w:t xml:space="preserve">Strategic </w:t>
      </w:r>
      <w:r w:rsidR="00DA2F83">
        <w:t xml:space="preserve">Objective </w:t>
      </w:r>
      <w:r w:rsidRPr="00CF1A8C">
        <w:t xml:space="preserve">1 </w:t>
      </w:r>
    </w:p>
    <w:p w:rsidR="001A3742" w:rsidRDefault="005142CF" w:rsidP="000B38E9">
      <w:pPr>
        <w:pStyle w:val="SIHeading2"/>
      </w:pPr>
      <w:r>
        <w:t xml:space="preserve">Building </w:t>
      </w:r>
      <w:r w:rsidR="00031C33">
        <w:t>C</w:t>
      </w:r>
      <w:r>
        <w:t xml:space="preserve">oordinated and </w:t>
      </w:r>
      <w:r w:rsidR="00031C33">
        <w:t>I</w:t>
      </w:r>
      <w:r>
        <w:t xml:space="preserve">ntegrated </w:t>
      </w:r>
      <w:r w:rsidR="00031C33">
        <w:t>P</w:t>
      </w:r>
      <w:r>
        <w:t xml:space="preserve">olicy </w:t>
      </w:r>
      <w:r w:rsidR="00031C33">
        <w:t>D</w:t>
      </w:r>
      <w:r>
        <w:t xml:space="preserve">evelopment and </w:t>
      </w:r>
      <w:r w:rsidR="00031C33">
        <w:t>S</w:t>
      </w:r>
      <w:r>
        <w:t xml:space="preserve">ervice </w:t>
      </w:r>
      <w:r w:rsidR="00031C33">
        <w:t>D</w:t>
      </w:r>
      <w:r>
        <w:t xml:space="preserve">elivery </w:t>
      </w:r>
      <w:r w:rsidR="0095516C">
        <w:t>across G</w:t>
      </w:r>
      <w:r w:rsidR="00E404F0">
        <w:t>overnment</w:t>
      </w:r>
    </w:p>
    <w:p w:rsidR="00AC0156" w:rsidRPr="007C77E1" w:rsidRDefault="00AC0156" w:rsidP="00AE68C8">
      <w:pPr>
        <w:pStyle w:val="BodyText"/>
      </w:pPr>
      <w:r w:rsidRPr="007C77E1">
        <w:t xml:space="preserve">The effective delivery of Government policy and objectives requires coordination, cohesion and </w:t>
      </w:r>
      <w:r w:rsidRPr="00AE68C8">
        <w:t>alignment</w:t>
      </w:r>
      <w:r w:rsidRPr="007C77E1">
        <w:t xml:space="preserve"> of efforts across the ACTPS.</w:t>
      </w:r>
      <w:r w:rsidR="003A1A1F">
        <w:t xml:space="preserve">  </w:t>
      </w:r>
      <w:r w:rsidR="0061312B">
        <w:t>T</w:t>
      </w:r>
      <w:r w:rsidR="0061312B" w:rsidRPr="007C77E1">
        <w:t xml:space="preserve">he </w:t>
      </w:r>
      <w:r w:rsidRPr="007C77E1">
        <w:t xml:space="preserve">Directorate leads and coordinates </w:t>
      </w:r>
      <w:r w:rsidR="000C2C5A">
        <w:t>whole</w:t>
      </w:r>
      <w:r w:rsidR="00AE68C8">
        <w:t xml:space="preserve"> </w:t>
      </w:r>
      <w:r w:rsidR="000C2C5A">
        <w:t>of</w:t>
      </w:r>
      <w:r w:rsidR="00AE68C8">
        <w:t xml:space="preserve"> </w:t>
      </w:r>
      <w:r w:rsidR="000C2C5A">
        <w:t xml:space="preserve">government </w:t>
      </w:r>
      <w:r w:rsidRPr="007C77E1">
        <w:t>strategy, policy development and service delivery.  This includes:</w:t>
      </w:r>
    </w:p>
    <w:p w:rsidR="00AC0156" w:rsidRPr="007C77E1" w:rsidRDefault="00AC0156" w:rsidP="00BD3A73">
      <w:pPr>
        <w:pStyle w:val="BodyTextIndent"/>
        <w:keepNext w:val="0"/>
        <w:keepLines w:val="0"/>
        <w:numPr>
          <w:ilvl w:val="0"/>
          <w:numId w:val="10"/>
        </w:numPr>
        <w:tabs>
          <w:tab w:val="clear" w:pos="1209"/>
          <w:tab w:val="num" w:pos="360"/>
        </w:tabs>
        <w:ind w:left="360"/>
      </w:pPr>
      <w:r w:rsidRPr="007C77E1">
        <w:t xml:space="preserve">leadership of new </w:t>
      </w:r>
      <w:r w:rsidR="003746DE">
        <w:t>G</w:t>
      </w:r>
      <w:r w:rsidRPr="007C77E1">
        <w:t>overnment initiatives and strategies;</w:t>
      </w:r>
    </w:p>
    <w:p w:rsidR="003825EA" w:rsidRDefault="00AC0156" w:rsidP="00BD3A73">
      <w:pPr>
        <w:pStyle w:val="BodyTextIndent"/>
        <w:keepNext w:val="0"/>
        <w:keepLines w:val="0"/>
        <w:numPr>
          <w:ilvl w:val="0"/>
          <w:numId w:val="10"/>
        </w:numPr>
        <w:tabs>
          <w:tab w:val="clear" w:pos="1209"/>
          <w:tab w:val="num" w:pos="360"/>
        </w:tabs>
        <w:ind w:left="360"/>
      </w:pPr>
      <w:r w:rsidRPr="007C77E1">
        <w:t xml:space="preserve">proactive engagement with </w:t>
      </w:r>
      <w:r w:rsidR="0067048C">
        <w:t>directorates</w:t>
      </w:r>
      <w:r w:rsidRPr="007C77E1">
        <w:t xml:space="preserve"> on key policy or service issues</w:t>
      </w:r>
      <w:r w:rsidR="003A1A1F">
        <w:t>, including providing</w:t>
      </w:r>
      <w:r w:rsidR="003A1A1F" w:rsidRPr="003A1A1F">
        <w:t xml:space="preserve"> </w:t>
      </w:r>
      <w:r w:rsidR="003A1A1F" w:rsidRPr="007C77E1">
        <w:t xml:space="preserve">advice </w:t>
      </w:r>
      <w:r w:rsidR="003A1A1F">
        <w:t xml:space="preserve">from a </w:t>
      </w:r>
      <w:r w:rsidR="003A1A1F" w:rsidRPr="007C77E1">
        <w:t xml:space="preserve"> </w:t>
      </w:r>
      <w:r w:rsidR="003A1A1F">
        <w:t xml:space="preserve">whole of government </w:t>
      </w:r>
      <w:r w:rsidR="003A1A1F" w:rsidRPr="007C77E1">
        <w:t>perspective</w:t>
      </w:r>
      <w:r w:rsidRPr="007C77E1">
        <w:t>;</w:t>
      </w:r>
    </w:p>
    <w:p w:rsidR="00AC0156" w:rsidRPr="007C77E1" w:rsidRDefault="00AC0156" w:rsidP="00BD3A73">
      <w:pPr>
        <w:pStyle w:val="BodyTextIndent"/>
        <w:keepNext w:val="0"/>
        <w:keepLines w:val="0"/>
        <w:numPr>
          <w:ilvl w:val="0"/>
          <w:numId w:val="10"/>
        </w:numPr>
        <w:tabs>
          <w:tab w:val="clear" w:pos="1209"/>
          <w:tab w:val="num" w:pos="360"/>
        </w:tabs>
        <w:ind w:left="360"/>
      </w:pPr>
      <w:r w:rsidRPr="007C77E1">
        <w:t>monitoring performance of service delivery outcomes; and</w:t>
      </w:r>
    </w:p>
    <w:p w:rsidR="00AC0156" w:rsidRDefault="00AC0156" w:rsidP="00BD3A73">
      <w:pPr>
        <w:pStyle w:val="BodyTextIndent"/>
        <w:keepNext w:val="0"/>
        <w:keepLines w:val="0"/>
        <w:numPr>
          <w:ilvl w:val="0"/>
          <w:numId w:val="10"/>
        </w:numPr>
        <w:tabs>
          <w:tab w:val="clear" w:pos="1209"/>
          <w:tab w:val="num" w:pos="360"/>
        </w:tabs>
        <w:ind w:left="360"/>
      </w:pPr>
      <w:proofErr w:type="gramStart"/>
      <w:r w:rsidRPr="007C77E1">
        <w:t>promoting</w:t>
      </w:r>
      <w:proofErr w:type="gramEnd"/>
      <w:r w:rsidRPr="007C77E1">
        <w:t xml:space="preserve"> inter-directorate cooperation and outcomes through </w:t>
      </w:r>
      <w:r w:rsidR="00E404F0">
        <w:t>d</w:t>
      </w:r>
      <w:r w:rsidR="00E404F0" w:rsidRPr="007C77E1">
        <w:t xml:space="preserve">irectorate </w:t>
      </w:r>
      <w:r w:rsidRPr="007C77E1">
        <w:t>committees and ongoing arrangements such as the Strategic Board</w:t>
      </w:r>
      <w:r w:rsidR="009F4881">
        <w:t>,</w:t>
      </w:r>
      <w:r w:rsidRPr="007C77E1">
        <w:t xml:space="preserve"> and supporting the across</w:t>
      </w:r>
      <w:r w:rsidR="003255C6">
        <w:noBreakHyphen/>
      </w:r>
      <w:proofErr w:type="spellStart"/>
      <w:r w:rsidR="000C2C5A">
        <w:t>government</w:t>
      </w:r>
      <w:proofErr w:type="spellEnd"/>
      <w:r w:rsidRPr="007C77E1">
        <w:t xml:space="preserve"> Policy Forum and establishment of strategic taskforces.</w:t>
      </w:r>
    </w:p>
    <w:p w:rsidR="005142CF" w:rsidRPr="0095516C" w:rsidRDefault="005142CF" w:rsidP="0095516C">
      <w:pPr>
        <w:pStyle w:val="SIHeading1"/>
        <w:keepNext w:val="0"/>
        <w:keepLines w:val="0"/>
      </w:pPr>
      <w:r w:rsidRPr="0095516C">
        <w:t>Strategic Objective 2</w:t>
      </w:r>
    </w:p>
    <w:p w:rsidR="005142CF" w:rsidRPr="0095516C" w:rsidRDefault="005142CF" w:rsidP="0095516C">
      <w:pPr>
        <w:pStyle w:val="SIHeading2"/>
        <w:keepNext w:val="0"/>
        <w:keepLines w:val="0"/>
      </w:pPr>
      <w:r w:rsidRPr="0095516C">
        <w:t xml:space="preserve">Supporting </w:t>
      </w:r>
      <w:r w:rsidR="00031C33">
        <w:t>I</w:t>
      </w:r>
      <w:r w:rsidRPr="0095516C">
        <w:t xml:space="preserve">nformed </w:t>
      </w:r>
      <w:r w:rsidR="00031C33">
        <w:t>D</w:t>
      </w:r>
      <w:r w:rsidRPr="0095516C">
        <w:t>ecision</w:t>
      </w:r>
      <w:r w:rsidR="00031C33">
        <w:t xml:space="preserve"> M</w:t>
      </w:r>
      <w:r w:rsidRPr="0095516C">
        <w:t>aking by Government</w:t>
      </w:r>
    </w:p>
    <w:p w:rsidR="003825EA" w:rsidRDefault="00E404F0">
      <w:pPr>
        <w:pStyle w:val="BodyText"/>
        <w:rPr>
          <w:rFonts w:ascii="Arial" w:hAnsi="Arial"/>
          <w:b/>
          <w:kern w:val="28"/>
          <w:sz w:val="20"/>
        </w:rPr>
      </w:pPr>
      <w:r w:rsidRPr="00DF20F1">
        <w:t>Decision</w:t>
      </w:r>
      <w:r w:rsidR="00031C33">
        <w:t xml:space="preserve"> </w:t>
      </w:r>
      <w:r w:rsidR="005142CF" w:rsidRPr="00DF20F1">
        <w:t xml:space="preserve">making is central to </w:t>
      </w:r>
      <w:r w:rsidR="005F05D2">
        <w:t>g</w:t>
      </w:r>
      <w:r w:rsidR="005142CF" w:rsidRPr="00DF20F1">
        <w:t>overnment.  Sound policy and advice assists the Cabinet in coordinating and structuring its crucial strategic policy and direction setting for the ACT</w:t>
      </w:r>
      <w:r w:rsidR="005142CF">
        <w:t> </w:t>
      </w:r>
      <w:r w:rsidR="005142CF" w:rsidRPr="00DF20F1">
        <w:t>Government as a whole.</w:t>
      </w:r>
      <w:r w:rsidR="003A1A1F">
        <w:t xml:space="preserve">  </w:t>
      </w:r>
      <w:r w:rsidR="005142CF" w:rsidRPr="00DF20F1">
        <w:t>The Directorate supports informed decision</w:t>
      </w:r>
      <w:r w:rsidR="00031C33">
        <w:t xml:space="preserve"> </w:t>
      </w:r>
      <w:r w:rsidR="005142CF" w:rsidRPr="00DF20F1">
        <w:t>making by ensuring that advice to</w:t>
      </w:r>
      <w:r w:rsidR="005F05D2">
        <w:t xml:space="preserve"> the</w:t>
      </w:r>
      <w:r w:rsidR="005142CF" w:rsidRPr="00DF20F1">
        <w:t xml:space="preserve"> Government is evidence-based, timely, accurate, robust and covers essential issues succinctly, clearly and in sufficient detail.  As part of its role, it provides policy advice and support to the Strategic Board</w:t>
      </w:r>
      <w:r w:rsidR="003A1A1F" w:rsidRPr="00DF20F1">
        <w:t xml:space="preserve">, </w:t>
      </w:r>
      <w:r w:rsidR="003A1A1F">
        <w:t xml:space="preserve">chaired by </w:t>
      </w:r>
      <w:r w:rsidR="005142CF" w:rsidRPr="00DF20F1">
        <w:t>the Head of Service</w:t>
      </w:r>
      <w:r w:rsidR="003A1A1F">
        <w:t>.</w:t>
      </w:r>
    </w:p>
    <w:p w:rsidR="005142CF" w:rsidRPr="0095516C" w:rsidRDefault="005142CF" w:rsidP="0095516C">
      <w:pPr>
        <w:pStyle w:val="SIHeading1"/>
        <w:keepNext w:val="0"/>
        <w:keepLines w:val="0"/>
      </w:pPr>
      <w:r w:rsidRPr="0095516C">
        <w:t>Strategic Objective 3</w:t>
      </w:r>
    </w:p>
    <w:p w:rsidR="005142CF" w:rsidRPr="0095516C" w:rsidRDefault="009F4881" w:rsidP="0095516C">
      <w:pPr>
        <w:pStyle w:val="SIHeading2"/>
        <w:keepNext w:val="0"/>
        <w:keepLines w:val="0"/>
      </w:pPr>
      <w:r>
        <w:t>Maintaining the R</w:t>
      </w:r>
      <w:r w:rsidR="00AE4013" w:rsidRPr="0095516C">
        <w:t xml:space="preserve">ight </w:t>
      </w:r>
      <w:r>
        <w:t>W</w:t>
      </w:r>
      <w:r w:rsidR="00AE4013" w:rsidRPr="0095516C">
        <w:t>orkforce</w:t>
      </w:r>
    </w:p>
    <w:p w:rsidR="00AE4013" w:rsidRPr="00DF20F1" w:rsidRDefault="00AE4013" w:rsidP="00AE68C8">
      <w:pPr>
        <w:pStyle w:val="BodyText"/>
      </w:pPr>
      <w:r w:rsidRPr="00DF20F1">
        <w:t xml:space="preserve">The ACTPS needs to </w:t>
      </w:r>
      <w:r>
        <w:t xml:space="preserve">have a </w:t>
      </w:r>
      <w:r w:rsidRPr="00DF20F1">
        <w:t xml:space="preserve">workforce </w:t>
      </w:r>
      <w:r>
        <w:t xml:space="preserve">with the requisite skills and capacity </w:t>
      </w:r>
      <w:r w:rsidRPr="00DF20F1">
        <w:t>to deliver quality services for the community and to help take the Territory forward.</w:t>
      </w:r>
    </w:p>
    <w:p w:rsidR="00E84262" w:rsidRDefault="00AE4013" w:rsidP="00AE68C8">
      <w:pPr>
        <w:pStyle w:val="BodyText"/>
      </w:pPr>
      <w:r w:rsidRPr="00DF20F1">
        <w:t xml:space="preserve">To address our workforce challenges into the future, </w:t>
      </w:r>
      <w:r>
        <w:t>the</w:t>
      </w:r>
      <w:r w:rsidRPr="00DF20F1">
        <w:t xml:space="preserve"> Directorate </w:t>
      </w:r>
      <w:r>
        <w:t xml:space="preserve">is taking a lead role in developing high-performing public servants, engendering a respectful and inclusive working environment and encouraging consistency in people management throughout the ACTPS.  </w:t>
      </w:r>
    </w:p>
    <w:p w:rsidR="00E84262" w:rsidRDefault="00E84262" w:rsidP="00AE68C8">
      <w:pPr>
        <w:pStyle w:val="BodyText"/>
      </w:pPr>
    </w:p>
    <w:p w:rsidR="00AE4013" w:rsidRPr="00DF20F1" w:rsidRDefault="00AE4013" w:rsidP="00AE68C8">
      <w:pPr>
        <w:pStyle w:val="BodyText"/>
      </w:pPr>
      <w:r>
        <w:lastRenderedPageBreak/>
        <w:t>Major areas of focus are:</w:t>
      </w:r>
    </w:p>
    <w:p w:rsidR="00AE4013" w:rsidRDefault="00AE4013" w:rsidP="00BD3A73">
      <w:pPr>
        <w:pStyle w:val="BodyTextIndent"/>
        <w:keepNext w:val="0"/>
        <w:keepLines w:val="0"/>
        <w:numPr>
          <w:ilvl w:val="0"/>
          <w:numId w:val="10"/>
        </w:numPr>
        <w:tabs>
          <w:tab w:val="clear" w:pos="1209"/>
          <w:tab w:val="num" w:pos="360"/>
        </w:tabs>
        <w:ind w:left="360"/>
        <w:rPr>
          <w:lang w:eastAsia="en-AU"/>
        </w:rPr>
      </w:pPr>
      <w:r>
        <w:rPr>
          <w:lang w:eastAsia="en-AU"/>
        </w:rPr>
        <w:t xml:space="preserve">maintaining the employment framework, including </w:t>
      </w:r>
      <w:r w:rsidR="00031C33">
        <w:rPr>
          <w:lang w:eastAsia="en-AU"/>
        </w:rPr>
        <w:t>E</w:t>
      </w:r>
      <w:r>
        <w:rPr>
          <w:lang w:eastAsia="en-AU"/>
        </w:rPr>
        <w:t xml:space="preserve">nterprise </w:t>
      </w:r>
      <w:r w:rsidR="00031C33">
        <w:rPr>
          <w:lang w:eastAsia="en-AU"/>
        </w:rPr>
        <w:t>A</w:t>
      </w:r>
      <w:r>
        <w:rPr>
          <w:lang w:eastAsia="en-AU"/>
        </w:rPr>
        <w:t>greements, legislation and policy;</w:t>
      </w:r>
    </w:p>
    <w:p w:rsidR="00AE4013" w:rsidRPr="00DF20F1" w:rsidRDefault="00AE4013" w:rsidP="00BD3A73">
      <w:pPr>
        <w:pStyle w:val="BodyTextIndent"/>
        <w:keepNext w:val="0"/>
        <w:keepLines w:val="0"/>
        <w:numPr>
          <w:ilvl w:val="0"/>
          <w:numId w:val="10"/>
        </w:numPr>
        <w:tabs>
          <w:tab w:val="clear" w:pos="1209"/>
          <w:tab w:val="num" w:pos="360"/>
        </w:tabs>
        <w:ind w:left="360"/>
        <w:rPr>
          <w:lang w:eastAsia="en-AU"/>
        </w:rPr>
      </w:pPr>
      <w:r>
        <w:rPr>
          <w:lang w:eastAsia="en-AU"/>
        </w:rPr>
        <w:t>managing whole</w:t>
      </w:r>
      <w:r w:rsidR="00D1648B">
        <w:rPr>
          <w:lang w:eastAsia="en-AU"/>
        </w:rPr>
        <w:t xml:space="preserve"> </w:t>
      </w:r>
      <w:r>
        <w:rPr>
          <w:lang w:eastAsia="en-AU"/>
        </w:rPr>
        <w:t>of</w:t>
      </w:r>
      <w:r w:rsidR="00D1648B">
        <w:rPr>
          <w:lang w:eastAsia="en-AU"/>
        </w:rPr>
        <w:t xml:space="preserve"> </w:t>
      </w:r>
      <w:r w:rsidR="000C2C5A">
        <w:rPr>
          <w:lang w:eastAsia="en-AU"/>
        </w:rPr>
        <w:t>g</w:t>
      </w:r>
      <w:r>
        <w:rPr>
          <w:lang w:eastAsia="en-AU"/>
        </w:rPr>
        <w:t>overnment people management initiatives, such as the work safety and workers’ compensation improvement plan and the new code of conduct</w:t>
      </w:r>
      <w:r w:rsidRPr="00DF20F1">
        <w:rPr>
          <w:lang w:eastAsia="en-AU"/>
        </w:rPr>
        <w:t xml:space="preserve">; </w:t>
      </w:r>
    </w:p>
    <w:p w:rsidR="003A1A1F" w:rsidRDefault="00AE4013" w:rsidP="00BD3A73">
      <w:pPr>
        <w:pStyle w:val="BodyTextIndent"/>
        <w:keepNext w:val="0"/>
        <w:keepLines w:val="0"/>
        <w:numPr>
          <w:ilvl w:val="0"/>
          <w:numId w:val="10"/>
        </w:numPr>
        <w:tabs>
          <w:tab w:val="clear" w:pos="1209"/>
          <w:tab w:val="num" w:pos="360"/>
        </w:tabs>
        <w:ind w:left="360"/>
        <w:rPr>
          <w:lang w:eastAsia="en-AU"/>
        </w:rPr>
      </w:pPr>
      <w:r>
        <w:rPr>
          <w:lang w:eastAsia="en-AU"/>
        </w:rPr>
        <w:t xml:space="preserve">implementing leadership and training programs to increase skills and promote </w:t>
      </w:r>
      <w:r w:rsidRPr="00DF20F1">
        <w:rPr>
          <w:lang w:eastAsia="en-AU"/>
        </w:rPr>
        <w:t>professional development; and</w:t>
      </w:r>
    </w:p>
    <w:p w:rsidR="00AE4013" w:rsidRPr="00DF20F1" w:rsidRDefault="00AE4013" w:rsidP="00BD3A73">
      <w:pPr>
        <w:pStyle w:val="BodyTextIndent"/>
        <w:keepNext w:val="0"/>
        <w:keepLines w:val="0"/>
        <w:numPr>
          <w:ilvl w:val="0"/>
          <w:numId w:val="10"/>
        </w:numPr>
        <w:tabs>
          <w:tab w:val="clear" w:pos="1209"/>
          <w:tab w:val="num" w:pos="360"/>
        </w:tabs>
        <w:ind w:left="360"/>
        <w:rPr>
          <w:lang w:eastAsia="en-AU"/>
        </w:rPr>
      </w:pPr>
      <w:proofErr w:type="gramStart"/>
      <w:r>
        <w:rPr>
          <w:lang w:eastAsia="en-AU"/>
        </w:rPr>
        <w:t>providing</w:t>
      </w:r>
      <w:proofErr w:type="gramEnd"/>
      <w:r>
        <w:rPr>
          <w:lang w:eastAsia="en-AU"/>
        </w:rPr>
        <w:t xml:space="preserve"> strategic human resources support to </w:t>
      </w:r>
      <w:r w:rsidR="0067048C">
        <w:rPr>
          <w:lang w:eastAsia="en-AU"/>
        </w:rPr>
        <w:t>directorates</w:t>
      </w:r>
      <w:r>
        <w:rPr>
          <w:lang w:eastAsia="en-AU"/>
        </w:rPr>
        <w:t xml:space="preserve"> and agencies</w:t>
      </w:r>
      <w:r w:rsidRPr="00DF20F1">
        <w:rPr>
          <w:lang w:eastAsia="en-AU"/>
        </w:rPr>
        <w:t>.</w:t>
      </w:r>
    </w:p>
    <w:p w:rsidR="0089445D" w:rsidRDefault="005C49A2" w:rsidP="0089445D">
      <w:pPr>
        <w:pStyle w:val="SIHeading1"/>
        <w:spacing w:after="120"/>
        <w:jc w:val="left"/>
      </w:pPr>
      <w:r w:rsidRPr="005C0974">
        <w:t>Strategic Indicator</w:t>
      </w:r>
      <w:r w:rsidR="00943CC5" w:rsidRPr="005C0974">
        <w:t xml:space="preserve"> 3</w:t>
      </w:r>
      <w:r w:rsidR="0089445D">
        <w:rPr>
          <w:bCs/>
          <w:szCs w:val="24"/>
        </w:rPr>
        <w:t>:</w:t>
      </w:r>
      <w:r w:rsidR="0055016D">
        <w:rPr>
          <w:bCs/>
          <w:szCs w:val="24"/>
        </w:rPr>
        <w:t xml:space="preserve">  </w:t>
      </w:r>
      <w:r w:rsidR="0089445D" w:rsidRPr="0089445D">
        <w:rPr>
          <w:b w:val="0"/>
        </w:rPr>
        <w:t>A key indicator of success in determining whether the correct skills and capacity are being maintained is workforce agility and responsiveness.  Indicators will be developed following the 2013</w:t>
      </w:r>
      <w:r w:rsidR="0089445D" w:rsidRPr="0089445D">
        <w:rPr>
          <w:b w:val="0"/>
        </w:rPr>
        <w:noBreakHyphen/>
        <w:t>14 all staff census to provide baseline data</w:t>
      </w:r>
    </w:p>
    <w:p w:rsidR="00967138" w:rsidRPr="005C0974" w:rsidRDefault="00967138" w:rsidP="00D1648B">
      <w:pPr>
        <w:pStyle w:val="SIHeading1"/>
        <w:keepNext w:val="0"/>
        <w:keepLines w:val="0"/>
      </w:pPr>
      <w:r w:rsidRPr="005C0974">
        <w:t>Strategic Objective</w:t>
      </w:r>
      <w:r w:rsidR="0055016D" w:rsidRPr="005C0974">
        <w:t xml:space="preserve"> </w:t>
      </w:r>
      <w:r w:rsidRPr="005C0974">
        <w:t>4</w:t>
      </w:r>
    </w:p>
    <w:p w:rsidR="00967138" w:rsidRPr="003A1A1F" w:rsidRDefault="005C0974" w:rsidP="005C0974">
      <w:pPr>
        <w:pStyle w:val="SIHeading2"/>
        <w:keepNext w:val="0"/>
        <w:keepLines w:val="0"/>
      </w:pPr>
      <w:r>
        <w:t xml:space="preserve">Improved </w:t>
      </w:r>
      <w:r w:rsidR="0037088A">
        <w:t>S</w:t>
      </w:r>
      <w:r>
        <w:t xml:space="preserve">atisfaction with </w:t>
      </w:r>
      <w:r w:rsidR="0037088A">
        <w:t>C</w:t>
      </w:r>
      <w:r>
        <w:t xml:space="preserve">ommunity </w:t>
      </w:r>
      <w:r w:rsidR="0037088A">
        <w:t>E</w:t>
      </w:r>
      <w:r w:rsidR="00967138" w:rsidRPr="005C0974">
        <w:t>ngagement</w:t>
      </w:r>
    </w:p>
    <w:p w:rsidR="00967138" w:rsidRDefault="00967138" w:rsidP="00AE68C8">
      <w:pPr>
        <w:pStyle w:val="BodyText"/>
      </w:pPr>
      <w:r w:rsidRPr="007C77E1">
        <w:t>The Government is committed to engaging the Canberra community in the development and delivery of government policies, programs, public works and services.  Enhancing citizen engagement and participation build</w:t>
      </w:r>
      <w:r w:rsidR="003A1A1F">
        <w:t>s</w:t>
      </w:r>
      <w:r w:rsidRPr="007C77E1">
        <w:t xml:space="preserve"> trust in government and </w:t>
      </w:r>
      <w:r w:rsidR="003A1A1F" w:rsidRPr="007C77E1">
        <w:t>mak</w:t>
      </w:r>
      <w:r w:rsidR="003A1A1F">
        <w:t xml:space="preserve">es </w:t>
      </w:r>
      <w:r w:rsidRPr="007C77E1">
        <w:t>processes more transparent, accountable and responsive to the public’s views.</w:t>
      </w:r>
    </w:p>
    <w:p w:rsidR="00967138" w:rsidRPr="005C0974" w:rsidRDefault="00967138" w:rsidP="00D1648B">
      <w:pPr>
        <w:pStyle w:val="SIHeading1"/>
        <w:spacing w:after="120"/>
        <w:jc w:val="left"/>
        <w:rPr>
          <w:b w:val="0"/>
        </w:rPr>
      </w:pPr>
      <w:r w:rsidRPr="005C0974">
        <w:t>Strategic Indicator</w:t>
      </w:r>
      <w:r w:rsidR="007B7C5B" w:rsidRPr="005C0974">
        <w:t xml:space="preserve"> 4</w:t>
      </w:r>
      <w:r w:rsidRPr="00D1648B">
        <w:rPr>
          <w:b w:val="0"/>
          <w:bCs/>
          <w:szCs w:val="24"/>
        </w:rPr>
        <w:t xml:space="preserve">:  </w:t>
      </w:r>
      <w:r w:rsidR="00E84262">
        <w:rPr>
          <w:b w:val="0"/>
        </w:rPr>
        <w:t>Community M</w:t>
      </w:r>
      <w:r w:rsidRPr="005C0974">
        <w:rPr>
          <w:b w:val="0"/>
        </w:rPr>
        <w:t xml:space="preserve">embers </w:t>
      </w:r>
      <w:r w:rsidR="00E84262">
        <w:rPr>
          <w:b w:val="0"/>
        </w:rPr>
        <w:t>Feel Able to H</w:t>
      </w:r>
      <w:r w:rsidRPr="005C0974">
        <w:rPr>
          <w:b w:val="0"/>
        </w:rPr>
        <w:t xml:space="preserve">ave </w:t>
      </w:r>
      <w:proofErr w:type="gramStart"/>
      <w:r w:rsidRPr="005C0974">
        <w:rPr>
          <w:b w:val="0"/>
        </w:rPr>
        <w:t xml:space="preserve">a </w:t>
      </w:r>
      <w:r w:rsidR="00E84262">
        <w:rPr>
          <w:b w:val="0"/>
        </w:rPr>
        <w:t>S</w:t>
      </w:r>
      <w:r w:rsidRPr="005C0974">
        <w:rPr>
          <w:b w:val="0"/>
        </w:rPr>
        <w:t>ay</w:t>
      </w:r>
      <w:proofErr w:type="gramEnd"/>
      <w:r w:rsidRPr="005C0974">
        <w:rPr>
          <w:b w:val="0"/>
        </w:rPr>
        <w:t xml:space="preserve"> </w:t>
      </w:r>
      <w:r w:rsidR="00E84262">
        <w:rPr>
          <w:b w:val="0"/>
        </w:rPr>
        <w:t>Within the Community on Important I</w:t>
      </w:r>
      <w:r w:rsidRPr="005C0974">
        <w:rPr>
          <w:b w:val="0"/>
        </w:rPr>
        <w:t>ssues</w:t>
      </w:r>
      <w:r w:rsidR="00D1648B" w:rsidRPr="005C0974">
        <w:rPr>
          <w:b w:val="0"/>
        </w:rPr>
        <w:t>.</w:t>
      </w:r>
    </w:p>
    <w:p w:rsidR="003A1A1F" w:rsidRDefault="00967138" w:rsidP="00E84262">
      <w:pPr>
        <w:pStyle w:val="BodyText"/>
        <w:spacing w:after="200"/>
        <w:jc w:val="left"/>
      </w:pPr>
      <w:r w:rsidRPr="007C77E1">
        <w:t xml:space="preserve">An indicator of the effectiveness of engagement mechanisms is the </w:t>
      </w:r>
      <w:r w:rsidR="003508AD">
        <w:t xml:space="preserve">community’s perception of whether they are </w:t>
      </w:r>
      <w:r w:rsidRPr="007C77E1">
        <w:t>able to have their say on important issues all/some of the time.</w:t>
      </w:r>
    </w:p>
    <w:p w:rsidR="003A1A1F" w:rsidRDefault="009844DE">
      <w:pPr>
        <w:pStyle w:val="BodyText"/>
        <w:jc w:val="center"/>
      </w:pPr>
      <w:r>
        <w:rPr>
          <w:noProof/>
          <w:lang w:eastAsia="en-AU"/>
        </w:rPr>
        <w:drawing>
          <wp:inline distT="0" distB="0" distL="0" distR="0">
            <wp:extent cx="4191000" cy="2237091"/>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205847" cy="2245016"/>
                    </a:xfrm>
                    <a:prstGeom prst="rect">
                      <a:avLst/>
                    </a:prstGeom>
                    <a:noFill/>
                  </pic:spPr>
                </pic:pic>
              </a:graphicData>
            </a:graphic>
          </wp:inline>
        </w:drawing>
      </w:r>
    </w:p>
    <w:p w:rsidR="00501E1B" w:rsidRPr="00E84262" w:rsidRDefault="00DC05FE">
      <w:pPr>
        <w:pStyle w:val="Notes"/>
        <w:spacing w:after="240"/>
        <w:jc w:val="center"/>
        <w:rPr>
          <w:b w:val="0"/>
          <w:i/>
          <w:sz w:val="16"/>
          <w:szCs w:val="16"/>
        </w:rPr>
      </w:pPr>
      <w:r w:rsidRPr="00E84262">
        <w:rPr>
          <w:b w:val="0"/>
          <w:i/>
          <w:sz w:val="16"/>
          <w:szCs w:val="16"/>
        </w:rPr>
        <w:t>Source: General Social Survey 2006 and General Social Survey 2010 (ABS)</w:t>
      </w:r>
    </w:p>
    <w:p w:rsidR="00501E1B" w:rsidRDefault="00501E1B">
      <w:pPr>
        <w:spacing w:after="200" w:line="276" w:lineRule="auto"/>
        <w:rPr>
          <w:b/>
          <w:i/>
          <w:sz w:val="16"/>
          <w:szCs w:val="16"/>
        </w:rPr>
      </w:pPr>
      <w:r>
        <w:rPr>
          <w:i/>
          <w:sz w:val="16"/>
          <w:szCs w:val="16"/>
        </w:rPr>
        <w:br w:type="page"/>
      </w:r>
    </w:p>
    <w:p w:rsidR="003825EA" w:rsidRDefault="00617A2C">
      <w:pPr>
        <w:pStyle w:val="SIHeading1"/>
        <w:keepNext w:val="0"/>
        <w:keepLines w:val="0"/>
        <w:spacing w:before="120"/>
      </w:pPr>
      <w:r w:rsidRPr="00617A2C">
        <w:lastRenderedPageBreak/>
        <w:t>Strategic Objective 5</w:t>
      </w:r>
    </w:p>
    <w:p w:rsidR="003825EA" w:rsidRDefault="009E6C43">
      <w:pPr>
        <w:pStyle w:val="SIHeading2"/>
        <w:keepNext w:val="0"/>
      </w:pPr>
      <w:r w:rsidRPr="009E6C43">
        <w:t>Achieving a Budget Operating Surplus</w:t>
      </w:r>
    </w:p>
    <w:p w:rsidR="003825EA" w:rsidRDefault="00617A2C">
      <w:pPr>
        <w:pStyle w:val="BodyText"/>
        <w:keepLines/>
      </w:pPr>
      <w:r>
        <w:t>The Government’s fiscal objective is to achieve an operating surplus</w:t>
      </w:r>
      <w:r w:rsidR="003509CD">
        <w:t xml:space="preserve">:  </w:t>
      </w:r>
      <w:r>
        <w:t xml:space="preserve">temporary deficits </w:t>
      </w:r>
      <w:r w:rsidR="003509CD">
        <w:t xml:space="preserve">must only occur if they </w:t>
      </w:r>
      <w:r>
        <w:t>are offset by surpluses at other times.</w:t>
      </w:r>
    </w:p>
    <w:p w:rsidR="003825EA" w:rsidRDefault="00617A2C" w:rsidP="008D794C">
      <w:pPr>
        <w:pStyle w:val="BodyText"/>
        <w:keepLines/>
      </w:pPr>
      <w:r>
        <w:t xml:space="preserve">The General Government Sector </w:t>
      </w:r>
      <w:r w:rsidR="00D27383">
        <w:t xml:space="preserve">(GGS) </w:t>
      </w:r>
      <w:r>
        <w:t xml:space="preserve">Headline </w:t>
      </w:r>
      <w:r w:rsidR="00B11659">
        <w:t>Net Operating Balance in 2013</w:t>
      </w:r>
      <w:r w:rsidR="00B11659">
        <w:noBreakHyphen/>
        <w:t>14 is a deficit of $253.6 </w:t>
      </w:r>
      <w:r>
        <w:t>million</w:t>
      </w:r>
      <w:r w:rsidR="00AF77F7">
        <w:t>,</w:t>
      </w:r>
      <w:r>
        <w:t xml:space="preserve"> returning to a surplus </w:t>
      </w:r>
      <w:r w:rsidR="00501E1B">
        <w:t xml:space="preserve">of $29.3 million </w:t>
      </w:r>
      <w:r>
        <w:t>in 2015-16</w:t>
      </w:r>
      <w:r w:rsidR="00167EDE">
        <w:t>.</w:t>
      </w:r>
    </w:p>
    <w:p w:rsidR="00152DCF" w:rsidRDefault="00617A2C" w:rsidP="008D794C">
      <w:pPr>
        <w:pStyle w:val="SIHeading1"/>
        <w:keepNext w:val="0"/>
        <w:tabs>
          <w:tab w:val="left" w:pos="7938"/>
        </w:tabs>
        <w:spacing w:after="120"/>
        <w:jc w:val="left"/>
        <w:rPr>
          <w:b w:val="0"/>
        </w:rPr>
      </w:pPr>
      <w:r w:rsidRPr="00617A2C">
        <w:t xml:space="preserve">Strategic </w:t>
      </w:r>
      <w:r w:rsidRPr="008D794C">
        <w:t>Indicator 5:</w:t>
      </w:r>
      <w:r w:rsidR="009E6C43" w:rsidRPr="008D794C">
        <w:rPr>
          <w:bCs/>
          <w:szCs w:val="24"/>
        </w:rPr>
        <w:t xml:space="preserve">  </w:t>
      </w:r>
      <w:r w:rsidRPr="008D794C">
        <w:rPr>
          <w:b w:val="0"/>
        </w:rPr>
        <w:t>General</w:t>
      </w:r>
      <w:r w:rsidRPr="00617A2C">
        <w:rPr>
          <w:b w:val="0"/>
        </w:rPr>
        <w:t xml:space="preserve"> Government Sector Headline Net Operating Balance</w:t>
      </w:r>
    </w:p>
    <w:p w:rsidR="008D794C" w:rsidRPr="008D794C" w:rsidRDefault="002B0471" w:rsidP="00152DCF">
      <w:pPr>
        <w:pStyle w:val="SIHeading1"/>
        <w:keepNext w:val="0"/>
        <w:tabs>
          <w:tab w:val="left" w:pos="7938"/>
        </w:tabs>
        <w:spacing w:after="120"/>
      </w:pPr>
      <w:r w:rsidRPr="002B0471">
        <w:rPr>
          <w:noProof/>
          <w:lang w:eastAsia="en-AU"/>
        </w:rPr>
        <w:drawing>
          <wp:inline distT="0" distB="0" distL="0" distR="0">
            <wp:extent cx="4682947" cy="2533650"/>
            <wp:effectExtent l="19050" t="19050" r="22403"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82752" cy="2533545"/>
                    </a:xfrm>
                    <a:prstGeom prst="rect">
                      <a:avLst/>
                    </a:prstGeom>
                    <a:noFill/>
                    <a:ln w="9525">
                      <a:solidFill>
                        <a:schemeClr val="tx1"/>
                      </a:solidFill>
                      <a:miter lim="800000"/>
                      <a:headEnd/>
                      <a:tailEnd/>
                    </a:ln>
                  </pic:spPr>
                </pic:pic>
              </a:graphicData>
            </a:graphic>
          </wp:inline>
        </w:drawing>
      </w:r>
      <w:r w:rsidR="008D794C">
        <w:br w:type="textWrapping" w:clear="all"/>
      </w:r>
    </w:p>
    <w:p w:rsidR="005142CF" w:rsidRPr="007B0F14" w:rsidRDefault="00617A2C" w:rsidP="008D794C">
      <w:pPr>
        <w:pStyle w:val="SIHeading1"/>
        <w:keepNext w:val="0"/>
      </w:pPr>
      <w:r w:rsidRPr="00617A2C">
        <w:t>Strategic Objective 6</w:t>
      </w:r>
    </w:p>
    <w:p w:rsidR="00967138" w:rsidRPr="007B0F14" w:rsidRDefault="009E6C43" w:rsidP="007B0F14">
      <w:pPr>
        <w:pStyle w:val="SIHeading2"/>
      </w:pPr>
      <w:r w:rsidRPr="009E6C43">
        <w:t>Maintaining a AAA Credit Rating</w:t>
      </w:r>
    </w:p>
    <w:p w:rsidR="00967138" w:rsidRPr="008D794C" w:rsidRDefault="00617A2C" w:rsidP="00AE68C8">
      <w:pPr>
        <w:pStyle w:val="BodyText"/>
      </w:pPr>
      <w:r>
        <w:t xml:space="preserve">Standard &amp; </w:t>
      </w:r>
      <w:r w:rsidRPr="008D794C">
        <w:t>Poor’s Ratings Services assesses the Territory’s credit rating each year.  The Directorate assists the Government to maintain this credit rating through the provision of sound policy advice and prudent financial management.</w:t>
      </w:r>
    </w:p>
    <w:p w:rsidR="00967138" w:rsidRPr="008D794C" w:rsidRDefault="00617A2C" w:rsidP="007B7C5B">
      <w:pPr>
        <w:pStyle w:val="SIHeading1"/>
        <w:spacing w:after="120"/>
        <w:jc w:val="left"/>
        <w:rPr>
          <w:bCs/>
          <w:szCs w:val="24"/>
        </w:rPr>
      </w:pPr>
      <w:r w:rsidRPr="008D794C">
        <w:t>Strategic Indicator 6:</w:t>
      </w:r>
      <w:r w:rsidR="009E6C43" w:rsidRPr="008D794C">
        <w:rPr>
          <w:bCs/>
          <w:szCs w:val="24"/>
        </w:rPr>
        <w:t xml:space="preserve">  </w:t>
      </w:r>
      <w:r w:rsidRPr="008D794C">
        <w:rPr>
          <w:b w:val="0"/>
        </w:rPr>
        <w:t>Standa</w:t>
      </w:r>
      <w:r w:rsidR="009E6C43" w:rsidRPr="008D794C">
        <w:rPr>
          <w:b w:val="0"/>
        </w:rPr>
        <w:t xml:space="preserve">rd &amp; Poor’s </w:t>
      </w:r>
      <w:r w:rsidR="00E84262">
        <w:rPr>
          <w:b w:val="0"/>
        </w:rPr>
        <w:t>C</w:t>
      </w:r>
      <w:r w:rsidR="009E6C43" w:rsidRPr="008D794C">
        <w:rPr>
          <w:b w:val="0"/>
        </w:rPr>
        <w:t xml:space="preserve">redit </w:t>
      </w:r>
      <w:r w:rsidR="00E84262">
        <w:rPr>
          <w:b w:val="0"/>
        </w:rPr>
        <w:t>R</w:t>
      </w:r>
      <w:r w:rsidR="009E6C43" w:rsidRPr="008D794C">
        <w:rPr>
          <w:b w:val="0"/>
        </w:rPr>
        <w:t>ating</w:t>
      </w:r>
    </w:p>
    <w:p w:rsidR="005142CF" w:rsidRPr="008D794C" w:rsidRDefault="00617A2C" w:rsidP="00AE68C8">
      <w:pPr>
        <w:pStyle w:val="BodyText"/>
      </w:pPr>
      <w:r w:rsidRPr="008D794C">
        <w:t xml:space="preserve">The Territory currently has </w:t>
      </w:r>
      <w:proofErr w:type="gramStart"/>
      <w:r w:rsidRPr="008D794C">
        <w:t>a</w:t>
      </w:r>
      <w:proofErr w:type="gramEnd"/>
      <w:r w:rsidRPr="008D794C">
        <w:t xml:space="preserve"> AAA credit rating, the highest possible credit rating.</w:t>
      </w:r>
    </w:p>
    <w:p w:rsidR="003825EA" w:rsidRPr="008D794C" w:rsidRDefault="00617A2C">
      <w:pPr>
        <w:pStyle w:val="SIHeading1"/>
      </w:pPr>
      <w:r w:rsidRPr="008D794C">
        <w:t>Strategic Objective 7</w:t>
      </w:r>
    </w:p>
    <w:p w:rsidR="00967138" w:rsidRPr="008D794C" w:rsidRDefault="009E6C43" w:rsidP="007B0F14">
      <w:pPr>
        <w:pStyle w:val="SIHeading2"/>
      </w:pPr>
      <w:r w:rsidRPr="008D794C">
        <w:t>Maintain Net Financial Liabilities within the Range of AAA Rated Jurisdictions</w:t>
      </w:r>
    </w:p>
    <w:p w:rsidR="000B6543" w:rsidRDefault="00617A2C" w:rsidP="00AE68C8">
      <w:pPr>
        <w:pStyle w:val="BodyText"/>
      </w:pPr>
      <w:r w:rsidRPr="008D794C">
        <w:t xml:space="preserve">Net financial liabilities are a broad measure of </w:t>
      </w:r>
      <w:r w:rsidR="00D27383" w:rsidRPr="008D794C">
        <w:t>GGS</w:t>
      </w:r>
      <w:r w:rsidRPr="008D794C">
        <w:t xml:space="preserve"> liabilities, including net debt and superannuation liabilities.  The ACT continues to have a strong balance sheet, and remains below the weighted average level for all AAA rated jurisdictions.</w:t>
      </w:r>
    </w:p>
    <w:p w:rsidR="000B6543" w:rsidRDefault="000B6543">
      <w:pPr>
        <w:spacing w:after="200" w:line="276" w:lineRule="auto"/>
      </w:pPr>
      <w:r>
        <w:br w:type="page"/>
      </w:r>
    </w:p>
    <w:p w:rsidR="00967138" w:rsidRPr="007E03C8" w:rsidRDefault="009E6C43" w:rsidP="007B7C5B">
      <w:pPr>
        <w:pStyle w:val="SIHeading1"/>
        <w:spacing w:after="120"/>
        <w:jc w:val="left"/>
        <w:rPr>
          <w:highlight w:val="yellow"/>
        </w:rPr>
      </w:pPr>
      <w:r w:rsidRPr="008D794C">
        <w:lastRenderedPageBreak/>
        <w:t xml:space="preserve">Strategic Indicator 7:  </w:t>
      </w:r>
      <w:r w:rsidRPr="008D794C">
        <w:rPr>
          <w:b w:val="0"/>
        </w:rPr>
        <w:t xml:space="preserve">Net </w:t>
      </w:r>
      <w:r w:rsidR="00E84262">
        <w:rPr>
          <w:b w:val="0"/>
        </w:rPr>
        <w:t>F</w:t>
      </w:r>
      <w:r w:rsidRPr="008D794C">
        <w:rPr>
          <w:b w:val="0"/>
        </w:rPr>
        <w:t>inancial</w:t>
      </w:r>
      <w:r w:rsidRPr="009E6C43">
        <w:rPr>
          <w:b w:val="0"/>
        </w:rPr>
        <w:t xml:space="preserve"> </w:t>
      </w:r>
      <w:r w:rsidR="00E84262">
        <w:rPr>
          <w:b w:val="0"/>
        </w:rPr>
        <w:t>L</w:t>
      </w:r>
      <w:r w:rsidRPr="009E6C43">
        <w:rPr>
          <w:b w:val="0"/>
        </w:rPr>
        <w:t xml:space="preserve">iabilities to </w:t>
      </w:r>
      <w:r w:rsidR="00E84262">
        <w:rPr>
          <w:b w:val="0"/>
        </w:rPr>
        <w:t>R</w:t>
      </w:r>
      <w:r w:rsidRPr="009E6C43">
        <w:rPr>
          <w:b w:val="0"/>
        </w:rPr>
        <w:t xml:space="preserve">evenue </w:t>
      </w:r>
      <w:r w:rsidR="00E84262">
        <w:rPr>
          <w:b w:val="0"/>
        </w:rPr>
        <w:t>R</w:t>
      </w:r>
      <w:r w:rsidRPr="009E6C43">
        <w:rPr>
          <w:b w:val="0"/>
        </w:rPr>
        <w:t>atio</w:t>
      </w:r>
    </w:p>
    <w:p w:rsidR="00967138" w:rsidRPr="007B0F14" w:rsidRDefault="009E6C43" w:rsidP="00AE68C8">
      <w:pPr>
        <w:pStyle w:val="BodyText"/>
      </w:pPr>
      <w:r w:rsidRPr="009E6C43">
        <w:t>The ratio for the 201</w:t>
      </w:r>
      <w:r w:rsidR="00D27383">
        <w:t>3</w:t>
      </w:r>
      <w:r w:rsidRPr="009E6C43">
        <w:noBreakHyphen/>
        <w:t>1</w:t>
      </w:r>
      <w:r w:rsidR="00D27383">
        <w:t>4</w:t>
      </w:r>
      <w:r w:rsidRPr="009E6C43">
        <w:t> Budget remains below the Weighted Average of all AAA rated jurisdictions.</w:t>
      </w:r>
    </w:p>
    <w:p w:rsidR="00967138" w:rsidRPr="007B0F14" w:rsidRDefault="009E6C43" w:rsidP="00AE68C8">
      <w:pPr>
        <w:pStyle w:val="BodyText"/>
      </w:pPr>
      <w:r w:rsidRPr="009E6C43">
        <w:t xml:space="preserve">The ratios appearing in the table below for all other jurisdictions are based on their </w:t>
      </w:r>
      <w:r w:rsidR="00365174">
        <w:t>b</w:t>
      </w:r>
      <w:r w:rsidRPr="009E6C43">
        <w:t xml:space="preserve">udgets, where released, or, </w:t>
      </w:r>
      <w:r w:rsidR="00D27383">
        <w:t>where not yet released</w:t>
      </w:r>
      <w:r w:rsidRPr="009E6C43">
        <w:t>, Mid Year Budget Review information</w:t>
      </w:r>
      <w:r w:rsidR="00D27383">
        <w:t>.</w:t>
      </w:r>
    </w:p>
    <w:p w:rsidR="00355F65" w:rsidRPr="008D794C" w:rsidRDefault="009E6C43" w:rsidP="00E84262">
      <w:pPr>
        <w:pStyle w:val="BodyText"/>
        <w:spacing w:after="200"/>
      </w:pPr>
      <w:r w:rsidRPr="008D794C">
        <w:t xml:space="preserve">Detailed information for this objective is included in </w:t>
      </w:r>
      <w:r w:rsidRPr="008D794C">
        <w:rPr>
          <w:i/>
        </w:rPr>
        <w:t>Budget Paper 3 - Budget Overview</w:t>
      </w:r>
      <w:r w:rsidRPr="008D794C">
        <w:t>.</w:t>
      </w:r>
    </w:p>
    <w:p w:rsidR="003304DE" w:rsidRDefault="003304DE" w:rsidP="00AC109F">
      <w:pPr>
        <w:pStyle w:val="BodyText"/>
        <w:jc w:val="center"/>
        <w:rPr>
          <w:highlight w:val="yellow"/>
        </w:rPr>
      </w:pPr>
      <w:r w:rsidRPr="003304DE">
        <w:rPr>
          <w:noProof/>
          <w:lang w:eastAsia="en-AU"/>
        </w:rPr>
        <w:drawing>
          <wp:inline distT="0" distB="0" distL="0" distR="0">
            <wp:extent cx="4991100" cy="3338184"/>
            <wp:effectExtent l="1905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998980" cy="3343455"/>
                    </a:xfrm>
                    <a:prstGeom prst="rect">
                      <a:avLst/>
                    </a:prstGeom>
                    <a:noFill/>
                  </pic:spPr>
                </pic:pic>
              </a:graphicData>
            </a:graphic>
          </wp:inline>
        </w:drawing>
      </w:r>
    </w:p>
    <w:p w:rsidR="00967138" w:rsidRPr="007E03C8" w:rsidRDefault="00967138" w:rsidP="00AE68C8">
      <w:pPr>
        <w:pStyle w:val="BodyText"/>
        <w:rPr>
          <w:highlight w:val="yellow"/>
        </w:rPr>
      </w:pPr>
    </w:p>
    <w:p w:rsidR="005142CF" w:rsidRDefault="005142CF" w:rsidP="00230084">
      <w:pPr>
        <w:pStyle w:val="BodyText"/>
        <w:jc w:val="center"/>
      </w:pPr>
    </w:p>
    <w:p w:rsidR="005142CF" w:rsidRDefault="004F4336" w:rsidP="00AE68C8">
      <w:pPr>
        <w:pStyle w:val="BodyText"/>
      </w:pPr>
      <w:r>
        <w:t xml:space="preserve"> </w:t>
      </w:r>
    </w:p>
    <w:p w:rsidR="00F628AF" w:rsidRDefault="004F4336" w:rsidP="007B0F14">
      <w:pPr>
        <w:pStyle w:val="Heading3"/>
      </w:pPr>
      <w:r>
        <w:br w:type="page"/>
      </w:r>
    </w:p>
    <w:p w:rsidR="001A3742" w:rsidRPr="007B0F14" w:rsidRDefault="001A3742" w:rsidP="007B0F14">
      <w:pPr>
        <w:pStyle w:val="Heading3"/>
      </w:pPr>
      <w:r w:rsidRPr="007B0F14">
        <w:lastRenderedPageBreak/>
        <w:t>Output Class</w:t>
      </w:r>
      <w:r w:rsidR="00230084" w:rsidRPr="007B0F14">
        <w:t>es</w:t>
      </w:r>
    </w:p>
    <w:tbl>
      <w:tblPr>
        <w:tblW w:w="9101" w:type="dxa"/>
        <w:tblLook w:val="0000"/>
      </w:tblPr>
      <w:tblGrid>
        <w:gridCol w:w="3577"/>
        <w:gridCol w:w="1381"/>
        <w:gridCol w:w="1381"/>
        <w:gridCol w:w="1381"/>
        <w:gridCol w:w="1381"/>
      </w:tblGrid>
      <w:tr w:rsidR="001A3742" w:rsidRPr="00CF1A8C" w:rsidTr="00CD1F2B">
        <w:trPr>
          <w:trHeight w:val="531"/>
        </w:trPr>
        <w:tc>
          <w:tcPr>
            <w:tcW w:w="3527" w:type="dxa"/>
            <w:tcBorders>
              <w:top w:val="single" w:sz="4" w:space="0" w:color="auto"/>
            </w:tcBorders>
          </w:tcPr>
          <w:p w:rsidR="001A3742" w:rsidRPr="00CF1A8C" w:rsidRDefault="001A3742">
            <w:pPr>
              <w:pStyle w:val="Heading2"/>
              <w:spacing w:before="0"/>
              <w:ind w:left="357"/>
              <w:jc w:val="right"/>
              <w:rPr>
                <w:b w:val="0"/>
                <w:bCs/>
                <w:iCs/>
              </w:rPr>
            </w:pPr>
          </w:p>
        </w:tc>
        <w:tc>
          <w:tcPr>
            <w:tcW w:w="1361" w:type="dxa"/>
            <w:gridSpan w:val="2"/>
            <w:tcBorders>
              <w:top w:val="single" w:sz="4" w:space="0" w:color="auto"/>
              <w:bottom w:val="single" w:sz="4" w:space="0" w:color="auto"/>
            </w:tcBorders>
          </w:tcPr>
          <w:p w:rsidR="001A3742" w:rsidRPr="00CF1A8C" w:rsidRDefault="001A3742" w:rsidP="001C29E1">
            <w:pPr>
              <w:pStyle w:val="Heading2"/>
              <w:spacing w:after="0"/>
            </w:pPr>
            <w:r w:rsidRPr="00CF1A8C">
              <w:t>Total Cost</w:t>
            </w:r>
            <w:r w:rsidR="002A17A7" w:rsidRPr="002A17A7">
              <w:rPr>
                <w:vertAlign w:val="superscript"/>
              </w:rPr>
              <w:t>1</w:t>
            </w:r>
          </w:p>
          <w:p w:rsidR="001A3742" w:rsidRPr="00CF1A8C" w:rsidRDefault="001A3742" w:rsidP="001C29E1">
            <w:pPr>
              <w:pStyle w:val="Heading2"/>
              <w:spacing w:after="0"/>
            </w:pPr>
          </w:p>
        </w:tc>
        <w:tc>
          <w:tcPr>
            <w:tcW w:w="1361" w:type="dxa"/>
            <w:gridSpan w:val="2"/>
            <w:tcBorders>
              <w:top w:val="single" w:sz="4" w:space="0" w:color="auto"/>
              <w:bottom w:val="single" w:sz="4" w:space="0" w:color="auto"/>
            </w:tcBorders>
          </w:tcPr>
          <w:p w:rsidR="001A3742" w:rsidRPr="00CF1A8C" w:rsidRDefault="001A3742" w:rsidP="00B8732E">
            <w:pPr>
              <w:pStyle w:val="Heading2"/>
            </w:pPr>
            <w:r w:rsidRPr="00CF1A8C">
              <w:t>Government Payment for Outputs</w:t>
            </w:r>
          </w:p>
        </w:tc>
      </w:tr>
      <w:tr w:rsidR="001A3742" w:rsidRPr="00CF1A8C" w:rsidTr="00CD1F2B">
        <w:tc>
          <w:tcPr>
            <w:tcW w:w="3527" w:type="dxa"/>
            <w:tcBorders>
              <w:bottom w:val="single" w:sz="4" w:space="0" w:color="auto"/>
            </w:tcBorders>
          </w:tcPr>
          <w:p w:rsidR="001A3742" w:rsidRPr="00CF1A8C" w:rsidRDefault="001A3742">
            <w:pPr>
              <w:pStyle w:val="SinglePara"/>
              <w:rPr>
                <w:b/>
                <w:bCs/>
              </w:rPr>
            </w:pPr>
          </w:p>
        </w:tc>
        <w:tc>
          <w:tcPr>
            <w:tcW w:w="1361" w:type="dxa"/>
            <w:tcBorders>
              <w:top w:val="single" w:sz="4" w:space="0" w:color="auto"/>
              <w:bottom w:val="single" w:sz="4" w:space="0" w:color="auto"/>
            </w:tcBorders>
          </w:tcPr>
          <w:p w:rsidR="001A3742" w:rsidRPr="00CF1A8C" w:rsidRDefault="008B0241" w:rsidP="0003549F">
            <w:pPr>
              <w:pStyle w:val="Heading6"/>
            </w:pPr>
            <w:r>
              <w:t>2012-13</w:t>
            </w:r>
          </w:p>
          <w:p w:rsidR="001A3742" w:rsidRPr="00CF1A8C" w:rsidRDefault="001A3742" w:rsidP="0003549F">
            <w:pPr>
              <w:pStyle w:val="Heading6"/>
            </w:pPr>
            <w:r w:rsidRPr="00CF1A8C">
              <w:t>Est. Outcome</w:t>
            </w:r>
          </w:p>
          <w:p w:rsidR="001A3742" w:rsidRPr="00CF1A8C" w:rsidRDefault="001A3742" w:rsidP="00B8732E">
            <w:pPr>
              <w:pStyle w:val="Heading6"/>
            </w:pPr>
            <w:r w:rsidRPr="00CF1A8C">
              <w:t>$’000</w:t>
            </w:r>
          </w:p>
        </w:tc>
        <w:tc>
          <w:tcPr>
            <w:tcW w:w="1361" w:type="dxa"/>
            <w:tcBorders>
              <w:top w:val="single" w:sz="4" w:space="0" w:color="auto"/>
              <w:bottom w:val="single" w:sz="4" w:space="0" w:color="auto"/>
            </w:tcBorders>
          </w:tcPr>
          <w:p w:rsidR="001A3742" w:rsidRPr="00CF1A8C" w:rsidRDefault="008B0241" w:rsidP="0003549F">
            <w:pPr>
              <w:pStyle w:val="Heading6"/>
            </w:pPr>
            <w:r>
              <w:t>2013-14</w:t>
            </w:r>
          </w:p>
          <w:p w:rsidR="001A3742" w:rsidRPr="00CF1A8C" w:rsidRDefault="001A3742" w:rsidP="0003549F">
            <w:pPr>
              <w:pStyle w:val="Heading6"/>
            </w:pPr>
            <w:r w:rsidRPr="00CF1A8C">
              <w:t>Budget</w:t>
            </w:r>
          </w:p>
          <w:p w:rsidR="001A3742" w:rsidRPr="00CF1A8C" w:rsidRDefault="001A3742" w:rsidP="003255C6">
            <w:pPr>
              <w:pStyle w:val="Heading6"/>
            </w:pPr>
            <w:r w:rsidRPr="00CF1A8C">
              <w:t xml:space="preserve">$’000 </w:t>
            </w:r>
          </w:p>
        </w:tc>
        <w:tc>
          <w:tcPr>
            <w:tcW w:w="1361" w:type="dxa"/>
            <w:tcBorders>
              <w:top w:val="single" w:sz="4" w:space="0" w:color="auto"/>
              <w:bottom w:val="single" w:sz="4" w:space="0" w:color="auto"/>
            </w:tcBorders>
          </w:tcPr>
          <w:p w:rsidR="001A3742" w:rsidRPr="00CF1A8C" w:rsidRDefault="008B0241" w:rsidP="0003549F">
            <w:pPr>
              <w:pStyle w:val="Heading6"/>
            </w:pPr>
            <w:r>
              <w:t>2012-13</w:t>
            </w:r>
          </w:p>
          <w:p w:rsidR="001A3742" w:rsidRPr="00CF1A8C" w:rsidRDefault="001A3742" w:rsidP="0003549F">
            <w:pPr>
              <w:pStyle w:val="Heading6"/>
            </w:pPr>
            <w:r w:rsidRPr="00CF1A8C">
              <w:t>Est. Outcome</w:t>
            </w:r>
          </w:p>
          <w:p w:rsidR="001A3742" w:rsidRPr="00CF1A8C" w:rsidRDefault="001A3742" w:rsidP="0003549F">
            <w:pPr>
              <w:pStyle w:val="Heading6"/>
            </w:pPr>
            <w:r w:rsidRPr="00CF1A8C">
              <w:t xml:space="preserve">$’000 </w:t>
            </w:r>
          </w:p>
        </w:tc>
        <w:tc>
          <w:tcPr>
            <w:tcW w:w="1361" w:type="dxa"/>
            <w:tcBorders>
              <w:top w:val="single" w:sz="4" w:space="0" w:color="auto"/>
              <w:bottom w:val="single" w:sz="4" w:space="0" w:color="auto"/>
            </w:tcBorders>
          </w:tcPr>
          <w:p w:rsidR="001A3742" w:rsidRPr="00CF1A8C" w:rsidRDefault="008B0241" w:rsidP="0003549F">
            <w:pPr>
              <w:pStyle w:val="Heading6"/>
            </w:pPr>
            <w:r>
              <w:t>2013-14</w:t>
            </w:r>
          </w:p>
          <w:p w:rsidR="001A3742" w:rsidRPr="00CF1A8C" w:rsidRDefault="001A3742" w:rsidP="0003549F">
            <w:pPr>
              <w:pStyle w:val="Heading6"/>
            </w:pPr>
            <w:r w:rsidRPr="00CF1A8C">
              <w:t>Budget</w:t>
            </w:r>
          </w:p>
          <w:p w:rsidR="001A3742" w:rsidRPr="00CF1A8C" w:rsidRDefault="001A3742" w:rsidP="0003549F">
            <w:pPr>
              <w:pStyle w:val="Heading6"/>
            </w:pPr>
            <w:r w:rsidRPr="00CF1A8C">
              <w:t xml:space="preserve">$’000 </w:t>
            </w:r>
          </w:p>
        </w:tc>
      </w:tr>
      <w:tr w:rsidR="001A3742" w:rsidRPr="00CF1A8C" w:rsidTr="00CD1F2B">
        <w:tc>
          <w:tcPr>
            <w:tcW w:w="3527" w:type="dxa"/>
            <w:tcBorders>
              <w:top w:val="single" w:sz="4" w:space="0" w:color="auto"/>
              <w:bottom w:val="single" w:sz="4" w:space="0" w:color="auto"/>
            </w:tcBorders>
          </w:tcPr>
          <w:p w:rsidR="001A3742" w:rsidRPr="00CF1A8C" w:rsidRDefault="001A3742">
            <w:pPr>
              <w:pStyle w:val="Heading7"/>
            </w:pPr>
            <w:r w:rsidRPr="00CF1A8C">
              <w:t>Output Class 1</w:t>
            </w:r>
            <w:r w:rsidR="009542F3">
              <w:t>:</w:t>
            </w:r>
            <w:r w:rsidRPr="00CF1A8C">
              <w:t xml:space="preserve"> </w:t>
            </w:r>
          </w:p>
          <w:p w:rsidR="001A3742" w:rsidRPr="00CF1A8C" w:rsidRDefault="00B8732E">
            <w:pPr>
              <w:pStyle w:val="Heading7"/>
            </w:pPr>
            <w:r>
              <w:t>Government Strategy</w:t>
            </w:r>
          </w:p>
        </w:tc>
        <w:tc>
          <w:tcPr>
            <w:tcW w:w="1361" w:type="dxa"/>
            <w:tcBorders>
              <w:top w:val="single" w:sz="4" w:space="0" w:color="auto"/>
              <w:bottom w:val="single" w:sz="4" w:space="0" w:color="auto"/>
            </w:tcBorders>
            <w:vAlign w:val="bottom"/>
          </w:tcPr>
          <w:p w:rsidR="003A1A1F" w:rsidRDefault="001A2111">
            <w:pPr>
              <w:pStyle w:val="AITableText"/>
            </w:pPr>
            <w:r>
              <w:t>42,89</w:t>
            </w:r>
            <w:r w:rsidR="005B127B">
              <w:t>3</w:t>
            </w:r>
          </w:p>
        </w:tc>
        <w:tc>
          <w:tcPr>
            <w:tcW w:w="1361" w:type="dxa"/>
            <w:tcBorders>
              <w:top w:val="single" w:sz="4" w:space="0" w:color="auto"/>
              <w:bottom w:val="single" w:sz="4" w:space="0" w:color="auto"/>
            </w:tcBorders>
            <w:vAlign w:val="bottom"/>
          </w:tcPr>
          <w:p w:rsidR="003A1A1F" w:rsidRDefault="001A2111">
            <w:pPr>
              <w:pStyle w:val="AITableText"/>
            </w:pPr>
            <w:r>
              <w:t>30,714</w:t>
            </w:r>
          </w:p>
        </w:tc>
        <w:tc>
          <w:tcPr>
            <w:tcW w:w="1361" w:type="dxa"/>
            <w:tcBorders>
              <w:top w:val="single" w:sz="4" w:space="0" w:color="auto"/>
              <w:bottom w:val="single" w:sz="4" w:space="0" w:color="auto"/>
            </w:tcBorders>
            <w:vAlign w:val="bottom"/>
          </w:tcPr>
          <w:p w:rsidR="003A1A1F" w:rsidRDefault="00222BAD">
            <w:pPr>
              <w:pStyle w:val="AITableText"/>
            </w:pPr>
            <w:r>
              <w:t>39,92</w:t>
            </w:r>
            <w:r w:rsidR="005B127B">
              <w:t>6</w:t>
            </w:r>
          </w:p>
        </w:tc>
        <w:tc>
          <w:tcPr>
            <w:tcW w:w="1361" w:type="dxa"/>
            <w:tcBorders>
              <w:top w:val="single" w:sz="4" w:space="0" w:color="auto"/>
              <w:bottom w:val="single" w:sz="4" w:space="0" w:color="auto"/>
            </w:tcBorders>
            <w:vAlign w:val="bottom"/>
          </w:tcPr>
          <w:p w:rsidR="003A1A1F" w:rsidRDefault="00222BAD">
            <w:pPr>
              <w:pStyle w:val="AITableText"/>
            </w:pPr>
            <w:r>
              <w:t>25,685</w:t>
            </w:r>
          </w:p>
        </w:tc>
      </w:tr>
      <w:tr w:rsidR="001A3742" w:rsidRPr="00CF1A8C" w:rsidTr="00CD1F2B">
        <w:tc>
          <w:tcPr>
            <w:tcW w:w="3527" w:type="dxa"/>
            <w:tcBorders>
              <w:top w:val="single" w:sz="4" w:space="0" w:color="auto"/>
              <w:bottom w:val="single" w:sz="4" w:space="0" w:color="auto"/>
            </w:tcBorders>
          </w:tcPr>
          <w:p w:rsidR="001A3742" w:rsidRPr="0061312B" w:rsidRDefault="001A3742" w:rsidP="00E84262">
            <w:pPr>
              <w:pStyle w:val="Heading7"/>
              <w:ind w:left="0" w:firstLine="0"/>
            </w:pPr>
            <w:r w:rsidRPr="0061312B">
              <w:t>Output 1.1</w:t>
            </w:r>
            <w:r w:rsidR="00B8732E" w:rsidRPr="0061312B">
              <w:t xml:space="preserve">: </w:t>
            </w:r>
            <w:r w:rsidR="009542F3">
              <w:t xml:space="preserve"> </w:t>
            </w:r>
            <w:r w:rsidR="00B8732E" w:rsidRPr="0061312B">
              <w:t>Government Policy and</w:t>
            </w:r>
            <w:r w:rsidR="00230084">
              <w:t xml:space="preserve"> </w:t>
            </w:r>
            <w:r w:rsidR="00B8732E" w:rsidRPr="0061312B">
              <w:t>Strategy</w:t>
            </w:r>
          </w:p>
        </w:tc>
        <w:tc>
          <w:tcPr>
            <w:tcW w:w="1361" w:type="dxa"/>
            <w:tcBorders>
              <w:top w:val="single" w:sz="4" w:space="0" w:color="auto"/>
              <w:bottom w:val="single" w:sz="4" w:space="0" w:color="auto"/>
            </w:tcBorders>
            <w:vAlign w:val="bottom"/>
          </w:tcPr>
          <w:p w:rsidR="003A1A1F" w:rsidRDefault="00222BAD">
            <w:pPr>
              <w:pStyle w:val="AITableText"/>
            </w:pPr>
            <w:r>
              <w:t>7,271</w:t>
            </w:r>
          </w:p>
        </w:tc>
        <w:tc>
          <w:tcPr>
            <w:tcW w:w="1361" w:type="dxa"/>
            <w:tcBorders>
              <w:top w:val="single" w:sz="4" w:space="0" w:color="auto"/>
              <w:bottom w:val="single" w:sz="4" w:space="0" w:color="auto"/>
            </w:tcBorders>
            <w:vAlign w:val="bottom"/>
          </w:tcPr>
          <w:p w:rsidR="003A1A1F" w:rsidRDefault="00222BAD">
            <w:pPr>
              <w:pStyle w:val="AITableText"/>
            </w:pPr>
            <w:r>
              <w:t>7,434</w:t>
            </w:r>
          </w:p>
        </w:tc>
        <w:tc>
          <w:tcPr>
            <w:tcW w:w="1361" w:type="dxa"/>
            <w:tcBorders>
              <w:top w:val="single" w:sz="4" w:space="0" w:color="auto"/>
              <w:bottom w:val="single" w:sz="4" w:space="0" w:color="auto"/>
            </w:tcBorders>
            <w:vAlign w:val="bottom"/>
          </w:tcPr>
          <w:p w:rsidR="003A1A1F" w:rsidRDefault="00222BAD">
            <w:pPr>
              <w:pStyle w:val="AITableText"/>
            </w:pPr>
            <w:r>
              <w:t>7,171</w:t>
            </w:r>
          </w:p>
        </w:tc>
        <w:tc>
          <w:tcPr>
            <w:tcW w:w="1361" w:type="dxa"/>
            <w:tcBorders>
              <w:top w:val="single" w:sz="4" w:space="0" w:color="auto"/>
              <w:bottom w:val="single" w:sz="4" w:space="0" w:color="auto"/>
            </w:tcBorders>
            <w:vAlign w:val="bottom"/>
          </w:tcPr>
          <w:p w:rsidR="003A1A1F" w:rsidRDefault="00222BAD">
            <w:pPr>
              <w:pStyle w:val="AITableText"/>
            </w:pPr>
            <w:r>
              <w:t>7,230</w:t>
            </w:r>
          </w:p>
        </w:tc>
      </w:tr>
    </w:tbl>
    <w:p w:rsidR="001A3742" w:rsidRPr="00CF1A8C" w:rsidRDefault="001A3742" w:rsidP="007B0F14">
      <w:pPr>
        <w:pStyle w:val="NoteHeading0"/>
      </w:pPr>
      <w:r w:rsidRPr="00CF1A8C">
        <w:t>Note:</w:t>
      </w:r>
    </w:p>
    <w:p w:rsidR="00F52F42" w:rsidRPr="000C1711" w:rsidRDefault="00E84262" w:rsidP="00BD3A73">
      <w:pPr>
        <w:pStyle w:val="AINotes"/>
        <w:numPr>
          <w:ilvl w:val="0"/>
          <w:numId w:val="11"/>
        </w:numPr>
        <w:tabs>
          <w:tab w:val="num" w:pos="357"/>
        </w:tabs>
        <w:ind w:left="357" w:hanging="357"/>
        <w:rPr>
          <w:szCs w:val="16"/>
        </w:rPr>
      </w:pPr>
      <w:r>
        <w:t>Total c</w:t>
      </w:r>
      <w:r w:rsidR="000C1711" w:rsidRPr="007B0F14">
        <w:t>ost</w:t>
      </w:r>
      <w:r w:rsidR="000C1711" w:rsidRPr="00CF1A8C">
        <w:rPr>
          <w:szCs w:val="16"/>
        </w:rPr>
        <w:t xml:space="preserve"> include</w:t>
      </w:r>
      <w:r w:rsidR="000C1711">
        <w:rPr>
          <w:szCs w:val="16"/>
        </w:rPr>
        <w:t>s</w:t>
      </w:r>
      <w:r w:rsidR="000C1711" w:rsidRPr="00CF1A8C">
        <w:rPr>
          <w:szCs w:val="16"/>
        </w:rPr>
        <w:t xml:space="preserve"> </w:t>
      </w:r>
      <w:r w:rsidR="000C1711" w:rsidRPr="000C1711">
        <w:rPr>
          <w:iCs/>
          <w:szCs w:val="16"/>
        </w:rPr>
        <w:t>depreciation</w:t>
      </w:r>
      <w:r w:rsidR="000C1711" w:rsidRPr="00CF1A8C">
        <w:rPr>
          <w:szCs w:val="16"/>
        </w:rPr>
        <w:t xml:space="preserve"> </w:t>
      </w:r>
      <w:r w:rsidR="00146296">
        <w:rPr>
          <w:szCs w:val="16"/>
        </w:rPr>
        <w:t xml:space="preserve">and amortisation </w:t>
      </w:r>
      <w:r w:rsidR="000C1711">
        <w:rPr>
          <w:szCs w:val="16"/>
        </w:rPr>
        <w:t>of $0.029 million in 2012</w:t>
      </w:r>
      <w:r w:rsidR="000C1711">
        <w:rPr>
          <w:szCs w:val="16"/>
        </w:rPr>
        <w:noBreakHyphen/>
        <w:t>13 and $0.</w:t>
      </w:r>
      <w:r w:rsidR="009E2991">
        <w:rPr>
          <w:szCs w:val="16"/>
        </w:rPr>
        <w:t>384 </w:t>
      </w:r>
      <w:r w:rsidR="000C1711">
        <w:rPr>
          <w:szCs w:val="16"/>
        </w:rPr>
        <w:t>million in 2013</w:t>
      </w:r>
      <w:r w:rsidR="000C1711">
        <w:rPr>
          <w:szCs w:val="16"/>
        </w:rPr>
        <w:noBreakHyphen/>
        <w:t>14.</w:t>
      </w:r>
    </w:p>
    <w:p w:rsidR="00B8732E" w:rsidRPr="007C77E1" w:rsidRDefault="00B8732E" w:rsidP="00B8732E">
      <w:pPr>
        <w:pStyle w:val="Heading4"/>
      </w:pPr>
      <w:r w:rsidRPr="007C77E1">
        <w:t>Output Description</w:t>
      </w:r>
    </w:p>
    <w:p w:rsidR="00B8732E" w:rsidRPr="00061206" w:rsidRDefault="00B8732E" w:rsidP="007B0F14">
      <w:pPr>
        <w:pStyle w:val="BodyText"/>
        <w:keepNext/>
        <w:keepLines/>
      </w:pPr>
      <w:proofErr w:type="gramStart"/>
      <w:r w:rsidRPr="00061206">
        <w:t>Provision of advice and support to the Chief Minister</w:t>
      </w:r>
      <w:r>
        <w:t>, the Head of Service</w:t>
      </w:r>
      <w:r w:rsidRPr="00061206">
        <w:t xml:space="preserve"> and the Director</w:t>
      </w:r>
      <w:r w:rsidR="00146296">
        <w:noBreakHyphen/>
      </w:r>
      <w:proofErr w:type="spellStart"/>
      <w:r w:rsidRPr="00061206">
        <w:t>General</w:t>
      </w:r>
      <w:proofErr w:type="spellEnd"/>
      <w:r w:rsidRPr="00061206">
        <w:t xml:space="preserve"> on strategic policy and effective delivery of </w:t>
      </w:r>
      <w:r>
        <w:t>G</w:t>
      </w:r>
      <w:r w:rsidRPr="00061206">
        <w:t>overnment policies and priorities.</w:t>
      </w:r>
      <w:proofErr w:type="gramEnd"/>
    </w:p>
    <w:p w:rsidR="00B8732E" w:rsidRPr="00061206" w:rsidRDefault="00B8732E" w:rsidP="00AE68C8">
      <w:pPr>
        <w:pStyle w:val="BodyText"/>
      </w:pPr>
      <w:r w:rsidRPr="00061206">
        <w:t>Government Policy and Strategy will:</w:t>
      </w:r>
    </w:p>
    <w:p w:rsidR="009F7D46" w:rsidRPr="007C77E1" w:rsidRDefault="009F7D46" w:rsidP="009F7D46">
      <w:pPr>
        <w:pStyle w:val="BodyTextIndent"/>
      </w:pPr>
      <w:r w:rsidRPr="007C77E1">
        <w:t xml:space="preserve">provide ongoing advice to the Chief Minister and the Government in relation to </w:t>
      </w:r>
      <w:r>
        <w:t>whole of government</w:t>
      </w:r>
      <w:r w:rsidRPr="007C77E1">
        <w:t xml:space="preserve"> policy development and priorities, and the implementation of key Government decisions;</w:t>
      </w:r>
    </w:p>
    <w:p w:rsidR="009F7D46" w:rsidRPr="007C77E1" w:rsidRDefault="009F7D46" w:rsidP="009F7D46">
      <w:pPr>
        <w:pStyle w:val="BodyTextIndent"/>
      </w:pPr>
      <w:r w:rsidRPr="007C77E1">
        <w:t>support the Head of Service as the Chair of the Strategic Board and provide secretariat services to the Board;</w:t>
      </w:r>
    </w:p>
    <w:p w:rsidR="009F7D46" w:rsidRPr="007C77E1" w:rsidRDefault="009F7D46" w:rsidP="009F7D46">
      <w:pPr>
        <w:pStyle w:val="BodyTextIndent"/>
      </w:pPr>
      <w:r w:rsidRPr="007C77E1">
        <w:t>lead, coordinate and monitor policy and project initiatives to promote across</w:t>
      </w:r>
      <w:r>
        <w:noBreakHyphen/>
      </w:r>
      <w:proofErr w:type="spellStart"/>
      <w:r w:rsidRPr="007C77E1">
        <w:t>government</w:t>
      </w:r>
      <w:proofErr w:type="spellEnd"/>
      <w:r w:rsidRPr="007C77E1">
        <w:t xml:space="preserve"> outcomes and delivery;</w:t>
      </w:r>
    </w:p>
    <w:p w:rsidR="009F7D46" w:rsidRPr="007C77E1" w:rsidRDefault="009F7D46" w:rsidP="009F7D46">
      <w:pPr>
        <w:pStyle w:val="BodyTextIndent"/>
      </w:pPr>
      <w:r w:rsidRPr="007C77E1">
        <w:t>lead and coordinate the Government’s participation in the COAG reform agenda and the Council of Australian Federation</w:t>
      </w:r>
      <w:r>
        <w:t xml:space="preserve"> (CAF)</w:t>
      </w:r>
      <w:r w:rsidRPr="007C77E1">
        <w:t>, and its engagement with regional leaders and local governments;</w:t>
      </w:r>
    </w:p>
    <w:p w:rsidR="009F7D46" w:rsidRPr="007C77E1" w:rsidRDefault="009F7D46" w:rsidP="00692D54">
      <w:pPr>
        <w:pStyle w:val="BodyTextIndent"/>
        <w:keepNext w:val="0"/>
      </w:pPr>
      <w:r w:rsidRPr="007C77E1">
        <w:t>provide advice and support to Cabinet and the Manager of Government Business in the Legislative Assembly; and</w:t>
      </w:r>
    </w:p>
    <w:p w:rsidR="009F7D46" w:rsidRDefault="009F7D46" w:rsidP="00692D54">
      <w:pPr>
        <w:pStyle w:val="BodyTextIndent"/>
        <w:keepNext w:val="0"/>
      </w:pPr>
      <w:proofErr w:type="gramStart"/>
      <w:r w:rsidRPr="007C77E1">
        <w:t>provide</w:t>
      </w:r>
      <w:proofErr w:type="gramEnd"/>
      <w:r w:rsidRPr="007C77E1">
        <w:t xml:space="preserve"> across</w:t>
      </w:r>
      <w:r>
        <w:noBreakHyphen/>
      </w:r>
      <w:proofErr w:type="spellStart"/>
      <w:r w:rsidRPr="007C77E1">
        <w:t>government</w:t>
      </w:r>
      <w:proofErr w:type="spellEnd"/>
      <w:r w:rsidRPr="007C77E1">
        <w:t xml:space="preserve"> advice and coordination on ICT issues and release of government information through the Government Information Office.</w:t>
      </w:r>
    </w:p>
    <w:tbl>
      <w:tblPr>
        <w:tblW w:w="9101" w:type="dxa"/>
        <w:tblLook w:val="0000"/>
      </w:tblPr>
      <w:tblGrid>
        <w:gridCol w:w="3589"/>
        <w:gridCol w:w="1378"/>
        <w:gridCol w:w="1378"/>
        <w:gridCol w:w="1378"/>
        <w:gridCol w:w="1378"/>
      </w:tblGrid>
      <w:tr w:rsidR="001A3742" w:rsidRPr="00CF1A8C" w:rsidTr="00692D54">
        <w:tc>
          <w:tcPr>
            <w:tcW w:w="3589" w:type="dxa"/>
            <w:tcBorders>
              <w:top w:val="single" w:sz="4" w:space="0" w:color="auto"/>
            </w:tcBorders>
          </w:tcPr>
          <w:p w:rsidR="001A3742" w:rsidRPr="00CF1A8C" w:rsidRDefault="00B8732E" w:rsidP="00692D54">
            <w:pPr>
              <w:pStyle w:val="Heading2"/>
              <w:keepNext w:val="0"/>
              <w:spacing w:before="0"/>
              <w:ind w:left="357"/>
              <w:jc w:val="right"/>
              <w:rPr>
                <w:b w:val="0"/>
                <w:bCs/>
                <w:iCs/>
              </w:rPr>
            </w:pPr>
            <w:r>
              <w:br w:type="page"/>
            </w:r>
          </w:p>
        </w:tc>
        <w:tc>
          <w:tcPr>
            <w:tcW w:w="2756" w:type="dxa"/>
            <w:gridSpan w:val="2"/>
            <w:tcBorders>
              <w:top w:val="single" w:sz="4" w:space="0" w:color="auto"/>
              <w:bottom w:val="single" w:sz="4" w:space="0" w:color="auto"/>
            </w:tcBorders>
          </w:tcPr>
          <w:p w:rsidR="001A3742" w:rsidRPr="00CF1A8C" w:rsidRDefault="001A3742" w:rsidP="00E84262">
            <w:pPr>
              <w:pStyle w:val="Heading2"/>
              <w:keepNext w:val="0"/>
              <w:spacing w:after="0"/>
            </w:pPr>
            <w:r w:rsidRPr="00CF1A8C">
              <w:t>Total Cost</w:t>
            </w:r>
          </w:p>
          <w:p w:rsidR="001A3742" w:rsidRPr="00CF1A8C" w:rsidRDefault="001A3742" w:rsidP="00E84262">
            <w:pPr>
              <w:pStyle w:val="Heading2"/>
              <w:keepNext w:val="0"/>
              <w:spacing w:after="0"/>
            </w:pPr>
          </w:p>
        </w:tc>
        <w:tc>
          <w:tcPr>
            <w:tcW w:w="2756" w:type="dxa"/>
            <w:gridSpan w:val="2"/>
            <w:tcBorders>
              <w:top w:val="single" w:sz="4" w:space="0" w:color="auto"/>
              <w:bottom w:val="single" w:sz="4" w:space="0" w:color="auto"/>
            </w:tcBorders>
          </w:tcPr>
          <w:p w:rsidR="003A1A1F" w:rsidRDefault="001A3742" w:rsidP="00692D54">
            <w:pPr>
              <w:pStyle w:val="Heading2"/>
              <w:keepNext w:val="0"/>
            </w:pPr>
            <w:r w:rsidRPr="00CF1A8C">
              <w:t>Government Payment for Outputs</w:t>
            </w:r>
          </w:p>
        </w:tc>
      </w:tr>
      <w:tr w:rsidR="00DE6A93" w:rsidRPr="00CF1A8C" w:rsidTr="00692D54">
        <w:tc>
          <w:tcPr>
            <w:tcW w:w="3589" w:type="dxa"/>
            <w:tcBorders>
              <w:bottom w:val="single" w:sz="4" w:space="0" w:color="auto"/>
            </w:tcBorders>
          </w:tcPr>
          <w:p w:rsidR="00DE6A93" w:rsidRPr="00CF1A8C" w:rsidRDefault="00DE6A93" w:rsidP="00692D54">
            <w:pPr>
              <w:pStyle w:val="SinglePara"/>
              <w:rPr>
                <w:b/>
                <w:bCs/>
              </w:rPr>
            </w:pPr>
          </w:p>
        </w:tc>
        <w:tc>
          <w:tcPr>
            <w:tcW w:w="1378" w:type="dxa"/>
            <w:tcBorders>
              <w:top w:val="single" w:sz="4" w:space="0" w:color="auto"/>
              <w:bottom w:val="single" w:sz="4" w:space="0" w:color="auto"/>
            </w:tcBorders>
          </w:tcPr>
          <w:p w:rsidR="00DE6A93" w:rsidRPr="00CF1A8C" w:rsidRDefault="008B0241" w:rsidP="00692D54">
            <w:pPr>
              <w:pStyle w:val="Heading6"/>
              <w:keepNext w:val="0"/>
            </w:pPr>
            <w:r>
              <w:t>2012-13</w:t>
            </w:r>
          </w:p>
          <w:p w:rsidR="00DE6A93" w:rsidRPr="00CF1A8C" w:rsidRDefault="00DE6A93" w:rsidP="00692D54">
            <w:pPr>
              <w:pStyle w:val="Heading6"/>
              <w:keepNext w:val="0"/>
            </w:pPr>
            <w:r w:rsidRPr="00CF1A8C">
              <w:t>Est. Outcome</w:t>
            </w:r>
          </w:p>
          <w:p w:rsidR="00DE6A93" w:rsidRPr="00CF1A8C" w:rsidRDefault="00DE6A93" w:rsidP="00692D54">
            <w:pPr>
              <w:pStyle w:val="Heading6"/>
              <w:keepNext w:val="0"/>
            </w:pPr>
            <w:r w:rsidRPr="00CF1A8C">
              <w:t>$’000</w:t>
            </w:r>
          </w:p>
        </w:tc>
        <w:tc>
          <w:tcPr>
            <w:tcW w:w="1378" w:type="dxa"/>
            <w:tcBorders>
              <w:top w:val="single" w:sz="4" w:space="0" w:color="auto"/>
              <w:bottom w:val="single" w:sz="4" w:space="0" w:color="auto"/>
            </w:tcBorders>
          </w:tcPr>
          <w:p w:rsidR="00DE6A93" w:rsidRPr="00CF1A8C" w:rsidRDefault="008B0241" w:rsidP="00692D54">
            <w:pPr>
              <w:pStyle w:val="Heading6"/>
              <w:keepNext w:val="0"/>
            </w:pPr>
            <w:r>
              <w:t>2013-14</w:t>
            </w:r>
          </w:p>
          <w:p w:rsidR="00DE6A93" w:rsidRPr="00CF1A8C" w:rsidRDefault="00DE6A93" w:rsidP="00692D54">
            <w:pPr>
              <w:pStyle w:val="Heading6"/>
              <w:keepNext w:val="0"/>
            </w:pPr>
            <w:r w:rsidRPr="00CF1A8C">
              <w:t>Budget</w:t>
            </w:r>
          </w:p>
          <w:p w:rsidR="00DE6A93" w:rsidRPr="00CF1A8C" w:rsidRDefault="00DE6A93" w:rsidP="00692D54">
            <w:pPr>
              <w:pStyle w:val="Heading6"/>
              <w:keepNext w:val="0"/>
            </w:pPr>
            <w:r w:rsidRPr="00CF1A8C">
              <w:t xml:space="preserve">$’000 </w:t>
            </w:r>
          </w:p>
        </w:tc>
        <w:tc>
          <w:tcPr>
            <w:tcW w:w="1378" w:type="dxa"/>
            <w:tcBorders>
              <w:top w:val="single" w:sz="4" w:space="0" w:color="auto"/>
              <w:bottom w:val="single" w:sz="4" w:space="0" w:color="auto"/>
            </w:tcBorders>
          </w:tcPr>
          <w:p w:rsidR="00DE6A93" w:rsidRPr="00CF1A8C" w:rsidRDefault="008B0241" w:rsidP="00692D54">
            <w:pPr>
              <w:pStyle w:val="Heading6"/>
              <w:keepNext w:val="0"/>
            </w:pPr>
            <w:r>
              <w:t>2012-13</w:t>
            </w:r>
          </w:p>
          <w:p w:rsidR="00DE6A93" w:rsidRPr="00CF1A8C" w:rsidRDefault="00DE6A93" w:rsidP="00692D54">
            <w:pPr>
              <w:pStyle w:val="Heading6"/>
              <w:keepNext w:val="0"/>
            </w:pPr>
            <w:r w:rsidRPr="00CF1A8C">
              <w:t>Est. Outcome</w:t>
            </w:r>
          </w:p>
          <w:p w:rsidR="00DE6A93" w:rsidRPr="00CF1A8C" w:rsidRDefault="00DE6A93" w:rsidP="00692D54">
            <w:pPr>
              <w:pStyle w:val="Heading6"/>
              <w:keepNext w:val="0"/>
            </w:pPr>
            <w:r w:rsidRPr="00CF1A8C">
              <w:t xml:space="preserve">$’000 </w:t>
            </w:r>
          </w:p>
        </w:tc>
        <w:tc>
          <w:tcPr>
            <w:tcW w:w="1378" w:type="dxa"/>
            <w:tcBorders>
              <w:top w:val="single" w:sz="4" w:space="0" w:color="auto"/>
              <w:bottom w:val="single" w:sz="4" w:space="0" w:color="auto"/>
            </w:tcBorders>
          </w:tcPr>
          <w:p w:rsidR="00DE6A93" w:rsidRPr="00CF1A8C" w:rsidRDefault="008B0241" w:rsidP="00692D54">
            <w:pPr>
              <w:pStyle w:val="Heading6"/>
              <w:keepNext w:val="0"/>
            </w:pPr>
            <w:r>
              <w:t>2013-14</w:t>
            </w:r>
          </w:p>
          <w:p w:rsidR="00DE6A93" w:rsidRPr="00CF1A8C" w:rsidRDefault="00DE6A93" w:rsidP="00692D54">
            <w:pPr>
              <w:pStyle w:val="Heading6"/>
              <w:keepNext w:val="0"/>
            </w:pPr>
            <w:r w:rsidRPr="00CF1A8C">
              <w:t>Budget</w:t>
            </w:r>
          </w:p>
          <w:p w:rsidR="00DE6A93" w:rsidRPr="00CF1A8C" w:rsidRDefault="00DE6A93" w:rsidP="00692D54">
            <w:pPr>
              <w:pStyle w:val="Heading6"/>
              <w:keepNext w:val="0"/>
            </w:pPr>
            <w:r w:rsidRPr="00CF1A8C">
              <w:t xml:space="preserve">$’000 </w:t>
            </w:r>
          </w:p>
        </w:tc>
      </w:tr>
      <w:tr w:rsidR="001A3742" w:rsidRPr="00CF1A8C" w:rsidTr="00692D54">
        <w:tc>
          <w:tcPr>
            <w:tcW w:w="3589" w:type="dxa"/>
            <w:tcBorders>
              <w:top w:val="single" w:sz="4" w:space="0" w:color="auto"/>
              <w:bottom w:val="single" w:sz="4" w:space="0" w:color="auto"/>
            </w:tcBorders>
          </w:tcPr>
          <w:p w:rsidR="001A3742" w:rsidRPr="0061312B" w:rsidRDefault="001A3742" w:rsidP="00692D54">
            <w:pPr>
              <w:pStyle w:val="Heading7"/>
              <w:keepNext w:val="0"/>
              <w:ind w:left="0" w:firstLine="0"/>
            </w:pPr>
            <w:r w:rsidRPr="0061312B">
              <w:t>Output 1.2</w:t>
            </w:r>
            <w:r w:rsidR="00B8732E" w:rsidRPr="0061312B">
              <w:t xml:space="preserve">: </w:t>
            </w:r>
            <w:r w:rsidRPr="0061312B">
              <w:t xml:space="preserve"> </w:t>
            </w:r>
            <w:r w:rsidR="00B8732E" w:rsidRPr="0061312B">
              <w:t>Public Sector Management</w:t>
            </w:r>
          </w:p>
        </w:tc>
        <w:tc>
          <w:tcPr>
            <w:tcW w:w="1378" w:type="dxa"/>
            <w:tcBorders>
              <w:top w:val="single" w:sz="4" w:space="0" w:color="auto"/>
              <w:bottom w:val="single" w:sz="4" w:space="0" w:color="auto"/>
            </w:tcBorders>
          </w:tcPr>
          <w:p w:rsidR="001A3742" w:rsidRPr="00CF1A8C" w:rsidRDefault="00222BAD" w:rsidP="00692D54">
            <w:pPr>
              <w:pStyle w:val="AITableText"/>
            </w:pPr>
            <w:r>
              <w:t>10,437</w:t>
            </w:r>
          </w:p>
        </w:tc>
        <w:tc>
          <w:tcPr>
            <w:tcW w:w="1378" w:type="dxa"/>
            <w:tcBorders>
              <w:top w:val="single" w:sz="4" w:space="0" w:color="auto"/>
              <w:bottom w:val="single" w:sz="4" w:space="0" w:color="auto"/>
            </w:tcBorders>
          </w:tcPr>
          <w:p w:rsidR="001A3742" w:rsidRPr="00CF1A8C" w:rsidRDefault="00222BAD" w:rsidP="00692D54">
            <w:pPr>
              <w:pStyle w:val="AITableText"/>
            </w:pPr>
            <w:r>
              <w:t>10,317</w:t>
            </w:r>
          </w:p>
        </w:tc>
        <w:tc>
          <w:tcPr>
            <w:tcW w:w="1378" w:type="dxa"/>
            <w:tcBorders>
              <w:top w:val="single" w:sz="4" w:space="0" w:color="auto"/>
              <w:bottom w:val="single" w:sz="4" w:space="0" w:color="auto"/>
            </w:tcBorders>
          </w:tcPr>
          <w:p w:rsidR="001A3742" w:rsidRPr="00CF1A8C" w:rsidRDefault="00222BAD" w:rsidP="00692D54">
            <w:pPr>
              <w:pStyle w:val="AITableText"/>
            </w:pPr>
            <w:r>
              <w:t>7,843</w:t>
            </w:r>
          </w:p>
        </w:tc>
        <w:tc>
          <w:tcPr>
            <w:tcW w:w="1378" w:type="dxa"/>
            <w:tcBorders>
              <w:top w:val="single" w:sz="4" w:space="0" w:color="auto"/>
              <w:bottom w:val="single" w:sz="4" w:space="0" w:color="auto"/>
            </w:tcBorders>
          </w:tcPr>
          <w:p w:rsidR="001A3742" w:rsidRPr="00CF1A8C" w:rsidRDefault="00222BAD" w:rsidP="00692D54">
            <w:pPr>
              <w:pStyle w:val="AITableText"/>
            </w:pPr>
            <w:r>
              <w:t>6,230</w:t>
            </w:r>
          </w:p>
        </w:tc>
      </w:tr>
    </w:tbl>
    <w:p w:rsidR="003A1A1F" w:rsidRDefault="001A3742" w:rsidP="00692D54">
      <w:pPr>
        <w:pStyle w:val="Heading4"/>
        <w:keepNext w:val="0"/>
        <w:tabs>
          <w:tab w:val="left" w:pos="2265"/>
        </w:tabs>
      </w:pPr>
      <w:r w:rsidRPr="00CF1A8C">
        <w:t xml:space="preserve">Output Description </w:t>
      </w:r>
    </w:p>
    <w:p w:rsidR="00692D54" w:rsidRDefault="00B8732E" w:rsidP="00692D54">
      <w:pPr>
        <w:pStyle w:val="BodyText"/>
        <w:keepLines/>
      </w:pPr>
      <w:r w:rsidRPr="007C77E1">
        <w:t>Provision of an employment and policy framework to support a professional, skilled and accountable public service that is responsive to the Government and the community</w:t>
      </w:r>
      <w:r w:rsidR="004407AE">
        <w:t>;</w:t>
      </w:r>
      <w:r w:rsidRPr="007C77E1">
        <w:t xml:space="preserve"> and management of </w:t>
      </w:r>
      <w:r w:rsidR="008631D0">
        <w:t>whole</w:t>
      </w:r>
      <w:r w:rsidR="003255C6">
        <w:t xml:space="preserve"> </w:t>
      </w:r>
      <w:r w:rsidR="008631D0">
        <w:t>of</w:t>
      </w:r>
      <w:r w:rsidR="003255C6">
        <w:t xml:space="preserve"> </w:t>
      </w:r>
      <w:r w:rsidR="008631D0">
        <w:t xml:space="preserve">government </w:t>
      </w:r>
      <w:r>
        <w:t xml:space="preserve">capacity </w:t>
      </w:r>
      <w:r w:rsidRPr="007C77E1">
        <w:t>building programs.</w:t>
      </w:r>
    </w:p>
    <w:p w:rsidR="00692D54" w:rsidRDefault="00692D54">
      <w:pPr>
        <w:spacing w:after="200" w:line="276" w:lineRule="auto"/>
      </w:pPr>
      <w:r>
        <w:br w:type="page"/>
      </w:r>
    </w:p>
    <w:p w:rsidR="00692D54" w:rsidRPr="007B0F14" w:rsidRDefault="00692D54" w:rsidP="00692D54">
      <w:pPr>
        <w:pStyle w:val="Heading3"/>
      </w:pPr>
      <w:proofErr w:type="gramStart"/>
      <w:r w:rsidRPr="007B0F14">
        <w:lastRenderedPageBreak/>
        <w:t>Output Classes</w:t>
      </w:r>
      <w:r>
        <w:t xml:space="preserve"> cont.</w:t>
      </w:r>
      <w:proofErr w:type="gramEnd"/>
    </w:p>
    <w:p w:rsidR="003A1A1F" w:rsidRDefault="00B8732E" w:rsidP="00692D54">
      <w:pPr>
        <w:pStyle w:val="BodyText"/>
        <w:keepLines/>
        <w:spacing w:after="80"/>
      </w:pPr>
      <w:r w:rsidRPr="007C77E1">
        <w:t>Public Sector Management will:</w:t>
      </w:r>
    </w:p>
    <w:p w:rsidR="009F7D46" w:rsidRPr="009F7D46" w:rsidRDefault="009F7D46" w:rsidP="00692D54">
      <w:pPr>
        <w:pStyle w:val="BodyTextIndent"/>
        <w:keepNext w:val="0"/>
      </w:pPr>
      <w:r w:rsidRPr="009F7D46">
        <w:t>develop and review whole of government employment policies, regulations and standards and provide industrial relations services to support this framework;</w:t>
      </w:r>
    </w:p>
    <w:p w:rsidR="009F7D46" w:rsidRPr="009F7D46" w:rsidRDefault="009F7D46" w:rsidP="00692D54">
      <w:pPr>
        <w:pStyle w:val="BodyTextIndent"/>
        <w:keepNext w:val="0"/>
      </w:pPr>
      <w:r w:rsidRPr="009F7D46">
        <w:t>support and coordinate workforce planning and change management across</w:t>
      </w:r>
      <w:r w:rsidRPr="009F7D46">
        <w:noBreakHyphen/>
      </w:r>
      <w:proofErr w:type="spellStart"/>
      <w:r w:rsidRPr="009F7D46">
        <w:t>government</w:t>
      </w:r>
      <w:proofErr w:type="spellEnd"/>
      <w:r w:rsidRPr="009F7D46">
        <w:t>, including through whole of government development programs;</w:t>
      </w:r>
    </w:p>
    <w:p w:rsidR="009F7D46" w:rsidRPr="009F7D46" w:rsidRDefault="009F7D46" w:rsidP="00692D54">
      <w:pPr>
        <w:pStyle w:val="BodyTextIndent"/>
        <w:keepNext w:val="0"/>
      </w:pPr>
      <w:r w:rsidRPr="009F7D46">
        <w:t>develop and review whole of government work health and safety policies and provide work health and safety services to support this framework;</w:t>
      </w:r>
    </w:p>
    <w:p w:rsidR="009F7D46" w:rsidRPr="009F7D46" w:rsidRDefault="009F7D46" w:rsidP="00692D54">
      <w:pPr>
        <w:pStyle w:val="BodyTextIndent"/>
        <w:keepNext w:val="0"/>
      </w:pPr>
      <w:r w:rsidRPr="009F7D46">
        <w:t>implement the ACTPS workers’ compensation and work safety improvement plan;</w:t>
      </w:r>
    </w:p>
    <w:p w:rsidR="009F7D46" w:rsidRPr="009F7D46" w:rsidRDefault="009F7D46" w:rsidP="00692D54">
      <w:pPr>
        <w:pStyle w:val="BodyTextIndent"/>
        <w:keepNext w:val="0"/>
      </w:pPr>
      <w:r w:rsidRPr="009F7D46">
        <w:t>provide whole of government case management services to injured employees and their agencies;</w:t>
      </w:r>
    </w:p>
    <w:p w:rsidR="009F7D46" w:rsidRPr="009F7D46" w:rsidRDefault="009F7D46" w:rsidP="00692D54">
      <w:pPr>
        <w:pStyle w:val="BodyTextIndent"/>
        <w:keepNext w:val="0"/>
      </w:pPr>
      <w:r w:rsidRPr="009F7D46">
        <w:t xml:space="preserve">develop and implement ACTPS capacity building programs; </w:t>
      </w:r>
    </w:p>
    <w:p w:rsidR="009F7D46" w:rsidRPr="009F7D46" w:rsidRDefault="009F7D46" w:rsidP="00692D54">
      <w:pPr>
        <w:pStyle w:val="BodyTextIndent"/>
        <w:keepNext w:val="0"/>
      </w:pPr>
      <w:r w:rsidRPr="009F7D46">
        <w:t>maintain and monitor whole of government ethics and accountability frameworks; and</w:t>
      </w:r>
    </w:p>
    <w:p w:rsidR="00FB2979" w:rsidRDefault="009F7D46" w:rsidP="00692D54">
      <w:pPr>
        <w:pStyle w:val="BodyTextIndent"/>
        <w:keepNext w:val="0"/>
      </w:pPr>
      <w:proofErr w:type="gramStart"/>
      <w:r w:rsidRPr="009F7D46">
        <w:t>support</w:t>
      </w:r>
      <w:proofErr w:type="gramEnd"/>
      <w:r w:rsidRPr="009F7D46">
        <w:t xml:space="preserve"> the Commissioner for Public Administration and the Remuneration Tribunal.</w:t>
      </w:r>
    </w:p>
    <w:tbl>
      <w:tblPr>
        <w:tblW w:w="9099" w:type="dxa"/>
        <w:tblLook w:val="0000"/>
      </w:tblPr>
      <w:tblGrid>
        <w:gridCol w:w="3587"/>
        <w:gridCol w:w="1378"/>
        <w:gridCol w:w="1378"/>
        <w:gridCol w:w="1378"/>
        <w:gridCol w:w="1378"/>
      </w:tblGrid>
      <w:tr w:rsidR="00B8732E" w:rsidRPr="00CF1A8C" w:rsidTr="00EB1E05">
        <w:tc>
          <w:tcPr>
            <w:tcW w:w="3587" w:type="dxa"/>
            <w:tcBorders>
              <w:top w:val="single" w:sz="4" w:space="0" w:color="auto"/>
            </w:tcBorders>
          </w:tcPr>
          <w:p w:rsidR="00B8732E" w:rsidRPr="00CF1A8C" w:rsidRDefault="00B8732E" w:rsidP="00B8732E">
            <w:pPr>
              <w:pStyle w:val="Heading2"/>
              <w:spacing w:before="0"/>
              <w:ind w:left="357"/>
              <w:jc w:val="right"/>
              <w:rPr>
                <w:b w:val="0"/>
                <w:bCs/>
                <w:iCs/>
              </w:rPr>
            </w:pPr>
            <w:r>
              <w:br w:type="page"/>
            </w:r>
          </w:p>
        </w:tc>
        <w:tc>
          <w:tcPr>
            <w:tcW w:w="2756" w:type="dxa"/>
            <w:gridSpan w:val="2"/>
            <w:tcBorders>
              <w:top w:val="single" w:sz="4" w:space="0" w:color="auto"/>
              <w:bottom w:val="single" w:sz="4" w:space="0" w:color="auto"/>
            </w:tcBorders>
          </w:tcPr>
          <w:p w:rsidR="00B8732E" w:rsidRPr="00CF1A8C" w:rsidRDefault="00B8732E" w:rsidP="00E84262">
            <w:pPr>
              <w:pStyle w:val="Heading2"/>
              <w:spacing w:after="0"/>
            </w:pPr>
            <w:r w:rsidRPr="00CF1A8C">
              <w:t>Total Cost</w:t>
            </w:r>
          </w:p>
          <w:p w:rsidR="00B8732E" w:rsidRPr="00CF1A8C" w:rsidRDefault="00B8732E" w:rsidP="00E84262">
            <w:pPr>
              <w:pStyle w:val="Heading2"/>
              <w:spacing w:after="0"/>
            </w:pPr>
          </w:p>
        </w:tc>
        <w:tc>
          <w:tcPr>
            <w:tcW w:w="2756" w:type="dxa"/>
            <w:gridSpan w:val="2"/>
            <w:tcBorders>
              <w:top w:val="single" w:sz="4" w:space="0" w:color="auto"/>
              <w:bottom w:val="single" w:sz="4" w:space="0" w:color="auto"/>
            </w:tcBorders>
          </w:tcPr>
          <w:p w:rsidR="003A1A1F" w:rsidRDefault="00B8732E">
            <w:pPr>
              <w:pStyle w:val="Heading2"/>
            </w:pPr>
            <w:r w:rsidRPr="00CF1A8C">
              <w:t>Government Payment for Outputs</w:t>
            </w:r>
          </w:p>
        </w:tc>
      </w:tr>
      <w:tr w:rsidR="00B8732E" w:rsidRPr="00CF1A8C" w:rsidTr="00EB1E05">
        <w:trPr>
          <w:trHeight w:val="630"/>
        </w:trPr>
        <w:tc>
          <w:tcPr>
            <w:tcW w:w="3587" w:type="dxa"/>
            <w:tcBorders>
              <w:bottom w:val="single" w:sz="4" w:space="0" w:color="auto"/>
            </w:tcBorders>
          </w:tcPr>
          <w:p w:rsidR="00B8732E" w:rsidRPr="00CF1A8C" w:rsidRDefault="00B8732E" w:rsidP="00B8732E">
            <w:pPr>
              <w:pStyle w:val="SinglePara"/>
              <w:rPr>
                <w:b/>
                <w:bCs/>
              </w:rPr>
            </w:pPr>
          </w:p>
        </w:tc>
        <w:tc>
          <w:tcPr>
            <w:tcW w:w="1378" w:type="dxa"/>
            <w:tcBorders>
              <w:top w:val="single" w:sz="4" w:space="0" w:color="auto"/>
              <w:bottom w:val="single" w:sz="4" w:space="0" w:color="auto"/>
            </w:tcBorders>
          </w:tcPr>
          <w:p w:rsidR="00B8732E" w:rsidRPr="00CF1A8C" w:rsidRDefault="00B8732E" w:rsidP="00B8732E">
            <w:pPr>
              <w:pStyle w:val="Heading6"/>
            </w:pPr>
            <w:r>
              <w:t>2012-13</w:t>
            </w:r>
          </w:p>
          <w:p w:rsidR="00B8732E" w:rsidRPr="00CF1A8C" w:rsidRDefault="00B8732E" w:rsidP="00B8732E">
            <w:pPr>
              <w:pStyle w:val="Heading6"/>
            </w:pPr>
            <w:r w:rsidRPr="00CF1A8C">
              <w:t>Est. Outcome</w:t>
            </w:r>
          </w:p>
          <w:p w:rsidR="003A1A1F" w:rsidRDefault="00B8732E">
            <w:pPr>
              <w:pStyle w:val="Heading6"/>
            </w:pPr>
            <w:r w:rsidRPr="00CF1A8C">
              <w:t>$’000</w:t>
            </w:r>
          </w:p>
        </w:tc>
        <w:tc>
          <w:tcPr>
            <w:tcW w:w="1378" w:type="dxa"/>
            <w:tcBorders>
              <w:top w:val="single" w:sz="4" w:space="0" w:color="auto"/>
              <w:bottom w:val="single" w:sz="4" w:space="0" w:color="auto"/>
            </w:tcBorders>
          </w:tcPr>
          <w:p w:rsidR="00B8732E" w:rsidRPr="00CF1A8C" w:rsidRDefault="00B8732E" w:rsidP="00B8732E">
            <w:pPr>
              <w:pStyle w:val="Heading6"/>
            </w:pPr>
            <w:r>
              <w:t>2013-14</w:t>
            </w:r>
          </w:p>
          <w:p w:rsidR="00B8732E" w:rsidRPr="00CF1A8C" w:rsidRDefault="00B8732E" w:rsidP="00B8732E">
            <w:pPr>
              <w:pStyle w:val="Heading6"/>
            </w:pPr>
            <w:r w:rsidRPr="00CF1A8C">
              <w:t>Budget</w:t>
            </w:r>
          </w:p>
          <w:p w:rsidR="003A1A1F" w:rsidRDefault="00B8732E">
            <w:pPr>
              <w:pStyle w:val="Heading6"/>
            </w:pPr>
            <w:r w:rsidRPr="00CF1A8C">
              <w:t>$’000</w:t>
            </w:r>
          </w:p>
        </w:tc>
        <w:tc>
          <w:tcPr>
            <w:tcW w:w="1378" w:type="dxa"/>
            <w:tcBorders>
              <w:top w:val="single" w:sz="4" w:space="0" w:color="auto"/>
              <w:bottom w:val="single" w:sz="4" w:space="0" w:color="auto"/>
            </w:tcBorders>
          </w:tcPr>
          <w:p w:rsidR="00B8732E" w:rsidRPr="00CF1A8C" w:rsidRDefault="00B8732E" w:rsidP="00B8732E">
            <w:pPr>
              <w:pStyle w:val="Heading6"/>
            </w:pPr>
            <w:r>
              <w:t>2012-13</w:t>
            </w:r>
          </w:p>
          <w:p w:rsidR="00B8732E" w:rsidRPr="00CF1A8C" w:rsidRDefault="00B8732E" w:rsidP="00B8732E">
            <w:pPr>
              <w:pStyle w:val="Heading6"/>
            </w:pPr>
            <w:r w:rsidRPr="00CF1A8C">
              <w:t>Est. Outcome</w:t>
            </w:r>
          </w:p>
          <w:p w:rsidR="003A1A1F" w:rsidRDefault="00B8732E">
            <w:pPr>
              <w:pStyle w:val="Heading6"/>
            </w:pPr>
            <w:r w:rsidRPr="00CF1A8C">
              <w:t xml:space="preserve">$’000 </w:t>
            </w:r>
          </w:p>
        </w:tc>
        <w:tc>
          <w:tcPr>
            <w:tcW w:w="1378" w:type="dxa"/>
            <w:tcBorders>
              <w:top w:val="single" w:sz="4" w:space="0" w:color="auto"/>
              <w:bottom w:val="single" w:sz="4" w:space="0" w:color="auto"/>
            </w:tcBorders>
          </w:tcPr>
          <w:p w:rsidR="00B8732E" w:rsidRPr="00CF1A8C" w:rsidRDefault="00B8732E" w:rsidP="00B8732E">
            <w:pPr>
              <w:pStyle w:val="Heading6"/>
            </w:pPr>
            <w:r>
              <w:t>2013-14</w:t>
            </w:r>
          </w:p>
          <w:p w:rsidR="00B8732E" w:rsidRPr="00CF1A8C" w:rsidRDefault="00B8732E" w:rsidP="00B8732E">
            <w:pPr>
              <w:pStyle w:val="Heading6"/>
            </w:pPr>
            <w:r w:rsidRPr="00CF1A8C">
              <w:t>Budget</w:t>
            </w:r>
          </w:p>
          <w:p w:rsidR="003A1A1F" w:rsidRDefault="00B8732E">
            <w:pPr>
              <w:pStyle w:val="Heading6"/>
            </w:pPr>
            <w:r w:rsidRPr="00CF1A8C">
              <w:t xml:space="preserve">$’000 </w:t>
            </w:r>
          </w:p>
        </w:tc>
      </w:tr>
      <w:tr w:rsidR="00B8732E" w:rsidRPr="00CF1A8C" w:rsidTr="00EB1E05">
        <w:tc>
          <w:tcPr>
            <w:tcW w:w="3587" w:type="dxa"/>
            <w:tcBorders>
              <w:top w:val="single" w:sz="4" w:space="0" w:color="auto"/>
              <w:bottom w:val="single" w:sz="4" w:space="0" w:color="auto"/>
            </w:tcBorders>
          </w:tcPr>
          <w:p w:rsidR="00B8732E" w:rsidRPr="00B8732E" w:rsidRDefault="00B8732E" w:rsidP="00B8732E">
            <w:pPr>
              <w:pStyle w:val="Heading7"/>
              <w:rPr>
                <w:iCs/>
              </w:rPr>
            </w:pPr>
            <w:r w:rsidRPr="00CF1A8C">
              <w:t>Output 1.</w:t>
            </w:r>
            <w:r>
              <w:t xml:space="preserve">3: </w:t>
            </w:r>
            <w:r w:rsidRPr="00CF1A8C">
              <w:t xml:space="preserve"> </w:t>
            </w:r>
            <w:r>
              <w:t>Industrial Relations Policy</w:t>
            </w:r>
          </w:p>
        </w:tc>
        <w:tc>
          <w:tcPr>
            <w:tcW w:w="1378" w:type="dxa"/>
            <w:tcBorders>
              <w:top w:val="single" w:sz="4" w:space="0" w:color="auto"/>
              <w:bottom w:val="single" w:sz="4" w:space="0" w:color="auto"/>
            </w:tcBorders>
          </w:tcPr>
          <w:p w:rsidR="00B8732E" w:rsidRPr="00CF1A8C" w:rsidRDefault="00222BAD" w:rsidP="003E07C5">
            <w:pPr>
              <w:pStyle w:val="AITableText"/>
            </w:pPr>
            <w:r>
              <w:t>3,862</w:t>
            </w:r>
          </w:p>
        </w:tc>
        <w:tc>
          <w:tcPr>
            <w:tcW w:w="1378" w:type="dxa"/>
            <w:tcBorders>
              <w:top w:val="single" w:sz="4" w:space="0" w:color="auto"/>
              <w:bottom w:val="single" w:sz="4" w:space="0" w:color="auto"/>
            </w:tcBorders>
          </w:tcPr>
          <w:p w:rsidR="00B8732E" w:rsidRPr="00CF1A8C" w:rsidRDefault="00222BAD" w:rsidP="003E07C5">
            <w:pPr>
              <w:pStyle w:val="AITableText"/>
            </w:pPr>
            <w:r>
              <w:t>4,671</w:t>
            </w:r>
          </w:p>
        </w:tc>
        <w:tc>
          <w:tcPr>
            <w:tcW w:w="1378" w:type="dxa"/>
            <w:tcBorders>
              <w:top w:val="single" w:sz="4" w:space="0" w:color="auto"/>
              <w:bottom w:val="single" w:sz="4" w:space="0" w:color="auto"/>
            </w:tcBorders>
          </w:tcPr>
          <w:p w:rsidR="00B8732E" w:rsidRPr="00CF1A8C" w:rsidRDefault="00222BAD" w:rsidP="003E07C5">
            <w:pPr>
              <w:pStyle w:val="AITableText"/>
            </w:pPr>
            <w:r>
              <w:t>3,821</w:t>
            </w:r>
          </w:p>
        </w:tc>
        <w:tc>
          <w:tcPr>
            <w:tcW w:w="1378" w:type="dxa"/>
            <w:tcBorders>
              <w:top w:val="single" w:sz="4" w:space="0" w:color="auto"/>
              <w:bottom w:val="single" w:sz="4" w:space="0" w:color="auto"/>
            </w:tcBorders>
          </w:tcPr>
          <w:p w:rsidR="00B8732E" w:rsidRPr="00CF1A8C" w:rsidRDefault="00222BAD" w:rsidP="003E07C5">
            <w:pPr>
              <w:pStyle w:val="AITableText"/>
            </w:pPr>
            <w:r>
              <w:t>4,154</w:t>
            </w:r>
          </w:p>
        </w:tc>
      </w:tr>
    </w:tbl>
    <w:p w:rsidR="003A1A1F" w:rsidRDefault="00B8732E" w:rsidP="00EB1E05">
      <w:pPr>
        <w:pStyle w:val="Heading4"/>
        <w:keepNext w:val="0"/>
        <w:tabs>
          <w:tab w:val="left" w:pos="2265"/>
        </w:tabs>
      </w:pPr>
      <w:r w:rsidRPr="00CF1A8C">
        <w:t xml:space="preserve">Output Description </w:t>
      </w:r>
    </w:p>
    <w:p w:rsidR="00B8732E" w:rsidRPr="007C77E1" w:rsidRDefault="00B8732E" w:rsidP="00EB1E05">
      <w:pPr>
        <w:pStyle w:val="BodyText"/>
        <w:keepLines/>
      </w:pPr>
      <w:proofErr w:type="gramStart"/>
      <w:r w:rsidRPr="007C77E1">
        <w:t xml:space="preserve">Provision of advice to the Government </w:t>
      </w:r>
      <w:r w:rsidR="003E1C03">
        <w:t>concentrating</w:t>
      </w:r>
      <w:r w:rsidRPr="007C77E1">
        <w:t xml:space="preserve"> on the relationship between employers and workers in the ACT and t</w:t>
      </w:r>
      <w:r w:rsidR="003E1C03">
        <w:t xml:space="preserve">he risk </w:t>
      </w:r>
      <w:r w:rsidRPr="007C77E1">
        <w:t>arising from workplace activities.</w:t>
      </w:r>
      <w:proofErr w:type="gramEnd"/>
      <w:r w:rsidRPr="007C77E1">
        <w:t xml:space="preserve">  This includes industrial relations, workplace safety, dangerous substances regulation, long service leave, public holidays, workers’ compensation, the rights of injured workers, the rights of contractors to be paid and the costs of workers</w:t>
      </w:r>
      <w:r w:rsidR="003E07C5">
        <w:t>’</w:t>
      </w:r>
      <w:r w:rsidRPr="007C77E1">
        <w:t xml:space="preserve"> compensation to business.</w:t>
      </w:r>
    </w:p>
    <w:p w:rsidR="00FB2979" w:rsidRPr="00FB2979" w:rsidRDefault="00FB2979" w:rsidP="00EB1E05">
      <w:pPr>
        <w:pStyle w:val="BodyText"/>
        <w:keepLines/>
        <w:spacing w:after="80"/>
      </w:pPr>
      <w:r w:rsidRPr="00FB2979">
        <w:t>Industrial Relations Policy will:</w:t>
      </w:r>
    </w:p>
    <w:p w:rsidR="00FB2979" w:rsidRPr="00FB2979" w:rsidRDefault="00FB2979" w:rsidP="00EB1E05">
      <w:pPr>
        <w:pStyle w:val="BodyTextIndent"/>
        <w:keepNext w:val="0"/>
      </w:pPr>
      <w:r w:rsidRPr="00FB2979">
        <w:t>advise the Government on the national workplace safety agenda and continue to participate in the implementation of harmonised workplace safety laws;</w:t>
      </w:r>
    </w:p>
    <w:p w:rsidR="00FB2979" w:rsidRPr="00FB2979" w:rsidRDefault="00FB2979" w:rsidP="00EB1E05">
      <w:pPr>
        <w:pStyle w:val="BodyTextIndent"/>
        <w:keepNext w:val="0"/>
      </w:pPr>
      <w:r w:rsidRPr="00FB2979">
        <w:t>advise the Government on the regulation of dangerous substances and make changes to related laws where agreed by the Government;</w:t>
      </w:r>
    </w:p>
    <w:p w:rsidR="00FB2979" w:rsidRPr="00FB2979" w:rsidRDefault="00FB2979" w:rsidP="00EB1E05">
      <w:pPr>
        <w:pStyle w:val="BodyTextIndent"/>
        <w:keepNext w:val="0"/>
      </w:pPr>
      <w:r w:rsidRPr="00FB2979">
        <w:t>advise the Government on national industrial relations matters including the review and amendments to the Fair Work Act 2009, as well as local industrial relations matters including portable long service leave, public holidays, and workers’ compensation;</w:t>
      </w:r>
    </w:p>
    <w:p w:rsidR="00FB2979" w:rsidRPr="00FB2979" w:rsidRDefault="00FB2979" w:rsidP="00EB1E05">
      <w:pPr>
        <w:pStyle w:val="BodyTextIndent"/>
        <w:keepNext w:val="0"/>
      </w:pPr>
      <w:r w:rsidRPr="00FB2979">
        <w:t>advise the Government on the performance of the ACT Workers’ Compensation Scheme and of issues arising within the scheme;</w:t>
      </w:r>
    </w:p>
    <w:p w:rsidR="00EB1E05" w:rsidRDefault="00FB2979" w:rsidP="00EB1E05">
      <w:pPr>
        <w:pStyle w:val="BodyTextIndent"/>
        <w:keepNext w:val="0"/>
      </w:pPr>
      <w:r w:rsidRPr="00FB2979">
        <w:t>continue to make changes to the ACT Workers’ Compensation Scheme where agreed by the Government;</w:t>
      </w:r>
    </w:p>
    <w:p w:rsidR="00EB1E05" w:rsidRDefault="00EB1E05" w:rsidP="00EB1E05">
      <w:pPr>
        <w:pStyle w:val="BodyText"/>
        <w:rPr>
          <w:szCs w:val="24"/>
        </w:rPr>
      </w:pPr>
      <w:r>
        <w:br w:type="page"/>
      </w:r>
    </w:p>
    <w:p w:rsidR="00EB1E05" w:rsidRPr="007B0F14" w:rsidRDefault="00EB1E05" w:rsidP="00EB1E05">
      <w:pPr>
        <w:pStyle w:val="Heading3"/>
      </w:pPr>
      <w:proofErr w:type="gramStart"/>
      <w:r w:rsidRPr="007B0F14">
        <w:lastRenderedPageBreak/>
        <w:t>Output Classes</w:t>
      </w:r>
      <w:r>
        <w:t xml:space="preserve"> cont.</w:t>
      </w:r>
      <w:proofErr w:type="gramEnd"/>
    </w:p>
    <w:p w:rsidR="00FB2979" w:rsidRPr="00FB2979" w:rsidRDefault="00FB2979" w:rsidP="00EB1E05">
      <w:pPr>
        <w:pStyle w:val="BodyTextIndent"/>
        <w:keepNext w:val="0"/>
      </w:pPr>
      <w:r w:rsidRPr="00FB2979">
        <w:t>advise the Government in relation to the National Workplace Relations System;</w:t>
      </w:r>
    </w:p>
    <w:p w:rsidR="00FB2979" w:rsidRPr="00FB2979" w:rsidRDefault="00FB2979" w:rsidP="00EB1E05">
      <w:pPr>
        <w:pStyle w:val="BodyTextIndent"/>
        <w:keepNext w:val="0"/>
      </w:pPr>
      <w:r w:rsidRPr="00FB2979">
        <w:t>contribute, where relevant, to consultation with the Commonwealth, States and the Northern Territory, in relation to the National Workplace Relations System in accordance with the terms of the Inter-Governmental Agreement on a National Workplace Relations System; and</w:t>
      </w:r>
    </w:p>
    <w:p w:rsidR="003825EA" w:rsidRDefault="00FB2979" w:rsidP="00EB1E05">
      <w:pPr>
        <w:pStyle w:val="BodyTextIndent"/>
        <w:keepNext w:val="0"/>
      </w:pPr>
      <w:proofErr w:type="gramStart"/>
      <w:r w:rsidRPr="00FB2979">
        <w:t>coordinate</w:t>
      </w:r>
      <w:proofErr w:type="gramEnd"/>
      <w:r w:rsidRPr="00FB2979">
        <w:t xml:space="preserve"> the Territory’s consultative bodies for workers’ compensation and work safety.</w:t>
      </w:r>
    </w:p>
    <w:tbl>
      <w:tblPr>
        <w:tblW w:w="9101" w:type="dxa"/>
        <w:tblLook w:val="0000"/>
      </w:tblPr>
      <w:tblGrid>
        <w:gridCol w:w="3589"/>
        <w:gridCol w:w="1378"/>
        <w:gridCol w:w="1378"/>
        <w:gridCol w:w="1378"/>
        <w:gridCol w:w="1378"/>
      </w:tblGrid>
      <w:tr w:rsidR="00B8732E" w:rsidRPr="00CF1A8C" w:rsidTr="00E84262">
        <w:trPr>
          <w:trHeight w:val="606"/>
        </w:trPr>
        <w:tc>
          <w:tcPr>
            <w:tcW w:w="3589" w:type="dxa"/>
            <w:tcBorders>
              <w:top w:val="single" w:sz="4" w:space="0" w:color="auto"/>
            </w:tcBorders>
          </w:tcPr>
          <w:p w:rsidR="00B8732E" w:rsidRPr="00CF1A8C" w:rsidRDefault="00B8732E" w:rsidP="00B8732E">
            <w:pPr>
              <w:pStyle w:val="Heading2"/>
              <w:spacing w:before="0"/>
              <w:ind w:left="357"/>
              <w:jc w:val="right"/>
              <w:rPr>
                <w:b w:val="0"/>
                <w:bCs/>
                <w:iCs/>
              </w:rPr>
            </w:pPr>
            <w:r>
              <w:br w:type="page"/>
            </w:r>
          </w:p>
        </w:tc>
        <w:tc>
          <w:tcPr>
            <w:tcW w:w="2756" w:type="dxa"/>
            <w:gridSpan w:val="2"/>
            <w:tcBorders>
              <w:top w:val="single" w:sz="4" w:space="0" w:color="auto"/>
              <w:bottom w:val="single" w:sz="4" w:space="0" w:color="auto"/>
            </w:tcBorders>
          </w:tcPr>
          <w:p w:rsidR="00B8732E" w:rsidRPr="00CF1A8C" w:rsidRDefault="00B8732E" w:rsidP="00E84262">
            <w:pPr>
              <w:pStyle w:val="Heading2"/>
              <w:keepNext w:val="0"/>
            </w:pPr>
            <w:r w:rsidRPr="00CF1A8C">
              <w:t>Total Cost</w:t>
            </w:r>
          </w:p>
          <w:p w:rsidR="00B8732E" w:rsidRPr="00CF1A8C" w:rsidRDefault="00B8732E" w:rsidP="00E84262">
            <w:pPr>
              <w:pStyle w:val="Heading2"/>
              <w:keepNext w:val="0"/>
              <w:spacing w:after="0"/>
            </w:pPr>
          </w:p>
        </w:tc>
        <w:tc>
          <w:tcPr>
            <w:tcW w:w="2756" w:type="dxa"/>
            <w:gridSpan w:val="2"/>
            <w:tcBorders>
              <w:top w:val="single" w:sz="4" w:space="0" w:color="auto"/>
              <w:bottom w:val="single" w:sz="4" w:space="0" w:color="auto"/>
            </w:tcBorders>
          </w:tcPr>
          <w:p w:rsidR="00B8732E" w:rsidRPr="00CF1A8C" w:rsidRDefault="00B8732E" w:rsidP="00E84262">
            <w:pPr>
              <w:pStyle w:val="Heading2"/>
              <w:keepNext w:val="0"/>
            </w:pPr>
            <w:r w:rsidRPr="00CF1A8C">
              <w:t>Government Payment for Outputs</w:t>
            </w:r>
          </w:p>
        </w:tc>
      </w:tr>
      <w:tr w:rsidR="00B8732E" w:rsidRPr="00CF1A8C" w:rsidTr="00EB1E05">
        <w:tc>
          <w:tcPr>
            <w:tcW w:w="3589" w:type="dxa"/>
            <w:tcBorders>
              <w:bottom w:val="single" w:sz="4" w:space="0" w:color="auto"/>
            </w:tcBorders>
          </w:tcPr>
          <w:p w:rsidR="00B8732E" w:rsidRPr="00CF1A8C" w:rsidRDefault="00B8732E" w:rsidP="00B8732E">
            <w:pPr>
              <w:pStyle w:val="SinglePara"/>
              <w:rPr>
                <w:b/>
                <w:bCs/>
              </w:rPr>
            </w:pPr>
          </w:p>
        </w:tc>
        <w:tc>
          <w:tcPr>
            <w:tcW w:w="1378" w:type="dxa"/>
            <w:tcBorders>
              <w:top w:val="single" w:sz="4" w:space="0" w:color="auto"/>
              <w:bottom w:val="single" w:sz="4" w:space="0" w:color="auto"/>
            </w:tcBorders>
          </w:tcPr>
          <w:p w:rsidR="00B8732E" w:rsidRPr="00CF1A8C" w:rsidRDefault="00B8732E" w:rsidP="00B8732E">
            <w:pPr>
              <w:pStyle w:val="Heading6"/>
            </w:pPr>
            <w:r>
              <w:t>2012-13</w:t>
            </w:r>
          </w:p>
          <w:p w:rsidR="00B8732E" w:rsidRPr="00CF1A8C" w:rsidRDefault="00B8732E" w:rsidP="00B8732E">
            <w:pPr>
              <w:pStyle w:val="Heading6"/>
            </w:pPr>
            <w:r w:rsidRPr="00CF1A8C">
              <w:t>Est. Outcome</w:t>
            </w:r>
          </w:p>
          <w:p w:rsidR="00B8732E" w:rsidRPr="00CF1A8C" w:rsidRDefault="00B8732E" w:rsidP="003E07C5">
            <w:pPr>
              <w:pStyle w:val="Heading6"/>
            </w:pPr>
            <w:r w:rsidRPr="00CF1A8C">
              <w:t>$’000</w:t>
            </w:r>
          </w:p>
        </w:tc>
        <w:tc>
          <w:tcPr>
            <w:tcW w:w="1378" w:type="dxa"/>
            <w:tcBorders>
              <w:top w:val="single" w:sz="4" w:space="0" w:color="auto"/>
              <w:bottom w:val="single" w:sz="4" w:space="0" w:color="auto"/>
            </w:tcBorders>
          </w:tcPr>
          <w:p w:rsidR="00B8732E" w:rsidRPr="00CF1A8C" w:rsidRDefault="00B8732E" w:rsidP="00B8732E">
            <w:pPr>
              <w:pStyle w:val="Heading6"/>
            </w:pPr>
            <w:r>
              <w:t>2013-14</w:t>
            </w:r>
          </w:p>
          <w:p w:rsidR="00B8732E" w:rsidRPr="00CF1A8C" w:rsidRDefault="00B8732E" w:rsidP="00B8732E">
            <w:pPr>
              <w:pStyle w:val="Heading6"/>
            </w:pPr>
            <w:r w:rsidRPr="00CF1A8C">
              <w:t>Budget</w:t>
            </w:r>
          </w:p>
          <w:p w:rsidR="00B8732E" w:rsidRPr="00CF1A8C" w:rsidRDefault="00B8732E" w:rsidP="003E07C5">
            <w:pPr>
              <w:pStyle w:val="Heading6"/>
            </w:pPr>
            <w:r w:rsidRPr="00CF1A8C">
              <w:t xml:space="preserve">$’000 </w:t>
            </w:r>
          </w:p>
        </w:tc>
        <w:tc>
          <w:tcPr>
            <w:tcW w:w="1378" w:type="dxa"/>
            <w:tcBorders>
              <w:top w:val="single" w:sz="4" w:space="0" w:color="auto"/>
              <w:bottom w:val="single" w:sz="4" w:space="0" w:color="auto"/>
            </w:tcBorders>
          </w:tcPr>
          <w:p w:rsidR="00B8732E" w:rsidRPr="00CF1A8C" w:rsidRDefault="00B8732E" w:rsidP="00B8732E">
            <w:pPr>
              <w:pStyle w:val="Heading6"/>
            </w:pPr>
            <w:r>
              <w:t>2012-13</w:t>
            </w:r>
          </w:p>
          <w:p w:rsidR="00B8732E" w:rsidRPr="00CF1A8C" w:rsidRDefault="00B8732E" w:rsidP="00B8732E">
            <w:pPr>
              <w:pStyle w:val="Heading6"/>
            </w:pPr>
            <w:r w:rsidRPr="00CF1A8C">
              <w:t>Est. Outcome</w:t>
            </w:r>
          </w:p>
          <w:p w:rsidR="00B8732E" w:rsidRPr="00CF1A8C" w:rsidRDefault="00B8732E" w:rsidP="003E07C5">
            <w:pPr>
              <w:pStyle w:val="Heading6"/>
            </w:pPr>
            <w:r w:rsidRPr="00CF1A8C">
              <w:t xml:space="preserve">$’000 </w:t>
            </w:r>
          </w:p>
        </w:tc>
        <w:tc>
          <w:tcPr>
            <w:tcW w:w="1378" w:type="dxa"/>
            <w:tcBorders>
              <w:top w:val="single" w:sz="4" w:space="0" w:color="auto"/>
              <w:bottom w:val="single" w:sz="4" w:space="0" w:color="auto"/>
            </w:tcBorders>
          </w:tcPr>
          <w:p w:rsidR="00B8732E" w:rsidRPr="00CF1A8C" w:rsidRDefault="00B8732E" w:rsidP="00B8732E">
            <w:pPr>
              <w:pStyle w:val="Heading6"/>
            </w:pPr>
            <w:r>
              <w:t>2013-14</w:t>
            </w:r>
          </w:p>
          <w:p w:rsidR="00B8732E" w:rsidRPr="00CF1A8C" w:rsidRDefault="00B8732E" w:rsidP="00B8732E">
            <w:pPr>
              <w:pStyle w:val="Heading6"/>
            </w:pPr>
            <w:r w:rsidRPr="00CF1A8C">
              <w:t>Budget</w:t>
            </w:r>
          </w:p>
          <w:p w:rsidR="00B8732E" w:rsidRPr="00CF1A8C" w:rsidRDefault="00B8732E" w:rsidP="003E07C5">
            <w:pPr>
              <w:pStyle w:val="Heading6"/>
            </w:pPr>
            <w:r w:rsidRPr="00CF1A8C">
              <w:t xml:space="preserve">$’000 </w:t>
            </w:r>
          </w:p>
        </w:tc>
      </w:tr>
      <w:tr w:rsidR="00B8732E" w:rsidRPr="00CF1A8C" w:rsidTr="00EB1E05">
        <w:tc>
          <w:tcPr>
            <w:tcW w:w="3589" w:type="dxa"/>
            <w:tcBorders>
              <w:top w:val="single" w:sz="4" w:space="0" w:color="auto"/>
              <w:bottom w:val="single" w:sz="4" w:space="0" w:color="auto"/>
            </w:tcBorders>
          </w:tcPr>
          <w:p w:rsidR="00B8732E" w:rsidRPr="00B8732E" w:rsidRDefault="00B8732E" w:rsidP="0061312B">
            <w:pPr>
              <w:pStyle w:val="Heading7"/>
              <w:ind w:left="0" w:firstLine="0"/>
              <w:rPr>
                <w:iCs/>
              </w:rPr>
            </w:pPr>
            <w:r w:rsidRPr="00CF1A8C">
              <w:t>Output 1.</w:t>
            </w:r>
            <w:r>
              <w:t xml:space="preserve">4: </w:t>
            </w:r>
            <w:r w:rsidRPr="00CF1A8C">
              <w:t xml:space="preserve"> </w:t>
            </w:r>
            <w:r>
              <w:t xml:space="preserve">Coordinated Communications and </w:t>
            </w:r>
            <w:r w:rsidR="00F10C6E">
              <w:t>Community Engagement</w:t>
            </w:r>
          </w:p>
        </w:tc>
        <w:tc>
          <w:tcPr>
            <w:tcW w:w="1378" w:type="dxa"/>
            <w:tcBorders>
              <w:top w:val="single" w:sz="4" w:space="0" w:color="auto"/>
              <w:bottom w:val="single" w:sz="4" w:space="0" w:color="auto"/>
            </w:tcBorders>
            <w:vAlign w:val="bottom"/>
          </w:tcPr>
          <w:p w:rsidR="003A1A1F" w:rsidRDefault="00222BAD">
            <w:pPr>
              <w:pStyle w:val="AITableText"/>
            </w:pPr>
            <w:r>
              <w:t>21,32</w:t>
            </w:r>
            <w:r w:rsidR="005B127B">
              <w:t>3</w:t>
            </w:r>
          </w:p>
        </w:tc>
        <w:tc>
          <w:tcPr>
            <w:tcW w:w="1378" w:type="dxa"/>
            <w:tcBorders>
              <w:top w:val="single" w:sz="4" w:space="0" w:color="auto"/>
              <w:bottom w:val="single" w:sz="4" w:space="0" w:color="auto"/>
            </w:tcBorders>
            <w:vAlign w:val="bottom"/>
          </w:tcPr>
          <w:p w:rsidR="003A1A1F" w:rsidRDefault="00222BAD">
            <w:pPr>
              <w:pStyle w:val="AITableText"/>
            </w:pPr>
            <w:r>
              <w:t>8,292</w:t>
            </w:r>
          </w:p>
        </w:tc>
        <w:tc>
          <w:tcPr>
            <w:tcW w:w="1378" w:type="dxa"/>
            <w:tcBorders>
              <w:top w:val="single" w:sz="4" w:space="0" w:color="auto"/>
              <w:bottom w:val="single" w:sz="4" w:space="0" w:color="auto"/>
            </w:tcBorders>
            <w:vAlign w:val="bottom"/>
          </w:tcPr>
          <w:p w:rsidR="003A1A1F" w:rsidRDefault="00222BAD">
            <w:pPr>
              <w:pStyle w:val="AITableText"/>
            </w:pPr>
            <w:r>
              <w:t>21,09</w:t>
            </w:r>
            <w:r w:rsidR="005B127B">
              <w:t>1</w:t>
            </w:r>
          </w:p>
        </w:tc>
        <w:tc>
          <w:tcPr>
            <w:tcW w:w="1378" w:type="dxa"/>
            <w:tcBorders>
              <w:top w:val="single" w:sz="4" w:space="0" w:color="auto"/>
              <w:bottom w:val="single" w:sz="4" w:space="0" w:color="auto"/>
            </w:tcBorders>
            <w:vAlign w:val="bottom"/>
          </w:tcPr>
          <w:p w:rsidR="003A1A1F" w:rsidRDefault="00222BAD">
            <w:pPr>
              <w:pStyle w:val="AITableText"/>
            </w:pPr>
            <w:r>
              <w:t>8,07</w:t>
            </w:r>
            <w:r w:rsidR="005B127B">
              <w:t>1</w:t>
            </w:r>
          </w:p>
        </w:tc>
      </w:tr>
    </w:tbl>
    <w:p w:rsidR="003A1A1F" w:rsidRDefault="00B8732E" w:rsidP="00EB1E05">
      <w:pPr>
        <w:pStyle w:val="Heading4"/>
        <w:keepNext w:val="0"/>
        <w:tabs>
          <w:tab w:val="left" w:pos="2265"/>
        </w:tabs>
      </w:pPr>
      <w:r w:rsidRPr="007C77E1">
        <w:t>Output Description</w:t>
      </w:r>
    </w:p>
    <w:p w:rsidR="003825EA" w:rsidRDefault="00B8732E" w:rsidP="00EB1E05">
      <w:pPr>
        <w:pStyle w:val="BodyText"/>
        <w:keepLines/>
      </w:pPr>
      <w:proofErr w:type="gramStart"/>
      <w:r w:rsidRPr="007C77E1">
        <w:t>Provision of communications support, Centenary of Canberra management, protocol services and executive support to the ACT Government and community.</w:t>
      </w:r>
      <w:proofErr w:type="gramEnd"/>
    </w:p>
    <w:p w:rsidR="00FB2979" w:rsidRPr="00FB2979" w:rsidRDefault="00FB2979" w:rsidP="00EB1E05">
      <w:pPr>
        <w:pStyle w:val="BodyText"/>
      </w:pPr>
      <w:r w:rsidRPr="00FB2979">
        <w:t>Coordinated Communications and Community Engagement will:</w:t>
      </w:r>
    </w:p>
    <w:p w:rsidR="00FB2979" w:rsidRPr="00FB2979" w:rsidRDefault="00FB2979" w:rsidP="00EB1E05">
      <w:pPr>
        <w:pStyle w:val="BodyTextIndent"/>
        <w:keepNext w:val="0"/>
      </w:pPr>
      <w:r w:rsidRPr="00FB2979">
        <w:t>provide information and protocol services to the Chief Minister;</w:t>
      </w:r>
    </w:p>
    <w:p w:rsidR="00FB2979" w:rsidRPr="00FB2979" w:rsidRDefault="00FB2979" w:rsidP="00EB1E05">
      <w:pPr>
        <w:pStyle w:val="BodyTextIndent"/>
        <w:keepNext w:val="0"/>
      </w:pPr>
      <w:r w:rsidRPr="00FB2979">
        <w:t>provide corporate support to the ACT Executive and its staff;</w:t>
      </w:r>
    </w:p>
    <w:p w:rsidR="00FB2979" w:rsidRPr="00FB2979" w:rsidRDefault="00FB2979" w:rsidP="00EB1E05">
      <w:pPr>
        <w:pStyle w:val="BodyTextIndent"/>
        <w:keepNext w:val="0"/>
      </w:pPr>
      <w:r w:rsidRPr="00FB2979">
        <w:t>manage the delivery of the Centenary of Canberra programs;</w:t>
      </w:r>
    </w:p>
    <w:p w:rsidR="00FB2979" w:rsidRPr="00FB2979" w:rsidRDefault="00FB2979" w:rsidP="00EB1E05">
      <w:pPr>
        <w:pStyle w:val="BodyTextIndent"/>
        <w:keepNext w:val="0"/>
      </w:pPr>
      <w:r w:rsidRPr="00FB2979">
        <w:t>provide whole of government advice and assistance on community engagement policies and practices; and</w:t>
      </w:r>
    </w:p>
    <w:p w:rsidR="00FB2979" w:rsidRPr="00FB2979" w:rsidRDefault="00FB2979" w:rsidP="00EB1E05">
      <w:pPr>
        <w:pStyle w:val="BodyTextIndent"/>
        <w:keepNext w:val="0"/>
      </w:pPr>
      <w:proofErr w:type="gramStart"/>
      <w:r w:rsidRPr="00FB2979">
        <w:t>provide</w:t>
      </w:r>
      <w:proofErr w:type="gramEnd"/>
      <w:r w:rsidRPr="00FB2979">
        <w:t xml:space="preserve"> whole of government communications advice and support, including for emergency response requirements.</w:t>
      </w:r>
    </w:p>
    <w:tbl>
      <w:tblPr>
        <w:tblW w:w="9099" w:type="dxa"/>
        <w:tblLook w:val="0000"/>
      </w:tblPr>
      <w:tblGrid>
        <w:gridCol w:w="3587"/>
        <w:gridCol w:w="1378"/>
        <w:gridCol w:w="1378"/>
        <w:gridCol w:w="1378"/>
        <w:gridCol w:w="1378"/>
      </w:tblGrid>
      <w:tr w:rsidR="00B8732E" w:rsidRPr="00CF1A8C" w:rsidTr="00EB1E05">
        <w:tc>
          <w:tcPr>
            <w:tcW w:w="3587" w:type="dxa"/>
            <w:tcBorders>
              <w:top w:val="single" w:sz="4" w:space="0" w:color="auto"/>
            </w:tcBorders>
          </w:tcPr>
          <w:p w:rsidR="00B8732E" w:rsidRPr="00CF1A8C" w:rsidRDefault="00B8732E" w:rsidP="00EB1E05">
            <w:pPr>
              <w:pStyle w:val="Heading2"/>
              <w:keepNext w:val="0"/>
              <w:spacing w:before="0"/>
              <w:ind w:left="357"/>
              <w:jc w:val="right"/>
              <w:rPr>
                <w:b w:val="0"/>
                <w:bCs/>
                <w:iCs/>
              </w:rPr>
            </w:pPr>
          </w:p>
        </w:tc>
        <w:tc>
          <w:tcPr>
            <w:tcW w:w="2756" w:type="dxa"/>
            <w:gridSpan w:val="2"/>
            <w:tcBorders>
              <w:top w:val="single" w:sz="4" w:space="0" w:color="auto"/>
              <w:bottom w:val="single" w:sz="4" w:space="0" w:color="auto"/>
            </w:tcBorders>
          </w:tcPr>
          <w:p w:rsidR="003A1A1F" w:rsidRDefault="00B8732E" w:rsidP="00EB1E05">
            <w:pPr>
              <w:pStyle w:val="Heading2"/>
              <w:keepNext w:val="0"/>
            </w:pPr>
            <w:r w:rsidRPr="00CF1A8C">
              <w:t>Total Cost</w:t>
            </w:r>
            <w:r w:rsidR="002A17A7" w:rsidRPr="002A17A7">
              <w:rPr>
                <w:vertAlign w:val="superscript"/>
              </w:rPr>
              <w:t>1</w:t>
            </w:r>
          </w:p>
        </w:tc>
        <w:tc>
          <w:tcPr>
            <w:tcW w:w="2756" w:type="dxa"/>
            <w:gridSpan w:val="2"/>
            <w:tcBorders>
              <w:top w:val="single" w:sz="4" w:space="0" w:color="auto"/>
              <w:bottom w:val="single" w:sz="4" w:space="0" w:color="auto"/>
            </w:tcBorders>
          </w:tcPr>
          <w:p w:rsidR="00B8732E" w:rsidRPr="00CF1A8C" w:rsidRDefault="00B8732E" w:rsidP="00EB1E05">
            <w:pPr>
              <w:pStyle w:val="Heading2"/>
              <w:keepNext w:val="0"/>
            </w:pPr>
            <w:r w:rsidRPr="00CF1A8C">
              <w:t>Government Payment for Outputs</w:t>
            </w:r>
          </w:p>
        </w:tc>
      </w:tr>
      <w:tr w:rsidR="00B8732E" w:rsidRPr="00CF1A8C" w:rsidTr="00EB1E05">
        <w:tc>
          <w:tcPr>
            <w:tcW w:w="3587" w:type="dxa"/>
            <w:tcBorders>
              <w:bottom w:val="single" w:sz="4" w:space="0" w:color="auto"/>
            </w:tcBorders>
          </w:tcPr>
          <w:p w:rsidR="00B8732E" w:rsidRPr="00CF1A8C" w:rsidRDefault="00B8732E" w:rsidP="00EB1E05">
            <w:pPr>
              <w:pStyle w:val="SinglePara"/>
              <w:rPr>
                <w:b/>
                <w:bCs/>
              </w:rPr>
            </w:pPr>
          </w:p>
        </w:tc>
        <w:tc>
          <w:tcPr>
            <w:tcW w:w="1378" w:type="dxa"/>
            <w:tcBorders>
              <w:top w:val="single" w:sz="4" w:space="0" w:color="auto"/>
              <w:bottom w:val="single" w:sz="4" w:space="0" w:color="auto"/>
            </w:tcBorders>
          </w:tcPr>
          <w:p w:rsidR="00B8732E" w:rsidRPr="00CF1A8C" w:rsidRDefault="00B8732E" w:rsidP="00EB1E05">
            <w:pPr>
              <w:pStyle w:val="Heading6"/>
              <w:keepNext w:val="0"/>
            </w:pPr>
            <w:r>
              <w:t>2012-13</w:t>
            </w:r>
          </w:p>
          <w:p w:rsidR="00B8732E" w:rsidRPr="00CF1A8C" w:rsidRDefault="00B8732E" w:rsidP="00EB1E05">
            <w:pPr>
              <w:pStyle w:val="Heading6"/>
              <w:keepNext w:val="0"/>
            </w:pPr>
            <w:r w:rsidRPr="00CF1A8C">
              <w:t>Est. Outcome</w:t>
            </w:r>
          </w:p>
          <w:p w:rsidR="00B8732E" w:rsidRPr="00CF1A8C" w:rsidRDefault="00B8732E" w:rsidP="00EB1E05">
            <w:pPr>
              <w:pStyle w:val="Heading6"/>
              <w:keepNext w:val="0"/>
            </w:pPr>
            <w:r w:rsidRPr="00CF1A8C">
              <w:t>$’000</w:t>
            </w:r>
          </w:p>
        </w:tc>
        <w:tc>
          <w:tcPr>
            <w:tcW w:w="1378" w:type="dxa"/>
            <w:tcBorders>
              <w:top w:val="single" w:sz="4" w:space="0" w:color="auto"/>
              <w:bottom w:val="single" w:sz="4" w:space="0" w:color="auto"/>
            </w:tcBorders>
          </w:tcPr>
          <w:p w:rsidR="00B8732E" w:rsidRPr="00CF1A8C" w:rsidRDefault="00B8732E" w:rsidP="00EB1E05">
            <w:pPr>
              <w:pStyle w:val="Heading6"/>
              <w:keepNext w:val="0"/>
            </w:pPr>
            <w:r>
              <w:t>2013-14</w:t>
            </w:r>
          </w:p>
          <w:p w:rsidR="00B8732E" w:rsidRPr="00CF1A8C" w:rsidRDefault="00B8732E" w:rsidP="00EB1E05">
            <w:pPr>
              <w:pStyle w:val="Heading6"/>
              <w:keepNext w:val="0"/>
            </w:pPr>
            <w:r w:rsidRPr="00CF1A8C">
              <w:t>Budget</w:t>
            </w:r>
          </w:p>
          <w:p w:rsidR="003A1A1F" w:rsidRDefault="00B8732E" w:rsidP="00EB1E05">
            <w:pPr>
              <w:pStyle w:val="Heading6"/>
              <w:keepNext w:val="0"/>
            </w:pPr>
            <w:r w:rsidRPr="00CF1A8C">
              <w:t xml:space="preserve">$’000 </w:t>
            </w:r>
          </w:p>
        </w:tc>
        <w:tc>
          <w:tcPr>
            <w:tcW w:w="1378" w:type="dxa"/>
            <w:tcBorders>
              <w:top w:val="single" w:sz="4" w:space="0" w:color="auto"/>
              <w:bottom w:val="single" w:sz="4" w:space="0" w:color="auto"/>
            </w:tcBorders>
          </w:tcPr>
          <w:p w:rsidR="00B8732E" w:rsidRPr="00CF1A8C" w:rsidRDefault="00B8732E" w:rsidP="00EB1E05">
            <w:pPr>
              <w:pStyle w:val="Heading6"/>
              <w:keepNext w:val="0"/>
            </w:pPr>
            <w:r>
              <w:t>2012-13</w:t>
            </w:r>
          </w:p>
          <w:p w:rsidR="00B8732E" w:rsidRPr="00CF1A8C" w:rsidRDefault="00B8732E" w:rsidP="00EB1E05">
            <w:pPr>
              <w:pStyle w:val="Heading6"/>
              <w:keepNext w:val="0"/>
            </w:pPr>
            <w:r w:rsidRPr="00CF1A8C">
              <w:t>Est. Outcome</w:t>
            </w:r>
          </w:p>
          <w:p w:rsidR="00B8732E" w:rsidRPr="00CF1A8C" w:rsidRDefault="00B8732E" w:rsidP="00EB1E05">
            <w:pPr>
              <w:pStyle w:val="Heading6"/>
              <w:keepNext w:val="0"/>
            </w:pPr>
            <w:r w:rsidRPr="00CF1A8C">
              <w:t xml:space="preserve">$’000 </w:t>
            </w:r>
          </w:p>
        </w:tc>
        <w:tc>
          <w:tcPr>
            <w:tcW w:w="1378" w:type="dxa"/>
            <w:tcBorders>
              <w:top w:val="single" w:sz="4" w:space="0" w:color="auto"/>
              <w:bottom w:val="single" w:sz="4" w:space="0" w:color="auto"/>
            </w:tcBorders>
          </w:tcPr>
          <w:p w:rsidR="00B8732E" w:rsidRPr="00CF1A8C" w:rsidRDefault="00B8732E" w:rsidP="00EB1E05">
            <w:pPr>
              <w:pStyle w:val="Heading6"/>
              <w:keepNext w:val="0"/>
            </w:pPr>
            <w:r>
              <w:t>2013-14</w:t>
            </w:r>
          </w:p>
          <w:p w:rsidR="00B8732E" w:rsidRPr="00CF1A8C" w:rsidRDefault="00B8732E" w:rsidP="00EB1E05">
            <w:pPr>
              <w:pStyle w:val="Heading6"/>
              <w:keepNext w:val="0"/>
            </w:pPr>
            <w:r w:rsidRPr="00CF1A8C">
              <w:t>Budget</w:t>
            </w:r>
          </w:p>
          <w:p w:rsidR="00B8732E" w:rsidRPr="00CF1A8C" w:rsidRDefault="00B8732E" w:rsidP="00EB1E05">
            <w:pPr>
              <w:pStyle w:val="Heading6"/>
              <w:keepNext w:val="0"/>
            </w:pPr>
            <w:r w:rsidRPr="00CF1A8C">
              <w:t xml:space="preserve">$’000 </w:t>
            </w:r>
          </w:p>
        </w:tc>
      </w:tr>
      <w:tr w:rsidR="00B8732E" w:rsidRPr="00CF1A8C" w:rsidTr="00EB1E05">
        <w:tc>
          <w:tcPr>
            <w:tcW w:w="3587" w:type="dxa"/>
            <w:tcBorders>
              <w:top w:val="single" w:sz="4" w:space="0" w:color="auto"/>
              <w:bottom w:val="single" w:sz="4" w:space="0" w:color="auto"/>
            </w:tcBorders>
          </w:tcPr>
          <w:p w:rsidR="00B8732E" w:rsidRPr="00CF1A8C" w:rsidRDefault="00B8732E" w:rsidP="00EB1E05">
            <w:pPr>
              <w:pStyle w:val="Heading7"/>
              <w:keepNext w:val="0"/>
            </w:pPr>
            <w:r w:rsidRPr="00CF1A8C">
              <w:t xml:space="preserve">Output Class </w:t>
            </w:r>
            <w:r w:rsidR="00F10C6E">
              <w:t>2</w:t>
            </w:r>
            <w:r w:rsidR="00E84262">
              <w:t>:</w:t>
            </w:r>
            <w:r w:rsidRPr="00CF1A8C">
              <w:t xml:space="preserve"> </w:t>
            </w:r>
          </w:p>
          <w:p w:rsidR="00B8732E" w:rsidRPr="00CF1A8C" w:rsidRDefault="00F10C6E" w:rsidP="00EB1E05">
            <w:pPr>
              <w:pStyle w:val="Heading7"/>
              <w:keepNext w:val="0"/>
            </w:pPr>
            <w:r>
              <w:t>Financial and Economic Management</w:t>
            </w:r>
            <w:r w:rsidR="00252174" w:rsidRPr="00252174">
              <w:rPr>
                <w:vertAlign w:val="superscript"/>
              </w:rPr>
              <w:t>2</w:t>
            </w:r>
          </w:p>
        </w:tc>
        <w:tc>
          <w:tcPr>
            <w:tcW w:w="1378" w:type="dxa"/>
            <w:tcBorders>
              <w:top w:val="single" w:sz="4" w:space="0" w:color="auto"/>
              <w:bottom w:val="single" w:sz="4" w:space="0" w:color="auto"/>
            </w:tcBorders>
            <w:vAlign w:val="bottom"/>
          </w:tcPr>
          <w:p w:rsidR="003A1A1F" w:rsidRDefault="00222BAD" w:rsidP="00EB1E05">
            <w:pPr>
              <w:pStyle w:val="AITableText"/>
            </w:pPr>
            <w:r>
              <w:t>22,42</w:t>
            </w:r>
            <w:r w:rsidR="005B127B">
              <w:t>8</w:t>
            </w:r>
          </w:p>
        </w:tc>
        <w:tc>
          <w:tcPr>
            <w:tcW w:w="1378" w:type="dxa"/>
            <w:tcBorders>
              <w:top w:val="single" w:sz="4" w:space="0" w:color="auto"/>
              <w:bottom w:val="single" w:sz="4" w:space="0" w:color="auto"/>
            </w:tcBorders>
            <w:vAlign w:val="bottom"/>
          </w:tcPr>
          <w:p w:rsidR="003A1A1F" w:rsidRDefault="00222BAD" w:rsidP="00EB1E05">
            <w:pPr>
              <w:pStyle w:val="AITableText"/>
            </w:pPr>
            <w:r>
              <w:t>39,515</w:t>
            </w:r>
          </w:p>
        </w:tc>
        <w:tc>
          <w:tcPr>
            <w:tcW w:w="1378" w:type="dxa"/>
            <w:tcBorders>
              <w:top w:val="single" w:sz="4" w:space="0" w:color="auto"/>
              <w:bottom w:val="single" w:sz="4" w:space="0" w:color="auto"/>
            </w:tcBorders>
            <w:vAlign w:val="bottom"/>
          </w:tcPr>
          <w:p w:rsidR="003A1A1F" w:rsidRDefault="00222BAD" w:rsidP="00EB1E05">
            <w:pPr>
              <w:pStyle w:val="AITableText"/>
            </w:pPr>
            <w:r>
              <w:t>19,75</w:t>
            </w:r>
            <w:r w:rsidR="005B127B">
              <w:t>7</w:t>
            </w:r>
          </w:p>
        </w:tc>
        <w:tc>
          <w:tcPr>
            <w:tcW w:w="1378" w:type="dxa"/>
            <w:tcBorders>
              <w:top w:val="single" w:sz="4" w:space="0" w:color="auto"/>
              <w:bottom w:val="single" w:sz="4" w:space="0" w:color="auto"/>
            </w:tcBorders>
            <w:vAlign w:val="bottom"/>
          </w:tcPr>
          <w:p w:rsidR="003A1A1F" w:rsidRDefault="00222BAD" w:rsidP="00EB1E05">
            <w:pPr>
              <w:pStyle w:val="AITableText"/>
            </w:pPr>
            <w:r>
              <w:t>34,148</w:t>
            </w:r>
          </w:p>
        </w:tc>
      </w:tr>
      <w:tr w:rsidR="00B8732E" w:rsidRPr="00CF1A8C" w:rsidTr="00EB1E05">
        <w:tc>
          <w:tcPr>
            <w:tcW w:w="3587" w:type="dxa"/>
            <w:tcBorders>
              <w:top w:val="single" w:sz="4" w:space="0" w:color="auto"/>
              <w:bottom w:val="single" w:sz="4" w:space="0" w:color="auto"/>
            </w:tcBorders>
          </w:tcPr>
          <w:p w:rsidR="00B8732E" w:rsidRPr="00CF1A8C" w:rsidRDefault="00B8732E" w:rsidP="00EB1E05">
            <w:pPr>
              <w:pStyle w:val="Heading7"/>
              <w:keepNext w:val="0"/>
            </w:pPr>
            <w:r w:rsidRPr="00CF1A8C">
              <w:t xml:space="preserve">Output </w:t>
            </w:r>
            <w:r w:rsidR="00F10C6E">
              <w:t>2</w:t>
            </w:r>
            <w:r w:rsidRPr="00CF1A8C">
              <w:t>.1</w:t>
            </w:r>
            <w:r>
              <w:t xml:space="preserve">: </w:t>
            </w:r>
            <w:r w:rsidR="00F10C6E">
              <w:t>Economic Management</w:t>
            </w:r>
          </w:p>
        </w:tc>
        <w:tc>
          <w:tcPr>
            <w:tcW w:w="1378" w:type="dxa"/>
            <w:tcBorders>
              <w:top w:val="single" w:sz="4" w:space="0" w:color="auto"/>
              <w:bottom w:val="single" w:sz="4" w:space="0" w:color="auto"/>
            </w:tcBorders>
            <w:vAlign w:val="bottom"/>
          </w:tcPr>
          <w:p w:rsidR="003A1A1F" w:rsidRDefault="00222BAD" w:rsidP="00EB1E05">
            <w:pPr>
              <w:pStyle w:val="AITableText"/>
            </w:pPr>
            <w:r>
              <w:t>6,957</w:t>
            </w:r>
          </w:p>
        </w:tc>
        <w:tc>
          <w:tcPr>
            <w:tcW w:w="1378" w:type="dxa"/>
            <w:tcBorders>
              <w:top w:val="single" w:sz="4" w:space="0" w:color="auto"/>
              <w:bottom w:val="single" w:sz="4" w:space="0" w:color="auto"/>
            </w:tcBorders>
            <w:vAlign w:val="bottom"/>
          </w:tcPr>
          <w:p w:rsidR="003A1A1F" w:rsidRDefault="00222BAD" w:rsidP="00EB1E05">
            <w:pPr>
              <w:pStyle w:val="AITableText"/>
            </w:pPr>
            <w:r>
              <w:t>9,061</w:t>
            </w:r>
          </w:p>
        </w:tc>
        <w:tc>
          <w:tcPr>
            <w:tcW w:w="1378" w:type="dxa"/>
            <w:tcBorders>
              <w:top w:val="single" w:sz="4" w:space="0" w:color="auto"/>
              <w:bottom w:val="single" w:sz="4" w:space="0" w:color="auto"/>
            </w:tcBorders>
            <w:vAlign w:val="bottom"/>
          </w:tcPr>
          <w:p w:rsidR="003A1A1F" w:rsidRDefault="00222BAD" w:rsidP="00EB1E05">
            <w:pPr>
              <w:pStyle w:val="AITableText"/>
            </w:pPr>
            <w:r>
              <w:t>5,401</w:t>
            </w:r>
          </w:p>
        </w:tc>
        <w:tc>
          <w:tcPr>
            <w:tcW w:w="1378" w:type="dxa"/>
            <w:tcBorders>
              <w:top w:val="single" w:sz="4" w:space="0" w:color="auto"/>
              <w:bottom w:val="single" w:sz="4" w:space="0" w:color="auto"/>
            </w:tcBorders>
            <w:vAlign w:val="bottom"/>
          </w:tcPr>
          <w:p w:rsidR="003A1A1F" w:rsidRDefault="00222BAD" w:rsidP="00EB1E05">
            <w:pPr>
              <w:pStyle w:val="AITableText"/>
            </w:pPr>
            <w:r>
              <w:t>6,926</w:t>
            </w:r>
          </w:p>
        </w:tc>
      </w:tr>
    </w:tbl>
    <w:p w:rsidR="003825EA" w:rsidRDefault="009E6C43" w:rsidP="00E84262">
      <w:pPr>
        <w:pStyle w:val="NoteHeading0"/>
      </w:pPr>
      <w:r w:rsidRPr="009E6C43">
        <w:t>Notes</w:t>
      </w:r>
      <w:r w:rsidR="00B8732E" w:rsidRPr="00CF1A8C">
        <w:t>:</w:t>
      </w:r>
    </w:p>
    <w:p w:rsidR="003A1A1F" w:rsidRDefault="00E84262" w:rsidP="00EB1E05">
      <w:pPr>
        <w:pStyle w:val="AINotes"/>
        <w:numPr>
          <w:ilvl w:val="0"/>
          <w:numId w:val="39"/>
        </w:numPr>
        <w:ind w:left="357" w:hanging="357"/>
      </w:pPr>
      <w:r>
        <w:t>Total c</w:t>
      </w:r>
      <w:r w:rsidR="009E6C43" w:rsidRPr="009E6C43">
        <w:t xml:space="preserve">ost includes depreciation </w:t>
      </w:r>
      <w:r w:rsidR="00752E2C">
        <w:t xml:space="preserve">and amortisation </w:t>
      </w:r>
      <w:r w:rsidR="009E6C43" w:rsidRPr="009E6C43">
        <w:t>of $1.028 million in 2013</w:t>
      </w:r>
      <w:r w:rsidR="009E6C43" w:rsidRPr="009E6C43">
        <w:noBreakHyphen/>
        <w:t>14.</w:t>
      </w:r>
    </w:p>
    <w:p w:rsidR="00EB1E05" w:rsidRDefault="009E6C43" w:rsidP="00EB1E05">
      <w:pPr>
        <w:pStyle w:val="AINotes"/>
        <w:numPr>
          <w:ilvl w:val="0"/>
          <w:numId w:val="39"/>
        </w:numPr>
        <w:ind w:left="357" w:hanging="357"/>
        <w:rPr>
          <w:iCs/>
          <w:szCs w:val="16"/>
        </w:rPr>
      </w:pPr>
      <w:r w:rsidRPr="009E6C43">
        <w:t>This</w:t>
      </w:r>
      <w:r w:rsidR="00252174">
        <w:rPr>
          <w:iCs/>
          <w:szCs w:val="16"/>
        </w:rPr>
        <w:t xml:space="preserve"> output was previously Output Class 1 Financial and Economic Management in the </w:t>
      </w:r>
      <w:r w:rsidR="0055016D">
        <w:rPr>
          <w:iCs/>
          <w:szCs w:val="16"/>
        </w:rPr>
        <w:t>former</w:t>
      </w:r>
      <w:r w:rsidR="00C67C12">
        <w:rPr>
          <w:iCs/>
          <w:szCs w:val="16"/>
        </w:rPr>
        <w:t xml:space="preserve"> </w:t>
      </w:r>
      <w:r w:rsidR="00252174">
        <w:rPr>
          <w:iCs/>
          <w:szCs w:val="16"/>
        </w:rPr>
        <w:t>Treasury Directorate. Its functions were transferred to the Chief Minister and Treasury Directorate following the November 2012 Administrative Arrangements.</w:t>
      </w:r>
    </w:p>
    <w:p w:rsidR="00EB1E05" w:rsidRDefault="00EB1E05">
      <w:pPr>
        <w:spacing w:after="200" w:line="276" w:lineRule="auto"/>
        <w:rPr>
          <w:iCs/>
          <w:sz w:val="16"/>
          <w:szCs w:val="16"/>
        </w:rPr>
      </w:pPr>
      <w:r>
        <w:rPr>
          <w:iCs/>
          <w:szCs w:val="16"/>
        </w:rPr>
        <w:br w:type="page"/>
      </w:r>
    </w:p>
    <w:p w:rsidR="00EB1E05" w:rsidRPr="007B0F14" w:rsidRDefault="00EB1E05" w:rsidP="00EB1E05">
      <w:pPr>
        <w:pStyle w:val="Heading3"/>
      </w:pPr>
      <w:proofErr w:type="gramStart"/>
      <w:r w:rsidRPr="007B0F14">
        <w:lastRenderedPageBreak/>
        <w:t>Output Classes</w:t>
      </w:r>
      <w:r>
        <w:t xml:space="preserve"> cont.</w:t>
      </w:r>
      <w:proofErr w:type="gramEnd"/>
    </w:p>
    <w:p w:rsidR="003A1A1F" w:rsidRDefault="00B8732E" w:rsidP="00EB1E05">
      <w:pPr>
        <w:pStyle w:val="Heading4"/>
        <w:keepNext w:val="0"/>
        <w:tabs>
          <w:tab w:val="left" w:pos="2265"/>
        </w:tabs>
      </w:pPr>
      <w:r w:rsidRPr="007C77E1">
        <w:t>Output Description</w:t>
      </w:r>
    </w:p>
    <w:p w:rsidR="00EB1E05" w:rsidRDefault="0061312B" w:rsidP="00EB1E05">
      <w:pPr>
        <w:pStyle w:val="BodyText"/>
        <w:keepLines/>
      </w:pPr>
      <w:proofErr w:type="gramStart"/>
      <w:r>
        <w:t>Provision of</w:t>
      </w:r>
      <w:r w:rsidR="00F10C6E">
        <w:t xml:space="preserve"> a range of services including</w:t>
      </w:r>
      <w:r w:rsidR="00752E2C">
        <w:t xml:space="preserve"> </w:t>
      </w:r>
      <w:r w:rsidR="00F10C6E">
        <w:t>economic policy advice, regulatory reforms advice, federal financial relations, insurance policy advice and oversight of the Territory’s investments and debt.</w:t>
      </w:r>
      <w:proofErr w:type="gramEnd"/>
    </w:p>
    <w:p w:rsidR="00FB2979" w:rsidRPr="00FB2979" w:rsidRDefault="00FB2979" w:rsidP="00EB1E05">
      <w:pPr>
        <w:pStyle w:val="BodyText"/>
        <w:keepLines/>
        <w:spacing w:after="80"/>
      </w:pPr>
      <w:r w:rsidRPr="00FB2979">
        <w:t>Economic Management will:</w:t>
      </w:r>
    </w:p>
    <w:p w:rsidR="00FB2979" w:rsidRPr="00FB2979" w:rsidRDefault="00FB2979" w:rsidP="00EB1E05">
      <w:pPr>
        <w:pStyle w:val="BodyTextIndent"/>
        <w:keepNext w:val="0"/>
        <w:numPr>
          <w:ilvl w:val="0"/>
          <w:numId w:val="2"/>
        </w:numPr>
        <w:tabs>
          <w:tab w:val="clear" w:pos="1209"/>
          <w:tab w:val="num" w:pos="360"/>
        </w:tabs>
        <w:ind w:left="360"/>
      </w:pPr>
      <w:r w:rsidRPr="00FB2979">
        <w:t xml:space="preserve">monitor and advise on the state of the ACT economy; </w:t>
      </w:r>
    </w:p>
    <w:p w:rsidR="00FB2979" w:rsidRPr="00FB2979" w:rsidRDefault="00FB2979" w:rsidP="00EB1E05">
      <w:pPr>
        <w:pStyle w:val="BodyTextIndent"/>
        <w:keepNext w:val="0"/>
        <w:numPr>
          <w:ilvl w:val="0"/>
          <w:numId w:val="2"/>
        </w:numPr>
        <w:tabs>
          <w:tab w:val="clear" w:pos="1209"/>
          <w:tab w:val="num" w:pos="360"/>
        </w:tabs>
        <w:ind w:left="360"/>
      </w:pPr>
      <w:r w:rsidRPr="00FB2979">
        <w:t>coordinate ACT Government involvement with the Commonwealth Grants Commission (CGC) and implementation of the GST Distribution Review recommendations;</w:t>
      </w:r>
    </w:p>
    <w:p w:rsidR="00FB2979" w:rsidRPr="00FB2979" w:rsidRDefault="00FB2979" w:rsidP="00EB1E05">
      <w:pPr>
        <w:pStyle w:val="BodyTextIndent"/>
        <w:keepNext w:val="0"/>
        <w:numPr>
          <w:ilvl w:val="0"/>
          <w:numId w:val="2"/>
        </w:numPr>
        <w:tabs>
          <w:tab w:val="clear" w:pos="1209"/>
          <w:tab w:val="num" w:pos="360"/>
        </w:tabs>
        <w:ind w:left="360"/>
      </w:pPr>
      <w:r w:rsidRPr="00FB2979">
        <w:t xml:space="preserve">participate in the COAG’s Business Advisory Form taskforce and implementation of the Seamless National Economy regulatory and competition reform program; and </w:t>
      </w:r>
    </w:p>
    <w:p w:rsidR="00FB2979" w:rsidRPr="00FB2979" w:rsidRDefault="00FB2979" w:rsidP="00EB1E05">
      <w:pPr>
        <w:pStyle w:val="BodyTextIndent"/>
        <w:keepNext w:val="0"/>
        <w:numPr>
          <w:ilvl w:val="0"/>
          <w:numId w:val="2"/>
        </w:numPr>
        <w:tabs>
          <w:tab w:val="clear" w:pos="1209"/>
          <w:tab w:val="num" w:pos="360"/>
        </w:tabs>
        <w:ind w:left="360"/>
      </w:pPr>
      <w:proofErr w:type="gramStart"/>
      <w:r w:rsidRPr="00FB2979">
        <w:t>progress</w:t>
      </w:r>
      <w:proofErr w:type="gramEnd"/>
      <w:r w:rsidRPr="00FB2979">
        <w:t xml:space="preserve"> reforms to the ACT compulsory third party insurance scheme with the aim of facilitating the entry of additional insurers into the market. </w:t>
      </w:r>
    </w:p>
    <w:tbl>
      <w:tblPr>
        <w:tblW w:w="9101" w:type="dxa"/>
        <w:tblLook w:val="0000"/>
      </w:tblPr>
      <w:tblGrid>
        <w:gridCol w:w="3589"/>
        <w:gridCol w:w="1378"/>
        <w:gridCol w:w="1378"/>
        <w:gridCol w:w="1378"/>
        <w:gridCol w:w="1378"/>
      </w:tblGrid>
      <w:tr w:rsidR="00B8732E" w:rsidRPr="00CF1A8C" w:rsidTr="00EB1E05">
        <w:tc>
          <w:tcPr>
            <w:tcW w:w="3589" w:type="dxa"/>
            <w:tcBorders>
              <w:top w:val="single" w:sz="4" w:space="0" w:color="auto"/>
            </w:tcBorders>
          </w:tcPr>
          <w:p w:rsidR="003825EA" w:rsidRDefault="00B8732E">
            <w:pPr>
              <w:pStyle w:val="Heading2"/>
              <w:keepNext w:val="0"/>
              <w:spacing w:before="0"/>
              <w:ind w:left="357"/>
              <w:jc w:val="right"/>
              <w:rPr>
                <w:b w:val="0"/>
                <w:bCs/>
                <w:iCs/>
              </w:rPr>
            </w:pPr>
            <w:r>
              <w:br w:type="page"/>
            </w:r>
          </w:p>
        </w:tc>
        <w:tc>
          <w:tcPr>
            <w:tcW w:w="2756" w:type="dxa"/>
            <w:gridSpan w:val="2"/>
            <w:tcBorders>
              <w:top w:val="single" w:sz="4" w:space="0" w:color="auto"/>
              <w:bottom w:val="single" w:sz="4" w:space="0" w:color="auto"/>
            </w:tcBorders>
          </w:tcPr>
          <w:p w:rsidR="003825EA" w:rsidRDefault="00B8732E">
            <w:pPr>
              <w:pStyle w:val="Heading2"/>
              <w:keepNext w:val="0"/>
            </w:pPr>
            <w:r w:rsidRPr="00CF1A8C">
              <w:t>Total Cost</w:t>
            </w:r>
          </w:p>
        </w:tc>
        <w:tc>
          <w:tcPr>
            <w:tcW w:w="2756" w:type="dxa"/>
            <w:gridSpan w:val="2"/>
            <w:tcBorders>
              <w:top w:val="single" w:sz="4" w:space="0" w:color="auto"/>
              <w:bottom w:val="single" w:sz="4" w:space="0" w:color="auto"/>
            </w:tcBorders>
          </w:tcPr>
          <w:p w:rsidR="003825EA" w:rsidRDefault="00B8732E">
            <w:pPr>
              <w:pStyle w:val="Heading2"/>
              <w:keepNext w:val="0"/>
            </w:pPr>
            <w:r w:rsidRPr="00CF1A8C">
              <w:t>Government Payment for Outputs</w:t>
            </w:r>
          </w:p>
        </w:tc>
      </w:tr>
      <w:tr w:rsidR="00B8732E" w:rsidRPr="00CF1A8C" w:rsidTr="00EB1E05">
        <w:tc>
          <w:tcPr>
            <w:tcW w:w="3589" w:type="dxa"/>
            <w:tcBorders>
              <w:bottom w:val="single" w:sz="4" w:space="0" w:color="auto"/>
            </w:tcBorders>
          </w:tcPr>
          <w:p w:rsidR="003825EA" w:rsidRDefault="003825EA">
            <w:pPr>
              <w:pStyle w:val="SinglePara"/>
              <w:rPr>
                <w:b/>
                <w:bCs/>
              </w:rPr>
            </w:pPr>
          </w:p>
        </w:tc>
        <w:tc>
          <w:tcPr>
            <w:tcW w:w="1378" w:type="dxa"/>
            <w:tcBorders>
              <w:top w:val="single" w:sz="4" w:space="0" w:color="auto"/>
              <w:bottom w:val="single" w:sz="4" w:space="0" w:color="auto"/>
            </w:tcBorders>
          </w:tcPr>
          <w:p w:rsidR="003825EA" w:rsidRDefault="00B8732E">
            <w:pPr>
              <w:pStyle w:val="Heading6"/>
              <w:keepNext w:val="0"/>
            </w:pPr>
            <w:r>
              <w:t>2012-13</w:t>
            </w:r>
          </w:p>
          <w:p w:rsidR="003825EA" w:rsidRDefault="00B8732E">
            <w:pPr>
              <w:pStyle w:val="Heading6"/>
              <w:keepNext w:val="0"/>
            </w:pPr>
            <w:r w:rsidRPr="00CF1A8C">
              <w:t>Est. Outcome</w:t>
            </w:r>
          </w:p>
          <w:p w:rsidR="003825EA" w:rsidRDefault="00B8732E">
            <w:pPr>
              <w:pStyle w:val="Heading6"/>
              <w:keepNext w:val="0"/>
            </w:pPr>
            <w:r w:rsidRPr="00CF1A8C">
              <w:t>$’000</w:t>
            </w:r>
          </w:p>
        </w:tc>
        <w:tc>
          <w:tcPr>
            <w:tcW w:w="1378" w:type="dxa"/>
            <w:tcBorders>
              <w:top w:val="single" w:sz="4" w:space="0" w:color="auto"/>
              <w:bottom w:val="single" w:sz="4" w:space="0" w:color="auto"/>
            </w:tcBorders>
          </w:tcPr>
          <w:p w:rsidR="003825EA" w:rsidRDefault="00B8732E">
            <w:pPr>
              <w:pStyle w:val="Heading6"/>
              <w:keepNext w:val="0"/>
            </w:pPr>
            <w:r>
              <w:t>2013-14</w:t>
            </w:r>
          </w:p>
          <w:p w:rsidR="003825EA" w:rsidRDefault="00B8732E">
            <w:pPr>
              <w:pStyle w:val="Heading6"/>
              <w:keepNext w:val="0"/>
            </w:pPr>
            <w:r w:rsidRPr="00CF1A8C">
              <w:t>Budget</w:t>
            </w:r>
          </w:p>
          <w:p w:rsidR="003825EA" w:rsidRDefault="00B8732E">
            <w:pPr>
              <w:pStyle w:val="Heading6"/>
              <w:keepNext w:val="0"/>
            </w:pPr>
            <w:r w:rsidRPr="00CF1A8C">
              <w:t>$’000</w:t>
            </w:r>
          </w:p>
        </w:tc>
        <w:tc>
          <w:tcPr>
            <w:tcW w:w="1378" w:type="dxa"/>
            <w:tcBorders>
              <w:top w:val="single" w:sz="4" w:space="0" w:color="auto"/>
              <w:bottom w:val="single" w:sz="4" w:space="0" w:color="auto"/>
            </w:tcBorders>
          </w:tcPr>
          <w:p w:rsidR="003825EA" w:rsidRDefault="00B8732E">
            <w:pPr>
              <w:pStyle w:val="Heading6"/>
              <w:keepNext w:val="0"/>
            </w:pPr>
            <w:r>
              <w:t>2012-13</w:t>
            </w:r>
          </w:p>
          <w:p w:rsidR="003825EA" w:rsidRDefault="00B8732E">
            <w:pPr>
              <w:pStyle w:val="Heading6"/>
              <w:keepNext w:val="0"/>
            </w:pPr>
            <w:r w:rsidRPr="00CF1A8C">
              <w:t>Est. Outcome</w:t>
            </w:r>
          </w:p>
          <w:p w:rsidR="003825EA" w:rsidRDefault="00B8732E">
            <w:pPr>
              <w:pStyle w:val="Heading6"/>
              <w:keepNext w:val="0"/>
            </w:pPr>
            <w:r w:rsidRPr="00CF1A8C">
              <w:t xml:space="preserve">$’000 </w:t>
            </w:r>
          </w:p>
        </w:tc>
        <w:tc>
          <w:tcPr>
            <w:tcW w:w="1378" w:type="dxa"/>
            <w:tcBorders>
              <w:top w:val="single" w:sz="4" w:space="0" w:color="auto"/>
              <w:bottom w:val="single" w:sz="4" w:space="0" w:color="auto"/>
            </w:tcBorders>
          </w:tcPr>
          <w:p w:rsidR="003825EA" w:rsidRDefault="00B8732E">
            <w:pPr>
              <w:pStyle w:val="Heading6"/>
              <w:keepNext w:val="0"/>
            </w:pPr>
            <w:r>
              <w:t>201</w:t>
            </w:r>
            <w:r w:rsidR="00DC05FE" w:rsidRPr="00DC05FE">
              <w:rPr>
                <w:szCs w:val="24"/>
              </w:rPr>
              <w:t>3</w:t>
            </w:r>
            <w:r>
              <w:t>-14</w:t>
            </w:r>
          </w:p>
          <w:p w:rsidR="003825EA" w:rsidRDefault="00B8732E">
            <w:pPr>
              <w:pStyle w:val="Heading6"/>
              <w:keepNext w:val="0"/>
            </w:pPr>
            <w:r w:rsidRPr="00CF1A8C">
              <w:t>Budget</w:t>
            </w:r>
          </w:p>
          <w:p w:rsidR="003825EA" w:rsidRDefault="00B8732E">
            <w:pPr>
              <w:pStyle w:val="Heading6"/>
              <w:keepNext w:val="0"/>
            </w:pPr>
            <w:r w:rsidRPr="00CF1A8C">
              <w:t>$’000</w:t>
            </w:r>
          </w:p>
        </w:tc>
      </w:tr>
      <w:tr w:rsidR="00B8732E" w:rsidRPr="00CF1A8C" w:rsidTr="00EB1E05">
        <w:tc>
          <w:tcPr>
            <w:tcW w:w="3589" w:type="dxa"/>
            <w:tcBorders>
              <w:top w:val="single" w:sz="4" w:space="0" w:color="auto"/>
              <w:bottom w:val="single" w:sz="4" w:space="0" w:color="auto"/>
            </w:tcBorders>
          </w:tcPr>
          <w:p w:rsidR="003825EA" w:rsidRDefault="00B8732E">
            <w:pPr>
              <w:pStyle w:val="Heading7"/>
              <w:keepNext w:val="0"/>
              <w:rPr>
                <w:iCs/>
              </w:rPr>
            </w:pPr>
            <w:r w:rsidRPr="00CF1A8C">
              <w:t xml:space="preserve">Output </w:t>
            </w:r>
            <w:r>
              <w:t>2</w:t>
            </w:r>
            <w:r w:rsidRPr="00CF1A8C">
              <w:t>.</w:t>
            </w:r>
            <w:r w:rsidR="004407AE">
              <w:t>2</w:t>
            </w:r>
            <w:r>
              <w:t xml:space="preserve">: </w:t>
            </w:r>
            <w:r w:rsidRPr="00CF1A8C">
              <w:t xml:space="preserve"> </w:t>
            </w:r>
            <w:r w:rsidR="005F63E0">
              <w:t>Financial Management</w:t>
            </w:r>
            <w:r w:rsidR="000C1711">
              <w:rPr>
                <w:vertAlign w:val="superscript"/>
              </w:rPr>
              <w:t>1</w:t>
            </w:r>
          </w:p>
        </w:tc>
        <w:tc>
          <w:tcPr>
            <w:tcW w:w="1378" w:type="dxa"/>
            <w:tcBorders>
              <w:top w:val="single" w:sz="4" w:space="0" w:color="auto"/>
              <w:bottom w:val="single" w:sz="4" w:space="0" w:color="auto"/>
            </w:tcBorders>
            <w:vAlign w:val="bottom"/>
          </w:tcPr>
          <w:p w:rsidR="003825EA" w:rsidRDefault="00222BAD">
            <w:pPr>
              <w:pStyle w:val="AITableText"/>
            </w:pPr>
            <w:r>
              <w:t>15,47</w:t>
            </w:r>
            <w:r w:rsidR="005B127B">
              <w:t>1</w:t>
            </w:r>
          </w:p>
        </w:tc>
        <w:tc>
          <w:tcPr>
            <w:tcW w:w="1378" w:type="dxa"/>
            <w:tcBorders>
              <w:top w:val="single" w:sz="4" w:space="0" w:color="auto"/>
              <w:bottom w:val="single" w:sz="4" w:space="0" w:color="auto"/>
            </w:tcBorders>
            <w:vAlign w:val="bottom"/>
          </w:tcPr>
          <w:p w:rsidR="003825EA" w:rsidRDefault="00222BAD">
            <w:pPr>
              <w:pStyle w:val="AITableText"/>
            </w:pPr>
            <w:r>
              <w:t>30,454</w:t>
            </w:r>
          </w:p>
        </w:tc>
        <w:tc>
          <w:tcPr>
            <w:tcW w:w="1378" w:type="dxa"/>
            <w:tcBorders>
              <w:top w:val="single" w:sz="4" w:space="0" w:color="auto"/>
              <w:bottom w:val="single" w:sz="4" w:space="0" w:color="auto"/>
            </w:tcBorders>
            <w:vAlign w:val="bottom"/>
          </w:tcPr>
          <w:p w:rsidR="003825EA" w:rsidRDefault="00222BAD">
            <w:pPr>
              <w:pStyle w:val="AITableText"/>
            </w:pPr>
            <w:r>
              <w:t>14,35</w:t>
            </w:r>
            <w:r w:rsidR="005B127B">
              <w:t>6</w:t>
            </w:r>
          </w:p>
        </w:tc>
        <w:tc>
          <w:tcPr>
            <w:tcW w:w="1378" w:type="dxa"/>
            <w:tcBorders>
              <w:top w:val="single" w:sz="4" w:space="0" w:color="auto"/>
              <w:bottom w:val="single" w:sz="4" w:space="0" w:color="auto"/>
            </w:tcBorders>
            <w:vAlign w:val="bottom"/>
          </w:tcPr>
          <w:p w:rsidR="003825EA" w:rsidRDefault="00222BAD">
            <w:pPr>
              <w:pStyle w:val="AITableText"/>
            </w:pPr>
            <w:r>
              <w:t>27,222</w:t>
            </w:r>
          </w:p>
        </w:tc>
      </w:tr>
    </w:tbl>
    <w:p w:rsidR="003825EA" w:rsidRDefault="00B8732E" w:rsidP="00E84262">
      <w:pPr>
        <w:pStyle w:val="NoteHeading0"/>
      </w:pPr>
      <w:r w:rsidRPr="00CF1A8C">
        <w:t>Note</w:t>
      </w:r>
      <w:r w:rsidR="00752E2C">
        <w:t>:</w:t>
      </w:r>
    </w:p>
    <w:p w:rsidR="003825EA" w:rsidRDefault="009E6C43" w:rsidP="00BD3A73">
      <w:pPr>
        <w:pStyle w:val="AINotes"/>
        <w:numPr>
          <w:ilvl w:val="0"/>
          <w:numId w:val="40"/>
        </w:numPr>
        <w:ind w:left="357" w:hanging="357"/>
      </w:pPr>
      <w:r w:rsidRPr="009E6C43">
        <w:t>This output was previously Output Class 1 Financial and Economic Management in the former Treasury Directorate.</w:t>
      </w:r>
      <w:r w:rsidR="00BF6275">
        <w:t xml:space="preserve"> </w:t>
      </w:r>
      <w:r w:rsidRPr="009E6C43">
        <w:t xml:space="preserve"> Its functions were transferred to the Chief Minister and Treasury Directorate following the Administrative Arrangements</w:t>
      </w:r>
      <w:r w:rsidR="00AD0009">
        <w:t xml:space="preserve"> (No.2) of </w:t>
      </w:r>
      <w:r w:rsidR="004C53B3">
        <w:t>10</w:t>
      </w:r>
      <w:r w:rsidR="00AD0009">
        <w:t xml:space="preserve"> November 2012</w:t>
      </w:r>
      <w:r w:rsidRPr="009E6C43">
        <w:t>.</w:t>
      </w:r>
    </w:p>
    <w:p w:rsidR="003825EA" w:rsidRDefault="00B8732E">
      <w:pPr>
        <w:pStyle w:val="Heading4"/>
        <w:keepNext w:val="0"/>
        <w:keepLines w:val="0"/>
      </w:pPr>
      <w:r w:rsidRPr="00CF1A8C">
        <w:t xml:space="preserve">Output Description </w:t>
      </w:r>
    </w:p>
    <w:p w:rsidR="003825EA" w:rsidRDefault="005F63E0">
      <w:pPr>
        <w:pStyle w:val="BodyText"/>
      </w:pPr>
      <w:r>
        <w:t>Provision of analysis, monitoring and reporting on major projects, the financial performance o</w:t>
      </w:r>
      <w:r w:rsidR="00BF6275">
        <w:t>f agencies and the Territory’s b</w:t>
      </w:r>
      <w:r>
        <w:t xml:space="preserve">udget, to assist the Government to achieve its policy objectives. </w:t>
      </w:r>
    </w:p>
    <w:p w:rsidR="00EA2BC1" w:rsidRPr="00EA2BC1" w:rsidRDefault="00EA2BC1" w:rsidP="00EA2BC1">
      <w:pPr>
        <w:pStyle w:val="BodyText"/>
        <w:keepNext/>
        <w:keepLines/>
      </w:pPr>
      <w:r w:rsidRPr="00EA2BC1">
        <w:t>Financial Management will:</w:t>
      </w:r>
    </w:p>
    <w:p w:rsidR="00EA2BC1" w:rsidRPr="00EA2BC1" w:rsidRDefault="00EA2BC1" w:rsidP="00BD3A73">
      <w:pPr>
        <w:pStyle w:val="BodyTextIndent"/>
        <w:keepNext w:val="0"/>
        <w:keepLines w:val="0"/>
        <w:numPr>
          <w:ilvl w:val="0"/>
          <w:numId w:val="2"/>
        </w:numPr>
        <w:tabs>
          <w:tab w:val="clear" w:pos="1209"/>
          <w:tab w:val="num" w:pos="360"/>
        </w:tabs>
        <w:ind w:left="357" w:hanging="357"/>
      </w:pPr>
      <w:r w:rsidRPr="00EA2BC1">
        <w:t>manage the preparation and presentation of t</w:t>
      </w:r>
      <w:r w:rsidR="00C85821">
        <w:t>he Government’s annual budget, Budget R</w:t>
      </w:r>
      <w:r w:rsidRPr="00EA2BC1">
        <w:t xml:space="preserve">eview and annual financial statements; </w:t>
      </w:r>
    </w:p>
    <w:p w:rsidR="00EA2BC1" w:rsidRPr="00EA2BC1" w:rsidRDefault="00EA2BC1" w:rsidP="00BD3A73">
      <w:pPr>
        <w:pStyle w:val="BodyTextIndent"/>
        <w:keepNext w:val="0"/>
        <w:keepLines w:val="0"/>
        <w:numPr>
          <w:ilvl w:val="0"/>
          <w:numId w:val="2"/>
        </w:numPr>
        <w:tabs>
          <w:tab w:val="clear" w:pos="1209"/>
          <w:tab w:val="num" w:pos="360"/>
        </w:tabs>
        <w:ind w:left="357" w:hanging="357"/>
      </w:pPr>
      <w:r w:rsidRPr="00EA2BC1">
        <w:t>provide quarterly whole of government consolidated management reports;</w:t>
      </w:r>
    </w:p>
    <w:p w:rsidR="00EA2BC1" w:rsidRPr="00EA2BC1" w:rsidRDefault="00EA2BC1" w:rsidP="00BD3A73">
      <w:pPr>
        <w:pStyle w:val="BodyTextIndent"/>
        <w:keepNext w:val="0"/>
        <w:keepLines w:val="0"/>
        <w:numPr>
          <w:ilvl w:val="0"/>
          <w:numId w:val="2"/>
        </w:numPr>
        <w:tabs>
          <w:tab w:val="clear" w:pos="1209"/>
          <w:tab w:val="num" w:pos="360"/>
        </w:tabs>
        <w:ind w:left="357" w:hanging="357"/>
      </w:pPr>
      <w:r w:rsidRPr="00EA2BC1">
        <w:t>report to external agencies including the Australian Loan Council, the Australian Bureau of Statistics and the CGC; and</w:t>
      </w:r>
    </w:p>
    <w:p w:rsidR="007329DD" w:rsidRDefault="00EA2BC1" w:rsidP="00BD3A73">
      <w:pPr>
        <w:pStyle w:val="BodyTextIndent"/>
        <w:keepNext w:val="0"/>
        <w:keepLines w:val="0"/>
        <w:numPr>
          <w:ilvl w:val="0"/>
          <w:numId w:val="2"/>
        </w:numPr>
        <w:tabs>
          <w:tab w:val="clear" w:pos="1209"/>
          <w:tab w:val="num" w:pos="360"/>
        </w:tabs>
        <w:ind w:left="357" w:hanging="357"/>
      </w:pPr>
      <w:proofErr w:type="gramStart"/>
      <w:r w:rsidRPr="00EA2BC1">
        <w:t>review</w:t>
      </w:r>
      <w:proofErr w:type="gramEnd"/>
      <w:r w:rsidRPr="00EA2BC1">
        <w:t xml:space="preserve"> government programs and functions.</w:t>
      </w:r>
    </w:p>
    <w:p w:rsidR="00EA2BC1" w:rsidRDefault="007329DD" w:rsidP="007329DD">
      <w:pPr>
        <w:pStyle w:val="BodyText"/>
      </w:pPr>
      <w:r>
        <w:br w:type="page"/>
      </w:r>
    </w:p>
    <w:p w:rsidR="007329DD" w:rsidRPr="007329DD" w:rsidRDefault="007329DD" w:rsidP="007329DD">
      <w:pPr>
        <w:pStyle w:val="Heading3"/>
      </w:pPr>
      <w:r w:rsidRPr="007329DD">
        <w:lastRenderedPageBreak/>
        <w:t>Accountability Indicators</w:t>
      </w:r>
    </w:p>
    <w:tbl>
      <w:tblPr>
        <w:tblW w:w="9356" w:type="dxa"/>
        <w:tblLook w:val="0000"/>
      </w:tblPr>
      <w:tblGrid>
        <w:gridCol w:w="5066"/>
        <w:gridCol w:w="1430"/>
        <w:gridCol w:w="1430"/>
        <w:gridCol w:w="1430"/>
      </w:tblGrid>
      <w:tr w:rsidR="00F10C6E" w:rsidRPr="00CF1A8C" w:rsidTr="00CD1F2B">
        <w:tc>
          <w:tcPr>
            <w:tcW w:w="5063" w:type="dxa"/>
            <w:tcBorders>
              <w:top w:val="single" w:sz="4" w:space="0" w:color="auto"/>
              <w:bottom w:val="single" w:sz="4" w:space="0" w:color="auto"/>
            </w:tcBorders>
          </w:tcPr>
          <w:p w:rsidR="00F10C6E" w:rsidRPr="00CF1A8C" w:rsidRDefault="00F10C6E" w:rsidP="00F10C6E">
            <w:pPr>
              <w:pStyle w:val="Heading6"/>
            </w:pPr>
          </w:p>
        </w:tc>
        <w:tc>
          <w:tcPr>
            <w:tcW w:w="1429" w:type="dxa"/>
            <w:tcBorders>
              <w:top w:val="single" w:sz="4" w:space="0" w:color="auto"/>
              <w:bottom w:val="single" w:sz="4" w:space="0" w:color="auto"/>
            </w:tcBorders>
          </w:tcPr>
          <w:p w:rsidR="00F10C6E" w:rsidRPr="00CF1A8C" w:rsidRDefault="00F10C6E" w:rsidP="00F10C6E">
            <w:pPr>
              <w:pStyle w:val="Heading6"/>
            </w:pPr>
            <w:r>
              <w:t>2012-13</w:t>
            </w:r>
          </w:p>
          <w:p w:rsidR="003A1A1F" w:rsidRDefault="00F10C6E">
            <w:pPr>
              <w:pStyle w:val="Heading6"/>
            </w:pPr>
            <w:r w:rsidRPr="00CF1A8C">
              <w:t>Targets</w:t>
            </w:r>
          </w:p>
        </w:tc>
        <w:tc>
          <w:tcPr>
            <w:tcW w:w="1429" w:type="dxa"/>
            <w:tcBorders>
              <w:top w:val="single" w:sz="4" w:space="0" w:color="auto"/>
              <w:bottom w:val="single" w:sz="4" w:space="0" w:color="auto"/>
            </w:tcBorders>
          </w:tcPr>
          <w:p w:rsidR="00F10C6E" w:rsidRPr="00CF1A8C" w:rsidRDefault="00F10C6E" w:rsidP="00F10C6E">
            <w:pPr>
              <w:pStyle w:val="Heading6"/>
            </w:pPr>
            <w:r>
              <w:t>2012-13</w:t>
            </w:r>
          </w:p>
          <w:p w:rsidR="003A1A1F" w:rsidRDefault="00F10C6E">
            <w:pPr>
              <w:pStyle w:val="Heading6"/>
            </w:pPr>
            <w:r w:rsidRPr="00CF1A8C">
              <w:t>Est. Outcome</w:t>
            </w:r>
          </w:p>
        </w:tc>
        <w:tc>
          <w:tcPr>
            <w:tcW w:w="1429" w:type="dxa"/>
            <w:tcBorders>
              <w:top w:val="single" w:sz="4" w:space="0" w:color="auto"/>
              <w:bottom w:val="single" w:sz="4" w:space="0" w:color="auto"/>
            </w:tcBorders>
          </w:tcPr>
          <w:p w:rsidR="00F10C6E" w:rsidRPr="00CF1A8C" w:rsidRDefault="00F10C6E" w:rsidP="00F10C6E">
            <w:pPr>
              <w:pStyle w:val="Heading6"/>
            </w:pPr>
            <w:r>
              <w:t>2013-14</w:t>
            </w:r>
          </w:p>
          <w:p w:rsidR="003A1A1F" w:rsidRDefault="00F10C6E">
            <w:pPr>
              <w:pStyle w:val="Heading6"/>
            </w:pPr>
            <w:r w:rsidRPr="00CF1A8C">
              <w:t>Targets</w:t>
            </w:r>
          </w:p>
        </w:tc>
      </w:tr>
      <w:tr w:rsidR="00F10C6E" w:rsidRPr="00CF1A8C" w:rsidTr="00CD1F2B">
        <w:tc>
          <w:tcPr>
            <w:tcW w:w="1429" w:type="dxa"/>
            <w:gridSpan w:val="4"/>
            <w:tcBorders>
              <w:top w:val="single" w:sz="4" w:space="0" w:color="auto"/>
              <w:bottom w:val="single" w:sz="4" w:space="0" w:color="auto"/>
            </w:tcBorders>
          </w:tcPr>
          <w:p w:rsidR="00F10C6E" w:rsidRPr="00CF1A8C" w:rsidRDefault="00F10C6E" w:rsidP="00873B20">
            <w:pPr>
              <w:pStyle w:val="TableHeadingLeft-BP410pt"/>
            </w:pPr>
            <w:r w:rsidRPr="00CF1A8C">
              <w:t xml:space="preserve">Output Class 1:  </w:t>
            </w:r>
            <w:r>
              <w:t>Government Strategy</w:t>
            </w:r>
          </w:p>
        </w:tc>
      </w:tr>
      <w:tr w:rsidR="00F10C6E" w:rsidRPr="00CF1A8C" w:rsidTr="00CD1F2B">
        <w:tc>
          <w:tcPr>
            <w:tcW w:w="1429" w:type="dxa"/>
            <w:gridSpan w:val="4"/>
            <w:tcBorders>
              <w:top w:val="single" w:sz="4" w:space="0" w:color="auto"/>
              <w:bottom w:val="single" w:sz="4" w:space="0" w:color="auto"/>
            </w:tcBorders>
          </w:tcPr>
          <w:p w:rsidR="00F10C6E" w:rsidRPr="00CF1A8C" w:rsidRDefault="00F10C6E" w:rsidP="00873B20">
            <w:pPr>
              <w:pStyle w:val="TableHeadingLeft-BP410pt"/>
            </w:pPr>
            <w:r w:rsidRPr="00CF1A8C">
              <w:t xml:space="preserve">Output 1.1: </w:t>
            </w:r>
            <w:r w:rsidRPr="005553F0">
              <w:t>Government Policy and Strategy</w:t>
            </w:r>
          </w:p>
        </w:tc>
      </w:tr>
      <w:tr w:rsidR="00F10C6E" w:rsidRPr="00CF1A8C" w:rsidTr="00CD1F2B">
        <w:trPr>
          <w:trHeight w:hRule="exact" w:val="57"/>
        </w:trPr>
        <w:tc>
          <w:tcPr>
            <w:tcW w:w="5063" w:type="dxa"/>
          </w:tcPr>
          <w:p w:rsidR="00F10C6E" w:rsidRPr="00CF1A8C" w:rsidRDefault="00F10C6E" w:rsidP="00F10C6E">
            <w:pPr>
              <w:pStyle w:val="Heading7"/>
              <w:rPr>
                <w:iCs/>
              </w:rPr>
            </w:pPr>
          </w:p>
        </w:tc>
        <w:tc>
          <w:tcPr>
            <w:tcW w:w="1429" w:type="dxa"/>
          </w:tcPr>
          <w:p w:rsidR="00F10C6E" w:rsidRPr="00CF1A8C" w:rsidRDefault="00F10C6E" w:rsidP="00F10C6E">
            <w:pPr>
              <w:pStyle w:val="AITableText"/>
            </w:pPr>
          </w:p>
        </w:tc>
        <w:tc>
          <w:tcPr>
            <w:tcW w:w="1429" w:type="dxa"/>
          </w:tcPr>
          <w:p w:rsidR="00F10C6E" w:rsidRPr="00CF1A8C" w:rsidRDefault="00F10C6E" w:rsidP="00F10C6E">
            <w:pPr>
              <w:pStyle w:val="AITableText"/>
            </w:pPr>
          </w:p>
        </w:tc>
        <w:tc>
          <w:tcPr>
            <w:tcW w:w="1429" w:type="dxa"/>
          </w:tcPr>
          <w:p w:rsidR="00F10C6E" w:rsidRPr="00CF1A8C" w:rsidRDefault="00F10C6E" w:rsidP="00F10C6E">
            <w:pPr>
              <w:pStyle w:val="AITableText"/>
            </w:pPr>
          </w:p>
        </w:tc>
      </w:tr>
      <w:tr w:rsidR="00F10C6E" w:rsidRPr="00CF1A8C" w:rsidTr="00CD1F2B">
        <w:trPr>
          <w:trHeight w:val="299"/>
        </w:trPr>
        <w:tc>
          <w:tcPr>
            <w:tcW w:w="5063" w:type="dxa"/>
          </w:tcPr>
          <w:p w:rsidR="00F52F42" w:rsidRDefault="00F10C6E" w:rsidP="00BD3A73">
            <w:pPr>
              <w:pStyle w:val="AIIndent"/>
              <w:numPr>
                <w:ilvl w:val="0"/>
                <w:numId w:val="14"/>
              </w:numPr>
              <w:spacing w:after="40"/>
            </w:pPr>
            <w:r>
              <w:t>Whole</w:t>
            </w:r>
            <w:r w:rsidR="00873B20">
              <w:t xml:space="preserve"> </w:t>
            </w:r>
            <w:r>
              <w:t>of</w:t>
            </w:r>
            <w:r w:rsidR="00873B20">
              <w:t xml:space="preserve"> </w:t>
            </w:r>
            <w:r>
              <w:t>government</w:t>
            </w:r>
            <w:r w:rsidRPr="00C55219">
              <w:t xml:space="preserve"> policy and project initiatives</w:t>
            </w:r>
            <w:r w:rsidRPr="00F97903">
              <w:rPr>
                <w:vertAlign w:val="superscript"/>
              </w:rPr>
              <w:t>1</w:t>
            </w:r>
          </w:p>
        </w:tc>
        <w:tc>
          <w:tcPr>
            <w:tcW w:w="1429" w:type="dxa"/>
          </w:tcPr>
          <w:p w:rsidR="00F10C6E" w:rsidRPr="005C0B0E" w:rsidRDefault="00F10C6E" w:rsidP="00390FD6">
            <w:pPr>
              <w:pStyle w:val="AITableText"/>
              <w:spacing w:after="40"/>
            </w:pPr>
            <w:r>
              <w:t>4</w:t>
            </w:r>
          </w:p>
        </w:tc>
        <w:tc>
          <w:tcPr>
            <w:tcW w:w="1429" w:type="dxa"/>
          </w:tcPr>
          <w:p w:rsidR="00F10C6E" w:rsidRPr="005C0B0E" w:rsidRDefault="001C763B" w:rsidP="00390FD6">
            <w:pPr>
              <w:pStyle w:val="AITableText"/>
              <w:spacing w:after="40"/>
            </w:pPr>
            <w:r>
              <w:t>6</w:t>
            </w:r>
          </w:p>
        </w:tc>
        <w:tc>
          <w:tcPr>
            <w:tcW w:w="1429" w:type="dxa"/>
          </w:tcPr>
          <w:p w:rsidR="00F10C6E" w:rsidRPr="00F97903" w:rsidRDefault="00F10C6E" w:rsidP="00390FD6">
            <w:pPr>
              <w:pStyle w:val="AITableText"/>
              <w:spacing w:after="40"/>
            </w:pPr>
            <w:r>
              <w:t>3</w:t>
            </w:r>
          </w:p>
        </w:tc>
      </w:tr>
      <w:tr w:rsidR="00F10C6E" w:rsidRPr="00CF1A8C" w:rsidTr="00CD1F2B">
        <w:trPr>
          <w:trHeight w:val="77"/>
        </w:trPr>
        <w:tc>
          <w:tcPr>
            <w:tcW w:w="5063" w:type="dxa"/>
          </w:tcPr>
          <w:p w:rsidR="00F52F42" w:rsidRDefault="00F10C6E" w:rsidP="00BD3A73">
            <w:pPr>
              <w:pStyle w:val="AIIndent"/>
              <w:numPr>
                <w:ilvl w:val="0"/>
                <w:numId w:val="14"/>
              </w:numPr>
              <w:spacing w:after="40"/>
            </w:pPr>
            <w:r w:rsidRPr="00C55219">
              <w:t xml:space="preserve">Regional </w:t>
            </w:r>
            <w:r>
              <w:t>partnerships and participation</w:t>
            </w:r>
            <w:r w:rsidRPr="00F97903">
              <w:rPr>
                <w:vertAlign w:val="superscript"/>
              </w:rPr>
              <w:t>2</w:t>
            </w:r>
          </w:p>
        </w:tc>
        <w:tc>
          <w:tcPr>
            <w:tcW w:w="1429" w:type="dxa"/>
          </w:tcPr>
          <w:p w:rsidR="00F10C6E" w:rsidRPr="005C0B0E" w:rsidRDefault="00F10C6E" w:rsidP="00390FD6">
            <w:pPr>
              <w:pStyle w:val="AITableText"/>
              <w:spacing w:after="40"/>
            </w:pPr>
            <w:r>
              <w:t>2</w:t>
            </w:r>
          </w:p>
        </w:tc>
        <w:tc>
          <w:tcPr>
            <w:tcW w:w="1429" w:type="dxa"/>
          </w:tcPr>
          <w:p w:rsidR="00F10C6E" w:rsidRPr="005C0B0E" w:rsidRDefault="001C763B" w:rsidP="00390FD6">
            <w:pPr>
              <w:pStyle w:val="AITableText"/>
              <w:spacing w:after="40"/>
            </w:pPr>
            <w:r>
              <w:t>2</w:t>
            </w:r>
          </w:p>
        </w:tc>
        <w:tc>
          <w:tcPr>
            <w:tcW w:w="1429" w:type="dxa"/>
          </w:tcPr>
          <w:p w:rsidR="00F10C6E" w:rsidRPr="00F97903" w:rsidRDefault="00F10C6E" w:rsidP="00390FD6">
            <w:pPr>
              <w:pStyle w:val="AITableText"/>
              <w:spacing w:after="40"/>
            </w:pPr>
            <w:r>
              <w:t>2</w:t>
            </w:r>
          </w:p>
        </w:tc>
      </w:tr>
      <w:tr w:rsidR="00F10C6E" w:rsidRPr="00CF1A8C" w:rsidTr="00CD1F2B">
        <w:tc>
          <w:tcPr>
            <w:tcW w:w="5063" w:type="dxa"/>
          </w:tcPr>
          <w:p w:rsidR="00F52F42" w:rsidRDefault="00F10C6E" w:rsidP="00BD3A73">
            <w:pPr>
              <w:pStyle w:val="AIIndent"/>
              <w:numPr>
                <w:ilvl w:val="0"/>
                <w:numId w:val="14"/>
              </w:numPr>
              <w:spacing w:after="40"/>
            </w:pPr>
            <w:r w:rsidRPr="00C55219">
              <w:t>Support for COAG and CAF meetings</w:t>
            </w:r>
            <w:r w:rsidRPr="00F97903">
              <w:rPr>
                <w:vertAlign w:val="superscript"/>
              </w:rPr>
              <w:t>3</w:t>
            </w:r>
          </w:p>
        </w:tc>
        <w:tc>
          <w:tcPr>
            <w:tcW w:w="1429" w:type="dxa"/>
          </w:tcPr>
          <w:p w:rsidR="00F10C6E" w:rsidRPr="005C0B0E" w:rsidRDefault="00F10C6E" w:rsidP="00390FD6">
            <w:pPr>
              <w:pStyle w:val="AITableText"/>
              <w:spacing w:after="40"/>
            </w:pPr>
            <w:r>
              <w:t>4</w:t>
            </w:r>
          </w:p>
        </w:tc>
        <w:tc>
          <w:tcPr>
            <w:tcW w:w="1429" w:type="dxa"/>
          </w:tcPr>
          <w:p w:rsidR="00F10C6E" w:rsidRPr="005C0B0E" w:rsidRDefault="001C763B" w:rsidP="00390FD6">
            <w:pPr>
              <w:pStyle w:val="AITableText"/>
              <w:spacing w:after="40"/>
            </w:pPr>
            <w:r>
              <w:t>6</w:t>
            </w:r>
          </w:p>
        </w:tc>
        <w:tc>
          <w:tcPr>
            <w:tcW w:w="1429" w:type="dxa"/>
          </w:tcPr>
          <w:p w:rsidR="00F10C6E" w:rsidRPr="00F97903" w:rsidRDefault="00F10C6E" w:rsidP="00390FD6">
            <w:pPr>
              <w:pStyle w:val="AITableText"/>
              <w:spacing w:after="40"/>
            </w:pPr>
            <w:r>
              <w:t>4</w:t>
            </w:r>
          </w:p>
        </w:tc>
      </w:tr>
      <w:tr w:rsidR="00F10C6E" w:rsidRPr="00CF1A8C" w:rsidTr="00CD1F2B">
        <w:tc>
          <w:tcPr>
            <w:tcW w:w="5063" w:type="dxa"/>
          </w:tcPr>
          <w:p w:rsidR="00F52F42" w:rsidRDefault="00F10C6E" w:rsidP="00BD3A73">
            <w:pPr>
              <w:pStyle w:val="AIIndent"/>
              <w:numPr>
                <w:ilvl w:val="0"/>
                <w:numId w:val="14"/>
              </w:numPr>
              <w:spacing w:after="40"/>
            </w:pPr>
            <w:r w:rsidRPr="00C55219">
              <w:t>Demographic Update</w:t>
            </w:r>
            <w:r w:rsidRPr="00F97903">
              <w:rPr>
                <w:vertAlign w:val="superscript"/>
              </w:rPr>
              <w:t>4</w:t>
            </w:r>
          </w:p>
        </w:tc>
        <w:tc>
          <w:tcPr>
            <w:tcW w:w="1429" w:type="dxa"/>
          </w:tcPr>
          <w:p w:rsidR="00F10C6E" w:rsidRPr="005C0B0E" w:rsidRDefault="00F10C6E" w:rsidP="00390FD6">
            <w:pPr>
              <w:pStyle w:val="AITableText"/>
              <w:spacing w:after="40"/>
            </w:pPr>
            <w:r>
              <w:t>1</w:t>
            </w:r>
          </w:p>
        </w:tc>
        <w:tc>
          <w:tcPr>
            <w:tcW w:w="1429" w:type="dxa"/>
          </w:tcPr>
          <w:p w:rsidR="00F10C6E" w:rsidRPr="005C0B0E" w:rsidRDefault="001C763B" w:rsidP="00390FD6">
            <w:pPr>
              <w:pStyle w:val="AITableText"/>
              <w:spacing w:after="40"/>
            </w:pPr>
            <w:r>
              <w:t>1</w:t>
            </w:r>
          </w:p>
        </w:tc>
        <w:tc>
          <w:tcPr>
            <w:tcW w:w="1429" w:type="dxa"/>
          </w:tcPr>
          <w:p w:rsidR="00F10C6E" w:rsidRPr="00F97903" w:rsidRDefault="00F10C6E" w:rsidP="00390FD6">
            <w:pPr>
              <w:pStyle w:val="AITableText"/>
              <w:spacing w:after="40"/>
            </w:pPr>
            <w:r>
              <w:t>1</w:t>
            </w:r>
          </w:p>
        </w:tc>
      </w:tr>
      <w:tr w:rsidR="00F10C6E" w:rsidRPr="00CF1A8C" w:rsidTr="00CD1F2B">
        <w:tc>
          <w:tcPr>
            <w:tcW w:w="5063" w:type="dxa"/>
          </w:tcPr>
          <w:p w:rsidR="00F52F42" w:rsidRDefault="00F10C6E" w:rsidP="00BD3A73">
            <w:pPr>
              <w:pStyle w:val="AIIndent"/>
              <w:numPr>
                <w:ilvl w:val="0"/>
                <w:numId w:val="14"/>
              </w:numPr>
              <w:spacing w:after="40"/>
            </w:pPr>
            <w:r w:rsidRPr="00F97903">
              <w:t>Pre-election preparation</w:t>
            </w:r>
            <w:r w:rsidRPr="00F97903">
              <w:rPr>
                <w:vertAlign w:val="superscript"/>
              </w:rPr>
              <w:t>5</w:t>
            </w:r>
          </w:p>
        </w:tc>
        <w:tc>
          <w:tcPr>
            <w:tcW w:w="1429" w:type="dxa"/>
          </w:tcPr>
          <w:p w:rsidR="00F10C6E" w:rsidRPr="005C0B0E" w:rsidRDefault="00F10C6E" w:rsidP="00390FD6">
            <w:pPr>
              <w:pStyle w:val="AITableText"/>
              <w:spacing w:after="40"/>
            </w:pPr>
            <w:r>
              <w:t>1</w:t>
            </w:r>
          </w:p>
        </w:tc>
        <w:tc>
          <w:tcPr>
            <w:tcW w:w="1429" w:type="dxa"/>
          </w:tcPr>
          <w:p w:rsidR="00F10C6E" w:rsidRPr="005C0B0E" w:rsidRDefault="001C763B" w:rsidP="00390FD6">
            <w:pPr>
              <w:pStyle w:val="AITableText"/>
              <w:spacing w:after="40"/>
            </w:pPr>
            <w:r>
              <w:t>1</w:t>
            </w:r>
          </w:p>
        </w:tc>
        <w:tc>
          <w:tcPr>
            <w:tcW w:w="1429" w:type="dxa"/>
          </w:tcPr>
          <w:p w:rsidR="00F10C6E" w:rsidRPr="00F97903" w:rsidRDefault="00F10C6E" w:rsidP="00390FD6">
            <w:pPr>
              <w:pStyle w:val="AITableText"/>
              <w:spacing w:after="40"/>
            </w:pPr>
            <w:r>
              <w:t>n/a</w:t>
            </w:r>
          </w:p>
        </w:tc>
      </w:tr>
      <w:tr w:rsidR="00F10C6E" w:rsidRPr="00CF1A8C" w:rsidTr="00CD1F2B">
        <w:tc>
          <w:tcPr>
            <w:tcW w:w="5063" w:type="dxa"/>
          </w:tcPr>
          <w:p w:rsidR="00F52F42" w:rsidRDefault="00F10C6E" w:rsidP="00BD3A73">
            <w:pPr>
              <w:pStyle w:val="AIIndent"/>
              <w:numPr>
                <w:ilvl w:val="0"/>
                <w:numId w:val="14"/>
              </w:numPr>
              <w:spacing w:after="40"/>
            </w:pPr>
            <w:r w:rsidRPr="00F97903">
              <w:t>Update the ACT’s Strategic Plan</w:t>
            </w:r>
            <w:r w:rsidRPr="00F97903">
              <w:rPr>
                <w:vertAlign w:val="superscript"/>
              </w:rPr>
              <w:t>6</w:t>
            </w:r>
          </w:p>
        </w:tc>
        <w:tc>
          <w:tcPr>
            <w:tcW w:w="1429" w:type="dxa"/>
          </w:tcPr>
          <w:p w:rsidR="00F10C6E" w:rsidRPr="005C0B0E" w:rsidRDefault="00F10C6E" w:rsidP="00390FD6">
            <w:pPr>
              <w:pStyle w:val="AITableText"/>
              <w:spacing w:after="40"/>
            </w:pPr>
            <w:r>
              <w:t>1</w:t>
            </w:r>
          </w:p>
        </w:tc>
        <w:tc>
          <w:tcPr>
            <w:tcW w:w="1429" w:type="dxa"/>
          </w:tcPr>
          <w:p w:rsidR="00F10C6E" w:rsidRPr="005C0B0E" w:rsidRDefault="001C763B" w:rsidP="00390FD6">
            <w:pPr>
              <w:pStyle w:val="AITableText"/>
              <w:spacing w:after="40"/>
            </w:pPr>
            <w:r>
              <w:t>1</w:t>
            </w:r>
          </w:p>
        </w:tc>
        <w:tc>
          <w:tcPr>
            <w:tcW w:w="1429" w:type="dxa"/>
          </w:tcPr>
          <w:p w:rsidR="00F10C6E" w:rsidRPr="00F97903" w:rsidRDefault="00F10C6E" w:rsidP="00390FD6">
            <w:pPr>
              <w:pStyle w:val="AITableText"/>
              <w:spacing w:after="40"/>
            </w:pPr>
            <w:r>
              <w:t>n/a</w:t>
            </w:r>
          </w:p>
        </w:tc>
      </w:tr>
      <w:tr w:rsidR="00F10C6E" w:rsidRPr="00CF1A8C" w:rsidTr="00CD1F2B">
        <w:tc>
          <w:tcPr>
            <w:tcW w:w="5063" w:type="dxa"/>
          </w:tcPr>
          <w:p w:rsidR="00F52F42" w:rsidRDefault="00F10C6E" w:rsidP="00BD3A73">
            <w:pPr>
              <w:pStyle w:val="AIIndent"/>
              <w:numPr>
                <w:ilvl w:val="0"/>
                <w:numId w:val="14"/>
              </w:numPr>
              <w:spacing w:after="40"/>
            </w:pPr>
            <w:r w:rsidRPr="00F97903">
              <w:t>Government Progress Report</w:t>
            </w:r>
            <w:r w:rsidRPr="00F97903">
              <w:rPr>
                <w:vertAlign w:val="superscript"/>
              </w:rPr>
              <w:t>7</w:t>
            </w:r>
          </w:p>
        </w:tc>
        <w:tc>
          <w:tcPr>
            <w:tcW w:w="1429" w:type="dxa"/>
          </w:tcPr>
          <w:p w:rsidR="00F10C6E" w:rsidRPr="005C0B0E" w:rsidRDefault="00F10C6E" w:rsidP="00390FD6">
            <w:pPr>
              <w:pStyle w:val="AITableText"/>
              <w:spacing w:after="40"/>
            </w:pPr>
            <w:r>
              <w:t>Jun 2013</w:t>
            </w:r>
          </w:p>
        </w:tc>
        <w:tc>
          <w:tcPr>
            <w:tcW w:w="1429" w:type="dxa"/>
          </w:tcPr>
          <w:p w:rsidR="00F10C6E" w:rsidRPr="005C0B0E" w:rsidRDefault="00B8769E" w:rsidP="00390FD6">
            <w:pPr>
              <w:pStyle w:val="AITableText"/>
              <w:spacing w:after="40"/>
            </w:pPr>
            <w:r>
              <w:t>Jun 2013</w:t>
            </w:r>
          </w:p>
        </w:tc>
        <w:tc>
          <w:tcPr>
            <w:tcW w:w="1429" w:type="dxa"/>
          </w:tcPr>
          <w:p w:rsidR="00F10C6E" w:rsidRPr="00F97903" w:rsidRDefault="00F10C6E" w:rsidP="00390FD6">
            <w:pPr>
              <w:pStyle w:val="AITableText"/>
              <w:spacing w:after="40"/>
            </w:pPr>
            <w:r>
              <w:t>Jun 2014</w:t>
            </w:r>
          </w:p>
        </w:tc>
      </w:tr>
      <w:tr w:rsidR="00F10C6E" w:rsidRPr="00CF1A8C" w:rsidTr="00CD1F2B">
        <w:tc>
          <w:tcPr>
            <w:tcW w:w="5063" w:type="dxa"/>
            <w:tcBorders>
              <w:bottom w:val="single" w:sz="4" w:space="0" w:color="auto"/>
            </w:tcBorders>
          </w:tcPr>
          <w:p w:rsidR="00F52F42" w:rsidRDefault="00F10C6E" w:rsidP="00BD3A73">
            <w:pPr>
              <w:pStyle w:val="AIIndent"/>
              <w:numPr>
                <w:ilvl w:val="0"/>
                <w:numId w:val="14"/>
              </w:numPr>
              <w:spacing w:after="40"/>
            </w:pPr>
            <w:r w:rsidRPr="00F97903">
              <w:t>Cabinet and Strategic Board Support</w:t>
            </w:r>
            <w:r w:rsidRPr="00F97903">
              <w:rPr>
                <w:vertAlign w:val="superscript"/>
              </w:rPr>
              <w:t>8</w:t>
            </w:r>
          </w:p>
        </w:tc>
        <w:tc>
          <w:tcPr>
            <w:tcW w:w="1429" w:type="dxa"/>
            <w:tcBorders>
              <w:bottom w:val="single" w:sz="4" w:space="0" w:color="auto"/>
            </w:tcBorders>
          </w:tcPr>
          <w:p w:rsidR="00F10C6E" w:rsidRPr="005C0B0E" w:rsidRDefault="00F10C6E" w:rsidP="00390FD6">
            <w:pPr>
              <w:pStyle w:val="AITableText"/>
              <w:spacing w:after="40"/>
            </w:pPr>
            <w:r>
              <w:t>2</w:t>
            </w:r>
          </w:p>
        </w:tc>
        <w:tc>
          <w:tcPr>
            <w:tcW w:w="1429" w:type="dxa"/>
            <w:tcBorders>
              <w:bottom w:val="single" w:sz="4" w:space="0" w:color="auto"/>
            </w:tcBorders>
          </w:tcPr>
          <w:p w:rsidR="00F10C6E" w:rsidRPr="005C0B0E" w:rsidRDefault="001C763B" w:rsidP="00390FD6">
            <w:pPr>
              <w:pStyle w:val="AITableText"/>
              <w:spacing w:after="40"/>
            </w:pPr>
            <w:r>
              <w:t>2</w:t>
            </w:r>
          </w:p>
        </w:tc>
        <w:tc>
          <w:tcPr>
            <w:tcW w:w="1429" w:type="dxa"/>
            <w:tcBorders>
              <w:bottom w:val="single" w:sz="4" w:space="0" w:color="auto"/>
            </w:tcBorders>
          </w:tcPr>
          <w:p w:rsidR="00F10C6E" w:rsidRPr="00F97903" w:rsidRDefault="00F10C6E" w:rsidP="00390FD6">
            <w:pPr>
              <w:pStyle w:val="AITableText"/>
              <w:spacing w:after="40"/>
            </w:pPr>
            <w:r>
              <w:t>2</w:t>
            </w:r>
          </w:p>
        </w:tc>
      </w:tr>
    </w:tbl>
    <w:p w:rsidR="003A1A1F" w:rsidRDefault="00F10C6E">
      <w:pPr>
        <w:pStyle w:val="NoteHeading0"/>
      </w:pPr>
      <w:r w:rsidRPr="00CF1A8C">
        <w:t>Note</w:t>
      </w:r>
      <w:r w:rsidR="00873B20">
        <w:t>s</w:t>
      </w:r>
      <w:r w:rsidRPr="00CF1A8C">
        <w:t>:</w:t>
      </w:r>
    </w:p>
    <w:p w:rsidR="00F52F42" w:rsidRDefault="00F10C6E" w:rsidP="00E84262">
      <w:pPr>
        <w:pStyle w:val="AINotes"/>
        <w:numPr>
          <w:ilvl w:val="0"/>
          <w:numId w:val="28"/>
        </w:numPr>
      </w:pPr>
      <w:r w:rsidRPr="007C77E1">
        <w:t xml:space="preserve">This measure incorporates key Government policy and project initiatives to be delivered by the Chief Minister and </w:t>
      </w:r>
      <w:r w:rsidR="001C763B">
        <w:t xml:space="preserve">Treasury </w:t>
      </w:r>
      <w:r w:rsidRPr="007C77E1">
        <w:t>Directorate</w:t>
      </w:r>
      <w:r>
        <w:t xml:space="preserve"> during the year</w:t>
      </w:r>
      <w:r w:rsidRPr="005553F0">
        <w:t>.  Scope, delivery and timing of initiatives may vary depending on emerging priorities that impact on resource availability.  At this stage, expected projects will involve implementation of service planning.  Additional projects will be identified as part of end of financial year planning.  The</w:t>
      </w:r>
      <w:r w:rsidRPr="007C77E1">
        <w:t xml:space="preserve"> projects will be completed by 30 June 201</w:t>
      </w:r>
      <w:r>
        <w:t>4</w:t>
      </w:r>
      <w:r w:rsidRPr="007C77E1">
        <w:t>.</w:t>
      </w:r>
    </w:p>
    <w:p w:rsidR="00F52F42" w:rsidRDefault="00F10C6E" w:rsidP="00E84262">
      <w:pPr>
        <w:pStyle w:val="AINotes"/>
        <w:numPr>
          <w:ilvl w:val="0"/>
          <w:numId w:val="19"/>
        </w:numPr>
      </w:pPr>
      <w:r w:rsidRPr="005553F0">
        <w:t xml:space="preserve">This measure reflects involvement in two key regional partnerships – implementation of initiatives under a memorandum of understanding with </w:t>
      </w:r>
      <w:r w:rsidR="00226D11">
        <w:t xml:space="preserve">the </w:t>
      </w:r>
      <w:r w:rsidRPr="005553F0">
        <w:t>NSW Government on regional co-operation (1 project) and involvement with regional councils through the South East Region Organisation of Councils (1 project).</w:t>
      </w:r>
    </w:p>
    <w:p w:rsidR="00F52F42" w:rsidRDefault="00F10C6E" w:rsidP="00E84262">
      <w:pPr>
        <w:pStyle w:val="AINotes"/>
        <w:numPr>
          <w:ilvl w:val="0"/>
          <w:numId w:val="19"/>
        </w:numPr>
      </w:pPr>
      <w:r w:rsidRPr="007C77E1">
        <w:t>This measure covers briefing and support to the Chief Minister for meet</w:t>
      </w:r>
      <w:r w:rsidR="008631D0">
        <w:t xml:space="preserve">ings of COAG </w:t>
      </w:r>
      <w:r w:rsidRPr="007C77E1">
        <w:t xml:space="preserve">and </w:t>
      </w:r>
      <w:r w:rsidR="008631D0">
        <w:t xml:space="preserve">CAF. </w:t>
      </w:r>
      <w:r w:rsidR="00BF6275">
        <w:t xml:space="preserve"> </w:t>
      </w:r>
      <w:r w:rsidRPr="007C77E1">
        <w:t>This measure is counted as complete on delivery of the briefing packages to the Chief Minister.</w:t>
      </w:r>
    </w:p>
    <w:p w:rsidR="00F52F42" w:rsidRDefault="00F10C6E" w:rsidP="00E84262">
      <w:pPr>
        <w:pStyle w:val="AINotes"/>
        <w:numPr>
          <w:ilvl w:val="0"/>
          <w:numId w:val="19"/>
        </w:numPr>
      </w:pPr>
      <w:r w:rsidRPr="007C77E1">
        <w:t>This measure relates to</w:t>
      </w:r>
      <w:r w:rsidR="00226D11">
        <w:t xml:space="preserve"> a</w:t>
      </w:r>
      <w:r w:rsidRPr="007C77E1">
        <w:t xml:space="preserve"> </w:t>
      </w:r>
      <w:r>
        <w:rPr>
          <w:color w:val="000000"/>
        </w:rPr>
        <w:t>project updating ACT population projections based on 201</w:t>
      </w:r>
      <w:r>
        <w:rPr>
          <w:color w:val="1F497D"/>
        </w:rPr>
        <w:t>1</w:t>
      </w:r>
      <w:r>
        <w:rPr>
          <w:color w:val="000000"/>
        </w:rPr>
        <w:t xml:space="preserve"> census.</w:t>
      </w:r>
    </w:p>
    <w:p w:rsidR="00F52F42" w:rsidRDefault="00F10C6E" w:rsidP="00E84262">
      <w:pPr>
        <w:pStyle w:val="AINotes"/>
        <w:numPr>
          <w:ilvl w:val="0"/>
          <w:numId w:val="19"/>
        </w:numPr>
      </w:pPr>
      <w:r w:rsidRPr="005553F0">
        <w:t>Discontinued measure – this service is provided only in ACT election years.</w:t>
      </w:r>
    </w:p>
    <w:p w:rsidR="00F52F42" w:rsidRDefault="00F10C6E" w:rsidP="00E84262">
      <w:pPr>
        <w:pStyle w:val="AINotes"/>
        <w:numPr>
          <w:ilvl w:val="0"/>
          <w:numId w:val="19"/>
        </w:numPr>
      </w:pPr>
      <w:r w:rsidRPr="005553F0">
        <w:t>Discontinued measure.</w:t>
      </w:r>
    </w:p>
    <w:p w:rsidR="00F52F42" w:rsidRDefault="00F10C6E" w:rsidP="00E84262">
      <w:pPr>
        <w:pStyle w:val="AINotes"/>
        <w:numPr>
          <w:ilvl w:val="0"/>
          <w:numId w:val="19"/>
        </w:numPr>
      </w:pPr>
      <w:r w:rsidRPr="007C77E1">
        <w:t>This measure relates to a Gover</w:t>
      </w:r>
      <w:r>
        <w:t xml:space="preserve">nment Progress Report on longer </w:t>
      </w:r>
      <w:r w:rsidRPr="007C77E1">
        <w:t>term strategic policy.</w:t>
      </w:r>
    </w:p>
    <w:p w:rsidR="00F52F42" w:rsidRDefault="00F10C6E" w:rsidP="00E84262">
      <w:pPr>
        <w:pStyle w:val="AINotes"/>
        <w:numPr>
          <w:ilvl w:val="0"/>
          <w:numId w:val="19"/>
        </w:numPr>
        <w:spacing w:after="240"/>
      </w:pPr>
      <w:r w:rsidRPr="007C77E1">
        <w:t xml:space="preserve">This measure covers </w:t>
      </w:r>
      <w:r>
        <w:t>the</w:t>
      </w:r>
      <w:r w:rsidRPr="007C77E1">
        <w:t xml:space="preserve"> annual cycle of secretariat support to Cabinet and to the Strategic Board.</w:t>
      </w:r>
    </w:p>
    <w:tbl>
      <w:tblPr>
        <w:tblW w:w="9350" w:type="dxa"/>
        <w:tblLook w:val="0000"/>
      </w:tblPr>
      <w:tblGrid>
        <w:gridCol w:w="5063"/>
        <w:gridCol w:w="1429"/>
        <w:gridCol w:w="1429"/>
        <w:gridCol w:w="1429"/>
      </w:tblGrid>
      <w:tr w:rsidR="00F10C6E" w:rsidRPr="00CF1A8C" w:rsidTr="00C0471E">
        <w:tc>
          <w:tcPr>
            <w:tcW w:w="5063" w:type="dxa"/>
            <w:tcBorders>
              <w:top w:val="single" w:sz="4" w:space="0" w:color="auto"/>
              <w:bottom w:val="single" w:sz="4" w:space="0" w:color="auto"/>
            </w:tcBorders>
          </w:tcPr>
          <w:p w:rsidR="00F10C6E" w:rsidRPr="00CF1A8C" w:rsidRDefault="00F10C6E" w:rsidP="00F10C6E">
            <w:pPr>
              <w:pStyle w:val="Heading7"/>
            </w:pPr>
          </w:p>
        </w:tc>
        <w:tc>
          <w:tcPr>
            <w:tcW w:w="1429" w:type="dxa"/>
            <w:tcBorders>
              <w:top w:val="single" w:sz="4" w:space="0" w:color="auto"/>
              <w:bottom w:val="single" w:sz="4" w:space="0" w:color="auto"/>
            </w:tcBorders>
          </w:tcPr>
          <w:p w:rsidR="00F10C6E" w:rsidRPr="00CF1A8C" w:rsidRDefault="00F10C6E" w:rsidP="00F10C6E">
            <w:pPr>
              <w:pStyle w:val="Heading6"/>
            </w:pPr>
            <w:r>
              <w:t>2012-13</w:t>
            </w:r>
          </w:p>
          <w:p w:rsidR="00F10C6E" w:rsidRPr="00CF1A8C" w:rsidRDefault="00F10C6E" w:rsidP="00873B20">
            <w:pPr>
              <w:pStyle w:val="Heading6"/>
            </w:pPr>
            <w:r w:rsidRPr="00CF1A8C">
              <w:t>Targets</w:t>
            </w:r>
          </w:p>
        </w:tc>
        <w:tc>
          <w:tcPr>
            <w:tcW w:w="1429" w:type="dxa"/>
            <w:tcBorders>
              <w:top w:val="single" w:sz="4" w:space="0" w:color="auto"/>
              <w:bottom w:val="single" w:sz="4" w:space="0" w:color="auto"/>
            </w:tcBorders>
          </w:tcPr>
          <w:p w:rsidR="00F10C6E" w:rsidRPr="00CF1A8C" w:rsidRDefault="00F10C6E" w:rsidP="00F10C6E">
            <w:pPr>
              <w:pStyle w:val="Heading6"/>
            </w:pPr>
            <w:r>
              <w:t>2012-13</w:t>
            </w:r>
          </w:p>
          <w:p w:rsidR="00F10C6E" w:rsidRPr="00CF1A8C" w:rsidRDefault="00F10C6E" w:rsidP="00873B20">
            <w:pPr>
              <w:pStyle w:val="Heading6"/>
            </w:pPr>
            <w:r w:rsidRPr="00CF1A8C">
              <w:t>Est. Outcome</w:t>
            </w:r>
          </w:p>
        </w:tc>
        <w:tc>
          <w:tcPr>
            <w:tcW w:w="1429" w:type="dxa"/>
            <w:tcBorders>
              <w:top w:val="single" w:sz="4" w:space="0" w:color="auto"/>
              <w:bottom w:val="single" w:sz="4" w:space="0" w:color="auto"/>
            </w:tcBorders>
          </w:tcPr>
          <w:p w:rsidR="00F10C6E" w:rsidRPr="00CF1A8C" w:rsidRDefault="00F10C6E" w:rsidP="00F10C6E">
            <w:pPr>
              <w:pStyle w:val="Heading6"/>
            </w:pPr>
            <w:r>
              <w:t>2013-14</w:t>
            </w:r>
          </w:p>
          <w:p w:rsidR="00F10C6E" w:rsidRPr="00CF1A8C" w:rsidRDefault="00F10C6E" w:rsidP="00873B20">
            <w:pPr>
              <w:pStyle w:val="Heading6"/>
            </w:pPr>
            <w:r w:rsidRPr="00CF1A8C">
              <w:t>Targets</w:t>
            </w:r>
          </w:p>
        </w:tc>
      </w:tr>
      <w:tr w:rsidR="00C0471E" w:rsidRPr="00CF1A8C" w:rsidTr="00C0471E">
        <w:tc>
          <w:tcPr>
            <w:tcW w:w="5063" w:type="dxa"/>
            <w:tcBorders>
              <w:top w:val="single" w:sz="4" w:space="0" w:color="auto"/>
              <w:bottom w:val="single" w:sz="4" w:space="0" w:color="auto"/>
            </w:tcBorders>
          </w:tcPr>
          <w:p w:rsidR="00C0471E" w:rsidRPr="00CF1A8C" w:rsidRDefault="00C0471E" w:rsidP="00F10C6E">
            <w:pPr>
              <w:pStyle w:val="Heading7"/>
            </w:pPr>
            <w:r w:rsidRPr="00C0471E">
              <w:t>Output 1.2: Public Sector Management</w:t>
            </w:r>
          </w:p>
        </w:tc>
        <w:tc>
          <w:tcPr>
            <w:tcW w:w="1429" w:type="dxa"/>
            <w:tcBorders>
              <w:top w:val="single" w:sz="4" w:space="0" w:color="auto"/>
              <w:bottom w:val="single" w:sz="4" w:space="0" w:color="auto"/>
            </w:tcBorders>
          </w:tcPr>
          <w:p w:rsidR="00C0471E" w:rsidRDefault="00C0471E" w:rsidP="00F10C6E">
            <w:pPr>
              <w:pStyle w:val="Heading6"/>
            </w:pPr>
          </w:p>
        </w:tc>
        <w:tc>
          <w:tcPr>
            <w:tcW w:w="1429" w:type="dxa"/>
            <w:tcBorders>
              <w:top w:val="single" w:sz="4" w:space="0" w:color="auto"/>
              <w:bottom w:val="single" w:sz="4" w:space="0" w:color="auto"/>
            </w:tcBorders>
          </w:tcPr>
          <w:p w:rsidR="00C0471E" w:rsidRDefault="00C0471E" w:rsidP="00F10C6E">
            <w:pPr>
              <w:pStyle w:val="Heading6"/>
            </w:pPr>
          </w:p>
        </w:tc>
        <w:tc>
          <w:tcPr>
            <w:tcW w:w="1429" w:type="dxa"/>
            <w:tcBorders>
              <w:top w:val="single" w:sz="4" w:space="0" w:color="auto"/>
              <w:bottom w:val="single" w:sz="4" w:space="0" w:color="auto"/>
            </w:tcBorders>
          </w:tcPr>
          <w:p w:rsidR="00C0471E" w:rsidRDefault="00C0471E" w:rsidP="00F10C6E">
            <w:pPr>
              <w:pStyle w:val="Heading6"/>
            </w:pPr>
          </w:p>
        </w:tc>
      </w:tr>
      <w:tr w:rsidR="00F10C6E" w:rsidRPr="00CF1A8C" w:rsidTr="00C0471E">
        <w:trPr>
          <w:gridAfter w:val="3"/>
          <w:wAfter w:w="4287" w:type="dxa"/>
          <w:trHeight w:hRule="exact" w:val="57"/>
        </w:trPr>
        <w:tc>
          <w:tcPr>
            <w:tcW w:w="5063" w:type="dxa"/>
          </w:tcPr>
          <w:p w:rsidR="00F10C6E" w:rsidRPr="00CF1A8C" w:rsidRDefault="00F10C6E" w:rsidP="00F10C6E">
            <w:pPr>
              <w:pStyle w:val="Heading7"/>
            </w:pPr>
          </w:p>
        </w:tc>
      </w:tr>
      <w:tr w:rsidR="00F10C6E" w:rsidRPr="00CF1A8C" w:rsidTr="00AC29EE">
        <w:tc>
          <w:tcPr>
            <w:tcW w:w="5063" w:type="dxa"/>
          </w:tcPr>
          <w:p w:rsidR="00F52F42" w:rsidRDefault="008631D0" w:rsidP="00BD3A73">
            <w:pPr>
              <w:pStyle w:val="AIIndent"/>
              <w:numPr>
                <w:ilvl w:val="0"/>
                <w:numId w:val="15"/>
              </w:numPr>
            </w:pPr>
            <w:r>
              <w:t xml:space="preserve">Publish ACTPS </w:t>
            </w:r>
            <w:r w:rsidR="00F10C6E" w:rsidRPr="00FD4DAB">
              <w:t>Report</w:t>
            </w:r>
            <w:r w:rsidR="00F10C6E" w:rsidRPr="00F97903">
              <w:rPr>
                <w:vertAlign w:val="superscript"/>
              </w:rPr>
              <w:t>1</w:t>
            </w:r>
          </w:p>
        </w:tc>
        <w:tc>
          <w:tcPr>
            <w:tcW w:w="1429" w:type="dxa"/>
          </w:tcPr>
          <w:p w:rsidR="00F10C6E" w:rsidRPr="00DD3219" w:rsidRDefault="00F10C6E" w:rsidP="00AC29EE">
            <w:pPr>
              <w:jc w:val="right"/>
              <w:rPr>
                <w:sz w:val="20"/>
              </w:rPr>
            </w:pPr>
            <w:r>
              <w:rPr>
                <w:sz w:val="20"/>
              </w:rPr>
              <w:t>Sep 2012</w:t>
            </w:r>
          </w:p>
        </w:tc>
        <w:tc>
          <w:tcPr>
            <w:tcW w:w="1429" w:type="dxa"/>
          </w:tcPr>
          <w:p w:rsidR="00F10C6E" w:rsidRPr="00DD3219" w:rsidRDefault="00904B69" w:rsidP="00AC29EE">
            <w:pPr>
              <w:jc w:val="right"/>
              <w:rPr>
                <w:sz w:val="20"/>
              </w:rPr>
            </w:pPr>
            <w:r>
              <w:rPr>
                <w:sz w:val="20"/>
              </w:rPr>
              <w:t>Sep 2012</w:t>
            </w:r>
          </w:p>
        </w:tc>
        <w:tc>
          <w:tcPr>
            <w:tcW w:w="1429" w:type="dxa"/>
          </w:tcPr>
          <w:p w:rsidR="00F10C6E" w:rsidRPr="00F97903" w:rsidRDefault="00F10C6E" w:rsidP="00AC29EE">
            <w:pPr>
              <w:jc w:val="right"/>
              <w:rPr>
                <w:sz w:val="20"/>
              </w:rPr>
            </w:pPr>
            <w:r>
              <w:rPr>
                <w:sz w:val="20"/>
              </w:rPr>
              <w:t>n/a</w:t>
            </w:r>
          </w:p>
        </w:tc>
      </w:tr>
      <w:tr w:rsidR="00F10C6E" w:rsidRPr="00CF1A8C" w:rsidTr="00AC29EE">
        <w:tc>
          <w:tcPr>
            <w:tcW w:w="5063" w:type="dxa"/>
          </w:tcPr>
          <w:p w:rsidR="00F52F42" w:rsidRDefault="00F10C6E" w:rsidP="00BD3A73">
            <w:pPr>
              <w:pStyle w:val="AIIndent"/>
              <w:numPr>
                <w:ilvl w:val="0"/>
                <w:numId w:val="15"/>
              </w:numPr>
            </w:pPr>
            <w:r w:rsidRPr="00FD4DAB">
              <w:t xml:space="preserve">Conduct the annual </w:t>
            </w:r>
            <w:r>
              <w:t>whole</w:t>
            </w:r>
            <w:r w:rsidR="008631D0">
              <w:noBreakHyphen/>
            </w:r>
            <w:proofErr w:type="spellStart"/>
            <w:r w:rsidR="008631D0">
              <w:t>of</w:t>
            </w:r>
            <w:proofErr w:type="spellEnd"/>
            <w:r w:rsidR="008631D0">
              <w:noBreakHyphen/>
            </w:r>
            <w:proofErr w:type="spellStart"/>
            <w:r>
              <w:t>government</w:t>
            </w:r>
            <w:proofErr w:type="spellEnd"/>
            <w:r w:rsidRPr="00FD4DAB">
              <w:t xml:space="preserve"> Graduate Program</w:t>
            </w:r>
            <w:r w:rsidRPr="00F97903">
              <w:rPr>
                <w:vertAlign w:val="superscript"/>
              </w:rPr>
              <w:t>2</w:t>
            </w:r>
          </w:p>
        </w:tc>
        <w:tc>
          <w:tcPr>
            <w:tcW w:w="1429" w:type="dxa"/>
          </w:tcPr>
          <w:p w:rsidR="00F10C6E" w:rsidRPr="00DD3219" w:rsidRDefault="00F10C6E" w:rsidP="00AC29EE">
            <w:pPr>
              <w:jc w:val="right"/>
              <w:rPr>
                <w:sz w:val="20"/>
              </w:rPr>
            </w:pPr>
            <w:r>
              <w:rPr>
                <w:sz w:val="20"/>
              </w:rPr>
              <w:t>1</w:t>
            </w:r>
          </w:p>
        </w:tc>
        <w:tc>
          <w:tcPr>
            <w:tcW w:w="1429" w:type="dxa"/>
          </w:tcPr>
          <w:p w:rsidR="00F10C6E" w:rsidRPr="00DD3219" w:rsidRDefault="00904B69" w:rsidP="00AC29EE">
            <w:pPr>
              <w:jc w:val="right"/>
              <w:rPr>
                <w:sz w:val="20"/>
              </w:rPr>
            </w:pPr>
            <w:r>
              <w:rPr>
                <w:sz w:val="20"/>
              </w:rPr>
              <w:t>1</w:t>
            </w:r>
          </w:p>
        </w:tc>
        <w:tc>
          <w:tcPr>
            <w:tcW w:w="1429" w:type="dxa"/>
          </w:tcPr>
          <w:p w:rsidR="00F10C6E" w:rsidRPr="00F97903" w:rsidRDefault="00F10C6E" w:rsidP="00AC29EE">
            <w:pPr>
              <w:jc w:val="right"/>
              <w:rPr>
                <w:sz w:val="20"/>
              </w:rPr>
            </w:pPr>
            <w:r>
              <w:rPr>
                <w:sz w:val="20"/>
              </w:rPr>
              <w:t>1</w:t>
            </w:r>
          </w:p>
        </w:tc>
      </w:tr>
      <w:tr w:rsidR="00F10C6E" w:rsidRPr="00CF1A8C" w:rsidTr="00AC29EE">
        <w:trPr>
          <w:trHeight w:val="480"/>
        </w:trPr>
        <w:tc>
          <w:tcPr>
            <w:tcW w:w="5063" w:type="dxa"/>
          </w:tcPr>
          <w:p w:rsidR="00F52F42" w:rsidRDefault="00F10C6E" w:rsidP="00BD3A73">
            <w:pPr>
              <w:pStyle w:val="AIIndent"/>
              <w:numPr>
                <w:ilvl w:val="0"/>
                <w:numId w:val="15"/>
              </w:numPr>
            </w:pPr>
            <w:r w:rsidRPr="00FD4DAB">
              <w:t xml:space="preserve">Conduct a review of the </w:t>
            </w:r>
            <w:r w:rsidRPr="00F97903">
              <w:rPr>
                <w:i/>
              </w:rPr>
              <w:t>Public Sector Management Act 1994</w:t>
            </w:r>
            <w:r w:rsidRPr="00F97903">
              <w:rPr>
                <w:vertAlign w:val="superscript"/>
              </w:rPr>
              <w:t>3</w:t>
            </w:r>
          </w:p>
        </w:tc>
        <w:tc>
          <w:tcPr>
            <w:tcW w:w="1429" w:type="dxa"/>
          </w:tcPr>
          <w:p w:rsidR="00F10C6E" w:rsidRPr="00DD3219" w:rsidRDefault="00F10C6E" w:rsidP="00AC29EE">
            <w:pPr>
              <w:jc w:val="right"/>
              <w:rPr>
                <w:sz w:val="20"/>
              </w:rPr>
            </w:pPr>
            <w:r>
              <w:rPr>
                <w:sz w:val="20"/>
              </w:rPr>
              <w:t>Dec 2012</w:t>
            </w:r>
          </w:p>
        </w:tc>
        <w:tc>
          <w:tcPr>
            <w:tcW w:w="1429" w:type="dxa"/>
          </w:tcPr>
          <w:p w:rsidR="00F10C6E" w:rsidRPr="00DD3219" w:rsidRDefault="007F1901" w:rsidP="00AC29EE">
            <w:pPr>
              <w:jc w:val="right"/>
              <w:rPr>
                <w:sz w:val="20"/>
              </w:rPr>
            </w:pPr>
            <w:r>
              <w:rPr>
                <w:sz w:val="20"/>
              </w:rPr>
              <w:t>Not achieved</w:t>
            </w:r>
          </w:p>
        </w:tc>
        <w:tc>
          <w:tcPr>
            <w:tcW w:w="1429" w:type="dxa"/>
          </w:tcPr>
          <w:p w:rsidR="00F10C6E" w:rsidRPr="00F97903" w:rsidRDefault="00F10C6E" w:rsidP="00AC29EE">
            <w:pPr>
              <w:jc w:val="right"/>
              <w:rPr>
                <w:sz w:val="20"/>
              </w:rPr>
            </w:pPr>
            <w:r>
              <w:rPr>
                <w:sz w:val="20"/>
              </w:rPr>
              <w:t>n/a</w:t>
            </w:r>
          </w:p>
        </w:tc>
      </w:tr>
      <w:tr w:rsidR="00F10C6E" w:rsidRPr="00CF1A8C" w:rsidTr="00AC29EE">
        <w:trPr>
          <w:trHeight w:val="504"/>
        </w:trPr>
        <w:tc>
          <w:tcPr>
            <w:tcW w:w="5063" w:type="dxa"/>
          </w:tcPr>
          <w:p w:rsidR="00F52F42" w:rsidRDefault="00F10C6E" w:rsidP="00BD3A73">
            <w:pPr>
              <w:pStyle w:val="AIIndent"/>
              <w:numPr>
                <w:ilvl w:val="0"/>
                <w:numId w:val="15"/>
              </w:numPr>
            </w:pPr>
            <w:r w:rsidRPr="00FD4DAB">
              <w:t>Report on the implementation of the ACTPS Respect, Equity and Diversity Framework</w:t>
            </w:r>
            <w:r w:rsidRPr="00F97903">
              <w:rPr>
                <w:vertAlign w:val="superscript"/>
              </w:rPr>
              <w:t>4</w:t>
            </w:r>
          </w:p>
        </w:tc>
        <w:tc>
          <w:tcPr>
            <w:tcW w:w="1429" w:type="dxa"/>
          </w:tcPr>
          <w:p w:rsidR="00F10C6E" w:rsidRPr="00DD3219" w:rsidRDefault="00F10C6E" w:rsidP="00AC29EE">
            <w:pPr>
              <w:jc w:val="right"/>
              <w:rPr>
                <w:sz w:val="20"/>
              </w:rPr>
            </w:pPr>
            <w:r>
              <w:rPr>
                <w:sz w:val="20"/>
              </w:rPr>
              <w:t>Sep 2012</w:t>
            </w:r>
          </w:p>
        </w:tc>
        <w:tc>
          <w:tcPr>
            <w:tcW w:w="1429" w:type="dxa"/>
          </w:tcPr>
          <w:p w:rsidR="00F10C6E" w:rsidRPr="00DD3219" w:rsidRDefault="00904B69" w:rsidP="00AC29EE">
            <w:pPr>
              <w:jc w:val="right"/>
              <w:rPr>
                <w:sz w:val="20"/>
              </w:rPr>
            </w:pPr>
            <w:r>
              <w:rPr>
                <w:sz w:val="20"/>
              </w:rPr>
              <w:t>Sep 2012</w:t>
            </w:r>
          </w:p>
        </w:tc>
        <w:tc>
          <w:tcPr>
            <w:tcW w:w="1429" w:type="dxa"/>
          </w:tcPr>
          <w:p w:rsidR="00F10C6E" w:rsidRPr="00F97903" w:rsidRDefault="00F10C6E" w:rsidP="00AC29EE">
            <w:pPr>
              <w:jc w:val="right"/>
              <w:rPr>
                <w:sz w:val="20"/>
              </w:rPr>
            </w:pPr>
            <w:r>
              <w:rPr>
                <w:sz w:val="20"/>
              </w:rPr>
              <w:t>n/a</w:t>
            </w:r>
          </w:p>
        </w:tc>
      </w:tr>
      <w:tr w:rsidR="00F10C6E" w:rsidRPr="00CF1A8C" w:rsidTr="00AC29EE">
        <w:trPr>
          <w:trHeight w:val="468"/>
        </w:trPr>
        <w:tc>
          <w:tcPr>
            <w:tcW w:w="5063" w:type="dxa"/>
          </w:tcPr>
          <w:p w:rsidR="00F52F42" w:rsidRDefault="00F10C6E" w:rsidP="00BD3A73">
            <w:pPr>
              <w:pStyle w:val="AIIndent"/>
              <w:numPr>
                <w:ilvl w:val="0"/>
                <w:numId w:val="15"/>
              </w:numPr>
            </w:pPr>
            <w:r w:rsidRPr="00FD4DAB">
              <w:t>Prepare a Government response to the ACT Classification Review</w:t>
            </w:r>
            <w:r w:rsidRPr="00F97903">
              <w:rPr>
                <w:vertAlign w:val="superscript"/>
              </w:rPr>
              <w:t>5</w:t>
            </w:r>
          </w:p>
        </w:tc>
        <w:tc>
          <w:tcPr>
            <w:tcW w:w="1429" w:type="dxa"/>
          </w:tcPr>
          <w:p w:rsidR="00F10C6E" w:rsidRPr="00DD3219" w:rsidRDefault="00F10C6E" w:rsidP="00AC29EE">
            <w:pPr>
              <w:jc w:val="right"/>
              <w:rPr>
                <w:sz w:val="20"/>
              </w:rPr>
            </w:pPr>
            <w:r>
              <w:rPr>
                <w:sz w:val="20"/>
              </w:rPr>
              <w:t>Dec 2012</w:t>
            </w:r>
          </w:p>
        </w:tc>
        <w:tc>
          <w:tcPr>
            <w:tcW w:w="1429" w:type="dxa"/>
          </w:tcPr>
          <w:p w:rsidR="00F10C6E" w:rsidRPr="00DD3219" w:rsidRDefault="00904B69" w:rsidP="00AC29EE">
            <w:pPr>
              <w:jc w:val="right"/>
              <w:rPr>
                <w:sz w:val="20"/>
              </w:rPr>
            </w:pPr>
            <w:r>
              <w:rPr>
                <w:sz w:val="20"/>
              </w:rPr>
              <w:t>Dec 2012</w:t>
            </w:r>
          </w:p>
        </w:tc>
        <w:tc>
          <w:tcPr>
            <w:tcW w:w="1429" w:type="dxa"/>
          </w:tcPr>
          <w:p w:rsidR="00F10C6E" w:rsidRPr="00F97903" w:rsidRDefault="00F10C6E" w:rsidP="00AC29EE">
            <w:pPr>
              <w:jc w:val="right"/>
              <w:rPr>
                <w:sz w:val="20"/>
              </w:rPr>
            </w:pPr>
            <w:r>
              <w:rPr>
                <w:sz w:val="20"/>
              </w:rPr>
              <w:t>n/a</w:t>
            </w:r>
          </w:p>
        </w:tc>
      </w:tr>
      <w:tr w:rsidR="00F10C6E" w:rsidRPr="00CF1A8C" w:rsidTr="00AC29EE">
        <w:trPr>
          <w:trHeight w:val="264"/>
        </w:trPr>
        <w:tc>
          <w:tcPr>
            <w:tcW w:w="5063" w:type="dxa"/>
          </w:tcPr>
          <w:p w:rsidR="00F52F42" w:rsidRDefault="00F10C6E" w:rsidP="00BD3A73">
            <w:pPr>
              <w:pStyle w:val="AIIndent"/>
              <w:numPr>
                <w:ilvl w:val="0"/>
                <w:numId w:val="15"/>
              </w:numPr>
            </w:pPr>
            <w:r>
              <w:t>Conduct of Enterprise Agreement negotiations</w:t>
            </w:r>
            <w:r w:rsidRPr="00F97903">
              <w:rPr>
                <w:vertAlign w:val="superscript"/>
              </w:rPr>
              <w:t>6</w:t>
            </w:r>
          </w:p>
        </w:tc>
        <w:tc>
          <w:tcPr>
            <w:tcW w:w="1429" w:type="dxa"/>
          </w:tcPr>
          <w:p w:rsidR="00F10C6E" w:rsidRPr="00DD3219" w:rsidRDefault="00F10C6E" w:rsidP="00AC29EE">
            <w:pPr>
              <w:jc w:val="right"/>
              <w:rPr>
                <w:sz w:val="20"/>
              </w:rPr>
            </w:pPr>
            <w:r>
              <w:rPr>
                <w:sz w:val="20"/>
              </w:rPr>
              <w:t>1</w:t>
            </w:r>
          </w:p>
        </w:tc>
        <w:tc>
          <w:tcPr>
            <w:tcW w:w="1429" w:type="dxa"/>
          </w:tcPr>
          <w:p w:rsidR="00F10C6E" w:rsidRPr="00DD3219" w:rsidRDefault="00904B69" w:rsidP="00AC29EE">
            <w:pPr>
              <w:jc w:val="right"/>
              <w:rPr>
                <w:sz w:val="20"/>
              </w:rPr>
            </w:pPr>
            <w:r>
              <w:rPr>
                <w:sz w:val="20"/>
              </w:rPr>
              <w:t>1</w:t>
            </w:r>
          </w:p>
        </w:tc>
        <w:tc>
          <w:tcPr>
            <w:tcW w:w="1429" w:type="dxa"/>
          </w:tcPr>
          <w:p w:rsidR="00F10C6E" w:rsidRPr="00F97903" w:rsidRDefault="00F10C6E" w:rsidP="00AC29EE">
            <w:pPr>
              <w:jc w:val="right"/>
              <w:rPr>
                <w:sz w:val="20"/>
              </w:rPr>
            </w:pPr>
            <w:r>
              <w:rPr>
                <w:sz w:val="20"/>
              </w:rPr>
              <w:t>1</w:t>
            </w:r>
          </w:p>
        </w:tc>
      </w:tr>
      <w:tr w:rsidR="00F10C6E" w:rsidRPr="00CF1A8C" w:rsidTr="00AC29EE">
        <w:trPr>
          <w:trHeight w:val="396"/>
        </w:trPr>
        <w:tc>
          <w:tcPr>
            <w:tcW w:w="5063" w:type="dxa"/>
          </w:tcPr>
          <w:p w:rsidR="00F52F42" w:rsidRDefault="00F10C6E" w:rsidP="00BD3A73">
            <w:pPr>
              <w:pStyle w:val="AIIndent"/>
              <w:numPr>
                <w:ilvl w:val="0"/>
                <w:numId w:val="15"/>
              </w:numPr>
            </w:pPr>
            <w:r w:rsidRPr="00FD4DAB">
              <w:t>Continue to implement the ACTPS workers’ compensation and work safety improvement plan</w:t>
            </w:r>
            <w:r w:rsidRPr="00F97903">
              <w:rPr>
                <w:vertAlign w:val="superscript"/>
              </w:rPr>
              <w:t>7</w:t>
            </w:r>
          </w:p>
        </w:tc>
        <w:tc>
          <w:tcPr>
            <w:tcW w:w="1429" w:type="dxa"/>
          </w:tcPr>
          <w:p w:rsidR="00F10C6E" w:rsidRPr="00DD3219" w:rsidRDefault="00F10C6E" w:rsidP="00AC29EE">
            <w:pPr>
              <w:jc w:val="right"/>
              <w:rPr>
                <w:sz w:val="20"/>
              </w:rPr>
            </w:pPr>
            <w:r>
              <w:rPr>
                <w:sz w:val="20"/>
              </w:rPr>
              <w:t>Jun 2013</w:t>
            </w:r>
          </w:p>
        </w:tc>
        <w:tc>
          <w:tcPr>
            <w:tcW w:w="1429" w:type="dxa"/>
          </w:tcPr>
          <w:p w:rsidR="00F10C6E" w:rsidRPr="00DD3219" w:rsidRDefault="00904B69" w:rsidP="00AC29EE">
            <w:pPr>
              <w:jc w:val="right"/>
              <w:rPr>
                <w:sz w:val="20"/>
              </w:rPr>
            </w:pPr>
            <w:r>
              <w:rPr>
                <w:sz w:val="20"/>
              </w:rPr>
              <w:t>Jun 2013</w:t>
            </w:r>
          </w:p>
        </w:tc>
        <w:tc>
          <w:tcPr>
            <w:tcW w:w="1429" w:type="dxa"/>
          </w:tcPr>
          <w:p w:rsidR="00F10C6E" w:rsidRPr="00F97903" w:rsidRDefault="00F10C6E" w:rsidP="00AC29EE">
            <w:pPr>
              <w:jc w:val="right"/>
              <w:rPr>
                <w:sz w:val="20"/>
              </w:rPr>
            </w:pPr>
            <w:r>
              <w:rPr>
                <w:sz w:val="20"/>
              </w:rPr>
              <w:t>Jun 2014</w:t>
            </w:r>
          </w:p>
        </w:tc>
      </w:tr>
      <w:tr w:rsidR="00502B34" w:rsidRPr="00CF1A8C" w:rsidTr="00AC29EE">
        <w:trPr>
          <w:trHeight w:val="288"/>
        </w:trPr>
        <w:tc>
          <w:tcPr>
            <w:tcW w:w="5063" w:type="dxa"/>
          </w:tcPr>
          <w:p w:rsidR="00F52F42" w:rsidRDefault="00502B34" w:rsidP="00BD3A73">
            <w:pPr>
              <w:pStyle w:val="AIIndent"/>
              <w:numPr>
                <w:ilvl w:val="0"/>
                <w:numId w:val="15"/>
              </w:numPr>
            </w:pPr>
            <w:r>
              <w:t>Publish a State of the Service Report</w:t>
            </w:r>
            <w:r w:rsidRPr="00DA1866">
              <w:rPr>
                <w:vertAlign w:val="superscript"/>
              </w:rPr>
              <w:t>8</w:t>
            </w:r>
          </w:p>
        </w:tc>
        <w:tc>
          <w:tcPr>
            <w:tcW w:w="1429" w:type="dxa"/>
          </w:tcPr>
          <w:p w:rsidR="00502B34" w:rsidRPr="00DD3219" w:rsidRDefault="00502B34" w:rsidP="00AC29EE">
            <w:pPr>
              <w:jc w:val="right"/>
              <w:rPr>
                <w:sz w:val="20"/>
              </w:rPr>
            </w:pPr>
            <w:r>
              <w:rPr>
                <w:sz w:val="20"/>
              </w:rPr>
              <w:t>n/a</w:t>
            </w:r>
          </w:p>
        </w:tc>
        <w:tc>
          <w:tcPr>
            <w:tcW w:w="1429" w:type="dxa"/>
          </w:tcPr>
          <w:p w:rsidR="00502B34" w:rsidRPr="00DD3219" w:rsidRDefault="00502B34" w:rsidP="00AC29EE">
            <w:pPr>
              <w:jc w:val="right"/>
              <w:rPr>
                <w:sz w:val="20"/>
              </w:rPr>
            </w:pPr>
            <w:r>
              <w:rPr>
                <w:sz w:val="20"/>
              </w:rPr>
              <w:t>n/a</w:t>
            </w:r>
          </w:p>
        </w:tc>
        <w:tc>
          <w:tcPr>
            <w:tcW w:w="1429" w:type="dxa"/>
          </w:tcPr>
          <w:p w:rsidR="00502B34" w:rsidRPr="00F97903" w:rsidRDefault="00502B34" w:rsidP="00AC29EE">
            <w:pPr>
              <w:jc w:val="right"/>
              <w:rPr>
                <w:sz w:val="20"/>
              </w:rPr>
            </w:pPr>
            <w:r>
              <w:rPr>
                <w:sz w:val="20"/>
              </w:rPr>
              <w:t>Sep 2013</w:t>
            </w:r>
          </w:p>
        </w:tc>
      </w:tr>
      <w:tr w:rsidR="00502B34" w:rsidRPr="00CF1A8C" w:rsidTr="00AC29EE">
        <w:trPr>
          <w:trHeight w:val="264"/>
        </w:trPr>
        <w:tc>
          <w:tcPr>
            <w:tcW w:w="5063" w:type="dxa"/>
          </w:tcPr>
          <w:p w:rsidR="00F52F42" w:rsidRDefault="00502B34" w:rsidP="00BD3A73">
            <w:pPr>
              <w:pStyle w:val="AIIndent"/>
              <w:numPr>
                <w:ilvl w:val="0"/>
                <w:numId w:val="15"/>
              </w:numPr>
            </w:pPr>
            <w:r>
              <w:t>Update recruitment guidelines</w:t>
            </w:r>
            <w:r w:rsidRPr="0006539C">
              <w:rPr>
                <w:vertAlign w:val="superscript"/>
              </w:rPr>
              <w:t>9</w:t>
            </w:r>
          </w:p>
        </w:tc>
        <w:tc>
          <w:tcPr>
            <w:tcW w:w="1429" w:type="dxa"/>
          </w:tcPr>
          <w:p w:rsidR="00502B34" w:rsidRPr="00DD3219" w:rsidRDefault="00502B34" w:rsidP="00AC29EE">
            <w:pPr>
              <w:jc w:val="right"/>
              <w:rPr>
                <w:sz w:val="20"/>
              </w:rPr>
            </w:pPr>
            <w:r>
              <w:rPr>
                <w:sz w:val="20"/>
              </w:rPr>
              <w:t>n/a</w:t>
            </w:r>
          </w:p>
        </w:tc>
        <w:tc>
          <w:tcPr>
            <w:tcW w:w="1429" w:type="dxa"/>
          </w:tcPr>
          <w:p w:rsidR="00502B34" w:rsidRPr="00DD3219" w:rsidRDefault="00502B34" w:rsidP="00AC29EE">
            <w:pPr>
              <w:jc w:val="right"/>
              <w:rPr>
                <w:sz w:val="20"/>
              </w:rPr>
            </w:pPr>
            <w:r>
              <w:rPr>
                <w:sz w:val="20"/>
              </w:rPr>
              <w:t>n/a</w:t>
            </w:r>
          </w:p>
        </w:tc>
        <w:tc>
          <w:tcPr>
            <w:tcW w:w="1429" w:type="dxa"/>
          </w:tcPr>
          <w:p w:rsidR="00502B34" w:rsidRPr="00F97903" w:rsidRDefault="00502B34" w:rsidP="00AC29EE">
            <w:pPr>
              <w:jc w:val="right"/>
              <w:rPr>
                <w:sz w:val="20"/>
              </w:rPr>
            </w:pPr>
            <w:r>
              <w:rPr>
                <w:sz w:val="20"/>
              </w:rPr>
              <w:t>Sep 2013</w:t>
            </w:r>
          </w:p>
        </w:tc>
      </w:tr>
      <w:tr w:rsidR="00502B34" w:rsidRPr="00CF1A8C" w:rsidTr="00AC29EE">
        <w:trPr>
          <w:trHeight w:val="468"/>
        </w:trPr>
        <w:tc>
          <w:tcPr>
            <w:tcW w:w="5063" w:type="dxa"/>
          </w:tcPr>
          <w:p w:rsidR="00F52F42" w:rsidRDefault="00502B34" w:rsidP="00BD3A73">
            <w:pPr>
              <w:pStyle w:val="AIIndent"/>
              <w:numPr>
                <w:ilvl w:val="0"/>
                <w:numId w:val="15"/>
              </w:numPr>
            </w:pPr>
            <w:r>
              <w:t>Review ACTPS Respect, Equity and Diversity Framework</w:t>
            </w:r>
            <w:r w:rsidRPr="00364C90">
              <w:rPr>
                <w:vertAlign w:val="superscript"/>
              </w:rPr>
              <w:t>10</w:t>
            </w:r>
          </w:p>
        </w:tc>
        <w:tc>
          <w:tcPr>
            <w:tcW w:w="1429" w:type="dxa"/>
          </w:tcPr>
          <w:p w:rsidR="00502B34" w:rsidRPr="00DD3219" w:rsidRDefault="00502B34" w:rsidP="00AC29EE">
            <w:pPr>
              <w:jc w:val="right"/>
              <w:rPr>
                <w:sz w:val="20"/>
              </w:rPr>
            </w:pPr>
            <w:r>
              <w:rPr>
                <w:sz w:val="20"/>
              </w:rPr>
              <w:t>n/a</w:t>
            </w:r>
          </w:p>
        </w:tc>
        <w:tc>
          <w:tcPr>
            <w:tcW w:w="1429" w:type="dxa"/>
          </w:tcPr>
          <w:p w:rsidR="00502B34" w:rsidRPr="00DD3219" w:rsidRDefault="00502B34" w:rsidP="00AC29EE">
            <w:pPr>
              <w:jc w:val="right"/>
              <w:rPr>
                <w:sz w:val="20"/>
              </w:rPr>
            </w:pPr>
            <w:r>
              <w:rPr>
                <w:sz w:val="20"/>
              </w:rPr>
              <w:t>n/a</w:t>
            </w:r>
          </w:p>
        </w:tc>
        <w:tc>
          <w:tcPr>
            <w:tcW w:w="1429" w:type="dxa"/>
          </w:tcPr>
          <w:p w:rsidR="00502B34" w:rsidRPr="00F97903" w:rsidRDefault="00502B34" w:rsidP="00AC29EE">
            <w:pPr>
              <w:jc w:val="right"/>
              <w:rPr>
                <w:sz w:val="20"/>
              </w:rPr>
            </w:pPr>
            <w:r>
              <w:rPr>
                <w:sz w:val="20"/>
              </w:rPr>
              <w:t>Apr 2014</w:t>
            </w:r>
          </w:p>
        </w:tc>
      </w:tr>
      <w:tr w:rsidR="00502B34" w:rsidRPr="00CF1A8C" w:rsidTr="00AC29EE">
        <w:trPr>
          <w:trHeight w:val="516"/>
        </w:trPr>
        <w:tc>
          <w:tcPr>
            <w:tcW w:w="5063" w:type="dxa"/>
            <w:tcBorders>
              <w:bottom w:val="single" w:sz="4" w:space="0" w:color="auto"/>
            </w:tcBorders>
          </w:tcPr>
          <w:p w:rsidR="00F52F42" w:rsidRDefault="00502B34" w:rsidP="00BD3A73">
            <w:pPr>
              <w:pStyle w:val="AIIndent"/>
              <w:numPr>
                <w:ilvl w:val="0"/>
                <w:numId w:val="15"/>
              </w:numPr>
            </w:pPr>
            <w:r>
              <w:t>Implement agreed recommendations of the ACT Classification Review</w:t>
            </w:r>
            <w:r w:rsidRPr="00F01F9D">
              <w:rPr>
                <w:vertAlign w:val="superscript"/>
              </w:rPr>
              <w:t>11</w:t>
            </w:r>
          </w:p>
        </w:tc>
        <w:tc>
          <w:tcPr>
            <w:tcW w:w="1429" w:type="dxa"/>
            <w:tcBorders>
              <w:bottom w:val="single" w:sz="4" w:space="0" w:color="auto"/>
            </w:tcBorders>
          </w:tcPr>
          <w:p w:rsidR="00502B34" w:rsidRPr="00DD3219" w:rsidRDefault="00502B34" w:rsidP="00AC29EE">
            <w:pPr>
              <w:jc w:val="right"/>
              <w:rPr>
                <w:sz w:val="20"/>
              </w:rPr>
            </w:pPr>
            <w:r>
              <w:rPr>
                <w:sz w:val="20"/>
              </w:rPr>
              <w:t>n/a</w:t>
            </w:r>
          </w:p>
        </w:tc>
        <w:tc>
          <w:tcPr>
            <w:tcW w:w="1429" w:type="dxa"/>
            <w:tcBorders>
              <w:bottom w:val="single" w:sz="4" w:space="0" w:color="auto"/>
            </w:tcBorders>
          </w:tcPr>
          <w:p w:rsidR="00502B34" w:rsidRPr="00DD3219" w:rsidRDefault="00502B34" w:rsidP="00AC29EE">
            <w:pPr>
              <w:jc w:val="right"/>
              <w:rPr>
                <w:sz w:val="20"/>
              </w:rPr>
            </w:pPr>
            <w:r>
              <w:rPr>
                <w:sz w:val="20"/>
              </w:rPr>
              <w:t>n/a</w:t>
            </w:r>
          </w:p>
        </w:tc>
        <w:tc>
          <w:tcPr>
            <w:tcW w:w="1429" w:type="dxa"/>
            <w:tcBorders>
              <w:bottom w:val="single" w:sz="4" w:space="0" w:color="auto"/>
            </w:tcBorders>
          </w:tcPr>
          <w:p w:rsidR="00502B34" w:rsidRDefault="00502B34" w:rsidP="00AC29EE">
            <w:pPr>
              <w:jc w:val="right"/>
              <w:rPr>
                <w:sz w:val="20"/>
              </w:rPr>
            </w:pPr>
            <w:r>
              <w:rPr>
                <w:sz w:val="20"/>
              </w:rPr>
              <w:t>Jun 2014</w:t>
            </w:r>
          </w:p>
        </w:tc>
      </w:tr>
    </w:tbl>
    <w:p w:rsidR="003A1A1F" w:rsidRDefault="00F10C6E">
      <w:pPr>
        <w:pStyle w:val="NoteHeading0"/>
      </w:pPr>
      <w:r w:rsidRPr="00CF1A8C">
        <w:t>Note</w:t>
      </w:r>
      <w:r w:rsidR="00873B20">
        <w:t>s</w:t>
      </w:r>
      <w:r w:rsidRPr="00CF1A8C">
        <w:t>:</w:t>
      </w:r>
    </w:p>
    <w:p w:rsidR="00F52F42" w:rsidRDefault="00F10C6E" w:rsidP="00E84262">
      <w:pPr>
        <w:pStyle w:val="AINotes"/>
        <w:numPr>
          <w:ilvl w:val="0"/>
          <w:numId w:val="37"/>
        </w:numPr>
      </w:pPr>
      <w:r>
        <w:t xml:space="preserve">Discontinued measure.  </w:t>
      </w:r>
      <w:r w:rsidRPr="007C77E1">
        <w:t xml:space="preserve">This measure </w:t>
      </w:r>
      <w:r w:rsidR="0061312B" w:rsidRPr="007C77E1">
        <w:t>cover</w:t>
      </w:r>
      <w:r w:rsidR="0061312B">
        <w:t>ed</w:t>
      </w:r>
      <w:r w:rsidR="0061312B" w:rsidRPr="007C77E1">
        <w:t xml:space="preserve"> </w:t>
      </w:r>
      <w:r w:rsidRPr="007C77E1">
        <w:t xml:space="preserve">the publication of the annual </w:t>
      </w:r>
      <w:r w:rsidR="008631D0">
        <w:t>ACTPS</w:t>
      </w:r>
      <w:r w:rsidRPr="007C77E1">
        <w:t xml:space="preserve"> Workforce Profile Report.</w:t>
      </w:r>
    </w:p>
    <w:p w:rsidR="00F52F42" w:rsidRDefault="00F10C6E" w:rsidP="00E84262">
      <w:pPr>
        <w:pStyle w:val="AINotes"/>
        <w:numPr>
          <w:ilvl w:val="0"/>
          <w:numId w:val="19"/>
        </w:numPr>
      </w:pPr>
      <w:r w:rsidRPr="007C77E1">
        <w:t>This measure covers implementation of the ACTPS whole</w:t>
      </w:r>
      <w:r w:rsidR="00BF6275">
        <w:t xml:space="preserve"> of </w:t>
      </w:r>
      <w:r w:rsidRPr="007C77E1">
        <w:t xml:space="preserve">government Graduate Program, including the </w:t>
      </w:r>
      <w:r w:rsidR="008E5761" w:rsidRPr="007C77E1">
        <w:t>201</w:t>
      </w:r>
      <w:r w:rsidR="008E5761">
        <w:t>3</w:t>
      </w:r>
      <w:r w:rsidR="008E5761" w:rsidRPr="007C77E1">
        <w:t xml:space="preserve"> </w:t>
      </w:r>
      <w:r w:rsidRPr="007C77E1">
        <w:t xml:space="preserve">graduate intake, recruitment, selection and commencement of the </w:t>
      </w:r>
      <w:r w:rsidR="008E5761" w:rsidRPr="007C77E1">
        <w:t>201</w:t>
      </w:r>
      <w:r w:rsidR="008E5761">
        <w:t>4</w:t>
      </w:r>
      <w:r w:rsidR="008E5761" w:rsidRPr="007C77E1">
        <w:t xml:space="preserve"> </w:t>
      </w:r>
      <w:r w:rsidRPr="007C77E1">
        <w:t xml:space="preserve">intake, and planning for the </w:t>
      </w:r>
      <w:r w:rsidR="008E5761" w:rsidRPr="007C77E1">
        <w:t>201</w:t>
      </w:r>
      <w:r w:rsidR="008E5761">
        <w:t>5</w:t>
      </w:r>
      <w:r w:rsidR="008E5761" w:rsidRPr="007C77E1">
        <w:t xml:space="preserve"> </w:t>
      </w:r>
      <w:r w:rsidR="005E1428">
        <w:t xml:space="preserve">intake. </w:t>
      </w:r>
      <w:r w:rsidR="007D09B9">
        <w:t xml:space="preserve"> </w:t>
      </w:r>
      <w:r w:rsidRPr="007C77E1">
        <w:t>The measure will be considered complete when the activities under the Program are undertaken.</w:t>
      </w:r>
    </w:p>
    <w:p w:rsidR="00F55DFE" w:rsidRDefault="00F10C6E" w:rsidP="00E84262">
      <w:pPr>
        <w:pStyle w:val="AINotes"/>
        <w:numPr>
          <w:ilvl w:val="0"/>
          <w:numId w:val="19"/>
        </w:numPr>
      </w:pPr>
      <w:r>
        <w:t xml:space="preserve">Discontinued measure.  </w:t>
      </w:r>
      <w:r w:rsidRPr="007C77E1">
        <w:t xml:space="preserve">This measure </w:t>
      </w:r>
      <w:r w:rsidR="0061312B" w:rsidRPr="007C77E1">
        <w:t>cover</w:t>
      </w:r>
      <w:r w:rsidR="0061312B">
        <w:t>ed</w:t>
      </w:r>
      <w:r w:rsidR="0061312B" w:rsidRPr="007C77E1">
        <w:t xml:space="preserve"> </w:t>
      </w:r>
      <w:r w:rsidRPr="007C77E1">
        <w:t xml:space="preserve">the conduct of a review of the </w:t>
      </w:r>
      <w:r w:rsidRPr="00F55DFE">
        <w:rPr>
          <w:i/>
        </w:rPr>
        <w:t>Public Sector Management Act 1994</w:t>
      </w:r>
      <w:r w:rsidRPr="007C77E1">
        <w:t>, as recommended in the Hawke Review of the ACTPS.  Th</w:t>
      </w:r>
      <w:r w:rsidR="00904B69">
        <w:t>is measure will not be completed in 2012-13 due to changed priorities.</w:t>
      </w:r>
    </w:p>
    <w:p w:rsidR="000E4B86" w:rsidRPr="007329DD" w:rsidRDefault="000E4B86" w:rsidP="00BD3A73">
      <w:pPr>
        <w:pStyle w:val="Heading3"/>
      </w:pPr>
      <w:proofErr w:type="gramStart"/>
      <w:r w:rsidRPr="007329DD">
        <w:lastRenderedPageBreak/>
        <w:t>Accountability Indicators</w:t>
      </w:r>
      <w:r>
        <w:t xml:space="preserve"> cont.</w:t>
      </w:r>
      <w:proofErr w:type="gramEnd"/>
    </w:p>
    <w:p w:rsidR="00F52F42" w:rsidRDefault="00F10C6E" w:rsidP="00E84262">
      <w:pPr>
        <w:pStyle w:val="AINotes"/>
        <w:numPr>
          <w:ilvl w:val="0"/>
          <w:numId w:val="37"/>
        </w:numPr>
      </w:pPr>
      <w:r>
        <w:t xml:space="preserve">Discontinued measure.  </w:t>
      </w:r>
      <w:r w:rsidRPr="007C77E1">
        <w:t xml:space="preserve">This measure </w:t>
      </w:r>
      <w:r w:rsidR="008E5761" w:rsidRPr="007C77E1">
        <w:t>cover</w:t>
      </w:r>
      <w:r w:rsidR="008E5761">
        <w:t>ed</w:t>
      </w:r>
      <w:r w:rsidR="008E5761" w:rsidRPr="007C77E1">
        <w:t xml:space="preserve"> </w:t>
      </w:r>
      <w:r w:rsidRPr="007C77E1">
        <w:t>reporting on implementation of the ACTP</w:t>
      </w:r>
      <w:r w:rsidRPr="001419BF">
        <w:t xml:space="preserve">S </w:t>
      </w:r>
      <w:r w:rsidRPr="00BD3A73">
        <w:t>Respect, Equity and Diversity Framework launched</w:t>
      </w:r>
      <w:r w:rsidRPr="007C77E1">
        <w:t xml:space="preserve"> in December 2010.  Delays in data gathering and verification in 2011-12 delayed report finalisation.  The measure </w:t>
      </w:r>
      <w:r w:rsidR="008E5761">
        <w:t>was</w:t>
      </w:r>
      <w:r w:rsidRPr="007C77E1">
        <w:t xml:space="preserve"> considered complete when the report </w:t>
      </w:r>
      <w:r w:rsidR="008E5761">
        <w:t xml:space="preserve">was </w:t>
      </w:r>
      <w:r w:rsidRPr="007C77E1">
        <w:t>provided to Government.</w:t>
      </w:r>
    </w:p>
    <w:p w:rsidR="00F52F42" w:rsidRDefault="00F10C6E" w:rsidP="00E84262">
      <w:pPr>
        <w:pStyle w:val="AINotes"/>
        <w:numPr>
          <w:ilvl w:val="0"/>
          <w:numId w:val="37"/>
        </w:numPr>
      </w:pPr>
      <w:r>
        <w:t xml:space="preserve">Discontinued measure.  </w:t>
      </w:r>
      <w:r w:rsidRPr="007C77E1">
        <w:t>This measure covers finalising the Government response to the recommendations of the ACT Classification Review.</w:t>
      </w:r>
    </w:p>
    <w:p w:rsidR="00F52F42" w:rsidRDefault="00F10C6E" w:rsidP="00E84262">
      <w:pPr>
        <w:pStyle w:val="AINotes"/>
        <w:numPr>
          <w:ilvl w:val="0"/>
          <w:numId w:val="37"/>
        </w:numPr>
      </w:pPr>
      <w:r w:rsidRPr="007C77E1">
        <w:t xml:space="preserve">This measure covers </w:t>
      </w:r>
      <w:r w:rsidRPr="001419BF">
        <w:t>the Directorate</w:t>
      </w:r>
      <w:r w:rsidRPr="007C77E1">
        <w:t>’s role in leading negotiations for the next Template Enterprise Agreement.  This measure will be considered complete when the draft template is presented to the Chief Minister for consideration.</w:t>
      </w:r>
    </w:p>
    <w:p w:rsidR="00F52F42" w:rsidRDefault="00F10C6E" w:rsidP="00E84262">
      <w:pPr>
        <w:pStyle w:val="AINotes"/>
        <w:numPr>
          <w:ilvl w:val="0"/>
          <w:numId w:val="37"/>
        </w:numPr>
      </w:pPr>
      <w:r w:rsidRPr="007C77E1">
        <w:t>This measure covers ongoing implementation of the ACTPS workers’ compensation improvement plan</w:t>
      </w:r>
      <w:r w:rsidR="00226D11">
        <w:t>,</w:t>
      </w:r>
      <w:r w:rsidRPr="007C77E1">
        <w:t xml:space="preserve"> including the implementation of the capability strengthening framework, new reporting tools and early intervention strategies.</w:t>
      </w:r>
      <w:r>
        <w:t xml:space="preserve"> </w:t>
      </w:r>
    </w:p>
    <w:p w:rsidR="00F52F42" w:rsidRDefault="00F10C6E" w:rsidP="00E84262">
      <w:pPr>
        <w:pStyle w:val="AINotes"/>
        <w:numPr>
          <w:ilvl w:val="0"/>
          <w:numId w:val="37"/>
        </w:numPr>
      </w:pPr>
      <w:r>
        <w:t xml:space="preserve">New measure.   The State of the Service Report will incorporate the ACT Public Sector Workforce Profile Report (referred to in 1.2a) and the report on the implementation of the ACTPS </w:t>
      </w:r>
      <w:r w:rsidRPr="00BD3A73">
        <w:t>Respect, Equity and Diversity</w:t>
      </w:r>
      <w:r>
        <w:t xml:space="preserve"> Framework (referred to in 1.2d).</w:t>
      </w:r>
    </w:p>
    <w:p w:rsidR="00F52F42" w:rsidRDefault="00F10C6E" w:rsidP="00E84262">
      <w:pPr>
        <w:pStyle w:val="AINotes"/>
        <w:numPr>
          <w:ilvl w:val="0"/>
          <w:numId w:val="37"/>
        </w:numPr>
      </w:pPr>
      <w:r>
        <w:t xml:space="preserve">New measure. </w:t>
      </w:r>
      <w:r w:rsidR="008E5761">
        <w:t>Covers</w:t>
      </w:r>
      <w:r>
        <w:t xml:space="preserve"> the republication of the ACTPS</w:t>
      </w:r>
      <w:r w:rsidR="00226D11">
        <w:t xml:space="preserve"> R</w:t>
      </w:r>
      <w:r>
        <w:t xml:space="preserve">ecruitment </w:t>
      </w:r>
      <w:r w:rsidR="00226D11">
        <w:t>G</w:t>
      </w:r>
      <w:r>
        <w:t>uide, as agreed by the Govern</w:t>
      </w:r>
      <w:r w:rsidR="00BF6275">
        <w:t>ment in response to the Auditor</w:t>
      </w:r>
      <w:r w:rsidR="00BF6275">
        <w:noBreakHyphen/>
      </w:r>
      <w:proofErr w:type="spellStart"/>
      <w:r>
        <w:t>General’s</w:t>
      </w:r>
      <w:proofErr w:type="spellEnd"/>
      <w:r>
        <w:t xml:space="preserve"> report on recruitment in the ACTPS.</w:t>
      </w:r>
    </w:p>
    <w:p w:rsidR="00F52F42" w:rsidRDefault="00F10C6E" w:rsidP="00E84262">
      <w:pPr>
        <w:pStyle w:val="AINotes"/>
        <w:numPr>
          <w:ilvl w:val="0"/>
          <w:numId w:val="37"/>
        </w:numPr>
      </w:pPr>
      <w:r>
        <w:t xml:space="preserve">New measure.  This measure covers the review of the Respect, </w:t>
      </w:r>
      <w:r w:rsidR="00226D11">
        <w:t>E</w:t>
      </w:r>
      <w:r>
        <w:t xml:space="preserve">quity and </w:t>
      </w:r>
      <w:r w:rsidR="00226D11">
        <w:t>D</w:t>
      </w:r>
      <w:r>
        <w:t>iversity Framework after 3 years of operation.</w:t>
      </w:r>
    </w:p>
    <w:p w:rsidR="00F52F42" w:rsidRDefault="00F10C6E" w:rsidP="00E84262">
      <w:pPr>
        <w:pStyle w:val="AINotes"/>
        <w:numPr>
          <w:ilvl w:val="0"/>
          <w:numId w:val="37"/>
        </w:numPr>
        <w:spacing w:after="60"/>
      </w:pPr>
      <w:r>
        <w:t>New measure.  This measure covers incorporating appropriate recommendations of the ACT Classification Review into the employment framework.</w:t>
      </w:r>
    </w:p>
    <w:tbl>
      <w:tblPr>
        <w:tblW w:w="9350" w:type="dxa"/>
        <w:tblLook w:val="0000"/>
      </w:tblPr>
      <w:tblGrid>
        <w:gridCol w:w="5059"/>
        <w:gridCol w:w="1433"/>
        <w:gridCol w:w="1429"/>
        <w:gridCol w:w="1429"/>
      </w:tblGrid>
      <w:tr w:rsidR="00F10C6E" w:rsidRPr="00CF1A8C" w:rsidTr="00C0471E">
        <w:tc>
          <w:tcPr>
            <w:tcW w:w="5059" w:type="dxa"/>
            <w:tcBorders>
              <w:top w:val="single" w:sz="4" w:space="0" w:color="auto"/>
              <w:bottom w:val="single" w:sz="4" w:space="0" w:color="auto"/>
            </w:tcBorders>
          </w:tcPr>
          <w:p w:rsidR="00F10C6E" w:rsidRPr="00CF1A8C" w:rsidRDefault="00F10C6E" w:rsidP="00F10C6E">
            <w:pPr>
              <w:pStyle w:val="Heading7"/>
            </w:pPr>
          </w:p>
        </w:tc>
        <w:tc>
          <w:tcPr>
            <w:tcW w:w="1433" w:type="dxa"/>
            <w:tcBorders>
              <w:top w:val="single" w:sz="4" w:space="0" w:color="auto"/>
              <w:bottom w:val="single" w:sz="4" w:space="0" w:color="auto"/>
            </w:tcBorders>
          </w:tcPr>
          <w:p w:rsidR="00F10C6E" w:rsidRPr="00CF1A8C" w:rsidRDefault="00F10C6E" w:rsidP="00F10C6E">
            <w:pPr>
              <w:pStyle w:val="Heading6"/>
            </w:pPr>
            <w:r>
              <w:t>2012-13</w:t>
            </w:r>
          </w:p>
          <w:p w:rsidR="003A1A1F" w:rsidRDefault="00F10C6E">
            <w:pPr>
              <w:pStyle w:val="Heading6"/>
            </w:pPr>
            <w:r w:rsidRPr="00CF1A8C">
              <w:t>Targets</w:t>
            </w:r>
          </w:p>
        </w:tc>
        <w:tc>
          <w:tcPr>
            <w:tcW w:w="1429" w:type="dxa"/>
            <w:tcBorders>
              <w:top w:val="single" w:sz="4" w:space="0" w:color="auto"/>
              <w:bottom w:val="single" w:sz="4" w:space="0" w:color="auto"/>
            </w:tcBorders>
          </w:tcPr>
          <w:p w:rsidR="00F10C6E" w:rsidRPr="00CF1A8C" w:rsidRDefault="00F10C6E" w:rsidP="00F10C6E">
            <w:pPr>
              <w:pStyle w:val="Heading6"/>
            </w:pPr>
            <w:r>
              <w:t>2012-13</w:t>
            </w:r>
          </w:p>
          <w:p w:rsidR="003A1A1F" w:rsidRDefault="00F10C6E">
            <w:pPr>
              <w:pStyle w:val="Heading6"/>
            </w:pPr>
            <w:r w:rsidRPr="00CF1A8C">
              <w:t>Est. Outcome</w:t>
            </w:r>
          </w:p>
        </w:tc>
        <w:tc>
          <w:tcPr>
            <w:tcW w:w="1429" w:type="dxa"/>
            <w:tcBorders>
              <w:top w:val="single" w:sz="4" w:space="0" w:color="auto"/>
              <w:bottom w:val="single" w:sz="4" w:space="0" w:color="auto"/>
            </w:tcBorders>
          </w:tcPr>
          <w:p w:rsidR="00F10C6E" w:rsidRPr="00CF1A8C" w:rsidRDefault="00F10C6E" w:rsidP="00F10C6E">
            <w:pPr>
              <w:pStyle w:val="Heading6"/>
            </w:pPr>
            <w:r>
              <w:t>2013-14</w:t>
            </w:r>
          </w:p>
          <w:p w:rsidR="003A1A1F" w:rsidRDefault="00F10C6E">
            <w:pPr>
              <w:pStyle w:val="Heading6"/>
            </w:pPr>
            <w:r w:rsidRPr="00CF1A8C">
              <w:t>Targets</w:t>
            </w:r>
          </w:p>
        </w:tc>
      </w:tr>
      <w:tr w:rsidR="00C0471E" w:rsidRPr="00CF1A8C" w:rsidTr="00C0471E">
        <w:tc>
          <w:tcPr>
            <w:tcW w:w="5059" w:type="dxa"/>
            <w:tcBorders>
              <w:top w:val="single" w:sz="4" w:space="0" w:color="auto"/>
              <w:bottom w:val="single" w:sz="4" w:space="0" w:color="auto"/>
            </w:tcBorders>
          </w:tcPr>
          <w:p w:rsidR="00C0471E" w:rsidRPr="00CF1A8C" w:rsidRDefault="00C0471E" w:rsidP="00F10C6E">
            <w:pPr>
              <w:pStyle w:val="Heading7"/>
            </w:pPr>
            <w:r w:rsidRPr="00C0471E">
              <w:t>Output 1.3: Industrial Relations Policy</w:t>
            </w:r>
          </w:p>
        </w:tc>
        <w:tc>
          <w:tcPr>
            <w:tcW w:w="1433" w:type="dxa"/>
            <w:tcBorders>
              <w:top w:val="single" w:sz="4" w:space="0" w:color="auto"/>
              <w:bottom w:val="single" w:sz="4" w:space="0" w:color="auto"/>
            </w:tcBorders>
          </w:tcPr>
          <w:p w:rsidR="00C0471E" w:rsidRDefault="00C0471E" w:rsidP="00F10C6E">
            <w:pPr>
              <w:pStyle w:val="Heading6"/>
            </w:pPr>
          </w:p>
        </w:tc>
        <w:tc>
          <w:tcPr>
            <w:tcW w:w="1429" w:type="dxa"/>
            <w:tcBorders>
              <w:top w:val="single" w:sz="4" w:space="0" w:color="auto"/>
              <w:bottom w:val="single" w:sz="4" w:space="0" w:color="auto"/>
            </w:tcBorders>
          </w:tcPr>
          <w:p w:rsidR="00C0471E" w:rsidRDefault="00C0471E" w:rsidP="00F10C6E">
            <w:pPr>
              <w:pStyle w:val="Heading6"/>
            </w:pPr>
          </w:p>
        </w:tc>
        <w:tc>
          <w:tcPr>
            <w:tcW w:w="1429" w:type="dxa"/>
            <w:tcBorders>
              <w:top w:val="single" w:sz="4" w:space="0" w:color="auto"/>
              <w:bottom w:val="single" w:sz="4" w:space="0" w:color="auto"/>
            </w:tcBorders>
          </w:tcPr>
          <w:p w:rsidR="00C0471E" w:rsidRDefault="00C0471E" w:rsidP="00F10C6E">
            <w:pPr>
              <w:pStyle w:val="Heading6"/>
            </w:pPr>
          </w:p>
        </w:tc>
      </w:tr>
      <w:tr w:rsidR="00F10C6E" w:rsidRPr="00CF1A8C" w:rsidTr="00C0471E">
        <w:trPr>
          <w:gridAfter w:val="3"/>
          <w:wAfter w:w="4291" w:type="dxa"/>
          <w:trHeight w:hRule="exact" w:val="57"/>
        </w:trPr>
        <w:tc>
          <w:tcPr>
            <w:tcW w:w="5059" w:type="dxa"/>
          </w:tcPr>
          <w:p w:rsidR="00F10C6E" w:rsidRPr="00CF1A8C" w:rsidRDefault="00F10C6E" w:rsidP="00F10C6E">
            <w:pPr>
              <w:pStyle w:val="Heading7"/>
            </w:pPr>
          </w:p>
        </w:tc>
      </w:tr>
      <w:tr w:rsidR="00F10C6E" w:rsidRPr="00CF1A8C" w:rsidTr="004215C7">
        <w:tc>
          <w:tcPr>
            <w:tcW w:w="5059" w:type="dxa"/>
          </w:tcPr>
          <w:p w:rsidR="00F52F42" w:rsidRDefault="00F10C6E" w:rsidP="00BD3A73">
            <w:pPr>
              <w:pStyle w:val="AIIndent"/>
              <w:numPr>
                <w:ilvl w:val="0"/>
                <w:numId w:val="33"/>
              </w:numPr>
            </w:pPr>
            <w:r w:rsidRPr="00F97903">
              <w:t>Provide advice to Government on developments in the national workplace safety agenda</w:t>
            </w:r>
            <w:r w:rsidRPr="008B3C92">
              <w:rPr>
                <w:vertAlign w:val="superscript"/>
              </w:rPr>
              <w:t>1</w:t>
            </w:r>
          </w:p>
        </w:tc>
        <w:tc>
          <w:tcPr>
            <w:tcW w:w="1433" w:type="dxa"/>
          </w:tcPr>
          <w:p w:rsidR="00F10C6E" w:rsidRPr="00DD3219" w:rsidRDefault="00F10C6E" w:rsidP="004215C7">
            <w:pPr>
              <w:pStyle w:val="AITableText"/>
              <w:spacing w:after="120"/>
            </w:pPr>
            <w:r>
              <w:t>4</w:t>
            </w:r>
          </w:p>
        </w:tc>
        <w:tc>
          <w:tcPr>
            <w:tcW w:w="1429" w:type="dxa"/>
          </w:tcPr>
          <w:p w:rsidR="00F10C6E" w:rsidRPr="00DD3219" w:rsidRDefault="000E1B2E" w:rsidP="004215C7">
            <w:pPr>
              <w:pStyle w:val="AITableText"/>
              <w:spacing w:after="120"/>
            </w:pPr>
            <w:r>
              <w:t>3</w:t>
            </w:r>
          </w:p>
        </w:tc>
        <w:tc>
          <w:tcPr>
            <w:tcW w:w="1429" w:type="dxa"/>
          </w:tcPr>
          <w:p w:rsidR="00F10C6E" w:rsidRPr="00F97903" w:rsidRDefault="00F10C6E" w:rsidP="004215C7">
            <w:pPr>
              <w:pStyle w:val="AITableText"/>
              <w:spacing w:after="120"/>
            </w:pPr>
            <w:r>
              <w:t>4</w:t>
            </w:r>
          </w:p>
        </w:tc>
      </w:tr>
      <w:tr w:rsidR="00F10C6E" w:rsidRPr="00CF1A8C" w:rsidTr="004215C7">
        <w:tc>
          <w:tcPr>
            <w:tcW w:w="5059" w:type="dxa"/>
          </w:tcPr>
          <w:p w:rsidR="00F52F42" w:rsidRDefault="00F10C6E" w:rsidP="00BD3A73">
            <w:pPr>
              <w:pStyle w:val="AIIndent"/>
              <w:numPr>
                <w:ilvl w:val="0"/>
                <w:numId w:val="33"/>
              </w:numPr>
            </w:pPr>
            <w:r w:rsidRPr="00F97903">
              <w:t>Represent the ACT on Safe Work Australia and its various sub-committees and working groups, and coordinate input to, and activities arising from, the national initiatives to harmonise and implement work health and safety laws and improve workers’ compensation arrangements</w:t>
            </w:r>
            <w:r w:rsidRPr="00F97903">
              <w:rPr>
                <w:vertAlign w:val="superscript"/>
              </w:rPr>
              <w:t>2</w:t>
            </w:r>
          </w:p>
        </w:tc>
        <w:tc>
          <w:tcPr>
            <w:tcW w:w="1433" w:type="dxa"/>
          </w:tcPr>
          <w:p w:rsidR="00F10C6E" w:rsidRPr="00DD3219" w:rsidRDefault="00F10C6E" w:rsidP="004215C7">
            <w:pPr>
              <w:pStyle w:val="AITableText"/>
              <w:spacing w:after="120"/>
            </w:pPr>
            <w:r>
              <w:t>1</w:t>
            </w:r>
            <w:r w:rsidRPr="00DD3219">
              <w:t>0</w:t>
            </w:r>
          </w:p>
        </w:tc>
        <w:tc>
          <w:tcPr>
            <w:tcW w:w="1429" w:type="dxa"/>
          </w:tcPr>
          <w:p w:rsidR="00F10C6E" w:rsidRPr="00DD3219" w:rsidRDefault="00F22E37" w:rsidP="004215C7">
            <w:pPr>
              <w:pStyle w:val="AITableText"/>
              <w:spacing w:after="120"/>
            </w:pPr>
            <w:r>
              <w:t>1</w:t>
            </w:r>
            <w:r w:rsidR="00F10C6E" w:rsidRPr="00DD3219">
              <w:t>0</w:t>
            </w:r>
          </w:p>
        </w:tc>
        <w:tc>
          <w:tcPr>
            <w:tcW w:w="1429" w:type="dxa"/>
          </w:tcPr>
          <w:p w:rsidR="00F10C6E" w:rsidRPr="00F97903" w:rsidRDefault="00F10C6E" w:rsidP="004215C7">
            <w:pPr>
              <w:pStyle w:val="AITableText"/>
              <w:spacing w:after="120"/>
            </w:pPr>
            <w:r>
              <w:t>10</w:t>
            </w:r>
          </w:p>
        </w:tc>
      </w:tr>
      <w:tr w:rsidR="00F10C6E" w:rsidRPr="00CF1A8C" w:rsidTr="004215C7">
        <w:trPr>
          <w:trHeight w:val="480"/>
        </w:trPr>
        <w:tc>
          <w:tcPr>
            <w:tcW w:w="5059" w:type="dxa"/>
          </w:tcPr>
          <w:p w:rsidR="00F52F42" w:rsidRDefault="00F10C6E" w:rsidP="00BD3A73">
            <w:pPr>
              <w:pStyle w:val="AIIndent"/>
              <w:numPr>
                <w:ilvl w:val="0"/>
                <w:numId w:val="33"/>
              </w:numPr>
            </w:pPr>
            <w:r w:rsidRPr="00F97903">
              <w:t>Conduct an actuarial review of the ACT Workers’ Compensation Scheme</w:t>
            </w:r>
            <w:r w:rsidRPr="00F97903">
              <w:rPr>
                <w:vertAlign w:val="superscript"/>
              </w:rPr>
              <w:t>3</w:t>
            </w:r>
          </w:p>
        </w:tc>
        <w:tc>
          <w:tcPr>
            <w:tcW w:w="1433" w:type="dxa"/>
          </w:tcPr>
          <w:p w:rsidR="00F10C6E" w:rsidRPr="00DD3219" w:rsidRDefault="00F10C6E" w:rsidP="004215C7">
            <w:pPr>
              <w:pStyle w:val="AITableText"/>
              <w:spacing w:after="120"/>
            </w:pPr>
            <w:r>
              <w:t>May 2013</w:t>
            </w:r>
          </w:p>
        </w:tc>
        <w:tc>
          <w:tcPr>
            <w:tcW w:w="1429" w:type="dxa"/>
          </w:tcPr>
          <w:p w:rsidR="00F10C6E" w:rsidRPr="00DD3219" w:rsidRDefault="00F22E37" w:rsidP="004215C7">
            <w:pPr>
              <w:pStyle w:val="AITableText"/>
              <w:spacing w:after="120"/>
            </w:pPr>
            <w:r>
              <w:t>Apr 2013</w:t>
            </w:r>
          </w:p>
        </w:tc>
        <w:tc>
          <w:tcPr>
            <w:tcW w:w="1429" w:type="dxa"/>
          </w:tcPr>
          <w:p w:rsidR="00F10C6E" w:rsidRPr="00F97903" w:rsidRDefault="00F10C6E" w:rsidP="004215C7">
            <w:pPr>
              <w:pStyle w:val="AITableText"/>
              <w:spacing w:after="120"/>
            </w:pPr>
            <w:r>
              <w:t>May 2014</w:t>
            </w:r>
          </w:p>
        </w:tc>
      </w:tr>
      <w:tr w:rsidR="00F10C6E" w:rsidRPr="00CF1A8C" w:rsidTr="004215C7">
        <w:trPr>
          <w:trHeight w:val="504"/>
        </w:trPr>
        <w:tc>
          <w:tcPr>
            <w:tcW w:w="5059" w:type="dxa"/>
          </w:tcPr>
          <w:p w:rsidR="00F52F42" w:rsidRDefault="00F10C6E" w:rsidP="00BD3A73">
            <w:pPr>
              <w:pStyle w:val="AIIndent"/>
              <w:numPr>
                <w:ilvl w:val="0"/>
                <w:numId w:val="33"/>
              </w:numPr>
            </w:pPr>
            <w:r w:rsidRPr="00F97903">
              <w:t xml:space="preserve">In accordance with Government directions, make changes to the </w:t>
            </w:r>
            <w:r w:rsidRPr="00F97903">
              <w:rPr>
                <w:i/>
              </w:rPr>
              <w:t>Workers’ Compensation Act 1951</w:t>
            </w:r>
            <w:r w:rsidRPr="00F97903">
              <w:rPr>
                <w:vertAlign w:val="superscript"/>
              </w:rPr>
              <w:t>4</w:t>
            </w:r>
          </w:p>
        </w:tc>
        <w:tc>
          <w:tcPr>
            <w:tcW w:w="1433" w:type="dxa"/>
          </w:tcPr>
          <w:p w:rsidR="00F10C6E" w:rsidRPr="00DD3219" w:rsidRDefault="00F10C6E" w:rsidP="004215C7">
            <w:pPr>
              <w:pStyle w:val="AITableText"/>
              <w:spacing w:after="120"/>
            </w:pPr>
            <w:r>
              <w:t>Jun 2013</w:t>
            </w:r>
          </w:p>
        </w:tc>
        <w:tc>
          <w:tcPr>
            <w:tcW w:w="1429" w:type="dxa"/>
          </w:tcPr>
          <w:p w:rsidR="00F10C6E" w:rsidRPr="00DD3219" w:rsidRDefault="00F22E37" w:rsidP="004215C7">
            <w:pPr>
              <w:pStyle w:val="AITableText"/>
              <w:spacing w:after="120"/>
            </w:pPr>
            <w:r>
              <w:t>Jun 2013</w:t>
            </w:r>
          </w:p>
        </w:tc>
        <w:tc>
          <w:tcPr>
            <w:tcW w:w="1429" w:type="dxa"/>
          </w:tcPr>
          <w:p w:rsidR="00F10C6E" w:rsidRPr="00F97903" w:rsidRDefault="00F10C6E" w:rsidP="004215C7">
            <w:pPr>
              <w:pStyle w:val="AITableText"/>
              <w:spacing w:after="120"/>
            </w:pPr>
            <w:r>
              <w:t>Jun 2014</w:t>
            </w:r>
          </w:p>
        </w:tc>
      </w:tr>
      <w:tr w:rsidR="00F10C6E" w:rsidRPr="00CF1A8C" w:rsidTr="004215C7">
        <w:trPr>
          <w:trHeight w:val="468"/>
        </w:trPr>
        <w:tc>
          <w:tcPr>
            <w:tcW w:w="5059" w:type="dxa"/>
          </w:tcPr>
          <w:p w:rsidR="00F52F42" w:rsidRDefault="00F10C6E" w:rsidP="00BD3A73">
            <w:pPr>
              <w:pStyle w:val="AIIndent"/>
              <w:numPr>
                <w:ilvl w:val="0"/>
                <w:numId w:val="33"/>
              </w:numPr>
            </w:pPr>
            <w:r w:rsidRPr="00F97903">
              <w:t>Provide advice to the Government regarding issues arising from the National Workplace Relations System</w:t>
            </w:r>
            <w:r w:rsidRPr="00F97903">
              <w:rPr>
                <w:vertAlign w:val="superscript"/>
              </w:rPr>
              <w:t>5</w:t>
            </w:r>
          </w:p>
        </w:tc>
        <w:tc>
          <w:tcPr>
            <w:tcW w:w="1433" w:type="dxa"/>
          </w:tcPr>
          <w:p w:rsidR="00F10C6E" w:rsidRPr="00DD3219" w:rsidRDefault="00F10C6E" w:rsidP="004215C7">
            <w:pPr>
              <w:pStyle w:val="AITableText"/>
              <w:spacing w:after="120"/>
            </w:pPr>
            <w:r>
              <w:t>4</w:t>
            </w:r>
          </w:p>
        </w:tc>
        <w:tc>
          <w:tcPr>
            <w:tcW w:w="1429" w:type="dxa"/>
          </w:tcPr>
          <w:p w:rsidR="00F10C6E" w:rsidRPr="00DD3219" w:rsidRDefault="000E1B2E" w:rsidP="004215C7">
            <w:pPr>
              <w:pStyle w:val="AITableText"/>
              <w:spacing w:after="120"/>
            </w:pPr>
            <w:r>
              <w:t>3</w:t>
            </w:r>
          </w:p>
        </w:tc>
        <w:tc>
          <w:tcPr>
            <w:tcW w:w="1429" w:type="dxa"/>
          </w:tcPr>
          <w:p w:rsidR="00F10C6E" w:rsidRPr="00F97903" w:rsidRDefault="00F10C6E" w:rsidP="004215C7">
            <w:pPr>
              <w:pStyle w:val="AITableText"/>
              <w:spacing w:after="120"/>
            </w:pPr>
            <w:r>
              <w:t>4</w:t>
            </w:r>
          </w:p>
        </w:tc>
      </w:tr>
      <w:tr w:rsidR="00F10C6E" w:rsidRPr="00CF1A8C" w:rsidTr="004215C7">
        <w:trPr>
          <w:trHeight w:val="264"/>
        </w:trPr>
        <w:tc>
          <w:tcPr>
            <w:tcW w:w="5059" w:type="dxa"/>
          </w:tcPr>
          <w:p w:rsidR="00F52F42" w:rsidRDefault="00F10C6E" w:rsidP="00BD3A73">
            <w:pPr>
              <w:pStyle w:val="AIIndent"/>
              <w:numPr>
                <w:ilvl w:val="0"/>
                <w:numId w:val="33"/>
              </w:numPr>
            </w:pPr>
            <w:r w:rsidRPr="00F97903">
              <w:t xml:space="preserve">Represent the ACT on national industrial relations </w:t>
            </w:r>
            <w:proofErr w:type="spellStart"/>
            <w:r w:rsidR="008E5761" w:rsidRPr="00F97903">
              <w:t>for</w:t>
            </w:r>
            <w:r w:rsidR="008E5761">
              <w:t>a</w:t>
            </w:r>
            <w:proofErr w:type="spellEnd"/>
            <w:r w:rsidR="008E5761" w:rsidRPr="00F97903">
              <w:t xml:space="preserve"> </w:t>
            </w:r>
            <w:r w:rsidRPr="00F97903">
              <w:t>and coordinate input to, and activities arising from, the National Workplace Relations System</w:t>
            </w:r>
            <w:r w:rsidRPr="00F97903">
              <w:rPr>
                <w:vertAlign w:val="superscript"/>
              </w:rPr>
              <w:t>6</w:t>
            </w:r>
          </w:p>
        </w:tc>
        <w:tc>
          <w:tcPr>
            <w:tcW w:w="1433" w:type="dxa"/>
          </w:tcPr>
          <w:p w:rsidR="00F10C6E" w:rsidRPr="00DD3219" w:rsidRDefault="00F10C6E" w:rsidP="004215C7">
            <w:pPr>
              <w:pStyle w:val="AITableText"/>
              <w:spacing w:after="120"/>
            </w:pPr>
            <w:r>
              <w:t>4</w:t>
            </w:r>
          </w:p>
        </w:tc>
        <w:tc>
          <w:tcPr>
            <w:tcW w:w="1429" w:type="dxa"/>
          </w:tcPr>
          <w:p w:rsidR="00F10C6E" w:rsidRPr="00DD3219" w:rsidRDefault="00F22E37" w:rsidP="004215C7">
            <w:pPr>
              <w:pStyle w:val="AITableText"/>
              <w:spacing w:after="120"/>
            </w:pPr>
            <w:r>
              <w:t>5</w:t>
            </w:r>
          </w:p>
        </w:tc>
        <w:tc>
          <w:tcPr>
            <w:tcW w:w="1429" w:type="dxa"/>
          </w:tcPr>
          <w:p w:rsidR="00F10C6E" w:rsidRPr="00F97903" w:rsidRDefault="00F10C6E" w:rsidP="004215C7">
            <w:pPr>
              <w:pStyle w:val="AITableText"/>
              <w:spacing w:after="120"/>
            </w:pPr>
            <w:r>
              <w:t>4</w:t>
            </w:r>
          </w:p>
        </w:tc>
      </w:tr>
      <w:tr w:rsidR="00F10C6E" w:rsidRPr="00CF1A8C" w:rsidTr="004215C7">
        <w:trPr>
          <w:trHeight w:val="396"/>
        </w:trPr>
        <w:tc>
          <w:tcPr>
            <w:tcW w:w="5059" w:type="dxa"/>
          </w:tcPr>
          <w:p w:rsidR="00F52F42" w:rsidRDefault="00F10C6E" w:rsidP="00BD3A73">
            <w:pPr>
              <w:pStyle w:val="AIIndent"/>
              <w:numPr>
                <w:ilvl w:val="0"/>
                <w:numId w:val="33"/>
              </w:numPr>
            </w:pPr>
            <w:r w:rsidRPr="00F97903">
              <w:t xml:space="preserve">Maintain consultative </w:t>
            </w:r>
            <w:proofErr w:type="spellStart"/>
            <w:r w:rsidRPr="00F97903">
              <w:t>fora</w:t>
            </w:r>
            <w:proofErr w:type="spellEnd"/>
            <w:r w:rsidRPr="00F97903">
              <w:t xml:space="preserve"> within the ACT on workplace safety and on workers’ compensation</w:t>
            </w:r>
            <w:r w:rsidRPr="00F97903">
              <w:rPr>
                <w:vertAlign w:val="superscript"/>
              </w:rPr>
              <w:t>7</w:t>
            </w:r>
          </w:p>
        </w:tc>
        <w:tc>
          <w:tcPr>
            <w:tcW w:w="1433" w:type="dxa"/>
          </w:tcPr>
          <w:p w:rsidR="00F10C6E" w:rsidRPr="00DD3219" w:rsidRDefault="00F10C6E" w:rsidP="004215C7">
            <w:pPr>
              <w:pStyle w:val="AITableText"/>
              <w:spacing w:after="120"/>
            </w:pPr>
            <w:r>
              <w:t>4</w:t>
            </w:r>
          </w:p>
        </w:tc>
        <w:tc>
          <w:tcPr>
            <w:tcW w:w="1429" w:type="dxa"/>
          </w:tcPr>
          <w:p w:rsidR="00F10C6E" w:rsidRPr="00DD3219" w:rsidRDefault="00AD00F2" w:rsidP="004215C7">
            <w:pPr>
              <w:pStyle w:val="AITableText"/>
              <w:spacing w:after="120"/>
            </w:pPr>
            <w:r>
              <w:t>4</w:t>
            </w:r>
          </w:p>
        </w:tc>
        <w:tc>
          <w:tcPr>
            <w:tcW w:w="1429" w:type="dxa"/>
          </w:tcPr>
          <w:p w:rsidR="00F10C6E" w:rsidRPr="00F97903" w:rsidRDefault="00F10C6E" w:rsidP="004215C7">
            <w:pPr>
              <w:pStyle w:val="AITableText"/>
              <w:spacing w:after="120"/>
            </w:pPr>
            <w:r>
              <w:t>4</w:t>
            </w:r>
          </w:p>
        </w:tc>
      </w:tr>
      <w:tr w:rsidR="00F10C6E" w:rsidRPr="00CF1A8C" w:rsidTr="004215C7">
        <w:trPr>
          <w:trHeight w:val="288"/>
        </w:trPr>
        <w:tc>
          <w:tcPr>
            <w:tcW w:w="5059" w:type="dxa"/>
          </w:tcPr>
          <w:p w:rsidR="00F52F42" w:rsidRDefault="00F10C6E" w:rsidP="00BD3A73">
            <w:pPr>
              <w:pStyle w:val="AIIndent"/>
              <w:numPr>
                <w:ilvl w:val="0"/>
                <w:numId w:val="33"/>
              </w:numPr>
            </w:pPr>
            <w:r w:rsidRPr="00F97903">
              <w:t>Provide policy and legislative advice to the Government on issues affecting ACT workers</w:t>
            </w:r>
            <w:r w:rsidRPr="00F97903">
              <w:rPr>
                <w:vertAlign w:val="superscript"/>
              </w:rPr>
              <w:t>8</w:t>
            </w:r>
          </w:p>
        </w:tc>
        <w:tc>
          <w:tcPr>
            <w:tcW w:w="1433" w:type="dxa"/>
          </w:tcPr>
          <w:p w:rsidR="00F10C6E" w:rsidRPr="00DD3219" w:rsidRDefault="00F10C6E" w:rsidP="004215C7">
            <w:pPr>
              <w:pStyle w:val="AITableText"/>
              <w:spacing w:after="120"/>
            </w:pPr>
            <w:r>
              <w:t>4</w:t>
            </w:r>
          </w:p>
        </w:tc>
        <w:tc>
          <w:tcPr>
            <w:tcW w:w="1429" w:type="dxa"/>
          </w:tcPr>
          <w:p w:rsidR="00F10C6E" w:rsidRPr="00DD3219" w:rsidRDefault="000E1B2E" w:rsidP="004215C7">
            <w:pPr>
              <w:pStyle w:val="AITableText"/>
              <w:spacing w:after="120"/>
            </w:pPr>
            <w:r>
              <w:t>6</w:t>
            </w:r>
          </w:p>
        </w:tc>
        <w:tc>
          <w:tcPr>
            <w:tcW w:w="1429" w:type="dxa"/>
          </w:tcPr>
          <w:p w:rsidR="00F10C6E" w:rsidRPr="00F97903" w:rsidRDefault="00F10C6E" w:rsidP="004215C7">
            <w:pPr>
              <w:pStyle w:val="AITableText"/>
              <w:spacing w:after="120"/>
            </w:pPr>
            <w:r>
              <w:t>3</w:t>
            </w:r>
          </w:p>
        </w:tc>
      </w:tr>
      <w:tr w:rsidR="00F10C6E" w:rsidRPr="00CF1A8C" w:rsidTr="004215C7">
        <w:trPr>
          <w:trHeight w:val="264"/>
        </w:trPr>
        <w:tc>
          <w:tcPr>
            <w:tcW w:w="5059" w:type="dxa"/>
          </w:tcPr>
          <w:p w:rsidR="00F52F42" w:rsidRDefault="00F10C6E" w:rsidP="00BD3A73">
            <w:pPr>
              <w:pStyle w:val="AIIndent"/>
              <w:numPr>
                <w:ilvl w:val="0"/>
                <w:numId w:val="33"/>
              </w:numPr>
            </w:pPr>
            <w:r w:rsidRPr="00F97903">
              <w:t>Provide policy and legislative advice to the Government on issues relating to dangerous substances, including chemical, explosives and asbestos regulation</w:t>
            </w:r>
            <w:r w:rsidRPr="00F97903">
              <w:rPr>
                <w:vertAlign w:val="superscript"/>
              </w:rPr>
              <w:t>9</w:t>
            </w:r>
          </w:p>
        </w:tc>
        <w:tc>
          <w:tcPr>
            <w:tcW w:w="1433" w:type="dxa"/>
          </w:tcPr>
          <w:p w:rsidR="00F10C6E" w:rsidRPr="00DD3219" w:rsidRDefault="00F10C6E" w:rsidP="004215C7">
            <w:pPr>
              <w:pStyle w:val="AITableText"/>
              <w:spacing w:after="120"/>
            </w:pPr>
            <w:r>
              <w:t>3</w:t>
            </w:r>
          </w:p>
        </w:tc>
        <w:tc>
          <w:tcPr>
            <w:tcW w:w="1429" w:type="dxa"/>
          </w:tcPr>
          <w:p w:rsidR="00F10C6E" w:rsidRPr="00DD3219" w:rsidRDefault="00F22E37" w:rsidP="004215C7">
            <w:pPr>
              <w:pStyle w:val="AITableText"/>
              <w:spacing w:after="120"/>
            </w:pPr>
            <w:r>
              <w:t>4</w:t>
            </w:r>
          </w:p>
        </w:tc>
        <w:tc>
          <w:tcPr>
            <w:tcW w:w="1429" w:type="dxa"/>
          </w:tcPr>
          <w:p w:rsidR="00F10C6E" w:rsidRPr="00F97903" w:rsidRDefault="00F10C6E" w:rsidP="004215C7">
            <w:pPr>
              <w:pStyle w:val="AITableText"/>
              <w:spacing w:after="120"/>
            </w:pPr>
            <w:r>
              <w:t>3</w:t>
            </w:r>
          </w:p>
        </w:tc>
      </w:tr>
      <w:tr w:rsidR="00F10C6E" w:rsidRPr="00CF1A8C" w:rsidTr="004215C7">
        <w:trPr>
          <w:trHeight w:val="468"/>
        </w:trPr>
        <w:tc>
          <w:tcPr>
            <w:tcW w:w="5059" w:type="dxa"/>
            <w:tcBorders>
              <w:bottom w:val="single" w:sz="4" w:space="0" w:color="auto"/>
            </w:tcBorders>
          </w:tcPr>
          <w:p w:rsidR="00F52F42" w:rsidRDefault="00F10C6E" w:rsidP="00BD3A73">
            <w:pPr>
              <w:pStyle w:val="AIIndent"/>
              <w:numPr>
                <w:ilvl w:val="0"/>
                <w:numId w:val="33"/>
              </w:numPr>
            </w:pPr>
            <w:r>
              <w:t xml:space="preserve">Implement the recommendations of the </w:t>
            </w:r>
            <w:r w:rsidR="00B27BA7" w:rsidRPr="00B27BA7">
              <w:rPr>
                <w:i/>
              </w:rPr>
              <w:t>Getting Home Safely</w:t>
            </w:r>
            <w:r>
              <w:t xml:space="preserve"> Report</w:t>
            </w:r>
            <w:r w:rsidRPr="00D31B7A">
              <w:rPr>
                <w:vertAlign w:val="superscript"/>
              </w:rPr>
              <w:t>10</w:t>
            </w:r>
          </w:p>
        </w:tc>
        <w:tc>
          <w:tcPr>
            <w:tcW w:w="1433" w:type="dxa"/>
            <w:tcBorders>
              <w:bottom w:val="single" w:sz="4" w:space="0" w:color="auto"/>
            </w:tcBorders>
          </w:tcPr>
          <w:p w:rsidR="00F10C6E" w:rsidRPr="00DD3219" w:rsidRDefault="00F10C6E" w:rsidP="004215C7">
            <w:pPr>
              <w:pStyle w:val="AITableText"/>
              <w:spacing w:after="120"/>
            </w:pPr>
            <w:r>
              <w:t>n/a</w:t>
            </w:r>
          </w:p>
        </w:tc>
        <w:tc>
          <w:tcPr>
            <w:tcW w:w="1429" w:type="dxa"/>
            <w:tcBorders>
              <w:bottom w:val="single" w:sz="4" w:space="0" w:color="auto"/>
            </w:tcBorders>
          </w:tcPr>
          <w:p w:rsidR="00F10C6E" w:rsidRPr="00DD3219" w:rsidRDefault="00502B34" w:rsidP="004215C7">
            <w:pPr>
              <w:pStyle w:val="AITableText"/>
              <w:spacing w:after="120"/>
            </w:pPr>
            <w:r>
              <w:t>n/a</w:t>
            </w:r>
          </w:p>
        </w:tc>
        <w:tc>
          <w:tcPr>
            <w:tcW w:w="1429" w:type="dxa"/>
            <w:tcBorders>
              <w:bottom w:val="single" w:sz="4" w:space="0" w:color="auto"/>
            </w:tcBorders>
          </w:tcPr>
          <w:p w:rsidR="00F10C6E" w:rsidRDefault="00F10C6E" w:rsidP="004215C7">
            <w:pPr>
              <w:pStyle w:val="AITableText"/>
              <w:spacing w:after="120"/>
            </w:pPr>
            <w:r>
              <w:t>6</w:t>
            </w:r>
          </w:p>
        </w:tc>
      </w:tr>
    </w:tbl>
    <w:p w:rsidR="003A1A1F" w:rsidRDefault="00F10C6E">
      <w:pPr>
        <w:pStyle w:val="NoteHeading0"/>
      </w:pPr>
      <w:r w:rsidRPr="003668A8">
        <w:t>Note</w:t>
      </w:r>
      <w:r w:rsidR="00C0471E">
        <w:t>s</w:t>
      </w:r>
      <w:r w:rsidRPr="003668A8">
        <w:t>:</w:t>
      </w:r>
    </w:p>
    <w:p w:rsidR="00F52F42" w:rsidRDefault="00F10C6E" w:rsidP="00E84262">
      <w:pPr>
        <w:pStyle w:val="AINotes"/>
        <w:numPr>
          <w:ilvl w:val="0"/>
          <w:numId w:val="36"/>
        </w:numPr>
      </w:pPr>
      <w:r w:rsidRPr="007C77E1">
        <w:t>This measure covers the preparation of briefing papers to the Government on significant national developments in workplace safety, including those requiring amendments to ACT legislation.  This measure is counted as complete when submissions are lodged with the Government.  The scope, delivery and timing of these submissions will depend on the nature of emerging priorities during the year that impact on resources and scheduled projects.</w:t>
      </w:r>
    </w:p>
    <w:p w:rsidR="00F52F42" w:rsidRDefault="00F10C6E" w:rsidP="00E84262">
      <w:pPr>
        <w:pStyle w:val="AINotes"/>
        <w:numPr>
          <w:ilvl w:val="0"/>
          <w:numId w:val="19"/>
        </w:numPr>
      </w:pPr>
      <w:r w:rsidRPr="007C77E1">
        <w:t xml:space="preserve">This measure covers preparation for, and attendance at, meetings of Safe Work Australia, meetings of the Strategic Issues </w:t>
      </w:r>
      <w:r w:rsidR="00BF6275">
        <w:t>Group, and meetings of various technical advisory g</w:t>
      </w:r>
      <w:r w:rsidRPr="007C77E1">
        <w:t>roups established to harmonise work safety legislation and improve workers’ compensation arrangements.  This measure is considered complete with attendance at meetings.</w:t>
      </w:r>
    </w:p>
    <w:p w:rsidR="00B05A4A" w:rsidRDefault="00F10C6E" w:rsidP="00E84262">
      <w:pPr>
        <w:pStyle w:val="AINotes"/>
        <w:numPr>
          <w:ilvl w:val="0"/>
          <w:numId w:val="19"/>
        </w:numPr>
      </w:pPr>
      <w:r w:rsidRPr="007C77E1">
        <w:t xml:space="preserve">This measure covers review of the performance of the ACT Workers’ Compensation Scheme and consideration of the broader implications of these findings.  The measure is considered complete on receipt of the actuarial analysis and reporting to the Minister for </w:t>
      </w:r>
      <w:r w:rsidR="00226D11">
        <w:t xml:space="preserve">Workplace Safety and </w:t>
      </w:r>
      <w:r w:rsidRPr="007C77E1">
        <w:t>Industrial Relations.</w:t>
      </w:r>
    </w:p>
    <w:p w:rsidR="00B05A4A" w:rsidRDefault="00B05A4A">
      <w:pPr>
        <w:spacing w:after="200" w:line="276" w:lineRule="auto"/>
        <w:rPr>
          <w:sz w:val="16"/>
        </w:rPr>
      </w:pPr>
      <w:r>
        <w:br w:type="page"/>
      </w:r>
    </w:p>
    <w:p w:rsidR="00B05A4A" w:rsidRPr="007329DD" w:rsidRDefault="00B05A4A" w:rsidP="00B05A4A">
      <w:pPr>
        <w:pStyle w:val="Heading3"/>
        <w:spacing w:after="120"/>
      </w:pPr>
      <w:proofErr w:type="gramStart"/>
      <w:r w:rsidRPr="007329DD">
        <w:lastRenderedPageBreak/>
        <w:t>Accountability Indicators</w:t>
      </w:r>
      <w:r>
        <w:t xml:space="preserve"> cont.</w:t>
      </w:r>
      <w:proofErr w:type="gramEnd"/>
    </w:p>
    <w:p w:rsidR="001447A7" w:rsidRDefault="00F10C6E" w:rsidP="00E84262">
      <w:pPr>
        <w:pStyle w:val="AINotes"/>
        <w:numPr>
          <w:ilvl w:val="0"/>
          <w:numId w:val="36"/>
        </w:numPr>
      </w:pPr>
      <w:r w:rsidRPr="007C77E1">
        <w:t xml:space="preserve">This measure covers the development of amendments to the </w:t>
      </w:r>
      <w:r w:rsidRPr="001419BF">
        <w:rPr>
          <w:i/>
        </w:rPr>
        <w:t>Workers’ Compensation Act 1951</w:t>
      </w:r>
      <w:r w:rsidRPr="007C77E1">
        <w:t xml:space="preserve">, which are intended to improve the overall efficiency and effectiveness of the </w:t>
      </w:r>
      <w:r w:rsidR="00224FF2">
        <w:t>W</w:t>
      </w:r>
      <w:r w:rsidRPr="007C77E1">
        <w:t xml:space="preserve">orkers’ </w:t>
      </w:r>
      <w:r w:rsidR="00224FF2">
        <w:t>C</w:t>
      </w:r>
      <w:r w:rsidRPr="007C77E1">
        <w:t xml:space="preserve">ompensation </w:t>
      </w:r>
      <w:r w:rsidR="00224FF2">
        <w:t>S</w:t>
      </w:r>
      <w:r w:rsidRPr="007C77E1">
        <w:t>cheme.  The measure is considered complete when the submission to the Government proposing amendments is finalised following external consultation.</w:t>
      </w:r>
    </w:p>
    <w:p w:rsidR="00F52F42" w:rsidRDefault="00F10C6E" w:rsidP="00E84262">
      <w:pPr>
        <w:pStyle w:val="AINotes"/>
        <w:numPr>
          <w:ilvl w:val="0"/>
          <w:numId w:val="36"/>
        </w:numPr>
      </w:pPr>
      <w:r w:rsidRPr="007C77E1">
        <w:t xml:space="preserve">This measure covers the provision of advice to the Government on the progress of any amendments to the </w:t>
      </w:r>
      <w:r w:rsidRPr="001419BF">
        <w:rPr>
          <w:i/>
        </w:rPr>
        <w:t>Fair Work Act 2009</w:t>
      </w:r>
      <w:r w:rsidRPr="007C77E1">
        <w:t>, and any other issues arising in relation to the national workplace relation laws.  The measure is considered complete on provision of briefs and other advice to the Government on progress.  The subject, number and timing of the briefings will depend on the nature of emerging priorities during the year that impact on resources.</w:t>
      </w:r>
    </w:p>
    <w:p w:rsidR="00F52F42" w:rsidRDefault="00F10C6E" w:rsidP="00E84262">
      <w:pPr>
        <w:pStyle w:val="AINotes"/>
        <w:numPr>
          <w:ilvl w:val="0"/>
          <w:numId w:val="36"/>
        </w:numPr>
      </w:pPr>
      <w:r w:rsidRPr="007C77E1">
        <w:t xml:space="preserve">This measure covers the ACT’s participation and involvement in the various federally sponsored </w:t>
      </w:r>
      <w:proofErr w:type="spellStart"/>
      <w:r w:rsidRPr="007C77E1">
        <w:t>fora</w:t>
      </w:r>
      <w:proofErr w:type="spellEnd"/>
      <w:r w:rsidRPr="007C77E1">
        <w:t xml:space="preserve"> on the administration of the </w:t>
      </w:r>
      <w:r w:rsidR="00BF6275" w:rsidRPr="001419BF">
        <w:rPr>
          <w:i/>
        </w:rPr>
        <w:t>Fair </w:t>
      </w:r>
      <w:r w:rsidRPr="001419BF">
        <w:rPr>
          <w:i/>
        </w:rPr>
        <w:t>Work Act 2009</w:t>
      </w:r>
      <w:r w:rsidRPr="007C77E1">
        <w:t>.  The scope, delivery and timing of these submissions will depend on the nature of emerging priorities during the year that impact on resources and scheduled projects.</w:t>
      </w:r>
    </w:p>
    <w:p w:rsidR="00F52F42" w:rsidRDefault="00F10C6E" w:rsidP="00E84262">
      <w:pPr>
        <w:pStyle w:val="AINotes"/>
        <w:numPr>
          <w:ilvl w:val="0"/>
          <w:numId w:val="36"/>
        </w:numPr>
      </w:pPr>
      <w:r w:rsidRPr="007C77E1">
        <w:t>This measure covers the secretariat role of Work Safety Policy Section to the ACT Work Safety Council, supporting four meetings of the Council.  The measure is considered complete when Council meetings are held and minutes agreed.</w:t>
      </w:r>
      <w:r w:rsidR="00B53E7D">
        <w:t xml:space="preserve"> </w:t>
      </w:r>
    </w:p>
    <w:p w:rsidR="00F52F42" w:rsidRDefault="00F10C6E" w:rsidP="00E84262">
      <w:pPr>
        <w:pStyle w:val="AINotes"/>
        <w:numPr>
          <w:ilvl w:val="0"/>
          <w:numId w:val="36"/>
        </w:numPr>
      </w:pPr>
      <w:r w:rsidRPr="007C77E1">
        <w:t>This measure covers advice on local industrial relations matters including portable long service leave, public holidays, daylight saving and workers’ compensation.</w:t>
      </w:r>
      <w:r w:rsidR="00B53E7D">
        <w:t xml:space="preserve"> </w:t>
      </w:r>
      <w:r w:rsidR="00BF6275">
        <w:t xml:space="preserve"> </w:t>
      </w:r>
      <w:r w:rsidR="00B53E7D">
        <w:t>During 2012-13, additional advices were provided on Public Holidays and the Long Service Leave Levy.</w:t>
      </w:r>
    </w:p>
    <w:p w:rsidR="00F52F42" w:rsidRDefault="00F10C6E" w:rsidP="00E84262">
      <w:pPr>
        <w:pStyle w:val="AINotes"/>
        <w:numPr>
          <w:ilvl w:val="0"/>
          <w:numId w:val="36"/>
        </w:numPr>
      </w:pPr>
      <w:r w:rsidRPr="007C77E1">
        <w:t xml:space="preserve">This measure covers advice on the </w:t>
      </w:r>
      <w:r w:rsidRPr="001419BF">
        <w:rPr>
          <w:i/>
        </w:rPr>
        <w:t>Dangerous Substances Act 2004</w:t>
      </w:r>
      <w:r w:rsidRPr="007C77E1">
        <w:t>, including chemical explosives and asbestos regulation.</w:t>
      </w:r>
    </w:p>
    <w:p w:rsidR="00EB4C42" w:rsidRDefault="00F10C6E" w:rsidP="00E84262">
      <w:pPr>
        <w:pStyle w:val="AINotes"/>
        <w:numPr>
          <w:ilvl w:val="0"/>
          <w:numId w:val="36"/>
        </w:numPr>
        <w:spacing w:after="60"/>
      </w:pPr>
      <w:r>
        <w:t xml:space="preserve">New measure.  This measure covers the preparation of advice to </w:t>
      </w:r>
      <w:r w:rsidR="00226D11">
        <w:t xml:space="preserve">the </w:t>
      </w:r>
      <w:r>
        <w:t xml:space="preserve">Government on the implementation of the recommendations stemming from </w:t>
      </w:r>
      <w:r w:rsidRPr="0055016D">
        <w:t>the</w:t>
      </w:r>
      <w:r w:rsidR="00B27BA7" w:rsidRPr="001419BF">
        <w:t xml:space="preserve"> </w:t>
      </w:r>
      <w:r w:rsidR="00B27BA7" w:rsidRPr="001419BF">
        <w:rPr>
          <w:i/>
        </w:rPr>
        <w:t>Getting Home Safely</w:t>
      </w:r>
      <w:r>
        <w:t xml:space="preserve"> Report, including preparation of papers and attendance at steering committee meetings and briefings for Government.  This measure is considered counted as complete when minutes of meetings are accepted and submissions lodged with </w:t>
      </w:r>
      <w:r w:rsidR="00226D11">
        <w:t xml:space="preserve">the </w:t>
      </w:r>
      <w:r>
        <w:t>Government.</w:t>
      </w:r>
    </w:p>
    <w:tbl>
      <w:tblPr>
        <w:tblW w:w="9356" w:type="dxa"/>
        <w:tblLook w:val="0000"/>
      </w:tblPr>
      <w:tblGrid>
        <w:gridCol w:w="5066"/>
        <w:gridCol w:w="1430"/>
        <w:gridCol w:w="1430"/>
        <w:gridCol w:w="1430"/>
      </w:tblGrid>
      <w:tr w:rsidR="00F10C6E" w:rsidRPr="00CF1A8C" w:rsidTr="00A54D1D">
        <w:tc>
          <w:tcPr>
            <w:tcW w:w="5063" w:type="dxa"/>
            <w:tcBorders>
              <w:top w:val="single" w:sz="4" w:space="0" w:color="auto"/>
              <w:bottom w:val="single" w:sz="4" w:space="0" w:color="auto"/>
            </w:tcBorders>
          </w:tcPr>
          <w:p w:rsidR="00F10C6E" w:rsidRPr="00CF1A8C" w:rsidRDefault="00F10C6E" w:rsidP="00F10C6E">
            <w:pPr>
              <w:pStyle w:val="Heading7"/>
            </w:pPr>
          </w:p>
        </w:tc>
        <w:tc>
          <w:tcPr>
            <w:tcW w:w="1429" w:type="dxa"/>
            <w:tcBorders>
              <w:top w:val="single" w:sz="4" w:space="0" w:color="auto"/>
              <w:bottom w:val="single" w:sz="4" w:space="0" w:color="auto"/>
            </w:tcBorders>
          </w:tcPr>
          <w:p w:rsidR="00F10C6E" w:rsidRPr="00CF1A8C" w:rsidRDefault="00F10C6E" w:rsidP="00F10C6E">
            <w:pPr>
              <w:pStyle w:val="Heading6"/>
            </w:pPr>
            <w:r>
              <w:t>2012-13</w:t>
            </w:r>
          </w:p>
          <w:p w:rsidR="003A1A1F" w:rsidRDefault="00F10C6E">
            <w:pPr>
              <w:pStyle w:val="Heading6"/>
            </w:pPr>
            <w:r w:rsidRPr="00CF1A8C">
              <w:t>Targets</w:t>
            </w:r>
          </w:p>
        </w:tc>
        <w:tc>
          <w:tcPr>
            <w:tcW w:w="1429" w:type="dxa"/>
            <w:tcBorders>
              <w:top w:val="single" w:sz="4" w:space="0" w:color="auto"/>
              <w:bottom w:val="single" w:sz="4" w:space="0" w:color="auto"/>
            </w:tcBorders>
          </w:tcPr>
          <w:p w:rsidR="00F10C6E" w:rsidRPr="00CF1A8C" w:rsidRDefault="00F10C6E" w:rsidP="00F10C6E">
            <w:pPr>
              <w:pStyle w:val="Heading6"/>
            </w:pPr>
            <w:r>
              <w:t>2012-13</w:t>
            </w:r>
          </w:p>
          <w:p w:rsidR="003A1A1F" w:rsidRDefault="00F10C6E">
            <w:pPr>
              <w:pStyle w:val="Heading6"/>
            </w:pPr>
            <w:r w:rsidRPr="00CF1A8C">
              <w:t>Est. Outcome</w:t>
            </w:r>
          </w:p>
        </w:tc>
        <w:tc>
          <w:tcPr>
            <w:tcW w:w="1429" w:type="dxa"/>
            <w:tcBorders>
              <w:top w:val="single" w:sz="4" w:space="0" w:color="auto"/>
              <w:bottom w:val="single" w:sz="4" w:space="0" w:color="auto"/>
            </w:tcBorders>
          </w:tcPr>
          <w:p w:rsidR="00F10C6E" w:rsidRPr="00CF1A8C" w:rsidRDefault="00F10C6E" w:rsidP="00F10C6E">
            <w:pPr>
              <w:pStyle w:val="Heading6"/>
            </w:pPr>
            <w:r>
              <w:t>2013-14</w:t>
            </w:r>
          </w:p>
          <w:p w:rsidR="003A1A1F" w:rsidRDefault="00F10C6E">
            <w:pPr>
              <w:pStyle w:val="Heading6"/>
            </w:pPr>
            <w:r w:rsidRPr="00CF1A8C">
              <w:t>Targets</w:t>
            </w:r>
          </w:p>
        </w:tc>
      </w:tr>
      <w:tr w:rsidR="00C0471E" w:rsidRPr="00CF1A8C" w:rsidTr="00A54D1D">
        <w:tc>
          <w:tcPr>
            <w:tcW w:w="5063" w:type="dxa"/>
            <w:tcBorders>
              <w:top w:val="single" w:sz="4" w:space="0" w:color="auto"/>
              <w:bottom w:val="single" w:sz="4" w:space="0" w:color="auto"/>
            </w:tcBorders>
          </w:tcPr>
          <w:p w:rsidR="00C0471E" w:rsidRPr="00CF1A8C" w:rsidRDefault="00C0471E" w:rsidP="00E84262">
            <w:pPr>
              <w:pStyle w:val="Heading7"/>
              <w:ind w:left="0" w:firstLine="0"/>
            </w:pPr>
            <w:r w:rsidRPr="00C0471E">
              <w:t>Output 1.4: Coordinated Communications and Community Engagement</w:t>
            </w:r>
          </w:p>
        </w:tc>
        <w:tc>
          <w:tcPr>
            <w:tcW w:w="1429" w:type="dxa"/>
            <w:tcBorders>
              <w:top w:val="single" w:sz="4" w:space="0" w:color="auto"/>
              <w:bottom w:val="single" w:sz="4" w:space="0" w:color="auto"/>
            </w:tcBorders>
          </w:tcPr>
          <w:p w:rsidR="00C0471E" w:rsidRDefault="00C0471E" w:rsidP="00F10C6E">
            <w:pPr>
              <w:pStyle w:val="Heading6"/>
            </w:pPr>
          </w:p>
        </w:tc>
        <w:tc>
          <w:tcPr>
            <w:tcW w:w="1429" w:type="dxa"/>
            <w:tcBorders>
              <w:top w:val="single" w:sz="4" w:space="0" w:color="auto"/>
              <w:bottom w:val="single" w:sz="4" w:space="0" w:color="auto"/>
            </w:tcBorders>
          </w:tcPr>
          <w:p w:rsidR="00C0471E" w:rsidRDefault="00C0471E" w:rsidP="00F10C6E">
            <w:pPr>
              <w:pStyle w:val="Heading6"/>
            </w:pPr>
          </w:p>
        </w:tc>
        <w:tc>
          <w:tcPr>
            <w:tcW w:w="1429" w:type="dxa"/>
            <w:tcBorders>
              <w:top w:val="single" w:sz="4" w:space="0" w:color="auto"/>
              <w:bottom w:val="single" w:sz="4" w:space="0" w:color="auto"/>
            </w:tcBorders>
          </w:tcPr>
          <w:p w:rsidR="00C0471E" w:rsidRDefault="00C0471E" w:rsidP="00F10C6E">
            <w:pPr>
              <w:pStyle w:val="Heading6"/>
            </w:pPr>
          </w:p>
        </w:tc>
      </w:tr>
      <w:tr w:rsidR="00F10C6E" w:rsidRPr="00CF1A8C" w:rsidTr="00A54D1D">
        <w:trPr>
          <w:gridAfter w:val="3"/>
          <w:wAfter w:w="4287" w:type="dxa"/>
          <w:trHeight w:hRule="exact" w:val="57"/>
        </w:trPr>
        <w:tc>
          <w:tcPr>
            <w:tcW w:w="5063" w:type="dxa"/>
          </w:tcPr>
          <w:p w:rsidR="00F10C6E" w:rsidRPr="00CF1A8C" w:rsidRDefault="00F10C6E" w:rsidP="00F10C6E">
            <w:pPr>
              <w:pStyle w:val="Heading7"/>
            </w:pPr>
          </w:p>
        </w:tc>
      </w:tr>
      <w:tr w:rsidR="00F10C6E" w:rsidRPr="00CF1A8C" w:rsidTr="00A54D1D">
        <w:tc>
          <w:tcPr>
            <w:tcW w:w="5063" w:type="dxa"/>
          </w:tcPr>
          <w:p w:rsidR="00F52F42" w:rsidRDefault="00F10C6E" w:rsidP="00BD3A73">
            <w:pPr>
              <w:pStyle w:val="AIIndent"/>
              <w:numPr>
                <w:ilvl w:val="0"/>
                <w:numId w:val="32"/>
              </w:numPr>
            </w:pPr>
            <w:r w:rsidRPr="00F97903">
              <w:t>Deliver annual city-wide whole</w:t>
            </w:r>
            <w:r w:rsidR="004215C7">
              <w:t xml:space="preserve"> </w:t>
            </w:r>
            <w:r w:rsidRPr="00F97903">
              <w:t>of</w:t>
            </w:r>
            <w:r w:rsidR="004215C7">
              <w:t xml:space="preserve"> </w:t>
            </w:r>
            <w:r w:rsidRPr="00F97903">
              <w:t>government newsletter</w:t>
            </w:r>
            <w:r w:rsidRPr="006E0447">
              <w:rPr>
                <w:vertAlign w:val="superscript"/>
              </w:rPr>
              <w:t>1</w:t>
            </w:r>
          </w:p>
        </w:tc>
        <w:tc>
          <w:tcPr>
            <w:tcW w:w="1429" w:type="dxa"/>
          </w:tcPr>
          <w:p w:rsidR="00F10C6E" w:rsidRPr="00DD3219" w:rsidRDefault="00F10C6E" w:rsidP="004215C7">
            <w:pPr>
              <w:pStyle w:val="AITableText"/>
              <w:spacing w:after="120"/>
            </w:pPr>
            <w:r w:rsidRPr="00F97903">
              <w:t>Mar 201</w:t>
            </w:r>
            <w:r>
              <w:t>3</w:t>
            </w:r>
          </w:p>
        </w:tc>
        <w:tc>
          <w:tcPr>
            <w:tcW w:w="1429" w:type="dxa"/>
          </w:tcPr>
          <w:p w:rsidR="00F10C6E" w:rsidRPr="00DD3219" w:rsidRDefault="00AD00F2" w:rsidP="004215C7">
            <w:pPr>
              <w:pStyle w:val="AITableText"/>
              <w:spacing w:after="120"/>
            </w:pPr>
            <w:r>
              <w:t>Mar 2013</w:t>
            </w:r>
          </w:p>
        </w:tc>
        <w:tc>
          <w:tcPr>
            <w:tcW w:w="1429" w:type="dxa"/>
          </w:tcPr>
          <w:p w:rsidR="00F10C6E" w:rsidRPr="00F97903" w:rsidRDefault="008406B6" w:rsidP="004215C7">
            <w:pPr>
              <w:pStyle w:val="AITableText"/>
              <w:spacing w:after="120"/>
            </w:pPr>
            <w:r>
              <w:t>n/a</w:t>
            </w:r>
          </w:p>
        </w:tc>
      </w:tr>
      <w:tr w:rsidR="00F10C6E" w:rsidRPr="00CF1A8C" w:rsidTr="00A54D1D">
        <w:tc>
          <w:tcPr>
            <w:tcW w:w="5063" w:type="dxa"/>
          </w:tcPr>
          <w:p w:rsidR="00F52F42" w:rsidRDefault="00F10C6E" w:rsidP="00BD3A73">
            <w:pPr>
              <w:pStyle w:val="AIIndent"/>
              <w:numPr>
                <w:ilvl w:val="0"/>
                <w:numId w:val="32"/>
              </w:numPr>
            </w:pPr>
            <w:r w:rsidRPr="00F97903">
              <w:t>Quarterly reporting to Government on Centenary of Canberra progress</w:t>
            </w:r>
            <w:r w:rsidRPr="00F97903">
              <w:rPr>
                <w:vertAlign w:val="superscript"/>
              </w:rPr>
              <w:t>2</w:t>
            </w:r>
          </w:p>
        </w:tc>
        <w:tc>
          <w:tcPr>
            <w:tcW w:w="1429" w:type="dxa"/>
          </w:tcPr>
          <w:p w:rsidR="00F10C6E" w:rsidRPr="00DD3219" w:rsidRDefault="00F10C6E" w:rsidP="004215C7">
            <w:pPr>
              <w:pStyle w:val="AITableText"/>
              <w:spacing w:after="120"/>
            </w:pPr>
            <w:r>
              <w:t>4</w:t>
            </w:r>
          </w:p>
        </w:tc>
        <w:tc>
          <w:tcPr>
            <w:tcW w:w="1429" w:type="dxa"/>
          </w:tcPr>
          <w:p w:rsidR="00F10C6E" w:rsidRPr="00DD3219" w:rsidRDefault="00D460B3" w:rsidP="004215C7">
            <w:pPr>
              <w:pStyle w:val="AITableText"/>
              <w:spacing w:after="120"/>
            </w:pPr>
            <w:r>
              <w:t>4</w:t>
            </w:r>
          </w:p>
        </w:tc>
        <w:tc>
          <w:tcPr>
            <w:tcW w:w="1429" w:type="dxa"/>
          </w:tcPr>
          <w:p w:rsidR="00F10C6E" w:rsidRPr="00F97903" w:rsidRDefault="00F10C6E" w:rsidP="004215C7">
            <w:pPr>
              <w:pStyle w:val="AITableText"/>
              <w:spacing w:after="120"/>
            </w:pPr>
            <w:r w:rsidRPr="00F97903">
              <w:t>2</w:t>
            </w:r>
          </w:p>
        </w:tc>
      </w:tr>
      <w:tr w:rsidR="00F10C6E" w:rsidRPr="00CF1A8C" w:rsidTr="00A54D1D">
        <w:trPr>
          <w:trHeight w:val="480"/>
        </w:trPr>
        <w:tc>
          <w:tcPr>
            <w:tcW w:w="5063" w:type="dxa"/>
          </w:tcPr>
          <w:p w:rsidR="00F52F42" w:rsidRDefault="00F10C6E" w:rsidP="00BD3A73">
            <w:pPr>
              <w:pStyle w:val="AIIndent"/>
              <w:numPr>
                <w:ilvl w:val="0"/>
                <w:numId w:val="32"/>
              </w:numPr>
            </w:pPr>
            <w:r w:rsidRPr="00F97903">
              <w:t xml:space="preserve">Average number of visits per month to the </w:t>
            </w:r>
            <w:r w:rsidRPr="00F97903">
              <w:rPr>
                <w:i/>
              </w:rPr>
              <w:t xml:space="preserve">Time to Talk Canberra </w:t>
            </w:r>
            <w:r w:rsidRPr="00F97903">
              <w:t>website</w:t>
            </w:r>
            <w:r w:rsidRPr="00F97903">
              <w:rPr>
                <w:vertAlign w:val="superscript"/>
              </w:rPr>
              <w:t>3</w:t>
            </w:r>
          </w:p>
        </w:tc>
        <w:tc>
          <w:tcPr>
            <w:tcW w:w="1429" w:type="dxa"/>
          </w:tcPr>
          <w:p w:rsidR="00F10C6E" w:rsidRPr="00DD3219" w:rsidRDefault="00F10C6E" w:rsidP="004215C7">
            <w:pPr>
              <w:pStyle w:val="AITableText"/>
              <w:spacing w:after="120"/>
            </w:pPr>
            <w:r w:rsidRPr="00F97903">
              <w:t>2,200</w:t>
            </w:r>
          </w:p>
        </w:tc>
        <w:tc>
          <w:tcPr>
            <w:tcW w:w="1429" w:type="dxa"/>
          </w:tcPr>
          <w:p w:rsidR="00F10C6E" w:rsidRPr="00DD3219" w:rsidRDefault="006D2083" w:rsidP="004215C7">
            <w:pPr>
              <w:pStyle w:val="AITableText"/>
              <w:spacing w:after="120"/>
            </w:pPr>
            <w:r>
              <w:t>2,6</w:t>
            </w:r>
            <w:r w:rsidR="00067A81">
              <w:t>80</w:t>
            </w:r>
          </w:p>
        </w:tc>
        <w:tc>
          <w:tcPr>
            <w:tcW w:w="1429" w:type="dxa"/>
          </w:tcPr>
          <w:p w:rsidR="00F10C6E" w:rsidRPr="00F97903" w:rsidRDefault="00F10C6E" w:rsidP="004215C7">
            <w:pPr>
              <w:pStyle w:val="AITableText"/>
              <w:spacing w:after="120"/>
            </w:pPr>
            <w:r w:rsidRPr="00F97903">
              <w:t>2,200</w:t>
            </w:r>
          </w:p>
        </w:tc>
      </w:tr>
      <w:tr w:rsidR="00A55BCE" w:rsidRPr="00CF1A8C" w:rsidTr="00A54D1D">
        <w:trPr>
          <w:trHeight w:val="480"/>
        </w:trPr>
        <w:tc>
          <w:tcPr>
            <w:tcW w:w="5063" w:type="dxa"/>
            <w:tcBorders>
              <w:bottom w:val="single" w:sz="4" w:space="0" w:color="auto"/>
            </w:tcBorders>
          </w:tcPr>
          <w:p w:rsidR="00A55BCE" w:rsidRPr="00F97903" w:rsidRDefault="00A55BCE" w:rsidP="00BD3A73">
            <w:pPr>
              <w:pStyle w:val="AIIndent"/>
              <w:numPr>
                <w:ilvl w:val="0"/>
                <w:numId w:val="32"/>
              </w:numPr>
            </w:pPr>
            <w:r>
              <w:t>Deliver two city</w:t>
            </w:r>
            <w:r>
              <w:noBreakHyphen/>
              <w:t>wide whole of government newsletters</w:t>
            </w:r>
            <w:r>
              <w:rPr>
                <w:vertAlign w:val="superscript"/>
              </w:rPr>
              <w:t>4</w:t>
            </w:r>
          </w:p>
        </w:tc>
        <w:tc>
          <w:tcPr>
            <w:tcW w:w="1429" w:type="dxa"/>
            <w:tcBorders>
              <w:bottom w:val="single" w:sz="4" w:space="0" w:color="auto"/>
            </w:tcBorders>
          </w:tcPr>
          <w:p w:rsidR="00A55BCE" w:rsidRPr="00F97903" w:rsidRDefault="00A55BCE" w:rsidP="004215C7">
            <w:pPr>
              <w:pStyle w:val="AITableText"/>
              <w:spacing w:after="120"/>
            </w:pPr>
            <w:r>
              <w:t>n/a</w:t>
            </w:r>
          </w:p>
        </w:tc>
        <w:tc>
          <w:tcPr>
            <w:tcW w:w="1429" w:type="dxa"/>
            <w:tcBorders>
              <w:bottom w:val="single" w:sz="4" w:space="0" w:color="auto"/>
            </w:tcBorders>
          </w:tcPr>
          <w:p w:rsidR="00A55BCE" w:rsidRDefault="00A55BCE" w:rsidP="004215C7">
            <w:pPr>
              <w:pStyle w:val="AITableText"/>
              <w:spacing w:after="120"/>
            </w:pPr>
            <w:r>
              <w:t>n/a</w:t>
            </w:r>
          </w:p>
        </w:tc>
        <w:tc>
          <w:tcPr>
            <w:tcW w:w="1429" w:type="dxa"/>
            <w:tcBorders>
              <w:bottom w:val="single" w:sz="4" w:space="0" w:color="auto"/>
            </w:tcBorders>
          </w:tcPr>
          <w:p w:rsidR="00A55BCE" w:rsidRDefault="00A55BCE" w:rsidP="00A55BCE">
            <w:pPr>
              <w:pStyle w:val="AITableText"/>
            </w:pPr>
            <w:r>
              <w:t>Sep 2013</w:t>
            </w:r>
          </w:p>
          <w:p w:rsidR="00A55BCE" w:rsidRPr="00F97903" w:rsidRDefault="00A55BCE" w:rsidP="00A55BCE">
            <w:pPr>
              <w:pStyle w:val="AITableText"/>
            </w:pPr>
            <w:r>
              <w:t>Mar 2014</w:t>
            </w:r>
          </w:p>
        </w:tc>
      </w:tr>
    </w:tbl>
    <w:p w:rsidR="003A1A1F" w:rsidRDefault="00F10C6E">
      <w:pPr>
        <w:pStyle w:val="NoteHeading0"/>
      </w:pPr>
      <w:r w:rsidRPr="003668A8">
        <w:t>Note</w:t>
      </w:r>
      <w:r w:rsidR="004215C7">
        <w:t>s</w:t>
      </w:r>
      <w:r w:rsidRPr="003668A8">
        <w:t>:</w:t>
      </w:r>
    </w:p>
    <w:p w:rsidR="00F52F42" w:rsidRDefault="00A55BCE" w:rsidP="00BD3A73">
      <w:pPr>
        <w:pStyle w:val="AINotes"/>
        <w:numPr>
          <w:ilvl w:val="0"/>
          <w:numId w:val="29"/>
        </w:numPr>
        <w:jc w:val="left"/>
      </w:pPr>
      <w:r>
        <w:t xml:space="preserve">Discontinued Measure.  </w:t>
      </w:r>
      <w:r w:rsidR="00F10C6E" w:rsidRPr="00480E5C">
        <w:t xml:space="preserve">This measure covers the production and distribution of the annual </w:t>
      </w:r>
      <w:r w:rsidR="00B27BA7" w:rsidRPr="00B27BA7">
        <w:rPr>
          <w:i/>
        </w:rPr>
        <w:t>Our City, Our Community</w:t>
      </w:r>
      <w:r w:rsidR="00F10C6E" w:rsidRPr="00480E5C">
        <w:t xml:space="preserve"> newsletter providing information to ACT residents on the activities of the Government over the past twelve months, and outlining upcoming programs, initiatives and events.</w:t>
      </w:r>
    </w:p>
    <w:p w:rsidR="00F52F42" w:rsidRDefault="00F10C6E" w:rsidP="00BD3A73">
      <w:pPr>
        <w:pStyle w:val="AINotes"/>
        <w:numPr>
          <w:ilvl w:val="0"/>
          <w:numId w:val="29"/>
        </w:numPr>
        <w:jc w:val="left"/>
      </w:pPr>
      <w:r w:rsidRPr="00480E5C">
        <w:t xml:space="preserve">This measure covers the </w:t>
      </w:r>
      <w:r w:rsidRPr="00480E5C">
        <w:rPr>
          <w:szCs w:val="24"/>
        </w:rPr>
        <w:t>provision</w:t>
      </w:r>
      <w:r w:rsidRPr="00480E5C">
        <w:t xml:space="preserve"> of information updates to Government on the Centenary of Canberra program</w:t>
      </w:r>
      <w:r>
        <w:t xml:space="preserve"> during 2013</w:t>
      </w:r>
      <w:r w:rsidRPr="00480E5C">
        <w:t>.</w:t>
      </w:r>
    </w:p>
    <w:p w:rsidR="00F52F42" w:rsidRDefault="00F10C6E" w:rsidP="00642107">
      <w:pPr>
        <w:pStyle w:val="AINotes"/>
        <w:numPr>
          <w:ilvl w:val="0"/>
          <w:numId w:val="29"/>
        </w:numPr>
        <w:jc w:val="left"/>
      </w:pPr>
      <w:r w:rsidRPr="00067A81">
        <w:t xml:space="preserve">This measure covers visits to the </w:t>
      </w:r>
      <w:r w:rsidRPr="00067A81">
        <w:rPr>
          <w:i/>
        </w:rPr>
        <w:t>Time to Talk Canberra</w:t>
      </w:r>
      <w:r w:rsidRPr="00067A81">
        <w:t xml:space="preserve"> website.</w:t>
      </w:r>
      <w:r w:rsidR="006D2083" w:rsidRPr="00067A81">
        <w:t xml:space="preserve"> </w:t>
      </w:r>
      <w:r w:rsidR="00BF6275">
        <w:t xml:space="preserve"> </w:t>
      </w:r>
      <w:r w:rsidR="006D2083" w:rsidRPr="00067A81">
        <w:t xml:space="preserve">The estimated outcome for 2012-13 was determined by analysis of the total number of visits to the site </w:t>
      </w:r>
      <w:r w:rsidR="00067A81">
        <w:t>to estimate unique visits.</w:t>
      </w:r>
    </w:p>
    <w:p w:rsidR="00A55BCE" w:rsidRDefault="00642107" w:rsidP="00642107">
      <w:pPr>
        <w:pStyle w:val="AINotes"/>
        <w:numPr>
          <w:ilvl w:val="0"/>
          <w:numId w:val="29"/>
        </w:numPr>
        <w:spacing w:after="60"/>
        <w:ind w:left="357" w:hanging="357"/>
        <w:jc w:val="left"/>
      </w:pPr>
      <w:r>
        <w:t xml:space="preserve">New Measure.  This measure covers the production and distribution </w:t>
      </w:r>
      <w:proofErr w:type="gramStart"/>
      <w:r>
        <w:t xml:space="preserve">of two </w:t>
      </w:r>
      <w:r w:rsidRPr="00642107">
        <w:t>Our City,</w:t>
      </w:r>
      <w:proofErr w:type="gramEnd"/>
      <w:r w:rsidRPr="00642107">
        <w:t xml:space="preserve"> Our Community</w:t>
      </w:r>
      <w:r>
        <w:t xml:space="preserve"> newsletters providing information to ACT residents on the activities of the Government, and outlining upcoming programs, initiatives and events.</w:t>
      </w:r>
    </w:p>
    <w:tbl>
      <w:tblPr>
        <w:tblW w:w="9356" w:type="dxa"/>
        <w:tblLook w:val="0000"/>
      </w:tblPr>
      <w:tblGrid>
        <w:gridCol w:w="5066"/>
        <w:gridCol w:w="993"/>
        <w:gridCol w:w="437"/>
        <w:gridCol w:w="1430"/>
        <w:gridCol w:w="1430"/>
      </w:tblGrid>
      <w:tr w:rsidR="00F10C6E" w:rsidRPr="00CF1A8C" w:rsidTr="00A54D1D">
        <w:tc>
          <w:tcPr>
            <w:tcW w:w="5063" w:type="dxa"/>
            <w:tcBorders>
              <w:top w:val="single" w:sz="4" w:space="0" w:color="auto"/>
              <w:bottom w:val="single" w:sz="4" w:space="0" w:color="auto"/>
            </w:tcBorders>
          </w:tcPr>
          <w:p w:rsidR="00F10C6E" w:rsidRPr="00CF1A8C" w:rsidRDefault="00F10C6E" w:rsidP="00F10C6E">
            <w:pPr>
              <w:pStyle w:val="Heading7"/>
            </w:pPr>
          </w:p>
        </w:tc>
        <w:tc>
          <w:tcPr>
            <w:tcW w:w="1429" w:type="dxa"/>
            <w:gridSpan w:val="2"/>
            <w:tcBorders>
              <w:top w:val="single" w:sz="4" w:space="0" w:color="auto"/>
              <w:bottom w:val="single" w:sz="4" w:space="0" w:color="auto"/>
            </w:tcBorders>
          </w:tcPr>
          <w:p w:rsidR="00F10C6E" w:rsidRPr="00CF1A8C" w:rsidRDefault="00F10C6E" w:rsidP="00F10C6E">
            <w:pPr>
              <w:pStyle w:val="Heading6"/>
            </w:pPr>
            <w:r>
              <w:t>2012-13</w:t>
            </w:r>
          </w:p>
          <w:p w:rsidR="00F10C6E" w:rsidRPr="00CF1A8C" w:rsidRDefault="00F10C6E" w:rsidP="00F10C6E">
            <w:pPr>
              <w:pStyle w:val="Heading6"/>
            </w:pPr>
            <w:r w:rsidRPr="00CF1A8C">
              <w:t>Targets</w:t>
            </w:r>
          </w:p>
          <w:p w:rsidR="00F10C6E" w:rsidRPr="00CF1A8C" w:rsidRDefault="00F10C6E" w:rsidP="00F10C6E">
            <w:pPr>
              <w:pStyle w:val="Heading6"/>
            </w:pPr>
          </w:p>
        </w:tc>
        <w:tc>
          <w:tcPr>
            <w:tcW w:w="1429" w:type="dxa"/>
            <w:tcBorders>
              <w:top w:val="single" w:sz="4" w:space="0" w:color="auto"/>
              <w:bottom w:val="single" w:sz="4" w:space="0" w:color="auto"/>
            </w:tcBorders>
          </w:tcPr>
          <w:p w:rsidR="00F10C6E" w:rsidRPr="00CF1A8C" w:rsidRDefault="00F10C6E" w:rsidP="00F10C6E">
            <w:pPr>
              <w:pStyle w:val="Heading6"/>
            </w:pPr>
            <w:r>
              <w:t>2012-13</w:t>
            </w:r>
          </w:p>
          <w:p w:rsidR="00F10C6E" w:rsidRPr="00CF1A8C" w:rsidRDefault="00F10C6E" w:rsidP="00F10C6E">
            <w:pPr>
              <w:pStyle w:val="Heading6"/>
            </w:pPr>
            <w:r w:rsidRPr="00CF1A8C">
              <w:t>Est. Outcome</w:t>
            </w:r>
          </w:p>
          <w:p w:rsidR="00F10C6E" w:rsidRPr="00CF1A8C" w:rsidRDefault="00F10C6E" w:rsidP="00F10C6E">
            <w:pPr>
              <w:pStyle w:val="Heading6"/>
            </w:pPr>
          </w:p>
        </w:tc>
        <w:tc>
          <w:tcPr>
            <w:tcW w:w="1429" w:type="dxa"/>
            <w:tcBorders>
              <w:top w:val="single" w:sz="4" w:space="0" w:color="auto"/>
              <w:bottom w:val="single" w:sz="4" w:space="0" w:color="auto"/>
            </w:tcBorders>
          </w:tcPr>
          <w:p w:rsidR="00F10C6E" w:rsidRPr="00CF1A8C" w:rsidRDefault="00F10C6E" w:rsidP="00F10C6E">
            <w:pPr>
              <w:pStyle w:val="Heading6"/>
            </w:pPr>
            <w:r>
              <w:t>2013-14</w:t>
            </w:r>
          </w:p>
          <w:p w:rsidR="00F10C6E" w:rsidRPr="00CF1A8C" w:rsidRDefault="00F10C6E" w:rsidP="00F10C6E">
            <w:pPr>
              <w:pStyle w:val="Heading6"/>
            </w:pPr>
            <w:r w:rsidRPr="00CF1A8C">
              <w:t>Targets</w:t>
            </w:r>
          </w:p>
          <w:p w:rsidR="00F10C6E" w:rsidRPr="00CF1A8C" w:rsidRDefault="00F10C6E" w:rsidP="00F10C6E">
            <w:pPr>
              <w:pStyle w:val="Heading6"/>
            </w:pPr>
          </w:p>
        </w:tc>
      </w:tr>
      <w:tr w:rsidR="00C0471E" w:rsidRPr="00CF1A8C" w:rsidTr="00A54D1D">
        <w:tc>
          <w:tcPr>
            <w:tcW w:w="5063" w:type="dxa"/>
            <w:tcBorders>
              <w:top w:val="single" w:sz="4" w:space="0" w:color="auto"/>
              <w:bottom w:val="single" w:sz="4" w:space="0" w:color="auto"/>
            </w:tcBorders>
          </w:tcPr>
          <w:p w:rsidR="00C0471E" w:rsidRPr="00CF1A8C" w:rsidRDefault="00C0471E" w:rsidP="00F10C6E">
            <w:pPr>
              <w:pStyle w:val="Heading7"/>
            </w:pPr>
            <w:r w:rsidRPr="00C0471E">
              <w:t>Output Class 2:  Financial and Economic Management</w:t>
            </w:r>
            <w:r w:rsidRPr="00BF6275">
              <w:rPr>
                <w:vertAlign w:val="superscript"/>
              </w:rPr>
              <w:t>1</w:t>
            </w:r>
          </w:p>
        </w:tc>
        <w:tc>
          <w:tcPr>
            <w:tcW w:w="1429" w:type="dxa"/>
            <w:gridSpan w:val="2"/>
            <w:tcBorders>
              <w:top w:val="single" w:sz="4" w:space="0" w:color="auto"/>
              <w:bottom w:val="single" w:sz="4" w:space="0" w:color="auto"/>
            </w:tcBorders>
          </w:tcPr>
          <w:p w:rsidR="00C0471E" w:rsidRDefault="00C0471E" w:rsidP="00F10C6E">
            <w:pPr>
              <w:pStyle w:val="Heading6"/>
            </w:pPr>
          </w:p>
        </w:tc>
        <w:tc>
          <w:tcPr>
            <w:tcW w:w="1429" w:type="dxa"/>
            <w:tcBorders>
              <w:top w:val="single" w:sz="4" w:space="0" w:color="auto"/>
              <w:bottom w:val="single" w:sz="4" w:space="0" w:color="auto"/>
            </w:tcBorders>
          </w:tcPr>
          <w:p w:rsidR="00C0471E" w:rsidRDefault="00C0471E" w:rsidP="00F10C6E">
            <w:pPr>
              <w:pStyle w:val="Heading6"/>
            </w:pPr>
          </w:p>
        </w:tc>
        <w:tc>
          <w:tcPr>
            <w:tcW w:w="1429" w:type="dxa"/>
            <w:tcBorders>
              <w:top w:val="single" w:sz="4" w:space="0" w:color="auto"/>
              <w:bottom w:val="single" w:sz="4" w:space="0" w:color="auto"/>
            </w:tcBorders>
          </w:tcPr>
          <w:p w:rsidR="00C0471E" w:rsidRDefault="00C0471E" w:rsidP="00F10C6E">
            <w:pPr>
              <w:pStyle w:val="Heading6"/>
            </w:pPr>
          </w:p>
        </w:tc>
      </w:tr>
      <w:tr w:rsidR="00C0471E" w:rsidRPr="00CF1A8C" w:rsidTr="00A54D1D">
        <w:tc>
          <w:tcPr>
            <w:tcW w:w="5063" w:type="dxa"/>
            <w:tcBorders>
              <w:top w:val="single" w:sz="4" w:space="0" w:color="auto"/>
              <w:bottom w:val="single" w:sz="4" w:space="0" w:color="auto"/>
            </w:tcBorders>
          </w:tcPr>
          <w:p w:rsidR="00C0471E" w:rsidRPr="00CF1A8C" w:rsidRDefault="00C0471E" w:rsidP="00F10C6E">
            <w:pPr>
              <w:pStyle w:val="Heading7"/>
            </w:pPr>
            <w:r w:rsidRPr="00307A20">
              <w:t>Output 2.1:  Economic Management</w:t>
            </w:r>
          </w:p>
        </w:tc>
        <w:tc>
          <w:tcPr>
            <w:tcW w:w="1429" w:type="dxa"/>
            <w:gridSpan w:val="2"/>
            <w:tcBorders>
              <w:top w:val="single" w:sz="4" w:space="0" w:color="auto"/>
              <w:bottom w:val="single" w:sz="4" w:space="0" w:color="auto"/>
            </w:tcBorders>
          </w:tcPr>
          <w:p w:rsidR="00C0471E" w:rsidRDefault="00C0471E" w:rsidP="00F10C6E">
            <w:pPr>
              <w:pStyle w:val="Heading6"/>
            </w:pPr>
          </w:p>
        </w:tc>
        <w:tc>
          <w:tcPr>
            <w:tcW w:w="1429" w:type="dxa"/>
            <w:tcBorders>
              <w:top w:val="single" w:sz="4" w:space="0" w:color="auto"/>
              <w:bottom w:val="single" w:sz="4" w:space="0" w:color="auto"/>
            </w:tcBorders>
          </w:tcPr>
          <w:p w:rsidR="00C0471E" w:rsidRDefault="00C0471E" w:rsidP="00F10C6E">
            <w:pPr>
              <w:pStyle w:val="Heading6"/>
            </w:pPr>
          </w:p>
        </w:tc>
        <w:tc>
          <w:tcPr>
            <w:tcW w:w="1429" w:type="dxa"/>
            <w:tcBorders>
              <w:top w:val="single" w:sz="4" w:space="0" w:color="auto"/>
              <w:bottom w:val="single" w:sz="4" w:space="0" w:color="auto"/>
            </w:tcBorders>
          </w:tcPr>
          <w:p w:rsidR="00C0471E" w:rsidRDefault="00C0471E" w:rsidP="00F10C6E">
            <w:pPr>
              <w:pStyle w:val="Heading6"/>
            </w:pPr>
          </w:p>
        </w:tc>
      </w:tr>
      <w:tr w:rsidR="00F10C6E" w:rsidRPr="00307A20" w:rsidTr="00A54D1D">
        <w:tblPrEx>
          <w:tblLook w:val="04A0"/>
        </w:tblPrEx>
        <w:trPr>
          <w:gridAfter w:val="3"/>
          <w:wAfter w:w="3295" w:type="dxa"/>
          <w:trHeight w:hRule="exact" w:val="57"/>
        </w:trPr>
        <w:tc>
          <w:tcPr>
            <w:tcW w:w="5063" w:type="dxa"/>
          </w:tcPr>
          <w:p w:rsidR="00F10C6E" w:rsidRPr="00307A20" w:rsidRDefault="00F10C6E" w:rsidP="00F10C6E">
            <w:pPr>
              <w:pStyle w:val="Heading7"/>
              <w:rPr>
                <w:vertAlign w:val="superscript"/>
              </w:rPr>
            </w:pPr>
          </w:p>
        </w:tc>
        <w:tc>
          <w:tcPr>
            <w:tcW w:w="992" w:type="dxa"/>
          </w:tcPr>
          <w:p w:rsidR="00F10C6E" w:rsidRPr="00307A20" w:rsidRDefault="00F10C6E" w:rsidP="00F10C6E">
            <w:pPr>
              <w:autoSpaceDE w:val="0"/>
              <w:autoSpaceDN w:val="0"/>
              <w:adjustRightInd w:val="0"/>
              <w:rPr>
                <w:rFonts w:cs="Arial"/>
                <w:sz w:val="20"/>
              </w:rPr>
            </w:pPr>
          </w:p>
        </w:tc>
      </w:tr>
      <w:tr w:rsidR="00F10C6E" w:rsidRPr="00CF1A8C" w:rsidTr="00A54D1D">
        <w:tc>
          <w:tcPr>
            <w:tcW w:w="5063" w:type="dxa"/>
          </w:tcPr>
          <w:p w:rsidR="00F52F42" w:rsidRDefault="00BE45ED" w:rsidP="00BD3A73">
            <w:pPr>
              <w:pStyle w:val="AIIndent"/>
              <w:numPr>
                <w:ilvl w:val="0"/>
                <w:numId w:val="31"/>
              </w:numPr>
            </w:pPr>
            <w:r>
              <w:t>Briefings on the ACT e</w:t>
            </w:r>
            <w:r w:rsidR="00F10C6E" w:rsidRPr="00F97903">
              <w:t>conomy</w:t>
            </w:r>
            <w:r w:rsidR="00B62C01" w:rsidRPr="00252174">
              <w:rPr>
                <w:vertAlign w:val="superscript"/>
              </w:rPr>
              <w:t>2</w:t>
            </w:r>
            <w:r w:rsidR="00F10C6E" w:rsidRPr="00FD4DAB">
              <w:t xml:space="preserve"> </w:t>
            </w:r>
            <w:r w:rsidR="00F10C6E">
              <w:t xml:space="preserve">  </w:t>
            </w:r>
          </w:p>
        </w:tc>
        <w:tc>
          <w:tcPr>
            <w:tcW w:w="1429" w:type="dxa"/>
            <w:gridSpan w:val="2"/>
          </w:tcPr>
          <w:p w:rsidR="003A1A1F" w:rsidRDefault="00F10C6E">
            <w:pPr>
              <w:pStyle w:val="AIIndent"/>
              <w:tabs>
                <w:tab w:val="clear" w:pos="360"/>
              </w:tabs>
              <w:ind w:left="0" w:firstLine="0"/>
              <w:jc w:val="right"/>
            </w:pPr>
            <w:r>
              <w:t>115</w:t>
            </w:r>
          </w:p>
        </w:tc>
        <w:tc>
          <w:tcPr>
            <w:tcW w:w="1429" w:type="dxa"/>
          </w:tcPr>
          <w:p w:rsidR="00F10C6E" w:rsidRPr="00DD3219" w:rsidRDefault="00AD00F2" w:rsidP="00F10C6E">
            <w:pPr>
              <w:pStyle w:val="AIIndent"/>
              <w:tabs>
                <w:tab w:val="clear" w:pos="360"/>
              </w:tabs>
              <w:ind w:left="0" w:firstLine="0"/>
              <w:jc w:val="right"/>
            </w:pPr>
            <w:r>
              <w:t>71</w:t>
            </w:r>
          </w:p>
        </w:tc>
        <w:tc>
          <w:tcPr>
            <w:tcW w:w="1429" w:type="dxa"/>
          </w:tcPr>
          <w:p w:rsidR="00F10C6E" w:rsidRPr="00F97903" w:rsidRDefault="00F10C6E" w:rsidP="00F10C6E">
            <w:pPr>
              <w:pStyle w:val="AIIndent"/>
              <w:tabs>
                <w:tab w:val="clear" w:pos="360"/>
              </w:tabs>
              <w:ind w:left="0" w:firstLine="0"/>
              <w:jc w:val="right"/>
              <w:rPr>
                <w:rFonts w:cs="Arial"/>
              </w:rPr>
            </w:pPr>
            <w:r>
              <w:rPr>
                <w:rFonts w:cs="Arial"/>
              </w:rPr>
              <w:t>115</w:t>
            </w:r>
          </w:p>
        </w:tc>
      </w:tr>
      <w:tr w:rsidR="00F10C6E" w:rsidRPr="00CF1A8C" w:rsidTr="00A54D1D">
        <w:tc>
          <w:tcPr>
            <w:tcW w:w="5063" w:type="dxa"/>
          </w:tcPr>
          <w:p w:rsidR="00F52F42" w:rsidRDefault="00F10C6E" w:rsidP="00BD3A73">
            <w:pPr>
              <w:pStyle w:val="AIIndent"/>
              <w:numPr>
                <w:ilvl w:val="0"/>
                <w:numId w:val="31"/>
              </w:numPr>
            </w:pPr>
            <w:r w:rsidRPr="00F97903">
              <w:t>Submission to CGC Annual Update</w:t>
            </w:r>
          </w:p>
        </w:tc>
        <w:tc>
          <w:tcPr>
            <w:tcW w:w="1429" w:type="dxa"/>
            <w:gridSpan w:val="2"/>
          </w:tcPr>
          <w:p w:rsidR="00F10C6E" w:rsidRPr="00DD3219" w:rsidRDefault="00F10C6E" w:rsidP="00F10C6E">
            <w:pPr>
              <w:pStyle w:val="AIIndent"/>
              <w:tabs>
                <w:tab w:val="clear" w:pos="360"/>
              </w:tabs>
              <w:ind w:left="0" w:firstLine="0"/>
              <w:jc w:val="right"/>
            </w:pPr>
            <w:r>
              <w:t>1</w:t>
            </w:r>
          </w:p>
        </w:tc>
        <w:tc>
          <w:tcPr>
            <w:tcW w:w="1429" w:type="dxa"/>
          </w:tcPr>
          <w:p w:rsidR="00F10C6E" w:rsidRPr="00DD3219" w:rsidRDefault="00D44B9C" w:rsidP="00F10C6E">
            <w:pPr>
              <w:pStyle w:val="AIIndent"/>
              <w:tabs>
                <w:tab w:val="clear" w:pos="360"/>
              </w:tabs>
              <w:ind w:left="0" w:firstLine="0"/>
              <w:jc w:val="right"/>
            </w:pPr>
            <w:r>
              <w:t>1</w:t>
            </w:r>
          </w:p>
        </w:tc>
        <w:tc>
          <w:tcPr>
            <w:tcW w:w="1429" w:type="dxa"/>
          </w:tcPr>
          <w:p w:rsidR="00F10C6E" w:rsidRPr="00F97903" w:rsidRDefault="00F10C6E" w:rsidP="00F10C6E">
            <w:pPr>
              <w:pStyle w:val="AIIndent"/>
              <w:tabs>
                <w:tab w:val="clear" w:pos="360"/>
              </w:tabs>
              <w:ind w:left="0" w:firstLine="0"/>
              <w:jc w:val="right"/>
              <w:rPr>
                <w:rFonts w:cs="Arial"/>
              </w:rPr>
            </w:pPr>
            <w:r>
              <w:rPr>
                <w:rFonts w:cs="Arial"/>
              </w:rPr>
              <w:t>1</w:t>
            </w:r>
          </w:p>
        </w:tc>
      </w:tr>
      <w:tr w:rsidR="00F10C6E" w:rsidRPr="00CF1A8C" w:rsidTr="00A54D1D">
        <w:trPr>
          <w:trHeight w:val="178"/>
        </w:trPr>
        <w:tc>
          <w:tcPr>
            <w:tcW w:w="5063" w:type="dxa"/>
            <w:tcBorders>
              <w:bottom w:val="single" w:sz="4" w:space="0" w:color="auto"/>
            </w:tcBorders>
          </w:tcPr>
          <w:p w:rsidR="00F52F42" w:rsidRDefault="00F10C6E" w:rsidP="00BD3A73">
            <w:pPr>
              <w:pStyle w:val="AIIndent"/>
              <w:numPr>
                <w:ilvl w:val="0"/>
                <w:numId w:val="31"/>
              </w:numPr>
            </w:pPr>
            <w:r w:rsidRPr="00F97903">
              <w:t>Submission to credit rating agency</w:t>
            </w:r>
            <w:r w:rsidR="00252174">
              <w:rPr>
                <w:vertAlign w:val="superscript"/>
              </w:rPr>
              <w:t>3</w:t>
            </w:r>
          </w:p>
        </w:tc>
        <w:tc>
          <w:tcPr>
            <w:tcW w:w="1429" w:type="dxa"/>
            <w:gridSpan w:val="2"/>
            <w:tcBorders>
              <w:bottom w:val="single" w:sz="4" w:space="0" w:color="auto"/>
            </w:tcBorders>
          </w:tcPr>
          <w:p w:rsidR="00F10C6E" w:rsidRPr="00DD3219" w:rsidRDefault="00F10C6E" w:rsidP="00F10C6E">
            <w:pPr>
              <w:pStyle w:val="AIIndent"/>
              <w:tabs>
                <w:tab w:val="clear" w:pos="360"/>
              </w:tabs>
              <w:ind w:left="0" w:firstLine="0"/>
              <w:jc w:val="right"/>
            </w:pPr>
            <w:r>
              <w:t>1</w:t>
            </w:r>
          </w:p>
        </w:tc>
        <w:tc>
          <w:tcPr>
            <w:tcW w:w="1429" w:type="dxa"/>
            <w:tcBorders>
              <w:bottom w:val="single" w:sz="4" w:space="0" w:color="auto"/>
            </w:tcBorders>
          </w:tcPr>
          <w:p w:rsidR="00F10C6E" w:rsidRPr="00DD3219" w:rsidRDefault="00D44B9C" w:rsidP="00F10C6E">
            <w:pPr>
              <w:pStyle w:val="AIIndent"/>
              <w:tabs>
                <w:tab w:val="clear" w:pos="360"/>
              </w:tabs>
              <w:ind w:left="0" w:firstLine="0"/>
              <w:jc w:val="right"/>
            </w:pPr>
            <w:r>
              <w:t>1</w:t>
            </w:r>
          </w:p>
        </w:tc>
        <w:tc>
          <w:tcPr>
            <w:tcW w:w="1429" w:type="dxa"/>
            <w:tcBorders>
              <w:bottom w:val="single" w:sz="4" w:space="0" w:color="auto"/>
            </w:tcBorders>
          </w:tcPr>
          <w:p w:rsidR="00F10C6E" w:rsidRPr="00F97903" w:rsidRDefault="00F10C6E" w:rsidP="00F10C6E">
            <w:pPr>
              <w:pStyle w:val="AIIndent"/>
              <w:tabs>
                <w:tab w:val="clear" w:pos="360"/>
              </w:tabs>
              <w:ind w:left="0" w:firstLine="0"/>
              <w:jc w:val="right"/>
              <w:rPr>
                <w:rFonts w:cs="Arial"/>
              </w:rPr>
            </w:pPr>
            <w:r>
              <w:rPr>
                <w:rFonts w:cs="Arial"/>
              </w:rPr>
              <w:t>1</w:t>
            </w:r>
          </w:p>
        </w:tc>
      </w:tr>
    </w:tbl>
    <w:p w:rsidR="003A1A1F" w:rsidRDefault="00F10C6E">
      <w:pPr>
        <w:pStyle w:val="NoteHeading0"/>
      </w:pPr>
      <w:r w:rsidRPr="000638A4">
        <w:t>Note</w:t>
      </w:r>
      <w:r w:rsidR="004215C7">
        <w:t>s</w:t>
      </w:r>
      <w:r w:rsidRPr="000638A4">
        <w:t>:</w:t>
      </w:r>
    </w:p>
    <w:p w:rsidR="00F52F42" w:rsidRDefault="00252174" w:rsidP="00BD3A73">
      <w:pPr>
        <w:pStyle w:val="AINotes"/>
        <w:numPr>
          <w:ilvl w:val="0"/>
          <w:numId w:val="35"/>
        </w:numPr>
        <w:rPr>
          <w:iCs/>
          <w:szCs w:val="16"/>
        </w:rPr>
      </w:pPr>
      <w:r>
        <w:rPr>
          <w:iCs/>
          <w:szCs w:val="16"/>
        </w:rPr>
        <w:t xml:space="preserve">This output was previously Output Class 1 Financial and Economic Management in the </w:t>
      </w:r>
      <w:r w:rsidR="0055016D">
        <w:rPr>
          <w:iCs/>
          <w:szCs w:val="16"/>
        </w:rPr>
        <w:t xml:space="preserve">former </w:t>
      </w:r>
      <w:r>
        <w:rPr>
          <w:iCs/>
          <w:szCs w:val="16"/>
        </w:rPr>
        <w:t xml:space="preserve">Treasury Directorate. Its functions were transferred to the Chief Minister and Treasury Directorate following the </w:t>
      </w:r>
      <w:r w:rsidRPr="00F57BDE">
        <w:rPr>
          <w:iCs/>
          <w:szCs w:val="16"/>
        </w:rPr>
        <w:t>Administrative Arrangements</w:t>
      </w:r>
      <w:r w:rsidR="00F57BDE">
        <w:rPr>
          <w:iCs/>
          <w:szCs w:val="16"/>
        </w:rPr>
        <w:t xml:space="preserve"> (No.2) of 10 November 2012</w:t>
      </w:r>
      <w:r>
        <w:rPr>
          <w:iCs/>
          <w:szCs w:val="16"/>
        </w:rPr>
        <w:t>.</w:t>
      </w:r>
    </w:p>
    <w:p w:rsidR="00F52F42" w:rsidRDefault="00252174" w:rsidP="00BD3A73">
      <w:pPr>
        <w:pStyle w:val="AINotes"/>
        <w:numPr>
          <w:ilvl w:val="0"/>
          <w:numId w:val="35"/>
        </w:numPr>
        <w:rPr>
          <w:iCs/>
          <w:szCs w:val="16"/>
        </w:rPr>
      </w:pPr>
      <w:r>
        <w:rPr>
          <w:iCs/>
          <w:szCs w:val="16"/>
        </w:rPr>
        <w:t>The 2012-13 target and estimated outcome covers the period from 10 November 2012 to 30 June 2013.</w:t>
      </w:r>
      <w:r w:rsidR="00502B34">
        <w:rPr>
          <w:iCs/>
          <w:szCs w:val="16"/>
        </w:rPr>
        <w:t xml:space="preserve"> </w:t>
      </w:r>
      <w:r w:rsidR="00502B34">
        <w:t>The achievement of this measure for the period 1 July to 9 November 2012 is reported under the Treasury Directorate in the Discontinued Agencies section of this Budget Paper.</w:t>
      </w:r>
    </w:p>
    <w:p w:rsidR="00881A27" w:rsidRDefault="00F10C6E" w:rsidP="00BD3A73">
      <w:pPr>
        <w:pStyle w:val="AINotes"/>
        <w:numPr>
          <w:ilvl w:val="0"/>
          <w:numId w:val="35"/>
        </w:numPr>
        <w:spacing w:after="60"/>
        <w:jc w:val="left"/>
      </w:pPr>
      <w:r w:rsidRPr="00232397">
        <w:t>The credit rating agency submission is a day</w:t>
      </w:r>
      <w:r w:rsidR="00BF6275">
        <w:noBreakHyphen/>
      </w:r>
      <w:proofErr w:type="spellStart"/>
      <w:r w:rsidRPr="00232397">
        <w:t>long</w:t>
      </w:r>
      <w:proofErr w:type="spellEnd"/>
      <w:r w:rsidRPr="00232397">
        <w:t xml:space="preserve"> meeting with the agency, which includes a presentation.</w:t>
      </w:r>
    </w:p>
    <w:p w:rsidR="00881A27" w:rsidRDefault="00881A27">
      <w:pPr>
        <w:spacing w:after="200" w:line="276" w:lineRule="auto"/>
      </w:pPr>
      <w:r>
        <w:br w:type="page"/>
      </w:r>
    </w:p>
    <w:p w:rsidR="00881A27" w:rsidRPr="007329DD" w:rsidRDefault="00881A27" w:rsidP="00881A27">
      <w:pPr>
        <w:pStyle w:val="Heading3"/>
        <w:spacing w:after="120"/>
      </w:pPr>
      <w:proofErr w:type="gramStart"/>
      <w:r w:rsidRPr="007329DD">
        <w:lastRenderedPageBreak/>
        <w:t>Accountability Indicators</w:t>
      </w:r>
      <w:r>
        <w:t xml:space="preserve"> cont.</w:t>
      </w:r>
      <w:proofErr w:type="gramEnd"/>
    </w:p>
    <w:tbl>
      <w:tblPr>
        <w:tblW w:w="9350" w:type="dxa"/>
        <w:tblLook w:val="0000"/>
      </w:tblPr>
      <w:tblGrid>
        <w:gridCol w:w="5063"/>
        <w:gridCol w:w="1429"/>
        <w:gridCol w:w="1429"/>
        <w:gridCol w:w="1429"/>
      </w:tblGrid>
      <w:tr w:rsidR="00F10C6E" w:rsidRPr="00CF1A8C" w:rsidTr="00CD1F2B">
        <w:tc>
          <w:tcPr>
            <w:tcW w:w="5063" w:type="dxa"/>
            <w:tcBorders>
              <w:top w:val="single" w:sz="4" w:space="0" w:color="auto"/>
              <w:bottom w:val="single" w:sz="4" w:space="0" w:color="auto"/>
            </w:tcBorders>
          </w:tcPr>
          <w:p w:rsidR="00F10C6E" w:rsidRPr="00CF1A8C" w:rsidRDefault="00F10C6E" w:rsidP="00F10C6E">
            <w:pPr>
              <w:pStyle w:val="Heading7"/>
            </w:pPr>
          </w:p>
        </w:tc>
        <w:tc>
          <w:tcPr>
            <w:tcW w:w="1429" w:type="dxa"/>
            <w:tcBorders>
              <w:top w:val="single" w:sz="4" w:space="0" w:color="auto"/>
              <w:bottom w:val="single" w:sz="4" w:space="0" w:color="auto"/>
            </w:tcBorders>
          </w:tcPr>
          <w:p w:rsidR="00F10C6E" w:rsidRPr="00CF1A8C" w:rsidRDefault="00F10C6E" w:rsidP="00F10C6E">
            <w:pPr>
              <w:pStyle w:val="Heading6"/>
            </w:pPr>
            <w:r>
              <w:t>2012-13</w:t>
            </w:r>
          </w:p>
          <w:p w:rsidR="003A1A1F" w:rsidRDefault="00F10C6E">
            <w:pPr>
              <w:pStyle w:val="Heading6"/>
            </w:pPr>
            <w:r w:rsidRPr="00CF1A8C">
              <w:t>Targets</w:t>
            </w:r>
          </w:p>
        </w:tc>
        <w:tc>
          <w:tcPr>
            <w:tcW w:w="1429" w:type="dxa"/>
            <w:tcBorders>
              <w:top w:val="single" w:sz="4" w:space="0" w:color="auto"/>
              <w:bottom w:val="single" w:sz="4" w:space="0" w:color="auto"/>
            </w:tcBorders>
          </w:tcPr>
          <w:p w:rsidR="00F10C6E" w:rsidRPr="00CF1A8C" w:rsidRDefault="00F10C6E" w:rsidP="00F10C6E">
            <w:pPr>
              <w:pStyle w:val="Heading6"/>
            </w:pPr>
            <w:r>
              <w:t>2012-13</w:t>
            </w:r>
          </w:p>
          <w:p w:rsidR="003A1A1F" w:rsidRDefault="00F10C6E">
            <w:pPr>
              <w:pStyle w:val="Heading6"/>
            </w:pPr>
            <w:r w:rsidRPr="00CF1A8C">
              <w:t>Est. Outcome</w:t>
            </w:r>
          </w:p>
        </w:tc>
        <w:tc>
          <w:tcPr>
            <w:tcW w:w="1429" w:type="dxa"/>
            <w:tcBorders>
              <w:top w:val="single" w:sz="4" w:space="0" w:color="auto"/>
              <w:bottom w:val="single" w:sz="4" w:space="0" w:color="auto"/>
            </w:tcBorders>
          </w:tcPr>
          <w:p w:rsidR="00F10C6E" w:rsidRPr="00CF1A8C" w:rsidRDefault="00F10C6E" w:rsidP="00F10C6E">
            <w:pPr>
              <w:pStyle w:val="Heading6"/>
            </w:pPr>
            <w:r>
              <w:t>2013-14</w:t>
            </w:r>
          </w:p>
          <w:p w:rsidR="003A1A1F" w:rsidRDefault="00F10C6E">
            <w:pPr>
              <w:pStyle w:val="Heading6"/>
            </w:pPr>
            <w:r w:rsidRPr="00CF1A8C">
              <w:t>Targets</w:t>
            </w:r>
          </w:p>
        </w:tc>
      </w:tr>
      <w:tr w:rsidR="00F10C6E" w:rsidRPr="00307A20" w:rsidTr="00CD1F2B">
        <w:tblPrEx>
          <w:tblLook w:val="04A0"/>
        </w:tblPrEx>
        <w:tc>
          <w:tcPr>
            <w:tcW w:w="5063" w:type="dxa"/>
            <w:tcBorders>
              <w:top w:val="single" w:sz="4" w:space="0" w:color="auto"/>
              <w:bottom w:val="single" w:sz="4" w:space="0" w:color="auto"/>
            </w:tcBorders>
          </w:tcPr>
          <w:p w:rsidR="00F10C6E" w:rsidRPr="00307A20" w:rsidRDefault="00F10C6E" w:rsidP="00F10C6E">
            <w:pPr>
              <w:pStyle w:val="Heading7"/>
            </w:pPr>
            <w:r w:rsidRPr="00307A20">
              <w:t>Output 2.</w:t>
            </w:r>
            <w:r>
              <w:t>2</w:t>
            </w:r>
            <w:r w:rsidRPr="00307A20">
              <w:t xml:space="preserve">:  </w:t>
            </w:r>
            <w:r>
              <w:t>Financial</w:t>
            </w:r>
            <w:r w:rsidRPr="00307A20">
              <w:t xml:space="preserve"> Management</w:t>
            </w:r>
            <w:r w:rsidR="00252174" w:rsidRPr="00252174">
              <w:rPr>
                <w:vertAlign w:val="superscript"/>
              </w:rPr>
              <w:t>1</w:t>
            </w:r>
          </w:p>
        </w:tc>
        <w:tc>
          <w:tcPr>
            <w:tcW w:w="4287" w:type="dxa"/>
            <w:gridSpan w:val="3"/>
            <w:tcBorders>
              <w:top w:val="single" w:sz="4" w:space="0" w:color="auto"/>
              <w:bottom w:val="single" w:sz="4" w:space="0" w:color="auto"/>
            </w:tcBorders>
          </w:tcPr>
          <w:p w:rsidR="00F10C6E" w:rsidRPr="00307A20" w:rsidRDefault="00F10C6E" w:rsidP="00F10C6E">
            <w:pPr>
              <w:autoSpaceDE w:val="0"/>
              <w:autoSpaceDN w:val="0"/>
              <w:adjustRightInd w:val="0"/>
              <w:rPr>
                <w:rFonts w:cs="Arial"/>
                <w:sz w:val="20"/>
              </w:rPr>
            </w:pPr>
          </w:p>
        </w:tc>
      </w:tr>
      <w:tr w:rsidR="00F10C6E" w:rsidRPr="00CF1A8C" w:rsidTr="00CD1F2B">
        <w:tc>
          <w:tcPr>
            <w:tcW w:w="5063" w:type="dxa"/>
            <w:tcBorders>
              <w:top w:val="single" w:sz="4" w:space="0" w:color="auto"/>
            </w:tcBorders>
          </w:tcPr>
          <w:p w:rsidR="00F52F42" w:rsidRDefault="00F10C6E" w:rsidP="00BD3A73">
            <w:pPr>
              <w:pStyle w:val="AIIndent"/>
              <w:numPr>
                <w:ilvl w:val="0"/>
                <w:numId w:val="34"/>
              </w:numPr>
            </w:pPr>
            <w:r w:rsidRPr="00F97903">
              <w:t>Budget presented in accordance with legislative timeframes</w:t>
            </w:r>
            <w:r w:rsidR="00252174">
              <w:rPr>
                <w:vertAlign w:val="superscript"/>
              </w:rPr>
              <w:t>2</w:t>
            </w:r>
          </w:p>
        </w:tc>
        <w:tc>
          <w:tcPr>
            <w:tcW w:w="1429" w:type="dxa"/>
            <w:tcBorders>
              <w:top w:val="single" w:sz="4" w:space="0" w:color="auto"/>
            </w:tcBorders>
          </w:tcPr>
          <w:p w:rsidR="00F10C6E" w:rsidRPr="00EA2CAE" w:rsidRDefault="00F10C6E" w:rsidP="006A2852">
            <w:pPr>
              <w:pStyle w:val="AITableText"/>
              <w:spacing w:after="120"/>
            </w:pPr>
            <w:r>
              <w:t>1</w:t>
            </w:r>
          </w:p>
        </w:tc>
        <w:tc>
          <w:tcPr>
            <w:tcW w:w="1429" w:type="dxa"/>
            <w:tcBorders>
              <w:top w:val="single" w:sz="4" w:space="0" w:color="auto"/>
            </w:tcBorders>
          </w:tcPr>
          <w:p w:rsidR="00F10C6E" w:rsidRPr="00EA2CAE" w:rsidRDefault="00D34E1C" w:rsidP="006A2852">
            <w:pPr>
              <w:pStyle w:val="AITableText"/>
              <w:spacing w:after="120"/>
            </w:pPr>
            <w:r>
              <w:t>1</w:t>
            </w:r>
          </w:p>
        </w:tc>
        <w:tc>
          <w:tcPr>
            <w:tcW w:w="1429" w:type="dxa"/>
            <w:tcBorders>
              <w:top w:val="single" w:sz="4" w:space="0" w:color="auto"/>
            </w:tcBorders>
          </w:tcPr>
          <w:p w:rsidR="00F10C6E" w:rsidRPr="00F97903" w:rsidRDefault="00F10C6E" w:rsidP="006A2852">
            <w:pPr>
              <w:pStyle w:val="AITableText"/>
              <w:spacing w:after="120"/>
              <w:rPr>
                <w:rFonts w:cs="Arial"/>
              </w:rPr>
            </w:pPr>
            <w:r>
              <w:rPr>
                <w:rFonts w:cs="Arial"/>
              </w:rPr>
              <w:t>1</w:t>
            </w:r>
          </w:p>
        </w:tc>
      </w:tr>
      <w:tr w:rsidR="00F10C6E" w:rsidRPr="00CF1A8C" w:rsidTr="00CD1F2B">
        <w:tc>
          <w:tcPr>
            <w:tcW w:w="5063" w:type="dxa"/>
          </w:tcPr>
          <w:p w:rsidR="00F52F42" w:rsidRDefault="00F10C6E" w:rsidP="00BD3A73">
            <w:pPr>
              <w:pStyle w:val="AIIndent"/>
              <w:numPr>
                <w:ilvl w:val="0"/>
                <w:numId w:val="34"/>
              </w:numPr>
            </w:pPr>
            <w:r w:rsidRPr="00F97903">
              <w:t>Budget Review presented in accordance with legislative timeframes</w:t>
            </w:r>
            <w:r w:rsidR="00252174">
              <w:rPr>
                <w:vertAlign w:val="superscript"/>
              </w:rPr>
              <w:t>3</w:t>
            </w:r>
          </w:p>
        </w:tc>
        <w:tc>
          <w:tcPr>
            <w:tcW w:w="1429" w:type="dxa"/>
          </w:tcPr>
          <w:p w:rsidR="00F10C6E" w:rsidRPr="00EA2CAE" w:rsidRDefault="00F10C6E" w:rsidP="006A2852">
            <w:pPr>
              <w:pStyle w:val="AITableText"/>
              <w:spacing w:after="120"/>
            </w:pPr>
            <w:r>
              <w:t>1</w:t>
            </w:r>
          </w:p>
        </w:tc>
        <w:tc>
          <w:tcPr>
            <w:tcW w:w="1429" w:type="dxa"/>
          </w:tcPr>
          <w:p w:rsidR="00F10C6E" w:rsidRPr="00EA2CAE" w:rsidRDefault="00D34E1C" w:rsidP="006A2852">
            <w:pPr>
              <w:pStyle w:val="AITableText"/>
              <w:spacing w:after="120"/>
            </w:pPr>
            <w:r>
              <w:t>1</w:t>
            </w:r>
          </w:p>
        </w:tc>
        <w:tc>
          <w:tcPr>
            <w:tcW w:w="1429" w:type="dxa"/>
          </w:tcPr>
          <w:p w:rsidR="00F10C6E" w:rsidRPr="00F97903" w:rsidRDefault="00F10C6E" w:rsidP="006A2852">
            <w:pPr>
              <w:pStyle w:val="AITableText"/>
              <w:spacing w:after="120"/>
              <w:rPr>
                <w:rFonts w:cs="Arial"/>
              </w:rPr>
            </w:pPr>
            <w:r>
              <w:rPr>
                <w:rFonts w:cs="Arial"/>
              </w:rPr>
              <w:t>1</w:t>
            </w:r>
          </w:p>
        </w:tc>
      </w:tr>
      <w:tr w:rsidR="00F10C6E" w:rsidRPr="00CF1A8C" w:rsidTr="00CD1F2B">
        <w:tc>
          <w:tcPr>
            <w:tcW w:w="5063" w:type="dxa"/>
          </w:tcPr>
          <w:p w:rsidR="00F52F42" w:rsidRDefault="00F10C6E" w:rsidP="00BD3A73">
            <w:pPr>
              <w:pStyle w:val="AIIndent"/>
              <w:numPr>
                <w:ilvl w:val="0"/>
                <w:numId w:val="34"/>
              </w:numPr>
            </w:pPr>
            <w:r w:rsidRPr="00F97903">
              <w:t xml:space="preserve">Annual </w:t>
            </w:r>
            <w:r w:rsidR="00E404F0">
              <w:t>F</w:t>
            </w:r>
            <w:r w:rsidR="00E404F0" w:rsidRPr="00F97903">
              <w:t xml:space="preserve">inancial </w:t>
            </w:r>
            <w:r w:rsidR="00E404F0">
              <w:t>S</w:t>
            </w:r>
            <w:r w:rsidR="00E404F0" w:rsidRPr="00F97903">
              <w:t xml:space="preserve">tatements </w:t>
            </w:r>
            <w:r w:rsidRPr="00F97903">
              <w:t>for the Territory provided in accordance with legislative timeframes</w:t>
            </w:r>
            <w:r w:rsidR="00252174">
              <w:rPr>
                <w:vertAlign w:val="superscript"/>
              </w:rPr>
              <w:t>4</w:t>
            </w:r>
          </w:p>
        </w:tc>
        <w:tc>
          <w:tcPr>
            <w:tcW w:w="1429" w:type="dxa"/>
          </w:tcPr>
          <w:p w:rsidR="00F10C6E" w:rsidRPr="00EA2CAE" w:rsidRDefault="00502B34" w:rsidP="006A2852">
            <w:pPr>
              <w:pStyle w:val="AITableText"/>
              <w:spacing w:after="120"/>
            </w:pPr>
            <w:r>
              <w:t>n/a</w:t>
            </w:r>
          </w:p>
        </w:tc>
        <w:tc>
          <w:tcPr>
            <w:tcW w:w="1429" w:type="dxa"/>
          </w:tcPr>
          <w:p w:rsidR="00F10C6E" w:rsidRPr="00EA2CAE" w:rsidRDefault="00502B34" w:rsidP="006A2852">
            <w:pPr>
              <w:pStyle w:val="AITableText"/>
              <w:spacing w:after="120"/>
            </w:pPr>
            <w:r>
              <w:t>n/a</w:t>
            </w:r>
          </w:p>
        </w:tc>
        <w:tc>
          <w:tcPr>
            <w:tcW w:w="1429" w:type="dxa"/>
          </w:tcPr>
          <w:p w:rsidR="00F10C6E" w:rsidRPr="00F97903" w:rsidRDefault="00F10C6E" w:rsidP="006A2852">
            <w:pPr>
              <w:pStyle w:val="AITableText"/>
              <w:spacing w:after="120"/>
              <w:rPr>
                <w:rFonts w:cs="Arial"/>
              </w:rPr>
            </w:pPr>
            <w:r>
              <w:rPr>
                <w:rFonts w:cs="Arial"/>
              </w:rPr>
              <w:t>1</w:t>
            </w:r>
          </w:p>
        </w:tc>
      </w:tr>
      <w:tr w:rsidR="00F10C6E" w:rsidRPr="00CF1A8C" w:rsidTr="00CD1F2B">
        <w:tc>
          <w:tcPr>
            <w:tcW w:w="5063" w:type="dxa"/>
          </w:tcPr>
          <w:p w:rsidR="00F52F42" w:rsidRDefault="00F10C6E" w:rsidP="00BD3A73">
            <w:pPr>
              <w:pStyle w:val="AIIndent"/>
              <w:numPr>
                <w:ilvl w:val="0"/>
                <w:numId w:val="34"/>
              </w:numPr>
            </w:pPr>
            <w:r w:rsidRPr="00F97903">
              <w:t xml:space="preserve">Quarterly </w:t>
            </w:r>
            <w:r w:rsidR="00E404F0">
              <w:t>C</w:t>
            </w:r>
            <w:r w:rsidR="00E404F0" w:rsidRPr="00F97903">
              <w:t xml:space="preserve">onsolidated </w:t>
            </w:r>
            <w:r w:rsidR="00E404F0">
              <w:t>F</w:t>
            </w:r>
            <w:r w:rsidR="00E404F0" w:rsidRPr="00F97903">
              <w:t xml:space="preserve">inancial </w:t>
            </w:r>
            <w:r w:rsidR="00E404F0">
              <w:t>S</w:t>
            </w:r>
            <w:r w:rsidR="00E404F0" w:rsidRPr="00F97903">
              <w:t xml:space="preserve">tatements </w:t>
            </w:r>
            <w:r w:rsidRPr="00F97903">
              <w:t>presented in accordance with legislative timeframes</w:t>
            </w:r>
            <w:r w:rsidR="00252174">
              <w:rPr>
                <w:vertAlign w:val="superscript"/>
              </w:rPr>
              <w:t>5</w:t>
            </w:r>
          </w:p>
        </w:tc>
        <w:tc>
          <w:tcPr>
            <w:tcW w:w="1429" w:type="dxa"/>
          </w:tcPr>
          <w:p w:rsidR="00F10C6E" w:rsidRPr="00EA2CAE" w:rsidRDefault="00F10C6E" w:rsidP="006A2852">
            <w:pPr>
              <w:pStyle w:val="AITableText"/>
              <w:spacing w:after="120"/>
            </w:pPr>
            <w:r>
              <w:t>4</w:t>
            </w:r>
          </w:p>
        </w:tc>
        <w:tc>
          <w:tcPr>
            <w:tcW w:w="1429" w:type="dxa"/>
          </w:tcPr>
          <w:p w:rsidR="00F10C6E" w:rsidRPr="00EA2CAE" w:rsidRDefault="00D34E1C" w:rsidP="006A2852">
            <w:pPr>
              <w:pStyle w:val="AITableText"/>
              <w:spacing w:after="120"/>
            </w:pPr>
            <w:r>
              <w:t>3</w:t>
            </w:r>
          </w:p>
        </w:tc>
        <w:tc>
          <w:tcPr>
            <w:tcW w:w="1429" w:type="dxa"/>
          </w:tcPr>
          <w:p w:rsidR="00F10C6E" w:rsidRPr="00F97903" w:rsidRDefault="00F10C6E" w:rsidP="006A2852">
            <w:pPr>
              <w:pStyle w:val="AITableText"/>
              <w:spacing w:after="120"/>
              <w:rPr>
                <w:rFonts w:cs="Arial"/>
              </w:rPr>
            </w:pPr>
            <w:r>
              <w:rPr>
                <w:rFonts w:cs="Arial"/>
              </w:rPr>
              <w:t>4</w:t>
            </w:r>
          </w:p>
        </w:tc>
      </w:tr>
      <w:tr w:rsidR="00F10C6E" w:rsidRPr="00CF1A8C" w:rsidTr="00CD1F2B">
        <w:trPr>
          <w:trHeight w:val="167"/>
        </w:trPr>
        <w:tc>
          <w:tcPr>
            <w:tcW w:w="5063" w:type="dxa"/>
            <w:tcBorders>
              <w:bottom w:val="single" w:sz="4" w:space="0" w:color="auto"/>
            </w:tcBorders>
          </w:tcPr>
          <w:p w:rsidR="00F52F42" w:rsidRDefault="00F10C6E" w:rsidP="00BD3A73">
            <w:pPr>
              <w:pStyle w:val="AIIndent"/>
              <w:numPr>
                <w:ilvl w:val="0"/>
                <w:numId w:val="34"/>
              </w:numPr>
              <w:rPr>
                <w:rFonts w:cs="Arial"/>
              </w:rPr>
            </w:pPr>
            <w:r w:rsidRPr="00F97903">
              <w:t>Policy/</w:t>
            </w:r>
            <w:r w:rsidR="006A2852">
              <w:t>s</w:t>
            </w:r>
            <w:r w:rsidRPr="00F97903">
              <w:t>ervice</w:t>
            </w:r>
            <w:r w:rsidR="006A2852">
              <w:t xml:space="preserve"> a</w:t>
            </w:r>
            <w:r w:rsidRPr="00F97903">
              <w:t xml:space="preserve">rea </w:t>
            </w:r>
            <w:r w:rsidR="006A2852">
              <w:t>r</w:t>
            </w:r>
            <w:r w:rsidRPr="00F97903">
              <w:t>eviews</w:t>
            </w:r>
            <w:r w:rsidR="00502B34">
              <w:rPr>
                <w:vertAlign w:val="superscript"/>
              </w:rPr>
              <w:t>6</w:t>
            </w:r>
          </w:p>
        </w:tc>
        <w:tc>
          <w:tcPr>
            <w:tcW w:w="1429" w:type="dxa"/>
            <w:tcBorders>
              <w:bottom w:val="single" w:sz="4" w:space="0" w:color="auto"/>
            </w:tcBorders>
          </w:tcPr>
          <w:p w:rsidR="00F10C6E" w:rsidRPr="00EA2CAE" w:rsidRDefault="00F10C6E" w:rsidP="006A2852">
            <w:pPr>
              <w:pStyle w:val="AITableText"/>
              <w:spacing w:after="120"/>
            </w:pPr>
            <w:r>
              <w:t>1</w:t>
            </w:r>
          </w:p>
        </w:tc>
        <w:tc>
          <w:tcPr>
            <w:tcW w:w="1429" w:type="dxa"/>
            <w:tcBorders>
              <w:bottom w:val="single" w:sz="4" w:space="0" w:color="auto"/>
            </w:tcBorders>
          </w:tcPr>
          <w:p w:rsidR="00F10C6E" w:rsidRPr="00EA2CAE" w:rsidRDefault="00BB66EF" w:rsidP="006A2852">
            <w:pPr>
              <w:pStyle w:val="AITableText"/>
              <w:spacing w:after="120"/>
            </w:pPr>
            <w:r>
              <w:t>1</w:t>
            </w:r>
          </w:p>
        </w:tc>
        <w:tc>
          <w:tcPr>
            <w:tcW w:w="1429" w:type="dxa"/>
            <w:tcBorders>
              <w:bottom w:val="single" w:sz="4" w:space="0" w:color="auto"/>
            </w:tcBorders>
          </w:tcPr>
          <w:p w:rsidR="00F10C6E" w:rsidRPr="00F97903" w:rsidRDefault="00870626" w:rsidP="006A2852">
            <w:pPr>
              <w:pStyle w:val="AITableText"/>
              <w:spacing w:after="120"/>
              <w:rPr>
                <w:rFonts w:cs="Arial"/>
              </w:rPr>
            </w:pPr>
            <w:r>
              <w:rPr>
                <w:rFonts w:cs="Arial"/>
              </w:rPr>
              <w:t>6</w:t>
            </w:r>
          </w:p>
        </w:tc>
      </w:tr>
    </w:tbl>
    <w:p w:rsidR="003A1A1F" w:rsidRDefault="00F10C6E">
      <w:pPr>
        <w:pStyle w:val="NoteHeading0"/>
      </w:pPr>
      <w:r w:rsidRPr="000638A4">
        <w:t>Note</w:t>
      </w:r>
      <w:r w:rsidR="006A2852">
        <w:t>s</w:t>
      </w:r>
      <w:r w:rsidRPr="000638A4">
        <w:t>:</w:t>
      </w:r>
    </w:p>
    <w:p w:rsidR="00F52F42" w:rsidRDefault="00252174" w:rsidP="00E84262">
      <w:pPr>
        <w:pStyle w:val="AINotes"/>
        <w:numPr>
          <w:ilvl w:val="0"/>
          <w:numId w:val="30"/>
        </w:numPr>
        <w:rPr>
          <w:iCs/>
          <w:szCs w:val="16"/>
        </w:rPr>
      </w:pPr>
      <w:r>
        <w:rPr>
          <w:iCs/>
          <w:szCs w:val="16"/>
        </w:rPr>
        <w:t xml:space="preserve">This output was previously Output Class 1 Financial and Economic Management in the </w:t>
      </w:r>
      <w:r w:rsidR="0055016D">
        <w:rPr>
          <w:iCs/>
          <w:szCs w:val="16"/>
        </w:rPr>
        <w:t xml:space="preserve">former </w:t>
      </w:r>
      <w:r>
        <w:rPr>
          <w:iCs/>
          <w:szCs w:val="16"/>
        </w:rPr>
        <w:t>Treasury Directorate. Its functions were transferred to the Chief Minister and Treasury Directorate following the Administrative Arrangements</w:t>
      </w:r>
      <w:r w:rsidR="00870626">
        <w:rPr>
          <w:iCs/>
          <w:szCs w:val="16"/>
        </w:rPr>
        <w:t xml:space="preserve"> (No.2) of 10 November 2012</w:t>
      </w:r>
      <w:r>
        <w:rPr>
          <w:iCs/>
          <w:szCs w:val="16"/>
        </w:rPr>
        <w:t>.</w:t>
      </w:r>
    </w:p>
    <w:p w:rsidR="00F52F42" w:rsidRDefault="00F10C6E" w:rsidP="00E84262">
      <w:pPr>
        <w:pStyle w:val="AINotes"/>
        <w:numPr>
          <w:ilvl w:val="0"/>
          <w:numId w:val="30"/>
        </w:numPr>
      </w:pPr>
      <w:r w:rsidRPr="00232397">
        <w:t xml:space="preserve">The Territory Budget presented to the Legislative Assembly in accordance with the timing prescribed in section 5 of the </w:t>
      </w:r>
      <w:r w:rsidR="00062901">
        <w:rPr>
          <w:i/>
        </w:rPr>
        <w:t>Financial </w:t>
      </w:r>
      <w:r w:rsidRPr="00986BB0">
        <w:rPr>
          <w:i/>
        </w:rPr>
        <w:t xml:space="preserve">Management Act 1996 </w:t>
      </w:r>
      <w:r w:rsidRPr="00232397">
        <w:t xml:space="preserve">(FMA). </w:t>
      </w:r>
    </w:p>
    <w:p w:rsidR="00F52F42" w:rsidRDefault="00252174" w:rsidP="00E84262">
      <w:pPr>
        <w:pStyle w:val="AINotes"/>
        <w:numPr>
          <w:ilvl w:val="0"/>
          <w:numId w:val="30"/>
        </w:numPr>
      </w:pPr>
      <w:r w:rsidRPr="00232397">
        <w:t xml:space="preserve">The Budget Review for the Territory presented to the Legislative Assembly in accordance with the timing prescribed in section 20A of the FMA.  </w:t>
      </w:r>
    </w:p>
    <w:p w:rsidR="00F52F42" w:rsidRDefault="00F10C6E" w:rsidP="00E84262">
      <w:pPr>
        <w:pStyle w:val="AINotes"/>
        <w:numPr>
          <w:ilvl w:val="0"/>
          <w:numId w:val="19"/>
        </w:numPr>
      </w:pPr>
      <w:r w:rsidRPr="00232397">
        <w:t xml:space="preserve">The Annual Financial Statements for the Territory to be provided to the Auditor-General in accordance with the timing prescribed in section 24 of the FMA.  </w:t>
      </w:r>
      <w:r w:rsidR="00E11D01">
        <w:t xml:space="preserve">The </w:t>
      </w:r>
      <w:r w:rsidR="00B477A0">
        <w:t>achievement</w:t>
      </w:r>
      <w:r w:rsidR="00E11D01">
        <w:t xml:space="preserve"> of this measure</w:t>
      </w:r>
      <w:r w:rsidR="00B477A0">
        <w:t xml:space="preserve"> for 2012-13</w:t>
      </w:r>
      <w:r w:rsidR="00E11D01">
        <w:t xml:space="preserve"> is reported under the Treasury Directorate in the Discontinued </w:t>
      </w:r>
      <w:r w:rsidR="00B477A0">
        <w:t>Agencies</w:t>
      </w:r>
      <w:r w:rsidR="00E11D01">
        <w:t xml:space="preserve"> section of this Budget Paper.</w:t>
      </w:r>
    </w:p>
    <w:p w:rsidR="0041095F" w:rsidRPr="0041095F" w:rsidRDefault="00F10C6E" w:rsidP="00E84262">
      <w:pPr>
        <w:pStyle w:val="AINotes"/>
        <w:numPr>
          <w:ilvl w:val="0"/>
          <w:numId w:val="19"/>
        </w:numPr>
        <w:rPr>
          <w:szCs w:val="16"/>
        </w:rPr>
      </w:pPr>
      <w:r w:rsidRPr="00232397">
        <w:t>The Quarterly Consolidated Financial Statements to be presented to the Legislative Assembly in accordance with the timing prescribed in section 26 of the FMA.</w:t>
      </w:r>
    </w:p>
    <w:p w:rsidR="00881A27" w:rsidRDefault="00E77E75" w:rsidP="00E84262">
      <w:pPr>
        <w:pStyle w:val="AINotes"/>
        <w:numPr>
          <w:ilvl w:val="0"/>
          <w:numId w:val="19"/>
        </w:numPr>
        <w:rPr>
          <w:szCs w:val="16"/>
        </w:rPr>
      </w:pPr>
      <w:r w:rsidRPr="0041095F">
        <w:rPr>
          <w:szCs w:val="16"/>
        </w:rPr>
        <w:t xml:space="preserve">This measure covers the Expenditure Review Committee’s key reviews. </w:t>
      </w:r>
      <w:r w:rsidR="002555E4" w:rsidRPr="0041095F">
        <w:rPr>
          <w:szCs w:val="16"/>
        </w:rPr>
        <w:t xml:space="preserve"> </w:t>
      </w:r>
      <w:r w:rsidRPr="0041095F">
        <w:rPr>
          <w:szCs w:val="16"/>
        </w:rPr>
        <w:t>The scope, delivery and timing of the scheduled reviews may vary depending on emerging priorities during the year that impact on resources and scheduled projects.</w:t>
      </w:r>
      <w:r w:rsidR="002555E4" w:rsidRPr="0041095F">
        <w:rPr>
          <w:szCs w:val="16"/>
        </w:rPr>
        <w:t xml:space="preserve"> </w:t>
      </w:r>
      <w:r w:rsidRPr="0041095F">
        <w:rPr>
          <w:szCs w:val="16"/>
        </w:rPr>
        <w:t xml:space="preserve"> In 2013-14, these will b</w:t>
      </w:r>
      <w:r w:rsidR="00BB47C1">
        <w:rPr>
          <w:szCs w:val="16"/>
        </w:rPr>
        <w:t>e the Review of Human Resources and</w:t>
      </w:r>
      <w:r w:rsidR="002555E4" w:rsidRPr="0041095F">
        <w:rPr>
          <w:szCs w:val="16"/>
        </w:rPr>
        <w:t xml:space="preserve"> </w:t>
      </w:r>
      <w:r w:rsidRPr="0041095F">
        <w:rPr>
          <w:szCs w:val="16"/>
        </w:rPr>
        <w:t>Financial Services</w:t>
      </w:r>
      <w:r w:rsidR="002555E4" w:rsidRPr="0041095F">
        <w:rPr>
          <w:szCs w:val="16"/>
        </w:rPr>
        <w:t>,</w:t>
      </w:r>
      <w:r w:rsidRPr="0041095F">
        <w:rPr>
          <w:szCs w:val="16"/>
        </w:rPr>
        <w:t xml:space="preserve"> and th</w:t>
      </w:r>
      <w:r w:rsidR="00BB47C1">
        <w:rPr>
          <w:szCs w:val="16"/>
        </w:rPr>
        <w:t>e Review of Government Schools.  It will also include operational reviews of ACTION, Emergency Services Agency, Corrections and Parks and Conservation Services.</w:t>
      </w:r>
    </w:p>
    <w:p w:rsidR="00881A27" w:rsidRDefault="00881A27">
      <w:pPr>
        <w:spacing w:after="200" w:line="276" w:lineRule="auto"/>
        <w:rPr>
          <w:sz w:val="16"/>
          <w:szCs w:val="16"/>
        </w:rPr>
      </w:pPr>
      <w:r>
        <w:rPr>
          <w:szCs w:val="16"/>
        </w:rPr>
        <w:br w:type="page"/>
      </w:r>
    </w:p>
    <w:p w:rsidR="00D232C8" w:rsidRPr="004B1829" w:rsidRDefault="00D232C8" w:rsidP="00D232C8">
      <w:pPr>
        <w:pStyle w:val="Heading3"/>
      </w:pPr>
      <w:r w:rsidRPr="004B1829">
        <w:lastRenderedPageBreak/>
        <w:t xml:space="preserve">Changes to Appropriation </w:t>
      </w:r>
    </w:p>
    <w:tbl>
      <w:tblPr>
        <w:tblW w:w="9356" w:type="dxa"/>
        <w:tblLook w:val="04A0"/>
      </w:tblPr>
      <w:tblGrid>
        <w:gridCol w:w="4556"/>
        <w:gridCol w:w="960"/>
        <w:gridCol w:w="960"/>
        <w:gridCol w:w="960"/>
        <w:gridCol w:w="960"/>
        <w:gridCol w:w="960"/>
      </w:tblGrid>
      <w:tr w:rsidR="00045E8D" w:rsidRPr="00045E8D" w:rsidTr="00045E8D">
        <w:trPr>
          <w:trHeight w:val="240"/>
        </w:trPr>
        <w:tc>
          <w:tcPr>
            <w:tcW w:w="4556" w:type="dxa"/>
            <w:tcBorders>
              <w:top w:val="nil"/>
              <w:left w:val="nil"/>
              <w:bottom w:val="nil"/>
              <w:right w:val="nil"/>
            </w:tcBorders>
            <w:shd w:val="clear" w:color="auto" w:fill="auto"/>
            <w:vAlign w:val="bottom"/>
            <w:hideMark/>
          </w:tcPr>
          <w:p w:rsidR="00045E8D" w:rsidRPr="00045E8D" w:rsidRDefault="00045E8D" w:rsidP="00045E8D">
            <w:pPr>
              <w:rPr>
                <w:b/>
                <w:bCs/>
                <w:sz w:val="18"/>
                <w:szCs w:val="18"/>
                <w:lang w:eastAsia="en-AU"/>
              </w:rPr>
            </w:pPr>
            <w:r w:rsidRPr="00045E8D">
              <w:rPr>
                <w:b/>
                <w:bCs/>
                <w:sz w:val="18"/>
                <w:szCs w:val="18"/>
                <w:lang w:eastAsia="en-AU"/>
              </w:rPr>
              <w:t>Changes to Appropriation - Controlled</w:t>
            </w: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r>
      <w:tr w:rsidR="00045E8D" w:rsidRPr="00045E8D" w:rsidTr="00045E8D">
        <w:trPr>
          <w:trHeight w:val="240"/>
        </w:trPr>
        <w:tc>
          <w:tcPr>
            <w:tcW w:w="4556" w:type="dxa"/>
            <w:tcBorders>
              <w:top w:val="single" w:sz="4" w:space="0" w:color="auto"/>
              <w:left w:val="nil"/>
              <w:bottom w:val="nil"/>
              <w:right w:val="nil"/>
            </w:tcBorders>
            <w:shd w:val="clear" w:color="auto" w:fill="auto"/>
            <w:vAlign w:val="bottom"/>
            <w:hideMark/>
          </w:tcPr>
          <w:p w:rsidR="00045E8D" w:rsidRPr="00045E8D" w:rsidRDefault="00045E8D" w:rsidP="00045E8D">
            <w:pPr>
              <w:rPr>
                <w:b/>
                <w:bCs/>
                <w:sz w:val="18"/>
                <w:szCs w:val="18"/>
                <w:lang w:eastAsia="en-AU"/>
              </w:rPr>
            </w:pPr>
            <w:r w:rsidRPr="00045E8D">
              <w:rPr>
                <w:b/>
                <w:bCs/>
                <w:sz w:val="18"/>
                <w:szCs w:val="18"/>
                <w:lang w:eastAsia="en-AU"/>
              </w:rPr>
              <w:t> </w:t>
            </w:r>
          </w:p>
        </w:tc>
        <w:tc>
          <w:tcPr>
            <w:tcW w:w="960" w:type="dxa"/>
            <w:tcBorders>
              <w:top w:val="single" w:sz="4" w:space="0" w:color="auto"/>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2012-13</w:t>
            </w:r>
          </w:p>
        </w:tc>
        <w:tc>
          <w:tcPr>
            <w:tcW w:w="960" w:type="dxa"/>
            <w:tcBorders>
              <w:top w:val="single" w:sz="4" w:space="0" w:color="auto"/>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2013-14</w:t>
            </w:r>
          </w:p>
        </w:tc>
        <w:tc>
          <w:tcPr>
            <w:tcW w:w="960" w:type="dxa"/>
            <w:tcBorders>
              <w:top w:val="single" w:sz="4" w:space="0" w:color="auto"/>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2014-15</w:t>
            </w:r>
          </w:p>
        </w:tc>
        <w:tc>
          <w:tcPr>
            <w:tcW w:w="960" w:type="dxa"/>
            <w:tcBorders>
              <w:top w:val="single" w:sz="4" w:space="0" w:color="auto"/>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2015-16</w:t>
            </w:r>
          </w:p>
        </w:tc>
        <w:tc>
          <w:tcPr>
            <w:tcW w:w="960" w:type="dxa"/>
            <w:tcBorders>
              <w:top w:val="single" w:sz="4" w:space="0" w:color="auto"/>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2016-17</w:t>
            </w:r>
          </w:p>
        </w:tc>
      </w:tr>
      <w:tr w:rsidR="00045E8D" w:rsidRPr="00045E8D" w:rsidTr="00045E8D">
        <w:trPr>
          <w:trHeight w:val="240"/>
        </w:trPr>
        <w:tc>
          <w:tcPr>
            <w:tcW w:w="4556" w:type="dxa"/>
            <w:tcBorders>
              <w:top w:val="nil"/>
              <w:left w:val="nil"/>
              <w:bottom w:val="nil"/>
              <w:right w:val="nil"/>
            </w:tcBorders>
            <w:shd w:val="clear" w:color="auto" w:fill="auto"/>
            <w:vAlign w:val="bottom"/>
            <w:hideMark/>
          </w:tcPr>
          <w:p w:rsidR="00045E8D" w:rsidRPr="00045E8D" w:rsidRDefault="00045E8D" w:rsidP="00045E8D">
            <w:pPr>
              <w:rPr>
                <w:b/>
                <w:bCs/>
                <w:sz w:val="18"/>
                <w:szCs w:val="18"/>
                <w:lang w:eastAsia="en-AU"/>
              </w:rPr>
            </w:pPr>
            <w:r w:rsidRPr="00045E8D">
              <w:rPr>
                <w:b/>
                <w:bCs/>
                <w:sz w:val="18"/>
                <w:szCs w:val="18"/>
                <w:lang w:eastAsia="en-AU"/>
              </w:rPr>
              <w:t>Government Payment for Outputs</w:t>
            </w:r>
          </w:p>
        </w:tc>
        <w:tc>
          <w:tcPr>
            <w:tcW w:w="960" w:type="dxa"/>
            <w:tcBorders>
              <w:top w:val="nil"/>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Est. Out.</w:t>
            </w:r>
          </w:p>
        </w:tc>
        <w:tc>
          <w:tcPr>
            <w:tcW w:w="960" w:type="dxa"/>
            <w:tcBorders>
              <w:top w:val="nil"/>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Budget</w:t>
            </w:r>
          </w:p>
        </w:tc>
        <w:tc>
          <w:tcPr>
            <w:tcW w:w="960" w:type="dxa"/>
            <w:tcBorders>
              <w:top w:val="nil"/>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Estimate</w:t>
            </w:r>
          </w:p>
        </w:tc>
        <w:tc>
          <w:tcPr>
            <w:tcW w:w="960" w:type="dxa"/>
            <w:tcBorders>
              <w:top w:val="nil"/>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Estimate</w:t>
            </w:r>
          </w:p>
        </w:tc>
        <w:tc>
          <w:tcPr>
            <w:tcW w:w="960" w:type="dxa"/>
            <w:tcBorders>
              <w:top w:val="nil"/>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Estimate</w:t>
            </w:r>
          </w:p>
        </w:tc>
      </w:tr>
      <w:tr w:rsidR="00045E8D" w:rsidRPr="00045E8D" w:rsidTr="00045E8D">
        <w:trPr>
          <w:trHeight w:val="240"/>
        </w:trPr>
        <w:tc>
          <w:tcPr>
            <w:tcW w:w="4556" w:type="dxa"/>
            <w:tcBorders>
              <w:top w:val="nil"/>
              <w:left w:val="nil"/>
              <w:bottom w:val="single" w:sz="4" w:space="0" w:color="auto"/>
              <w:right w:val="nil"/>
            </w:tcBorders>
            <w:shd w:val="clear" w:color="auto" w:fill="auto"/>
            <w:vAlign w:val="bottom"/>
            <w:hideMark/>
          </w:tcPr>
          <w:p w:rsidR="00045E8D" w:rsidRPr="00045E8D" w:rsidRDefault="00045E8D" w:rsidP="00045E8D">
            <w:pPr>
              <w:rPr>
                <w:b/>
                <w:bCs/>
                <w:sz w:val="18"/>
                <w:szCs w:val="18"/>
                <w:lang w:eastAsia="en-AU"/>
              </w:rPr>
            </w:pPr>
            <w:r w:rsidRPr="00045E8D">
              <w:rPr>
                <w:b/>
                <w:bCs/>
                <w:sz w:val="18"/>
                <w:szCs w:val="18"/>
                <w:lang w:eastAsia="en-AU"/>
              </w:rPr>
              <w:t> </w:t>
            </w:r>
          </w:p>
        </w:tc>
        <w:tc>
          <w:tcPr>
            <w:tcW w:w="960" w:type="dxa"/>
            <w:tcBorders>
              <w:top w:val="nil"/>
              <w:left w:val="nil"/>
              <w:bottom w:val="single" w:sz="4" w:space="0" w:color="auto"/>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$'000</w:t>
            </w:r>
          </w:p>
        </w:tc>
      </w:tr>
      <w:tr w:rsidR="00045E8D" w:rsidRPr="00045E8D" w:rsidTr="007477C8">
        <w:trPr>
          <w:trHeight w:hRule="exact" w:val="113"/>
        </w:trPr>
        <w:tc>
          <w:tcPr>
            <w:tcW w:w="4556" w:type="dxa"/>
            <w:tcBorders>
              <w:top w:val="nil"/>
              <w:left w:val="nil"/>
              <w:bottom w:val="nil"/>
              <w:right w:val="nil"/>
            </w:tcBorders>
            <w:shd w:val="clear" w:color="auto" w:fill="auto"/>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jc w:val="cente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r>
      <w:tr w:rsidR="00045E8D" w:rsidRPr="00045E8D" w:rsidTr="00A03BA2">
        <w:trPr>
          <w:trHeight w:val="240"/>
        </w:trPr>
        <w:tc>
          <w:tcPr>
            <w:tcW w:w="4556" w:type="dxa"/>
            <w:tcBorders>
              <w:top w:val="nil"/>
              <w:left w:val="nil"/>
              <w:bottom w:val="nil"/>
              <w:right w:val="nil"/>
            </w:tcBorders>
            <w:shd w:val="clear" w:color="auto" w:fill="auto"/>
            <w:hideMark/>
          </w:tcPr>
          <w:p w:rsidR="00045E8D" w:rsidRPr="00045E8D" w:rsidRDefault="00045E8D" w:rsidP="00A03BA2">
            <w:pPr>
              <w:rPr>
                <w:b/>
                <w:bCs/>
                <w:sz w:val="18"/>
                <w:szCs w:val="18"/>
                <w:lang w:eastAsia="en-AU"/>
              </w:rPr>
            </w:pPr>
            <w:r w:rsidRPr="00045E8D">
              <w:rPr>
                <w:b/>
                <w:bCs/>
                <w:sz w:val="18"/>
                <w:szCs w:val="18"/>
                <w:lang w:eastAsia="en-AU"/>
              </w:rPr>
              <w:t>2012-13 Budget</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r w:rsidRPr="00045E8D">
              <w:rPr>
                <w:b/>
                <w:bCs/>
                <w:sz w:val="18"/>
                <w:szCs w:val="18"/>
                <w:lang w:eastAsia="en-AU"/>
              </w:rPr>
              <w:t>36,919</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r w:rsidRPr="00045E8D">
              <w:rPr>
                <w:b/>
                <w:bCs/>
                <w:sz w:val="18"/>
                <w:szCs w:val="18"/>
                <w:lang w:eastAsia="en-AU"/>
              </w:rPr>
              <w:t>24,083</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r w:rsidRPr="00045E8D">
              <w:rPr>
                <w:b/>
                <w:bCs/>
                <w:sz w:val="18"/>
                <w:szCs w:val="18"/>
                <w:lang w:eastAsia="en-AU"/>
              </w:rPr>
              <w:t>20,149</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r w:rsidRPr="00045E8D">
              <w:rPr>
                <w:b/>
                <w:bCs/>
                <w:sz w:val="18"/>
                <w:szCs w:val="18"/>
                <w:lang w:eastAsia="en-AU"/>
              </w:rPr>
              <w:t>20,020</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r w:rsidRPr="00045E8D">
              <w:rPr>
                <w:b/>
                <w:bCs/>
                <w:sz w:val="18"/>
                <w:szCs w:val="18"/>
                <w:lang w:eastAsia="en-AU"/>
              </w:rPr>
              <w:t>20,020</w:t>
            </w:r>
          </w:p>
        </w:tc>
      </w:tr>
      <w:tr w:rsidR="00045E8D" w:rsidRPr="00045E8D" w:rsidTr="00A03BA2">
        <w:trPr>
          <w:trHeight w:val="240"/>
        </w:trPr>
        <w:tc>
          <w:tcPr>
            <w:tcW w:w="4556" w:type="dxa"/>
            <w:tcBorders>
              <w:top w:val="nil"/>
              <w:left w:val="nil"/>
              <w:bottom w:val="nil"/>
              <w:right w:val="nil"/>
            </w:tcBorders>
            <w:shd w:val="clear" w:color="auto" w:fill="auto"/>
            <w:hideMark/>
          </w:tcPr>
          <w:p w:rsidR="00045E8D" w:rsidRPr="00045E8D" w:rsidRDefault="00045E8D" w:rsidP="00A03BA2">
            <w:pPr>
              <w:rPr>
                <w:b/>
                <w:bCs/>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p>
        </w:tc>
      </w:tr>
      <w:tr w:rsidR="00045E8D" w:rsidRPr="00045E8D" w:rsidTr="00A03BA2">
        <w:trPr>
          <w:trHeight w:val="240"/>
        </w:trPr>
        <w:tc>
          <w:tcPr>
            <w:tcW w:w="4556" w:type="dxa"/>
            <w:tcBorders>
              <w:top w:val="nil"/>
              <w:left w:val="nil"/>
              <w:bottom w:val="nil"/>
              <w:right w:val="nil"/>
            </w:tcBorders>
            <w:shd w:val="clear" w:color="auto" w:fill="auto"/>
            <w:hideMark/>
          </w:tcPr>
          <w:p w:rsidR="00045E8D" w:rsidRPr="00045E8D" w:rsidRDefault="00045E8D" w:rsidP="00A03BA2">
            <w:pPr>
              <w:rPr>
                <w:b/>
                <w:bCs/>
                <w:sz w:val="18"/>
                <w:szCs w:val="18"/>
                <w:lang w:eastAsia="en-AU"/>
              </w:rPr>
            </w:pPr>
            <w:r w:rsidRPr="00045E8D">
              <w:rPr>
                <w:b/>
                <w:bCs/>
                <w:sz w:val="18"/>
                <w:szCs w:val="18"/>
                <w:lang w:eastAsia="en-AU"/>
              </w:rPr>
              <w:t>2nd Appropriation</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b/>
                <w:bCs/>
                <w:sz w:val="18"/>
                <w:szCs w:val="18"/>
                <w:lang w:eastAsia="en-AU"/>
              </w:rPr>
            </w:pP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Restructure Fund</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2,098</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Strategic Asset Management Program</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1,411</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Accelerated Land Development</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963</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Whole of Government Gateway</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240</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r>
      <w:tr w:rsidR="00045E8D" w:rsidRPr="00045E8D" w:rsidTr="00A03BA2">
        <w:trPr>
          <w:trHeight w:val="168"/>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Seamless National Economy NP</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32</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 xml:space="preserve">Project Advice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11</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 </w:t>
            </w:r>
          </w:p>
        </w:tc>
      </w:tr>
      <w:tr w:rsidR="00045E8D" w:rsidRPr="00045E8D" w:rsidTr="007477C8">
        <w:trPr>
          <w:trHeight w:hRule="exact" w:val="170"/>
        </w:trPr>
        <w:tc>
          <w:tcPr>
            <w:tcW w:w="4556" w:type="dxa"/>
            <w:tcBorders>
              <w:top w:val="nil"/>
              <w:left w:val="nil"/>
              <w:bottom w:val="nil"/>
              <w:right w:val="nil"/>
            </w:tcBorders>
            <w:shd w:val="clear" w:color="auto" w:fill="auto"/>
            <w:hideMark/>
          </w:tcPr>
          <w:p w:rsidR="003A1A1F" w:rsidRDefault="003A1A1F" w:rsidP="00A03BA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b/>
                <w:bCs/>
                <w:sz w:val="18"/>
                <w:szCs w:val="18"/>
                <w:lang w:eastAsia="en-AU"/>
              </w:rPr>
            </w:pPr>
            <w:r w:rsidRPr="00045E8D">
              <w:rPr>
                <w:b/>
                <w:bCs/>
                <w:sz w:val="18"/>
                <w:szCs w:val="18"/>
                <w:lang w:eastAsia="en-AU"/>
              </w:rPr>
              <w:t>FMA Section 16B Rollovers from 2011-12</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Centenary of Canberra</w:t>
            </w:r>
            <w:r w:rsidR="00A03BA2" w:rsidRPr="00A03BA2">
              <w:rPr>
                <w:sz w:val="18"/>
                <w:szCs w:val="18"/>
                <w:lang w:eastAsia="en-AU"/>
              </w:rPr>
              <w:t xml:space="preserve"> – </w:t>
            </w:r>
            <w:r w:rsidRPr="00045E8D">
              <w:rPr>
                <w:sz w:val="18"/>
                <w:szCs w:val="18"/>
                <w:lang w:eastAsia="en-AU"/>
              </w:rPr>
              <w:t>ACT Celebratory Program</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2,682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Community Centenary Initiatives Fund</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82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431"/>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proofErr w:type="spellStart"/>
            <w:r w:rsidRPr="00045E8D">
              <w:rPr>
                <w:sz w:val="18"/>
                <w:szCs w:val="18"/>
                <w:lang w:eastAsia="en-AU"/>
              </w:rPr>
              <w:t>ACTGov</w:t>
            </w:r>
            <w:proofErr w:type="spellEnd"/>
            <w:r w:rsidRPr="00045E8D">
              <w:rPr>
                <w:sz w:val="18"/>
                <w:szCs w:val="18"/>
                <w:lang w:eastAsia="en-AU"/>
              </w:rPr>
              <w:t xml:space="preserve"> 2.0</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 xml:space="preserve">Exploring Opportunities for Electronic Service </w:t>
            </w:r>
            <w:r w:rsidRPr="00045E8D">
              <w:rPr>
                <w:sz w:val="18"/>
                <w:szCs w:val="18"/>
                <w:lang w:eastAsia="en-AU"/>
              </w:rPr>
              <w:br/>
              <w:t xml:space="preserve">  Delivery (Scoping)</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75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152"/>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A Healthy Future</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Preventative Health Program</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65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Community Initiatives Fund</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14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7477C8">
        <w:trPr>
          <w:trHeight w:hRule="exact" w:val="170"/>
        </w:trPr>
        <w:tc>
          <w:tcPr>
            <w:tcW w:w="4556" w:type="dxa"/>
            <w:tcBorders>
              <w:top w:val="nil"/>
              <w:left w:val="nil"/>
              <w:bottom w:val="nil"/>
              <w:right w:val="nil"/>
            </w:tcBorders>
            <w:shd w:val="clear" w:color="auto" w:fill="auto"/>
            <w:hideMark/>
          </w:tcPr>
          <w:p w:rsidR="003A1A1F" w:rsidRDefault="003A1A1F" w:rsidP="00A03BA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b/>
                <w:bCs/>
                <w:sz w:val="18"/>
                <w:szCs w:val="18"/>
                <w:lang w:eastAsia="en-AU"/>
              </w:rPr>
            </w:pPr>
            <w:r w:rsidRPr="00045E8D">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Centenary Chair for Cancer Research</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500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500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500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Directorate Operational Reviews</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1,300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400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145"/>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Study Canberra</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205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718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664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504 </w:t>
            </w:r>
          </w:p>
        </w:tc>
      </w:tr>
      <w:tr w:rsidR="00045E8D" w:rsidRPr="00045E8D" w:rsidTr="00A03BA2">
        <w:trPr>
          <w:trHeight w:val="204"/>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General Savings</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(950)</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(192)</w:t>
            </w:r>
          </w:p>
        </w:tc>
      </w:tr>
      <w:tr w:rsidR="00045E8D" w:rsidRPr="00045E8D" w:rsidTr="00A03BA2">
        <w:trPr>
          <w:trHeight w:val="421"/>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Workers' Compensation</w:t>
            </w:r>
            <w:r w:rsidR="00A03BA2">
              <w:rPr>
                <w:sz w:val="18"/>
                <w:szCs w:val="18"/>
                <w:lang w:eastAsia="en-AU"/>
              </w:rPr>
              <w:t xml:space="preserve"> and Work Health and Safety Regulatory Administration</w:t>
            </w: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840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1,107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1,388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1,559 </w:t>
            </w:r>
          </w:p>
        </w:tc>
      </w:tr>
      <w:tr w:rsidR="00045E8D" w:rsidRPr="00045E8D" w:rsidTr="007477C8">
        <w:trPr>
          <w:trHeight w:hRule="exact" w:val="170"/>
        </w:trPr>
        <w:tc>
          <w:tcPr>
            <w:tcW w:w="4556" w:type="dxa"/>
            <w:tcBorders>
              <w:top w:val="nil"/>
              <w:left w:val="nil"/>
              <w:bottom w:val="nil"/>
              <w:right w:val="nil"/>
            </w:tcBorders>
            <w:shd w:val="clear" w:color="auto" w:fill="auto"/>
            <w:hideMark/>
          </w:tcPr>
          <w:p w:rsidR="003A1A1F" w:rsidRDefault="003A1A1F" w:rsidP="00A03BA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b/>
                <w:bCs/>
                <w:sz w:val="18"/>
                <w:szCs w:val="18"/>
                <w:lang w:eastAsia="en-AU"/>
              </w:rPr>
            </w:pPr>
            <w:r w:rsidRPr="00045E8D">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Revised Indexation Parameters</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(74)</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(75)</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(77)</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172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Revised Superannuation Parameters</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333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368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109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83 </w:t>
            </w:r>
          </w:p>
        </w:tc>
      </w:tr>
      <w:tr w:rsidR="00045E8D" w:rsidRPr="00045E8D" w:rsidTr="00A03BA2">
        <w:trPr>
          <w:trHeight w:val="114"/>
        </w:trPr>
        <w:tc>
          <w:tcPr>
            <w:tcW w:w="4556" w:type="dxa"/>
            <w:tcBorders>
              <w:top w:val="nil"/>
              <w:left w:val="nil"/>
              <w:bottom w:val="nil"/>
              <w:right w:val="nil"/>
            </w:tcBorders>
            <w:shd w:val="clear" w:color="auto" w:fill="auto"/>
            <w:hideMark/>
          </w:tcPr>
          <w:p w:rsidR="003A1A1F" w:rsidRDefault="00C61470" w:rsidP="00A03BA2">
            <w:pPr>
              <w:ind w:left="142" w:hanging="142"/>
              <w:rPr>
                <w:sz w:val="18"/>
                <w:szCs w:val="18"/>
                <w:lang w:eastAsia="en-AU"/>
              </w:rPr>
            </w:pPr>
            <w:r w:rsidRPr="00045E8D">
              <w:rPr>
                <w:sz w:val="18"/>
                <w:szCs w:val="18"/>
                <w:lang w:eastAsia="en-AU"/>
              </w:rPr>
              <w:t>Revised</w:t>
            </w:r>
            <w:r w:rsidR="00045E8D" w:rsidRPr="00045E8D">
              <w:rPr>
                <w:sz w:val="18"/>
                <w:szCs w:val="18"/>
                <w:lang w:eastAsia="en-AU"/>
              </w:rPr>
              <w:t xml:space="preserve"> Superannuation Guarantee Rate</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3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6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12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18 </w:t>
            </w:r>
          </w:p>
        </w:tc>
      </w:tr>
      <w:tr w:rsidR="00045E8D" w:rsidRPr="00045E8D" w:rsidTr="00A03BA2">
        <w:trPr>
          <w:trHeight w:val="389"/>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Treasurer's Advance</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ICRC Secondary Water Use Investigation</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722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97"/>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National Injury Insurance Scheme</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320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324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Investment Logic Mapping and Other Reviews</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240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240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New Court Facilities (Design and PPP Scoping)</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750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235"/>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Transfer</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Local Government Memberships from TAMS</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34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115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118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121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124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Transfer</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Mobile Canberra Applications to Capital Injection</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(30)</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Transfer</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 xml:space="preserve">Carbon Neutral </w:t>
            </w:r>
            <w:r w:rsidR="00284959">
              <w:rPr>
                <w:sz w:val="18"/>
                <w:szCs w:val="18"/>
                <w:lang w:eastAsia="en-AU"/>
              </w:rPr>
              <w:t xml:space="preserve">Government </w:t>
            </w:r>
            <w:r w:rsidRPr="00045E8D">
              <w:rPr>
                <w:sz w:val="18"/>
                <w:szCs w:val="18"/>
                <w:lang w:eastAsia="en-AU"/>
              </w:rPr>
              <w:t>Fund</w:t>
            </w:r>
            <w:r w:rsidR="00284959">
              <w:rPr>
                <w:sz w:val="18"/>
                <w:szCs w:val="18"/>
                <w:lang w:eastAsia="en-AU"/>
              </w:rPr>
              <w:t>ing</w:t>
            </w:r>
            <w:r w:rsidRPr="00045E8D">
              <w:rPr>
                <w:sz w:val="18"/>
                <w:szCs w:val="18"/>
                <w:lang w:eastAsia="en-AU"/>
              </w:rPr>
              <w:t xml:space="preserve"> to ESDD</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(4)</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162"/>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Transfer</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Injury Management and Safety Unit from SSC</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634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814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Transfer</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Treasury Functions from TD</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22,907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22,176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17,623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17,894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18,264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Transfer</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Taxation Management Framework to CWD</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(8)</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(8)</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(9)</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(9)</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Revised Funding Profile</w:t>
            </w:r>
            <w:r w:rsidR="00C61470">
              <w:rPr>
                <w:sz w:val="18"/>
                <w:szCs w:val="18"/>
                <w:lang w:eastAsia="en-AU"/>
              </w:rPr>
              <w:t xml:space="preserve"> –</w:t>
            </w:r>
            <w:r w:rsidR="00C61470" w:rsidRPr="00045E8D">
              <w:rPr>
                <w:sz w:val="18"/>
                <w:szCs w:val="18"/>
                <w:lang w:eastAsia="en-AU"/>
              </w:rPr>
              <w:t xml:space="preserve"> </w:t>
            </w:r>
            <w:r w:rsidR="00570969" w:rsidRPr="00045E8D">
              <w:rPr>
                <w:sz w:val="18"/>
                <w:szCs w:val="18"/>
                <w:lang w:eastAsia="en-AU"/>
              </w:rPr>
              <w:t>Restructure</w:t>
            </w:r>
            <w:r w:rsidRPr="00045E8D">
              <w:rPr>
                <w:sz w:val="18"/>
                <w:szCs w:val="18"/>
                <w:lang w:eastAsia="en-AU"/>
              </w:rPr>
              <w:t xml:space="preserve"> Fund</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(4,563)</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4,563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Revised Funding Profile</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Project Advice</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(300)</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300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Revised Funding Profile</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Seamless National Economy NP</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(1,803)</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1,803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225"/>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Revised Funding Profile</w:t>
            </w:r>
            <w:r w:rsidR="00C61470">
              <w:rPr>
                <w:sz w:val="18"/>
                <w:szCs w:val="18"/>
                <w:lang w:eastAsia="en-AU"/>
              </w:rPr>
              <w:t xml:space="preserve"> –</w:t>
            </w:r>
            <w:r w:rsidR="00C61470" w:rsidRPr="00045E8D">
              <w:rPr>
                <w:sz w:val="18"/>
                <w:szCs w:val="18"/>
                <w:lang w:eastAsia="en-AU"/>
              </w:rPr>
              <w:t xml:space="preserve"> </w:t>
            </w:r>
            <w:r w:rsidR="00570969" w:rsidRPr="00045E8D">
              <w:rPr>
                <w:sz w:val="18"/>
                <w:szCs w:val="18"/>
                <w:lang w:eastAsia="en-AU"/>
              </w:rPr>
              <w:t>Strategic</w:t>
            </w:r>
            <w:r w:rsidRPr="00045E8D">
              <w:rPr>
                <w:sz w:val="18"/>
                <w:szCs w:val="18"/>
                <w:lang w:eastAsia="en-AU"/>
              </w:rPr>
              <w:t xml:space="preserve"> Asset Management Program</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(1,795)</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1,795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36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Revised Funding Profile</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Centenary of Canberra</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 xml:space="preserve">ACT </w:t>
            </w:r>
            <w:r w:rsidRPr="00045E8D">
              <w:rPr>
                <w:sz w:val="18"/>
                <w:szCs w:val="18"/>
                <w:lang w:eastAsia="en-AU"/>
              </w:rPr>
              <w:br/>
              <w:t>Celebratory Program</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(572)</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572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Commonwealth Grants</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 xml:space="preserve">Liveable Cities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(143)</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157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045E8D" w:rsidP="00A03BA2">
            <w:pPr>
              <w:ind w:left="142" w:hanging="142"/>
              <w:rPr>
                <w:sz w:val="18"/>
                <w:szCs w:val="18"/>
                <w:lang w:eastAsia="en-AU"/>
              </w:rPr>
            </w:pPr>
            <w:r w:rsidRPr="00045E8D">
              <w:rPr>
                <w:sz w:val="18"/>
                <w:szCs w:val="18"/>
                <w:lang w:eastAsia="en-AU"/>
              </w:rPr>
              <w:t>Cessation</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ACT Ombudsman</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Integrity Package</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r w:rsidRPr="00045E8D">
              <w:rPr>
                <w:sz w:val="18"/>
                <w:szCs w:val="18"/>
                <w:lang w:eastAsia="en-AU"/>
              </w:rPr>
              <w:t>(104)</w:t>
            </w:r>
          </w:p>
        </w:tc>
      </w:tr>
      <w:tr w:rsidR="00045E8D" w:rsidRPr="00045E8D" w:rsidTr="00A03BA2">
        <w:trPr>
          <w:trHeight w:val="240"/>
        </w:trPr>
        <w:tc>
          <w:tcPr>
            <w:tcW w:w="4556" w:type="dxa"/>
            <w:tcBorders>
              <w:top w:val="nil"/>
              <w:left w:val="nil"/>
              <w:bottom w:val="nil"/>
              <w:right w:val="nil"/>
            </w:tcBorders>
            <w:shd w:val="clear" w:color="auto" w:fill="auto"/>
            <w:hideMark/>
          </w:tcPr>
          <w:p w:rsidR="003A1A1F" w:rsidRDefault="003A1A1F" w:rsidP="00A03BA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A03BA2">
            <w:pPr>
              <w:jc w:val="right"/>
              <w:rPr>
                <w:sz w:val="18"/>
                <w:szCs w:val="18"/>
                <w:lang w:eastAsia="en-AU"/>
              </w:rPr>
            </w:pPr>
          </w:p>
        </w:tc>
      </w:tr>
      <w:tr w:rsidR="00045E8D" w:rsidRPr="00045E8D" w:rsidTr="00A03BA2">
        <w:trPr>
          <w:trHeight w:val="240"/>
        </w:trPr>
        <w:tc>
          <w:tcPr>
            <w:tcW w:w="4556" w:type="dxa"/>
            <w:tcBorders>
              <w:top w:val="nil"/>
              <w:left w:val="nil"/>
              <w:bottom w:val="single" w:sz="4" w:space="0" w:color="auto"/>
              <w:right w:val="nil"/>
            </w:tcBorders>
            <w:shd w:val="clear" w:color="auto" w:fill="auto"/>
            <w:hideMark/>
          </w:tcPr>
          <w:p w:rsidR="00045E8D" w:rsidRPr="00045E8D" w:rsidRDefault="00045E8D" w:rsidP="00A03BA2">
            <w:pPr>
              <w:rPr>
                <w:b/>
                <w:bCs/>
                <w:sz w:val="18"/>
                <w:szCs w:val="18"/>
                <w:lang w:eastAsia="en-AU"/>
              </w:rPr>
            </w:pPr>
            <w:r w:rsidRPr="00045E8D">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045E8D" w:rsidRPr="00045E8D" w:rsidRDefault="00045E8D" w:rsidP="00A03BA2">
            <w:pPr>
              <w:jc w:val="right"/>
              <w:rPr>
                <w:b/>
                <w:bCs/>
                <w:sz w:val="18"/>
                <w:szCs w:val="18"/>
                <w:lang w:eastAsia="en-AU"/>
              </w:rPr>
            </w:pPr>
            <w:r w:rsidRPr="00045E8D">
              <w:rPr>
                <w:b/>
                <w:bCs/>
                <w:sz w:val="18"/>
                <w:szCs w:val="18"/>
                <w:lang w:eastAsia="en-AU"/>
              </w:rPr>
              <w:t>59,683</w:t>
            </w:r>
          </w:p>
        </w:tc>
        <w:tc>
          <w:tcPr>
            <w:tcW w:w="960" w:type="dxa"/>
            <w:tcBorders>
              <w:top w:val="nil"/>
              <w:left w:val="nil"/>
              <w:bottom w:val="single" w:sz="4" w:space="0" w:color="auto"/>
              <w:right w:val="nil"/>
            </w:tcBorders>
            <w:shd w:val="clear" w:color="auto" w:fill="auto"/>
            <w:noWrap/>
            <w:hideMark/>
          </w:tcPr>
          <w:p w:rsidR="00045E8D" w:rsidRPr="00045E8D" w:rsidRDefault="00045E8D" w:rsidP="00A03BA2">
            <w:pPr>
              <w:jc w:val="right"/>
              <w:rPr>
                <w:b/>
                <w:bCs/>
                <w:sz w:val="18"/>
                <w:szCs w:val="18"/>
                <w:lang w:eastAsia="en-AU"/>
              </w:rPr>
            </w:pPr>
            <w:r w:rsidRPr="00045E8D">
              <w:rPr>
                <w:b/>
                <w:bCs/>
                <w:sz w:val="18"/>
                <w:szCs w:val="18"/>
                <w:lang w:eastAsia="en-AU"/>
              </w:rPr>
              <w:t>59,833</w:t>
            </w:r>
          </w:p>
        </w:tc>
        <w:tc>
          <w:tcPr>
            <w:tcW w:w="960" w:type="dxa"/>
            <w:tcBorders>
              <w:top w:val="nil"/>
              <w:left w:val="nil"/>
              <w:bottom w:val="single" w:sz="4" w:space="0" w:color="auto"/>
              <w:right w:val="nil"/>
            </w:tcBorders>
            <w:shd w:val="clear" w:color="auto" w:fill="auto"/>
            <w:noWrap/>
            <w:hideMark/>
          </w:tcPr>
          <w:p w:rsidR="00045E8D" w:rsidRPr="00045E8D" w:rsidRDefault="00045E8D" w:rsidP="00A03BA2">
            <w:pPr>
              <w:jc w:val="right"/>
              <w:rPr>
                <w:b/>
                <w:bCs/>
                <w:sz w:val="18"/>
                <w:szCs w:val="18"/>
                <w:lang w:eastAsia="en-AU"/>
              </w:rPr>
            </w:pPr>
            <w:r w:rsidRPr="00045E8D">
              <w:rPr>
                <w:b/>
                <w:bCs/>
                <w:sz w:val="18"/>
                <w:szCs w:val="18"/>
                <w:lang w:eastAsia="en-AU"/>
              </w:rPr>
              <w:t>41,470</w:t>
            </w:r>
          </w:p>
        </w:tc>
        <w:tc>
          <w:tcPr>
            <w:tcW w:w="960" w:type="dxa"/>
            <w:tcBorders>
              <w:top w:val="nil"/>
              <w:left w:val="nil"/>
              <w:bottom w:val="single" w:sz="4" w:space="0" w:color="auto"/>
              <w:right w:val="nil"/>
            </w:tcBorders>
            <w:shd w:val="clear" w:color="auto" w:fill="auto"/>
            <w:noWrap/>
            <w:hideMark/>
          </w:tcPr>
          <w:p w:rsidR="00045E8D" w:rsidRPr="00045E8D" w:rsidRDefault="00045E8D" w:rsidP="00A03BA2">
            <w:pPr>
              <w:jc w:val="right"/>
              <w:rPr>
                <w:b/>
                <w:bCs/>
                <w:sz w:val="18"/>
                <w:szCs w:val="18"/>
                <w:lang w:eastAsia="en-AU"/>
              </w:rPr>
            </w:pPr>
            <w:r w:rsidRPr="00045E8D">
              <w:rPr>
                <w:b/>
                <w:bCs/>
                <w:sz w:val="18"/>
                <w:szCs w:val="18"/>
                <w:lang w:eastAsia="en-AU"/>
              </w:rPr>
              <w:t>40,622</w:t>
            </w:r>
          </w:p>
        </w:tc>
        <w:tc>
          <w:tcPr>
            <w:tcW w:w="960" w:type="dxa"/>
            <w:tcBorders>
              <w:top w:val="nil"/>
              <w:left w:val="nil"/>
              <w:bottom w:val="single" w:sz="4" w:space="0" w:color="auto"/>
              <w:right w:val="nil"/>
            </w:tcBorders>
            <w:shd w:val="clear" w:color="auto" w:fill="auto"/>
            <w:noWrap/>
            <w:hideMark/>
          </w:tcPr>
          <w:p w:rsidR="00045E8D" w:rsidRPr="00045E8D" w:rsidRDefault="00045E8D" w:rsidP="00A03BA2">
            <w:pPr>
              <w:jc w:val="right"/>
              <w:rPr>
                <w:b/>
                <w:bCs/>
                <w:sz w:val="18"/>
                <w:szCs w:val="18"/>
                <w:lang w:eastAsia="en-AU"/>
              </w:rPr>
            </w:pPr>
            <w:r w:rsidRPr="00045E8D">
              <w:rPr>
                <w:b/>
                <w:bCs/>
                <w:sz w:val="18"/>
                <w:szCs w:val="18"/>
                <w:lang w:eastAsia="en-AU"/>
              </w:rPr>
              <w:t>40,439</w:t>
            </w:r>
          </w:p>
        </w:tc>
      </w:tr>
      <w:tr w:rsidR="00045E8D" w:rsidRPr="00045E8D" w:rsidTr="00045E8D">
        <w:trPr>
          <w:trHeight w:val="240"/>
        </w:trPr>
        <w:tc>
          <w:tcPr>
            <w:tcW w:w="4556" w:type="dxa"/>
            <w:tcBorders>
              <w:top w:val="nil"/>
              <w:left w:val="nil"/>
              <w:bottom w:val="nil"/>
              <w:right w:val="nil"/>
            </w:tcBorders>
            <w:shd w:val="clear" w:color="auto" w:fill="auto"/>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r>
    </w:tbl>
    <w:p w:rsidR="003A1A1F" w:rsidRDefault="007E491E">
      <w:pPr>
        <w:pStyle w:val="Heading3"/>
      </w:pPr>
      <w:proofErr w:type="gramStart"/>
      <w:r w:rsidRPr="004B1829">
        <w:lastRenderedPageBreak/>
        <w:t xml:space="preserve">Changes to Appropriation </w:t>
      </w:r>
      <w:r>
        <w:t>cont.</w:t>
      </w:r>
      <w:proofErr w:type="gramEnd"/>
    </w:p>
    <w:tbl>
      <w:tblPr>
        <w:tblW w:w="9356" w:type="dxa"/>
        <w:tblLook w:val="04A0"/>
      </w:tblPr>
      <w:tblGrid>
        <w:gridCol w:w="4556"/>
        <w:gridCol w:w="960"/>
        <w:gridCol w:w="960"/>
        <w:gridCol w:w="960"/>
        <w:gridCol w:w="960"/>
        <w:gridCol w:w="960"/>
      </w:tblGrid>
      <w:tr w:rsidR="00045E8D" w:rsidRPr="00045E8D" w:rsidTr="00045E8D">
        <w:trPr>
          <w:trHeight w:val="240"/>
        </w:trPr>
        <w:tc>
          <w:tcPr>
            <w:tcW w:w="4556" w:type="dxa"/>
            <w:tcBorders>
              <w:top w:val="nil"/>
              <w:left w:val="nil"/>
              <w:bottom w:val="nil"/>
              <w:right w:val="nil"/>
            </w:tcBorders>
            <w:shd w:val="clear" w:color="auto" w:fill="auto"/>
            <w:vAlign w:val="bottom"/>
            <w:hideMark/>
          </w:tcPr>
          <w:p w:rsidR="00045E8D" w:rsidRPr="00045E8D" w:rsidRDefault="00045E8D" w:rsidP="00045E8D">
            <w:pPr>
              <w:rPr>
                <w:b/>
                <w:bCs/>
                <w:sz w:val="18"/>
                <w:szCs w:val="18"/>
                <w:lang w:eastAsia="en-AU"/>
              </w:rPr>
            </w:pPr>
            <w:r w:rsidRPr="00045E8D">
              <w:rPr>
                <w:b/>
                <w:bCs/>
                <w:sz w:val="18"/>
                <w:szCs w:val="18"/>
                <w:lang w:eastAsia="en-AU"/>
              </w:rPr>
              <w:t>Changes to Appropriation - Controlled</w:t>
            </w: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vAlign w:val="bottom"/>
            <w:hideMark/>
          </w:tcPr>
          <w:p w:rsidR="00045E8D" w:rsidRPr="00045E8D" w:rsidRDefault="00045E8D" w:rsidP="00045E8D">
            <w:pPr>
              <w:rPr>
                <w:sz w:val="18"/>
                <w:szCs w:val="18"/>
                <w:lang w:eastAsia="en-AU"/>
              </w:rPr>
            </w:pPr>
          </w:p>
        </w:tc>
      </w:tr>
      <w:tr w:rsidR="00045E8D" w:rsidRPr="00045E8D" w:rsidTr="00045E8D">
        <w:trPr>
          <w:trHeight w:val="240"/>
        </w:trPr>
        <w:tc>
          <w:tcPr>
            <w:tcW w:w="4556" w:type="dxa"/>
            <w:tcBorders>
              <w:top w:val="single" w:sz="4" w:space="0" w:color="auto"/>
              <w:left w:val="nil"/>
              <w:bottom w:val="nil"/>
              <w:right w:val="nil"/>
            </w:tcBorders>
            <w:shd w:val="clear" w:color="auto" w:fill="auto"/>
            <w:vAlign w:val="bottom"/>
            <w:hideMark/>
          </w:tcPr>
          <w:p w:rsidR="00045E8D" w:rsidRPr="00045E8D" w:rsidRDefault="00045E8D" w:rsidP="00045E8D">
            <w:pPr>
              <w:rPr>
                <w:b/>
                <w:bCs/>
                <w:sz w:val="18"/>
                <w:szCs w:val="18"/>
                <w:lang w:eastAsia="en-AU"/>
              </w:rPr>
            </w:pPr>
            <w:r w:rsidRPr="00045E8D">
              <w:rPr>
                <w:b/>
                <w:bCs/>
                <w:sz w:val="18"/>
                <w:szCs w:val="18"/>
                <w:lang w:eastAsia="en-AU"/>
              </w:rPr>
              <w:t> </w:t>
            </w:r>
          </w:p>
        </w:tc>
        <w:tc>
          <w:tcPr>
            <w:tcW w:w="960" w:type="dxa"/>
            <w:tcBorders>
              <w:top w:val="single" w:sz="4" w:space="0" w:color="auto"/>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2012-13</w:t>
            </w:r>
          </w:p>
        </w:tc>
        <w:tc>
          <w:tcPr>
            <w:tcW w:w="960" w:type="dxa"/>
            <w:tcBorders>
              <w:top w:val="single" w:sz="4" w:space="0" w:color="auto"/>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2013-14</w:t>
            </w:r>
          </w:p>
        </w:tc>
        <w:tc>
          <w:tcPr>
            <w:tcW w:w="960" w:type="dxa"/>
            <w:tcBorders>
              <w:top w:val="single" w:sz="4" w:space="0" w:color="auto"/>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2014-15</w:t>
            </w:r>
          </w:p>
        </w:tc>
        <w:tc>
          <w:tcPr>
            <w:tcW w:w="960" w:type="dxa"/>
            <w:tcBorders>
              <w:top w:val="single" w:sz="4" w:space="0" w:color="auto"/>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2015-16</w:t>
            </w:r>
          </w:p>
        </w:tc>
        <w:tc>
          <w:tcPr>
            <w:tcW w:w="960" w:type="dxa"/>
            <w:tcBorders>
              <w:top w:val="single" w:sz="4" w:space="0" w:color="auto"/>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2016-17</w:t>
            </w:r>
          </w:p>
        </w:tc>
      </w:tr>
      <w:tr w:rsidR="00045E8D" w:rsidRPr="00045E8D" w:rsidTr="00045E8D">
        <w:trPr>
          <w:trHeight w:val="240"/>
        </w:trPr>
        <w:tc>
          <w:tcPr>
            <w:tcW w:w="4556" w:type="dxa"/>
            <w:tcBorders>
              <w:top w:val="nil"/>
              <w:left w:val="nil"/>
              <w:bottom w:val="nil"/>
              <w:right w:val="nil"/>
            </w:tcBorders>
            <w:shd w:val="clear" w:color="auto" w:fill="auto"/>
            <w:vAlign w:val="bottom"/>
            <w:hideMark/>
          </w:tcPr>
          <w:p w:rsidR="00045E8D" w:rsidRPr="00045E8D" w:rsidRDefault="00045E8D" w:rsidP="00045E8D">
            <w:pPr>
              <w:rPr>
                <w:b/>
                <w:bCs/>
                <w:sz w:val="18"/>
                <w:szCs w:val="18"/>
                <w:lang w:eastAsia="en-AU"/>
              </w:rPr>
            </w:pPr>
            <w:r w:rsidRPr="00045E8D">
              <w:rPr>
                <w:b/>
                <w:bCs/>
                <w:sz w:val="18"/>
                <w:szCs w:val="18"/>
                <w:lang w:eastAsia="en-AU"/>
              </w:rPr>
              <w:t>Capital Injections</w:t>
            </w:r>
          </w:p>
        </w:tc>
        <w:tc>
          <w:tcPr>
            <w:tcW w:w="960" w:type="dxa"/>
            <w:tcBorders>
              <w:top w:val="nil"/>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Est. Out.</w:t>
            </w:r>
          </w:p>
        </w:tc>
        <w:tc>
          <w:tcPr>
            <w:tcW w:w="960" w:type="dxa"/>
            <w:tcBorders>
              <w:top w:val="nil"/>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Budget</w:t>
            </w:r>
          </w:p>
        </w:tc>
        <w:tc>
          <w:tcPr>
            <w:tcW w:w="960" w:type="dxa"/>
            <w:tcBorders>
              <w:top w:val="nil"/>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Estimate</w:t>
            </w:r>
          </w:p>
        </w:tc>
        <w:tc>
          <w:tcPr>
            <w:tcW w:w="960" w:type="dxa"/>
            <w:tcBorders>
              <w:top w:val="nil"/>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Estimate</w:t>
            </w:r>
          </w:p>
        </w:tc>
        <w:tc>
          <w:tcPr>
            <w:tcW w:w="960" w:type="dxa"/>
            <w:tcBorders>
              <w:top w:val="nil"/>
              <w:left w:val="nil"/>
              <w:bottom w:val="nil"/>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Estimate</w:t>
            </w:r>
          </w:p>
        </w:tc>
      </w:tr>
      <w:tr w:rsidR="00045E8D" w:rsidRPr="00045E8D" w:rsidTr="00045E8D">
        <w:trPr>
          <w:trHeight w:val="240"/>
        </w:trPr>
        <w:tc>
          <w:tcPr>
            <w:tcW w:w="4556" w:type="dxa"/>
            <w:tcBorders>
              <w:top w:val="nil"/>
              <w:left w:val="nil"/>
              <w:bottom w:val="single" w:sz="4" w:space="0" w:color="auto"/>
              <w:right w:val="nil"/>
            </w:tcBorders>
            <w:shd w:val="clear" w:color="auto" w:fill="auto"/>
            <w:vAlign w:val="bottom"/>
            <w:hideMark/>
          </w:tcPr>
          <w:p w:rsidR="00045E8D" w:rsidRPr="00045E8D" w:rsidRDefault="00045E8D" w:rsidP="00045E8D">
            <w:pPr>
              <w:rPr>
                <w:b/>
                <w:bCs/>
                <w:sz w:val="18"/>
                <w:szCs w:val="18"/>
                <w:lang w:eastAsia="en-AU"/>
              </w:rPr>
            </w:pPr>
            <w:r w:rsidRPr="00045E8D">
              <w:rPr>
                <w:b/>
                <w:bCs/>
                <w:sz w:val="18"/>
                <w:szCs w:val="18"/>
                <w:lang w:eastAsia="en-AU"/>
              </w:rPr>
              <w:t> </w:t>
            </w:r>
          </w:p>
        </w:tc>
        <w:tc>
          <w:tcPr>
            <w:tcW w:w="960" w:type="dxa"/>
            <w:tcBorders>
              <w:top w:val="nil"/>
              <w:left w:val="nil"/>
              <w:bottom w:val="single" w:sz="4" w:space="0" w:color="auto"/>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$'000</w:t>
            </w:r>
          </w:p>
        </w:tc>
        <w:tc>
          <w:tcPr>
            <w:tcW w:w="960" w:type="dxa"/>
            <w:tcBorders>
              <w:top w:val="nil"/>
              <w:left w:val="nil"/>
              <w:bottom w:val="single" w:sz="4" w:space="0" w:color="auto"/>
              <w:right w:val="nil"/>
            </w:tcBorders>
            <w:shd w:val="clear" w:color="auto" w:fill="auto"/>
            <w:noWrap/>
            <w:vAlign w:val="bottom"/>
            <w:hideMark/>
          </w:tcPr>
          <w:p w:rsidR="00045E8D" w:rsidRPr="00045E8D" w:rsidRDefault="00045E8D" w:rsidP="00045E8D">
            <w:pPr>
              <w:jc w:val="right"/>
              <w:rPr>
                <w:b/>
                <w:bCs/>
                <w:sz w:val="18"/>
                <w:szCs w:val="18"/>
                <w:lang w:eastAsia="en-AU"/>
              </w:rPr>
            </w:pPr>
            <w:r w:rsidRPr="00045E8D">
              <w:rPr>
                <w:b/>
                <w:bCs/>
                <w:sz w:val="18"/>
                <w:szCs w:val="18"/>
                <w:lang w:eastAsia="en-AU"/>
              </w:rPr>
              <w:t>$'000</w:t>
            </w:r>
          </w:p>
        </w:tc>
      </w:tr>
      <w:tr w:rsidR="00045E8D" w:rsidRPr="00045E8D" w:rsidTr="00DA6101">
        <w:trPr>
          <w:trHeight w:val="240"/>
        </w:trPr>
        <w:tc>
          <w:tcPr>
            <w:tcW w:w="4556" w:type="dxa"/>
            <w:tcBorders>
              <w:top w:val="nil"/>
              <w:left w:val="nil"/>
              <w:bottom w:val="nil"/>
              <w:right w:val="nil"/>
            </w:tcBorders>
            <w:shd w:val="clear" w:color="auto" w:fill="auto"/>
            <w:vAlign w:val="bottom"/>
            <w:hideMark/>
          </w:tcPr>
          <w:p w:rsidR="00045E8D" w:rsidRPr="00045E8D" w:rsidRDefault="00045E8D" w:rsidP="00045E8D">
            <w:pPr>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r>
      <w:tr w:rsidR="00045E8D" w:rsidRPr="00045E8D" w:rsidTr="00DA6101">
        <w:trPr>
          <w:trHeight w:val="240"/>
        </w:trPr>
        <w:tc>
          <w:tcPr>
            <w:tcW w:w="4556" w:type="dxa"/>
            <w:tcBorders>
              <w:top w:val="nil"/>
              <w:left w:val="nil"/>
              <w:bottom w:val="nil"/>
              <w:right w:val="nil"/>
            </w:tcBorders>
            <w:shd w:val="clear" w:color="auto" w:fill="auto"/>
            <w:hideMark/>
          </w:tcPr>
          <w:p w:rsidR="003A1A1F" w:rsidRDefault="00045E8D" w:rsidP="00DA6101">
            <w:pPr>
              <w:ind w:left="142" w:hanging="142"/>
              <w:rPr>
                <w:b/>
                <w:bCs/>
                <w:sz w:val="18"/>
                <w:szCs w:val="18"/>
                <w:lang w:eastAsia="en-AU"/>
              </w:rPr>
            </w:pPr>
            <w:r w:rsidRPr="00045E8D">
              <w:rPr>
                <w:b/>
                <w:bCs/>
                <w:sz w:val="18"/>
                <w:szCs w:val="18"/>
                <w:lang w:eastAsia="en-AU"/>
              </w:rPr>
              <w:t>2012-13 Budget</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b/>
                <w:bCs/>
                <w:sz w:val="18"/>
                <w:szCs w:val="18"/>
                <w:lang w:eastAsia="en-AU"/>
              </w:rPr>
            </w:pPr>
            <w:r w:rsidRPr="00045E8D">
              <w:rPr>
                <w:b/>
                <w:bCs/>
                <w:sz w:val="18"/>
                <w:szCs w:val="18"/>
                <w:lang w:eastAsia="en-AU"/>
              </w:rPr>
              <w:t>2,946</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b/>
                <w:bCs/>
                <w:sz w:val="18"/>
                <w:szCs w:val="18"/>
                <w:lang w:eastAsia="en-AU"/>
              </w:rPr>
            </w:pPr>
            <w:r w:rsidRPr="00045E8D">
              <w:rPr>
                <w:b/>
                <w:bCs/>
                <w:sz w:val="18"/>
                <w:szCs w:val="18"/>
                <w:lang w:eastAsia="en-AU"/>
              </w:rPr>
              <w:t>0</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b/>
                <w:bCs/>
                <w:sz w:val="18"/>
                <w:szCs w:val="18"/>
                <w:lang w:eastAsia="en-AU"/>
              </w:rPr>
            </w:pPr>
            <w:r w:rsidRPr="00045E8D">
              <w:rPr>
                <w:b/>
                <w:bCs/>
                <w:sz w:val="18"/>
                <w:szCs w:val="18"/>
                <w:lang w:eastAsia="en-AU"/>
              </w:rPr>
              <w:t>0</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b/>
                <w:bCs/>
                <w:sz w:val="18"/>
                <w:szCs w:val="18"/>
                <w:lang w:eastAsia="en-AU"/>
              </w:rPr>
            </w:pPr>
            <w:r w:rsidRPr="00045E8D">
              <w:rPr>
                <w:b/>
                <w:bCs/>
                <w:sz w:val="18"/>
                <w:szCs w:val="18"/>
                <w:lang w:eastAsia="en-AU"/>
              </w:rPr>
              <w:t>0</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b/>
                <w:bCs/>
                <w:sz w:val="18"/>
                <w:szCs w:val="18"/>
                <w:lang w:eastAsia="en-AU"/>
              </w:rPr>
            </w:pPr>
            <w:r w:rsidRPr="00045E8D">
              <w:rPr>
                <w:b/>
                <w:bCs/>
                <w:sz w:val="18"/>
                <w:szCs w:val="18"/>
                <w:lang w:eastAsia="en-AU"/>
              </w:rPr>
              <w:t>0</w:t>
            </w:r>
          </w:p>
        </w:tc>
      </w:tr>
      <w:tr w:rsidR="00045E8D" w:rsidRPr="00045E8D" w:rsidTr="00DA6101">
        <w:trPr>
          <w:trHeight w:val="240"/>
        </w:trPr>
        <w:tc>
          <w:tcPr>
            <w:tcW w:w="4556" w:type="dxa"/>
            <w:tcBorders>
              <w:top w:val="nil"/>
              <w:left w:val="nil"/>
              <w:bottom w:val="nil"/>
              <w:right w:val="nil"/>
            </w:tcBorders>
            <w:shd w:val="clear" w:color="auto" w:fill="auto"/>
            <w:hideMark/>
          </w:tcPr>
          <w:p w:rsidR="003A1A1F" w:rsidRDefault="003A1A1F" w:rsidP="00DA6101">
            <w:pPr>
              <w:ind w:left="142" w:hanging="142"/>
              <w:rPr>
                <w:b/>
                <w:bCs/>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b/>
                <w:bCs/>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b/>
                <w:bCs/>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b/>
                <w:bCs/>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b/>
                <w:bCs/>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b/>
                <w:bCs/>
                <w:sz w:val="18"/>
                <w:szCs w:val="18"/>
                <w:lang w:eastAsia="en-AU"/>
              </w:rPr>
            </w:pPr>
          </w:p>
        </w:tc>
      </w:tr>
      <w:tr w:rsidR="00045E8D" w:rsidRPr="00045E8D" w:rsidTr="00DA6101">
        <w:trPr>
          <w:trHeight w:val="240"/>
        </w:trPr>
        <w:tc>
          <w:tcPr>
            <w:tcW w:w="4556" w:type="dxa"/>
            <w:tcBorders>
              <w:top w:val="nil"/>
              <w:left w:val="nil"/>
              <w:bottom w:val="nil"/>
              <w:right w:val="nil"/>
            </w:tcBorders>
            <w:shd w:val="clear" w:color="auto" w:fill="auto"/>
            <w:hideMark/>
          </w:tcPr>
          <w:p w:rsidR="003A1A1F" w:rsidRDefault="00045E8D" w:rsidP="00DA6101">
            <w:pPr>
              <w:ind w:left="142" w:hanging="142"/>
              <w:rPr>
                <w:b/>
                <w:bCs/>
                <w:sz w:val="18"/>
                <w:szCs w:val="18"/>
                <w:lang w:eastAsia="en-AU"/>
              </w:rPr>
            </w:pPr>
            <w:r w:rsidRPr="00045E8D">
              <w:rPr>
                <w:b/>
                <w:bCs/>
                <w:sz w:val="18"/>
                <w:szCs w:val="18"/>
                <w:lang w:eastAsia="en-AU"/>
              </w:rPr>
              <w:t>FMA Section 16B Rollovers from 2011-12</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r>
      <w:tr w:rsidR="00045E8D" w:rsidRPr="00045E8D" w:rsidTr="00DA6101">
        <w:trPr>
          <w:trHeight w:val="240"/>
        </w:trPr>
        <w:tc>
          <w:tcPr>
            <w:tcW w:w="4556" w:type="dxa"/>
            <w:tcBorders>
              <w:top w:val="nil"/>
              <w:left w:val="nil"/>
              <w:bottom w:val="nil"/>
              <w:right w:val="nil"/>
            </w:tcBorders>
            <w:shd w:val="clear" w:color="auto" w:fill="auto"/>
            <w:hideMark/>
          </w:tcPr>
          <w:p w:rsidR="003A1A1F" w:rsidRDefault="00045E8D" w:rsidP="00DA6101">
            <w:pPr>
              <w:ind w:left="142" w:hanging="142"/>
              <w:rPr>
                <w:sz w:val="18"/>
                <w:szCs w:val="18"/>
                <w:lang w:eastAsia="en-AU"/>
              </w:rPr>
            </w:pPr>
            <w:r w:rsidRPr="00045E8D">
              <w:rPr>
                <w:sz w:val="18"/>
                <w:szCs w:val="18"/>
                <w:lang w:eastAsia="en-AU"/>
              </w:rPr>
              <w:t>AIMS Replacement</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216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r>
      <w:tr w:rsidR="00045E8D" w:rsidRPr="00045E8D" w:rsidTr="00DA6101">
        <w:trPr>
          <w:trHeight w:val="240"/>
        </w:trPr>
        <w:tc>
          <w:tcPr>
            <w:tcW w:w="4556" w:type="dxa"/>
            <w:tcBorders>
              <w:top w:val="nil"/>
              <w:left w:val="nil"/>
              <w:bottom w:val="nil"/>
              <w:right w:val="nil"/>
            </w:tcBorders>
            <w:shd w:val="clear" w:color="auto" w:fill="auto"/>
            <w:hideMark/>
          </w:tcPr>
          <w:p w:rsidR="003A1A1F" w:rsidRDefault="00045E8D" w:rsidP="00DA6101">
            <w:pPr>
              <w:ind w:left="142" w:hanging="142"/>
              <w:rPr>
                <w:sz w:val="18"/>
                <w:szCs w:val="18"/>
                <w:lang w:eastAsia="en-AU"/>
              </w:rPr>
            </w:pPr>
            <w:r w:rsidRPr="00045E8D">
              <w:rPr>
                <w:sz w:val="18"/>
                <w:szCs w:val="18"/>
                <w:lang w:eastAsia="en-AU"/>
              </w:rPr>
              <w:t>Injury Prevention and Management Information System</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94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r>
      <w:tr w:rsidR="00045E8D" w:rsidRPr="00045E8D" w:rsidTr="00DA6101">
        <w:trPr>
          <w:trHeight w:val="240"/>
        </w:trPr>
        <w:tc>
          <w:tcPr>
            <w:tcW w:w="4556" w:type="dxa"/>
            <w:tcBorders>
              <w:top w:val="nil"/>
              <w:left w:val="nil"/>
              <w:bottom w:val="nil"/>
              <w:right w:val="nil"/>
            </w:tcBorders>
            <w:shd w:val="clear" w:color="auto" w:fill="auto"/>
            <w:hideMark/>
          </w:tcPr>
          <w:p w:rsidR="003A1A1F" w:rsidRDefault="003A1A1F" w:rsidP="00DA6101">
            <w:pPr>
              <w:ind w:left="142" w:hanging="142"/>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r>
      <w:tr w:rsidR="00045E8D" w:rsidRPr="00045E8D" w:rsidTr="00DA6101">
        <w:trPr>
          <w:trHeight w:val="240"/>
        </w:trPr>
        <w:tc>
          <w:tcPr>
            <w:tcW w:w="4556" w:type="dxa"/>
            <w:tcBorders>
              <w:top w:val="nil"/>
              <w:left w:val="nil"/>
              <w:bottom w:val="nil"/>
              <w:right w:val="nil"/>
            </w:tcBorders>
            <w:shd w:val="clear" w:color="auto" w:fill="auto"/>
            <w:hideMark/>
          </w:tcPr>
          <w:p w:rsidR="003A1A1F" w:rsidRDefault="00045E8D" w:rsidP="00DA6101">
            <w:pPr>
              <w:ind w:left="142" w:hanging="142"/>
              <w:rPr>
                <w:b/>
                <w:bCs/>
                <w:sz w:val="18"/>
                <w:szCs w:val="18"/>
                <w:lang w:eastAsia="en-AU"/>
              </w:rPr>
            </w:pPr>
            <w:r w:rsidRPr="00045E8D">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r>
      <w:tr w:rsidR="00045E8D" w:rsidRPr="00045E8D" w:rsidTr="00DA6101">
        <w:trPr>
          <w:trHeight w:val="240"/>
        </w:trPr>
        <w:tc>
          <w:tcPr>
            <w:tcW w:w="4556" w:type="dxa"/>
            <w:tcBorders>
              <w:top w:val="nil"/>
              <w:left w:val="nil"/>
              <w:bottom w:val="nil"/>
              <w:right w:val="nil"/>
            </w:tcBorders>
            <w:shd w:val="clear" w:color="auto" w:fill="auto"/>
            <w:hideMark/>
          </w:tcPr>
          <w:p w:rsidR="003A1A1F" w:rsidRDefault="00045E8D" w:rsidP="00DA6101">
            <w:pPr>
              <w:ind w:left="142" w:hanging="142"/>
              <w:rPr>
                <w:sz w:val="18"/>
                <w:szCs w:val="18"/>
                <w:lang w:eastAsia="en-AU"/>
              </w:rPr>
            </w:pPr>
            <w:r w:rsidRPr="00045E8D">
              <w:rPr>
                <w:sz w:val="18"/>
                <w:szCs w:val="18"/>
                <w:lang w:eastAsia="en-AU"/>
              </w:rPr>
              <w:t>Mobile Canberra Applications</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40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r>
      <w:tr w:rsidR="00045E8D" w:rsidRPr="00045E8D" w:rsidTr="00DA6101">
        <w:trPr>
          <w:trHeight w:val="240"/>
        </w:trPr>
        <w:tc>
          <w:tcPr>
            <w:tcW w:w="4556" w:type="dxa"/>
            <w:tcBorders>
              <w:top w:val="nil"/>
              <w:left w:val="nil"/>
              <w:bottom w:val="nil"/>
              <w:right w:val="nil"/>
            </w:tcBorders>
            <w:shd w:val="clear" w:color="auto" w:fill="auto"/>
            <w:hideMark/>
          </w:tcPr>
          <w:p w:rsidR="003A1A1F" w:rsidRDefault="00045E8D" w:rsidP="00DA6101">
            <w:pPr>
              <w:ind w:left="142" w:hanging="142"/>
              <w:rPr>
                <w:sz w:val="18"/>
                <w:szCs w:val="18"/>
                <w:lang w:eastAsia="en-AU"/>
              </w:rPr>
            </w:pPr>
            <w:r w:rsidRPr="00045E8D">
              <w:rPr>
                <w:sz w:val="18"/>
                <w:szCs w:val="18"/>
                <w:lang w:eastAsia="en-AU"/>
              </w:rPr>
              <w:t>Loan</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Exhibition Park Corporation</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1,050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r>
      <w:tr w:rsidR="00045E8D" w:rsidRPr="00045E8D" w:rsidTr="00DA6101">
        <w:trPr>
          <w:trHeight w:val="240"/>
        </w:trPr>
        <w:tc>
          <w:tcPr>
            <w:tcW w:w="4556" w:type="dxa"/>
            <w:tcBorders>
              <w:top w:val="nil"/>
              <w:left w:val="nil"/>
              <w:bottom w:val="nil"/>
              <w:right w:val="nil"/>
            </w:tcBorders>
            <w:shd w:val="clear" w:color="auto" w:fill="auto"/>
            <w:hideMark/>
          </w:tcPr>
          <w:p w:rsidR="003A1A1F" w:rsidRDefault="003A1A1F" w:rsidP="00DA6101">
            <w:pPr>
              <w:ind w:left="142" w:hanging="142"/>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r>
      <w:tr w:rsidR="00045E8D" w:rsidRPr="00045E8D" w:rsidTr="00DA6101">
        <w:trPr>
          <w:trHeight w:val="240"/>
        </w:trPr>
        <w:tc>
          <w:tcPr>
            <w:tcW w:w="4556" w:type="dxa"/>
            <w:tcBorders>
              <w:top w:val="nil"/>
              <w:left w:val="nil"/>
              <w:bottom w:val="nil"/>
              <w:right w:val="nil"/>
            </w:tcBorders>
            <w:shd w:val="clear" w:color="auto" w:fill="auto"/>
            <w:hideMark/>
          </w:tcPr>
          <w:p w:rsidR="003A1A1F" w:rsidRDefault="00045E8D" w:rsidP="00DA6101">
            <w:pPr>
              <w:ind w:left="142" w:hanging="142"/>
              <w:rPr>
                <w:b/>
                <w:bCs/>
                <w:sz w:val="18"/>
                <w:szCs w:val="18"/>
                <w:lang w:eastAsia="en-AU"/>
              </w:rPr>
            </w:pPr>
            <w:r w:rsidRPr="00045E8D">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r>
      <w:tr w:rsidR="00045E8D" w:rsidRPr="00045E8D" w:rsidTr="00DA6101">
        <w:trPr>
          <w:trHeight w:val="100"/>
        </w:trPr>
        <w:tc>
          <w:tcPr>
            <w:tcW w:w="4556" w:type="dxa"/>
            <w:tcBorders>
              <w:top w:val="nil"/>
              <w:left w:val="nil"/>
              <w:bottom w:val="nil"/>
              <w:right w:val="nil"/>
            </w:tcBorders>
            <w:shd w:val="clear" w:color="auto" w:fill="auto"/>
            <w:hideMark/>
          </w:tcPr>
          <w:p w:rsidR="003A1A1F" w:rsidRDefault="00045E8D" w:rsidP="00DA6101">
            <w:pPr>
              <w:ind w:left="142" w:hanging="142"/>
              <w:rPr>
                <w:sz w:val="18"/>
                <w:szCs w:val="18"/>
                <w:lang w:eastAsia="en-AU"/>
              </w:rPr>
            </w:pPr>
            <w:r w:rsidRPr="00045E8D">
              <w:rPr>
                <w:sz w:val="18"/>
                <w:szCs w:val="18"/>
                <w:lang w:eastAsia="en-AU"/>
              </w:rPr>
              <w:t>Transfer</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CHC Loan Appropriation from TD</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3,838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r>
      <w:tr w:rsidR="00045E8D" w:rsidRPr="00045E8D" w:rsidTr="00DA6101">
        <w:trPr>
          <w:trHeight w:val="445"/>
        </w:trPr>
        <w:tc>
          <w:tcPr>
            <w:tcW w:w="4556" w:type="dxa"/>
            <w:tcBorders>
              <w:top w:val="nil"/>
              <w:left w:val="nil"/>
              <w:bottom w:val="nil"/>
              <w:right w:val="nil"/>
            </w:tcBorders>
            <w:shd w:val="clear" w:color="auto" w:fill="auto"/>
            <w:hideMark/>
          </w:tcPr>
          <w:p w:rsidR="003A1A1F" w:rsidRDefault="00045E8D" w:rsidP="00DA6101">
            <w:pPr>
              <w:ind w:left="142" w:hanging="142"/>
              <w:rPr>
                <w:sz w:val="18"/>
                <w:szCs w:val="18"/>
                <w:lang w:eastAsia="en-AU"/>
              </w:rPr>
            </w:pPr>
            <w:r w:rsidRPr="00045E8D">
              <w:rPr>
                <w:sz w:val="18"/>
                <w:szCs w:val="18"/>
                <w:lang w:eastAsia="en-AU"/>
              </w:rPr>
              <w:t>Transfer</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 xml:space="preserve">Mobile Canberra Applications from Government </w:t>
            </w:r>
            <w:r w:rsidRPr="00045E8D">
              <w:rPr>
                <w:sz w:val="18"/>
                <w:szCs w:val="18"/>
                <w:lang w:eastAsia="en-AU"/>
              </w:rPr>
              <w:br/>
              <w:t>Payment for Outputs</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30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r>
      <w:tr w:rsidR="00045E8D" w:rsidRPr="00045E8D" w:rsidTr="00DA6101">
        <w:trPr>
          <w:trHeight w:val="152"/>
        </w:trPr>
        <w:tc>
          <w:tcPr>
            <w:tcW w:w="4556" w:type="dxa"/>
            <w:tcBorders>
              <w:top w:val="nil"/>
              <w:left w:val="nil"/>
              <w:bottom w:val="nil"/>
              <w:right w:val="nil"/>
            </w:tcBorders>
            <w:shd w:val="clear" w:color="auto" w:fill="auto"/>
            <w:hideMark/>
          </w:tcPr>
          <w:p w:rsidR="003A1A1F" w:rsidRDefault="00045E8D" w:rsidP="00DA6101">
            <w:pPr>
              <w:ind w:left="142" w:hanging="142"/>
              <w:rPr>
                <w:sz w:val="18"/>
                <w:szCs w:val="18"/>
                <w:lang w:eastAsia="en-AU"/>
              </w:rPr>
            </w:pPr>
            <w:r w:rsidRPr="00045E8D">
              <w:rPr>
                <w:sz w:val="18"/>
                <w:szCs w:val="18"/>
                <w:lang w:eastAsia="en-AU"/>
              </w:rPr>
              <w:t>Revised Funding Profile</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AIMS Replacement</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(1,385)</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1,385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r>
      <w:tr w:rsidR="00045E8D" w:rsidRPr="00045E8D" w:rsidTr="00DA6101">
        <w:trPr>
          <w:trHeight w:val="355"/>
        </w:trPr>
        <w:tc>
          <w:tcPr>
            <w:tcW w:w="4556" w:type="dxa"/>
            <w:tcBorders>
              <w:top w:val="nil"/>
              <w:left w:val="nil"/>
              <w:bottom w:val="nil"/>
              <w:right w:val="nil"/>
            </w:tcBorders>
            <w:shd w:val="clear" w:color="auto" w:fill="auto"/>
            <w:hideMark/>
          </w:tcPr>
          <w:p w:rsidR="003A1A1F" w:rsidRDefault="00045E8D" w:rsidP="00DA6101">
            <w:pPr>
              <w:ind w:left="142" w:hanging="142"/>
              <w:rPr>
                <w:sz w:val="18"/>
                <w:szCs w:val="18"/>
                <w:lang w:eastAsia="en-AU"/>
              </w:rPr>
            </w:pPr>
            <w:r w:rsidRPr="00045E8D">
              <w:rPr>
                <w:sz w:val="18"/>
                <w:szCs w:val="18"/>
                <w:lang w:eastAsia="en-AU"/>
              </w:rPr>
              <w:t>Revised Funding Profile</w:t>
            </w:r>
            <w:r w:rsidR="00C61470">
              <w:rPr>
                <w:sz w:val="18"/>
                <w:szCs w:val="18"/>
                <w:lang w:eastAsia="en-AU"/>
              </w:rPr>
              <w:t xml:space="preserve"> –</w:t>
            </w:r>
            <w:r w:rsidR="00C61470" w:rsidRPr="00045E8D">
              <w:rPr>
                <w:sz w:val="18"/>
                <w:szCs w:val="18"/>
                <w:lang w:eastAsia="en-AU"/>
              </w:rPr>
              <w:t xml:space="preserve"> </w:t>
            </w:r>
            <w:r w:rsidRPr="00045E8D">
              <w:rPr>
                <w:sz w:val="18"/>
                <w:szCs w:val="18"/>
                <w:lang w:eastAsia="en-AU"/>
              </w:rPr>
              <w:t xml:space="preserve">Injury Prevention and </w:t>
            </w:r>
            <w:r w:rsidR="00C61470">
              <w:rPr>
                <w:sz w:val="18"/>
                <w:szCs w:val="18"/>
                <w:lang w:eastAsia="en-AU"/>
              </w:rPr>
              <w:t xml:space="preserve">  </w:t>
            </w:r>
            <w:r w:rsidRPr="00045E8D">
              <w:rPr>
                <w:sz w:val="18"/>
                <w:szCs w:val="18"/>
                <w:lang w:eastAsia="en-AU"/>
              </w:rPr>
              <w:t>Management Information System</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(176)</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176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r w:rsidRPr="00045E8D">
              <w:rPr>
                <w:sz w:val="18"/>
                <w:szCs w:val="18"/>
                <w:lang w:eastAsia="en-AU"/>
              </w:rPr>
              <w:t xml:space="preserve">- </w:t>
            </w:r>
          </w:p>
        </w:tc>
      </w:tr>
      <w:tr w:rsidR="00045E8D" w:rsidRPr="00045E8D" w:rsidTr="00DA6101">
        <w:trPr>
          <w:trHeight w:val="240"/>
        </w:trPr>
        <w:tc>
          <w:tcPr>
            <w:tcW w:w="4556" w:type="dxa"/>
            <w:tcBorders>
              <w:top w:val="nil"/>
              <w:left w:val="nil"/>
              <w:bottom w:val="nil"/>
              <w:right w:val="nil"/>
            </w:tcBorders>
            <w:shd w:val="clear" w:color="auto" w:fill="auto"/>
            <w:vAlign w:val="bottom"/>
            <w:hideMark/>
          </w:tcPr>
          <w:p w:rsidR="003A1A1F" w:rsidRDefault="003A1A1F">
            <w:pPr>
              <w:ind w:left="142" w:hanging="142"/>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c>
          <w:tcPr>
            <w:tcW w:w="960" w:type="dxa"/>
            <w:tcBorders>
              <w:top w:val="nil"/>
              <w:left w:val="nil"/>
              <w:bottom w:val="nil"/>
              <w:right w:val="nil"/>
            </w:tcBorders>
            <w:shd w:val="clear" w:color="auto" w:fill="auto"/>
            <w:noWrap/>
            <w:hideMark/>
          </w:tcPr>
          <w:p w:rsidR="00045E8D" w:rsidRPr="00045E8D" w:rsidRDefault="00045E8D" w:rsidP="00DA6101">
            <w:pPr>
              <w:jc w:val="right"/>
              <w:rPr>
                <w:sz w:val="18"/>
                <w:szCs w:val="18"/>
                <w:lang w:eastAsia="en-AU"/>
              </w:rPr>
            </w:pPr>
          </w:p>
        </w:tc>
      </w:tr>
      <w:tr w:rsidR="00045E8D" w:rsidRPr="00045E8D" w:rsidTr="00DA6101">
        <w:trPr>
          <w:trHeight w:val="240"/>
        </w:trPr>
        <w:tc>
          <w:tcPr>
            <w:tcW w:w="4556" w:type="dxa"/>
            <w:tcBorders>
              <w:top w:val="nil"/>
              <w:left w:val="nil"/>
              <w:bottom w:val="single" w:sz="4" w:space="0" w:color="auto"/>
              <w:right w:val="nil"/>
            </w:tcBorders>
            <w:shd w:val="clear" w:color="auto" w:fill="auto"/>
            <w:vAlign w:val="bottom"/>
            <w:hideMark/>
          </w:tcPr>
          <w:p w:rsidR="00045E8D" w:rsidRPr="00045E8D" w:rsidRDefault="00045E8D" w:rsidP="00045E8D">
            <w:pPr>
              <w:rPr>
                <w:b/>
                <w:bCs/>
                <w:sz w:val="18"/>
                <w:szCs w:val="18"/>
                <w:lang w:eastAsia="en-AU"/>
              </w:rPr>
            </w:pPr>
            <w:r w:rsidRPr="00045E8D">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045E8D" w:rsidRPr="00045E8D" w:rsidRDefault="00045E8D" w:rsidP="00DA6101">
            <w:pPr>
              <w:jc w:val="right"/>
              <w:rPr>
                <w:b/>
                <w:bCs/>
                <w:sz w:val="18"/>
                <w:szCs w:val="18"/>
                <w:lang w:eastAsia="en-AU"/>
              </w:rPr>
            </w:pPr>
            <w:r w:rsidRPr="00045E8D">
              <w:rPr>
                <w:b/>
                <w:bCs/>
                <w:sz w:val="18"/>
                <w:szCs w:val="18"/>
                <w:lang w:eastAsia="en-AU"/>
              </w:rPr>
              <w:t>5,563</w:t>
            </w:r>
          </w:p>
        </w:tc>
        <w:tc>
          <w:tcPr>
            <w:tcW w:w="960" w:type="dxa"/>
            <w:tcBorders>
              <w:top w:val="nil"/>
              <w:left w:val="nil"/>
              <w:bottom w:val="single" w:sz="4" w:space="0" w:color="auto"/>
              <w:right w:val="nil"/>
            </w:tcBorders>
            <w:shd w:val="clear" w:color="auto" w:fill="auto"/>
            <w:noWrap/>
            <w:hideMark/>
          </w:tcPr>
          <w:p w:rsidR="00045E8D" w:rsidRPr="00045E8D" w:rsidRDefault="00045E8D" w:rsidP="00DA6101">
            <w:pPr>
              <w:jc w:val="right"/>
              <w:rPr>
                <w:b/>
                <w:bCs/>
                <w:sz w:val="18"/>
                <w:szCs w:val="18"/>
                <w:lang w:eastAsia="en-AU"/>
              </w:rPr>
            </w:pPr>
            <w:r w:rsidRPr="00045E8D">
              <w:rPr>
                <w:b/>
                <w:bCs/>
                <w:sz w:val="18"/>
                <w:szCs w:val="18"/>
                <w:lang w:eastAsia="en-AU"/>
              </w:rPr>
              <w:t>2,651</w:t>
            </w:r>
          </w:p>
        </w:tc>
        <w:tc>
          <w:tcPr>
            <w:tcW w:w="960" w:type="dxa"/>
            <w:tcBorders>
              <w:top w:val="nil"/>
              <w:left w:val="nil"/>
              <w:bottom w:val="single" w:sz="4" w:space="0" w:color="auto"/>
              <w:right w:val="nil"/>
            </w:tcBorders>
            <w:shd w:val="clear" w:color="auto" w:fill="auto"/>
            <w:noWrap/>
            <w:hideMark/>
          </w:tcPr>
          <w:p w:rsidR="00045E8D" w:rsidRPr="00045E8D" w:rsidRDefault="00045E8D" w:rsidP="00DA6101">
            <w:pPr>
              <w:jc w:val="right"/>
              <w:rPr>
                <w:b/>
                <w:bCs/>
                <w:sz w:val="18"/>
                <w:szCs w:val="18"/>
                <w:lang w:eastAsia="en-AU"/>
              </w:rPr>
            </w:pPr>
            <w:r w:rsidRPr="00045E8D">
              <w:rPr>
                <w:b/>
                <w:bCs/>
                <w:sz w:val="18"/>
                <w:szCs w:val="18"/>
                <w:lang w:eastAsia="en-AU"/>
              </w:rPr>
              <w:t>0</w:t>
            </w:r>
          </w:p>
        </w:tc>
        <w:tc>
          <w:tcPr>
            <w:tcW w:w="960" w:type="dxa"/>
            <w:tcBorders>
              <w:top w:val="nil"/>
              <w:left w:val="nil"/>
              <w:bottom w:val="single" w:sz="4" w:space="0" w:color="auto"/>
              <w:right w:val="nil"/>
            </w:tcBorders>
            <w:shd w:val="clear" w:color="auto" w:fill="auto"/>
            <w:noWrap/>
            <w:hideMark/>
          </w:tcPr>
          <w:p w:rsidR="00045E8D" w:rsidRPr="00045E8D" w:rsidRDefault="00045E8D" w:rsidP="00DA6101">
            <w:pPr>
              <w:jc w:val="right"/>
              <w:rPr>
                <w:b/>
                <w:bCs/>
                <w:sz w:val="18"/>
                <w:szCs w:val="18"/>
                <w:lang w:eastAsia="en-AU"/>
              </w:rPr>
            </w:pPr>
            <w:r w:rsidRPr="00045E8D">
              <w:rPr>
                <w:b/>
                <w:bCs/>
                <w:sz w:val="18"/>
                <w:szCs w:val="18"/>
                <w:lang w:eastAsia="en-AU"/>
              </w:rPr>
              <w:t>0</w:t>
            </w:r>
          </w:p>
        </w:tc>
        <w:tc>
          <w:tcPr>
            <w:tcW w:w="960" w:type="dxa"/>
            <w:tcBorders>
              <w:top w:val="nil"/>
              <w:left w:val="nil"/>
              <w:bottom w:val="single" w:sz="4" w:space="0" w:color="auto"/>
              <w:right w:val="nil"/>
            </w:tcBorders>
            <w:shd w:val="clear" w:color="auto" w:fill="auto"/>
            <w:noWrap/>
            <w:hideMark/>
          </w:tcPr>
          <w:p w:rsidR="00045E8D" w:rsidRPr="00045E8D" w:rsidRDefault="00045E8D" w:rsidP="00DA6101">
            <w:pPr>
              <w:jc w:val="right"/>
              <w:rPr>
                <w:b/>
                <w:bCs/>
                <w:sz w:val="18"/>
                <w:szCs w:val="18"/>
                <w:lang w:eastAsia="en-AU"/>
              </w:rPr>
            </w:pPr>
            <w:r w:rsidRPr="00045E8D">
              <w:rPr>
                <w:b/>
                <w:bCs/>
                <w:sz w:val="18"/>
                <w:szCs w:val="18"/>
                <w:lang w:eastAsia="en-AU"/>
              </w:rPr>
              <w:t>0</w:t>
            </w:r>
          </w:p>
        </w:tc>
      </w:tr>
    </w:tbl>
    <w:p w:rsidR="00045E8D" w:rsidRDefault="00045E8D" w:rsidP="00D232C8"/>
    <w:p w:rsidR="00045E8D" w:rsidRPr="00D232C8" w:rsidRDefault="00045E8D" w:rsidP="00D232C8"/>
    <w:p w:rsidR="00D232C8" w:rsidRPr="00D232C8" w:rsidDel="004624EA" w:rsidRDefault="00D232C8" w:rsidP="00D232C8">
      <w:pPr>
        <w:pStyle w:val="Heading3TopofPage"/>
        <w:ind w:left="357" w:hanging="357"/>
        <w:jc w:val="center"/>
        <w:rPr>
          <w:rFonts w:ascii="Calibri" w:hAnsi="Calibri"/>
        </w:rPr>
      </w:pPr>
      <w:r w:rsidRPr="00D232C8">
        <w:rPr>
          <w:rFonts w:ascii="Calibri" w:hAnsi="Calibri"/>
        </w:rPr>
        <w:br w:type="page"/>
      </w:r>
    </w:p>
    <w:tbl>
      <w:tblPr>
        <w:tblW w:w="9356" w:type="dxa"/>
        <w:tblLook w:val="04A0"/>
      </w:tblPr>
      <w:tblGrid>
        <w:gridCol w:w="993"/>
        <w:gridCol w:w="2421"/>
        <w:gridCol w:w="1386"/>
        <w:gridCol w:w="994"/>
        <w:gridCol w:w="580"/>
        <w:gridCol w:w="994"/>
        <w:gridCol w:w="994"/>
        <w:gridCol w:w="994"/>
      </w:tblGrid>
      <w:tr w:rsidR="00843177" w:rsidRPr="00843177" w:rsidTr="00EC2814">
        <w:trPr>
          <w:trHeight w:val="315"/>
        </w:trPr>
        <w:tc>
          <w:tcPr>
            <w:tcW w:w="9356" w:type="dxa"/>
            <w:gridSpan w:val="8"/>
            <w:tcBorders>
              <w:top w:val="nil"/>
              <w:left w:val="nil"/>
              <w:bottom w:val="nil"/>
              <w:right w:val="nil"/>
            </w:tcBorders>
            <w:shd w:val="clear" w:color="000000" w:fill="FFFFFF"/>
            <w:hideMark/>
          </w:tcPr>
          <w:p w:rsidR="00843177" w:rsidRPr="00843177" w:rsidRDefault="00843177" w:rsidP="00971193">
            <w:pPr>
              <w:jc w:val="center"/>
              <w:rPr>
                <w:rFonts w:ascii="Arial" w:hAnsi="Arial" w:cs="Arial"/>
                <w:b/>
                <w:bCs/>
                <w:szCs w:val="24"/>
                <w:lang w:eastAsia="en-AU"/>
              </w:rPr>
            </w:pPr>
            <w:bookmarkStart w:id="1" w:name="RANGE!A1:H41"/>
            <w:r w:rsidRPr="00843177">
              <w:rPr>
                <w:rFonts w:ascii="Arial" w:hAnsi="Arial" w:cs="Arial"/>
                <w:b/>
                <w:bCs/>
                <w:szCs w:val="24"/>
                <w:lang w:eastAsia="en-AU"/>
              </w:rPr>
              <w:lastRenderedPageBreak/>
              <w:t>Chief Minister and Treasury Directorate</w:t>
            </w:r>
            <w:bookmarkEnd w:id="1"/>
          </w:p>
        </w:tc>
      </w:tr>
      <w:tr w:rsidR="00843177" w:rsidRPr="00843177" w:rsidTr="00EC2814">
        <w:trPr>
          <w:trHeight w:val="315"/>
        </w:trPr>
        <w:tc>
          <w:tcPr>
            <w:tcW w:w="9356" w:type="dxa"/>
            <w:gridSpan w:val="8"/>
            <w:tcBorders>
              <w:top w:val="nil"/>
              <w:left w:val="nil"/>
              <w:bottom w:val="nil"/>
              <w:right w:val="nil"/>
            </w:tcBorders>
            <w:shd w:val="clear" w:color="000000" w:fill="FFFFFF"/>
            <w:hideMark/>
          </w:tcPr>
          <w:p w:rsidR="00843177" w:rsidRPr="00843177" w:rsidRDefault="00843177" w:rsidP="00971193">
            <w:pPr>
              <w:jc w:val="center"/>
              <w:rPr>
                <w:rFonts w:ascii="Arial" w:hAnsi="Arial" w:cs="Arial"/>
                <w:b/>
                <w:bCs/>
                <w:szCs w:val="24"/>
                <w:lang w:eastAsia="en-AU"/>
              </w:rPr>
            </w:pPr>
            <w:r w:rsidRPr="00843177">
              <w:rPr>
                <w:rFonts w:ascii="Arial" w:hAnsi="Arial" w:cs="Arial"/>
                <w:b/>
                <w:bCs/>
                <w:szCs w:val="24"/>
                <w:lang w:eastAsia="en-AU"/>
              </w:rPr>
              <w:t>Operating Statement</w:t>
            </w:r>
          </w:p>
        </w:tc>
      </w:tr>
      <w:tr w:rsidR="00843177" w:rsidRPr="00843177" w:rsidTr="00CD1F2B">
        <w:trPr>
          <w:trHeight w:val="240"/>
        </w:trPr>
        <w:tc>
          <w:tcPr>
            <w:tcW w:w="993" w:type="dxa"/>
            <w:tcBorders>
              <w:top w:val="single" w:sz="4" w:space="0" w:color="auto"/>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2012-13</w:t>
            </w:r>
          </w:p>
        </w:tc>
        <w:tc>
          <w:tcPr>
            <w:tcW w:w="2421" w:type="dxa"/>
            <w:tcBorders>
              <w:top w:val="single" w:sz="4" w:space="0" w:color="auto"/>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w:t>
            </w:r>
          </w:p>
        </w:tc>
        <w:tc>
          <w:tcPr>
            <w:tcW w:w="1386" w:type="dxa"/>
            <w:tcBorders>
              <w:top w:val="single" w:sz="4" w:space="0" w:color="auto"/>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2012-13</w:t>
            </w:r>
          </w:p>
        </w:tc>
        <w:tc>
          <w:tcPr>
            <w:tcW w:w="994" w:type="dxa"/>
            <w:tcBorders>
              <w:top w:val="single" w:sz="4" w:space="0" w:color="auto"/>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2013-14</w:t>
            </w:r>
          </w:p>
        </w:tc>
        <w:tc>
          <w:tcPr>
            <w:tcW w:w="580" w:type="dxa"/>
            <w:tcBorders>
              <w:top w:val="single" w:sz="4" w:space="0" w:color="auto"/>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 </w:t>
            </w:r>
          </w:p>
        </w:tc>
        <w:tc>
          <w:tcPr>
            <w:tcW w:w="994" w:type="dxa"/>
            <w:tcBorders>
              <w:top w:val="single" w:sz="4" w:space="0" w:color="auto"/>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2014-15</w:t>
            </w:r>
          </w:p>
        </w:tc>
        <w:tc>
          <w:tcPr>
            <w:tcW w:w="994" w:type="dxa"/>
            <w:tcBorders>
              <w:top w:val="single" w:sz="4" w:space="0" w:color="auto"/>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2015-16</w:t>
            </w:r>
          </w:p>
        </w:tc>
        <w:tc>
          <w:tcPr>
            <w:tcW w:w="994" w:type="dxa"/>
            <w:tcBorders>
              <w:top w:val="single" w:sz="4" w:space="0" w:color="auto"/>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2016-17</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Budget</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w:t>
            </w:r>
          </w:p>
        </w:tc>
        <w:tc>
          <w:tcPr>
            <w:tcW w:w="1386"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Est. Outcome</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Budget</w:t>
            </w:r>
          </w:p>
        </w:tc>
        <w:tc>
          <w:tcPr>
            <w:tcW w:w="580"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proofErr w:type="spellStart"/>
            <w:r w:rsidRPr="00843177">
              <w:rPr>
                <w:b/>
                <w:bCs/>
                <w:sz w:val="18"/>
                <w:szCs w:val="18"/>
                <w:lang w:eastAsia="en-AU"/>
              </w:rPr>
              <w:t>Var</w:t>
            </w:r>
            <w:proofErr w:type="spellEnd"/>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Estimate</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Estimate</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Estimate</w:t>
            </w:r>
          </w:p>
        </w:tc>
      </w:tr>
      <w:tr w:rsidR="00843177" w:rsidRPr="00843177" w:rsidTr="00CD1F2B">
        <w:trPr>
          <w:trHeight w:val="240"/>
        </w:trPr>
        <w:tc>
          <w:tcPr>
            <w:tcW w:w="993" w:type="dxa"/>
            <w:tcBorders>
              <w:top w:val="nil"/>
              <w:left w:val="nil"/>
              <w:bottom w:val="single" w:sz="4" w:space="0" w:color="auto"/>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$'000</w:t>
            </w:r>
          </w:p>
        </w:tc>
        <w:tc>
          <w:tcPr>
            <w:tcW w:w="2421" w:type="dxa"/>
            <w:tcBorders>
              <w:top w:val="nil"/>
              <w:left w:val="nil"/>
              <w:bottom w:val="single" w:sz="4" w:space="0" w:color="auto"/>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w:t>
            </w:r>
          </w:p>
        </w:tc>
        <w:tc>
          <w:tcPr>
            <w:tcW w:w="1386" w:type="dxa"/>
            <w:tcBorders>
              <w:top w:val="nil"/>
              <w:left w:val="nil"/>
              <w:bottom w:val="single" w:sz="4" w:space="0" w:color="auto"/>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$'000</w:t>
            </w:r>
          </w:p>
        </w:tc>
        <w:tc>
          <w:tcPr>
            <w:tcW w:w="994" w:type="dxa"/>
            <w:tcBorders>
              <w:top w:val="nil"/>
              <w:left w:val="nil"/>
              <w:bottom w:val="single" w:sz="4" w:space="0" w:color="auto"/>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$'000</w:t>
            </w:r>
          </w:p>
        </w:tc>
        <w:tc>
          <w:tcPr>
            <w:tcW w:w="580" w:type="dxa"/>
            <w:tcBorders>
              <w:top w:val="nil"/>
              <w:left w:val="nil"/>
              <w:bottom w:val="single" w:sz="4" w:space="0" w:color="auto"/>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w:t>
            </w:r>
          </w:p>
        </w:tc>
        <w:tc>
          <w:tcPr>
            <w:tcW w:w="994" w:type="dxa"/>
            <w:tcBorders>
              <w:top w:val="nil"/>
              <w:left w:val="nil"/>
              <w:bottom w:val="single" w:sz="4" w:space="0" w:color="auto"/>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$'000</w:t>
            </w:r>
          </w:p>
        </w:tc>
        <w:tc>
          <w:tcPr>
            <w:tcW w:w="994" w:type="dxa"/>
            <w:tcBorders>
              <w:top w:val="nil"/>
              <w:left w:val="nil"/>
              <w:bottom w:val="single" w:sz="4" w:space="0" w:color="auto"/>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$'000</w:t>
            </w:r>
          </w:p>
        </w:tc>
        <w:tc>
          <w:tcPr>
            <w:tcW w:w="994" w:type="dxa"/>
            <w:tcBorders>
              <w:top w:val="nil"/>
              <w:left w:val="nil"/>
              <w:bottom w:val="single" w:sz="4" w:space="0" w:color="auto"/>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$'000</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b/>
                <w:bCs/>
                <w:i/>
                <w:iCs/>
                <w:sz w:val="18"/>
                <w:szCs w:val="18"/>
                <w:lang w:eastAsia="en-AU"/>
              </w:rPr>
            </w:pPr>
            <w:r w:rsidRPr="00843177">
              <w:rPr>
                <w:b/>
                <w:bCs/>
                <w:i/>
                <w:iCs/>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w:t>
            </w:r>
          </w:p>
        </w:tc>
        <w:tc>
          <w:tcPr>
            <w:tcW w:w="1386" w:type="dxa"/>
            <w:tcBorders>
              <w:top w:val="nil"/>
              <w:left w:val="nil"/>
              <w:bottom w:val="nil"/>
              <w:right w:val="nil"/>
            </w:tcBorders>
            <w:shd w:val="clear" w:color="000000" w:fill="FFFFFF"/>
            <w:hideMark/>
          </w:tcPr>
          <w:p w:rsidR="00843177" w:rsidRPr="00843177" w:rsidRDefault="00843177" w:rsidP="00971193">
            <w:pPr>
              <w:jc w:val="right"/>
              <w:rPr>
                <w:b/>
                <w:bCs/>
                <w:i/>
                <w:iCs/>
                <w:sz w:val="18"/>
                <w:szCs w:val="18"/>
                <w:lang w:eastAsia="en-AU"/>
              </w:rPr>
            </w:pPr>
            <w:r w:rsidRPr="00843177">
              <w:rPr>
                <w:b/>
                <w:bCs/>
                <w:i/>
                <w:iCs/>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i/>
                <w:iCs/>
                <w:sz w:val="18"/>
                <w:szCs w:val="18"/>
                <w:lang w:eastAsia="en-AU"/>
              </w:rPr>
            </w:pPr>
            <w:r w:rsidRPr="00843177">
              <w:rPr>
                <w:b/>
                <w:bCs/>
                <w:i/>
                <w:iCs/>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b/>
                <w:bCs/>
                <w:i/>
                <w:iCs/>
                <w:sz w:val="18"/>
                <w:szCs w:val="18"/>
                <w:lang w:eastAsia="en-AU"/>
              </w:rPr>
            </w:pPr>
            <w:r w:rsidRPr="00843177">
              <w:rPr>
                <w:b/>
                <w:bCs/>
                <w:i/>
                <w:iCs/>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i/>
                <w:iCs/>
                <w:sz w:val="18"/>
                <w:szCs w:val="18"/>
                <w:lang w:eastAsia="en-AU"/>
              </w:rPr>
            </w:pPr>
            <w:r w:rsidRPr="00843177">
              <w:rPr>
                <w:b/>
                <w:bCs/>
                <w:i/>
                <w:iCs/>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i/>
                <w:iCs/>
                <w:sz w:val="18"/>
                <w:szCs w:val="18"/>
                <w:lang w:eastAsia="en-AU"/>
              </w:rPr>
            </w:pPr>
            <w:r w:rsidRPr="00843177">
              <w:rPr>
                <w:b/>
                <w:bCs/>
                <w:i/>
                <w:iCs/>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i/>
                <w:iCs/>
                <w:sz w:val="18"/>
                <w:szCs w:val="18"/>
                <w:lang w:eastAsia="en-AU"/>
              </w:rPr>
            </w:pPr>
            <w:r w:rsidRPr="00843177">
              <w:rPr>
                <w:b/>
                <w:bCs/>
                <w:i/>
                <w:iCs/>
                <w:sz w:val="18"/>
                <w:szCs w:val="18"/>
                <w:lang w:eastAsia="en-AU"/>
              </w:rPr>
              <w:t> </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Income</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Revenue</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r>
      <w:tr w:rsidR="00843177" w:rsidRPr="00843177" w:rsidTr="00CD1F2B">
        <w:trPr>
          <w:trHeight w:val="48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36,919</w:t>
            </w:r>
          </w:p>
        </w:tc>
        <w:tc>
          <w:tcPr>
            <w:tcW w:w="2421" w:type="dxa"/>
            <w:tcBorders>
              <w:top w:val="nil"/>
              <w:left w:val="nil"/>
              <w:bottom w:val="nil"/>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 xml:space="preserve">Government Payment for </w:t>
            </w:r>
            <w:r w:rsidRPr="00843177">
              <w:rPr>
                <w:sz w:val="18"/>
                <w:szCs w:val="18"/>
                <w:lang w:eastAsia="en-AU"/>
              </w:rPr>
              <w:br/>
              <w:t xml:space="preserve">   Outputs</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59,683</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59,833</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xml:space="preserve">..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41,470</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40,622</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40,439</w:t>
            </w:r>
          </w:p>
        </w:tc>
      </w:tr>
      <w:tr w:rsidR="00843177" w:rsidRPr="00843177" w:rsidTr="00CD1F2B">
        <w:trPr>
          <w:trHeight w:val="48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467</w:t>
            </w:r>
          </w:p>
        </w:tc>
        <w:tc>
          <w:tcPr>
            <w:tcW w:w="2421" w:type="dxa"/>
            <w:tcBorders>
              <w:top w:val="nil"/>
              <w:left w:val="nil"/>
              <w:bottom w:val="nil"/>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 xml:space="preserve">User Charges - ACT </w:t>
            </w:r>
            <w:r w:rsidRPr="00843177">
              <w:rPr>
                <w:sz w:val="18"/>
                <w:szCs w:val="18"/>
                <w:lang w:eastAsia="en-AU"/>
              </w:rPr>
              <w:br/>
              <w:t xml:space="preserve">   Government</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2,435</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4,097</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xml:space="preserve">68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4,143</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4,187</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4,237</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0</w:t>
            </w:r>
          </w:p>
        </w:tc>
        <w:tc>
          <w:tcPr>
            <w:tcW w:w="2421" w:type="dxa"/>
            <w:tcBorders>
              <w:top w:val="nil"/>
              <w:left w:val="nil"/>
              <w:bottom w:val="nil"/>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Interest</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2,463</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3,532</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xml:space="preserve">43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3,485</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3,411</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3,324</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0</w:t>
            </w:r>
          </w:p>
        </w:tc>
        <w:tc>
          <w:tcPr>
            <w:tcW w:w="2421" w:type="dxa"/>
            <w:tcBorders>
              <w:top w:val="nil"/>
              <w:left w:val="nil"/>
              <w:bottom w:val="nil"/>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Other Revenue</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26</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44</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xml:space="preserve">69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38</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26</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26</w:t>
            </w:r>
          </w:p>
        </w:tc>
      </w:tr>
      <w:tr w:rsidR="00843177" w:rsidRPr="00843177" w:rsidTr="00CD1F2B">
        <w:trPr>
          <w:trHeight w:val="48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396</w:t>
            </w:r>
          </w:p>
        </w:tc>
        <w:tc>
          <w:tcPr>
            <w:tcW w:w="2421" w:type="dxa"/>
            <w:tcBorders>
              <w:top w:val="nil"/>
              <w:left w:val="nil"/>
              <w:bottom w:val="nil"/>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Resources Received</w:t>
            </w:r>
            <w:r w:rsidRPr="00843177">
              <w:rPr>
                <w:sz w:val="18"/>
                <w:szCs w:val="18"/>
                <w:lang w:eastAsia="en-AU"/>
              </w:rPr>
              <w:br/>
              <w:t xml:space="preserve">   Free of Charge</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900</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1,106</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xml:space="preserve">23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1,134</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1,144</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1,155</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37,782</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Total Revenue</w:t>
            </w:r>
          </w:p>
        </w:tc>
        <w:tc>
          <w:tcPr>
            <w:tcW w:w="1386"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65,507</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68,612</w:t>
            </w:r>
          </w:p>
        </w:tc>
        <w:tc>
          <w:tcPr>
            <w:tcW w:w="580"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 xml:space="preserve">5 </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50,270</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49,390</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49,181</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Gains</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0</w:t>
            </w:r>
          </w:p>
        </w:tc>
        <w:tc>
          <w:tcPr>
            <w:tcW w:w="2421" w:type="dxa"/>
            <w:tcBorders>
              <w:top w:val="nil"/>
              <w:left w:val="nil"/>
              <w:bottom w:val="nil"/>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Other Gains</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0</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5,341</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xml:space="preserve">#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0</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0</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0</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0</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Total Gains</w:t>
            </w:r>
          </w:p>
        </w:tc>
        <w:tc>
          <w:tcPr>
            <w:tcW w:w="1386"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0</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5,341</w:t>
            </w:r>
          </w:p>
        </w:tc>
        <w:tc>
          <w:tcPr>
            <w:tcW w:w="580"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 xml:space="preserve"># </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0</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0</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0</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37,782</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Total Income</w:t>
            </w:r>
          </w:p>
        </w:tc>
        <w:tc>
          <w:tcPr>
            <w:tcW w:w="1386"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65,507</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73,953</w:t>
            </w:r>
          </w:p>
        </w:tc>
        <w:tc>
          <w:tcPr>
            <w:tcW w:w="580"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 xml:space="preserve">13 </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50,270</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49,390</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49,181</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xml:space="preserve">Expenses  </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12,365</w:t>
            </w:r>
          </w:p>
        </w:tc>
        <w:tc>
          <w:tcPr>
            <w:tcW w:w="2421" w:type="dxa"/>
            <w:tcBorders>
              <w:top w:val="nil"/>
              <w:left w:val="nil"/>
              <w:bottom w:val="nil"/>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Employee Expenses</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19,265</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23,640</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xml:space="preserve">23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22,088</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21,892</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22,194</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2,499</w:t>
            </w:r>
          </w:p>
        </w:tc>
        <w:tc>
          <w:tcPr>
            <w:tcW w:w="2421" w:type="dxa"/>
            <w:tcBorders>
              <w:top w:val="nil"/>
              <w:left w:val="nil"/>
              <w:bottom w:val="nil"/>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Superannuation Expenses</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4,056</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4,753</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xml:space="preserve">17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4,269</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3,883</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3,798</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22,259</w:t>
            </w:r>
          </w:p>
        </w:tc>
        <w:tc>
          <w:tcPr>
            <w:tcW w:w="2421" w:type="dxa"/>
            <w:tcBorders>
              <w:top w:val="nil"/>
              <w:left w:val="nil"/>
              <w:bottom w:val="nil"/>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Supplies and Services</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29,710</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22,507</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xml:space="preserve">-24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16,916</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16,714</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16,961</w:t>
            </w:r>
          </w:p>
        </w:tc>
      </w:tr>
      <w:tr w:rsidR="00843177" w:rsidRPr="00843177" w:rsidTr="00CD1F2B">
        <w:trPr>
          <w:trHeight w:val="48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361</w:t>
            </w:r>
          </w:p>
        </w:tc>
        <w:tc>
          <w:tcPr>
            <w:tcW w:w="2421" w:type="dxa"/>
            <w:tcBorders>
              <w:top w:val="nil"/>
              <w:left w:val="nil"/>
              <w:bottom w:val="nil"/>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 xml:space="preserve">Depreciation and </w:t>
            </w:r>
            <w:r w:rsidRPr="00843177">
              <w:rPr>
                <w:sz w:val="18"/>
                <w:szCs w:val="18"/>
                <w:lang w:eastAsia="en-AU"/>
              </w:rPr>
              <w:br/>
              <w:t xml:space="preserve">   Amortisation</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29</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1,412</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xml:space="preserve">#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2,554</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2,554</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1,560</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w:t>
            </w:r>
          </w:p>
        </w:tc>
        <w:tc>
          <w:tcPr>
            <w:tcW w:w="2421" w:type="dxa"/>
            <w:tcBorders>
              <w:top w:val="nil"/>
              <w:left w:val="nil"/>
              <w:bottom w:val="nil"/>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Borrowing Costs</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2,465</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3,534</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xml:space="preserve">43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3,487</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3,413</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3,326</w:t>
            </w:r>
          </w:p>
        </w:tc>
      </w:tr>
      <w:tr w:rsidR="00843177" w:rsidRPr="00843177" w:rsidTr="00CD1F2B">
        <w:trPr>
          <w:trHeight w:val="48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384</w:t>
            </w:r>
          </w:p>
        </w:tc>
        <w:tc>
          <w:tcPr>
            <w:tcW w:w="2421" w:type="dxa"/>
            <w:tcBorders>
              <w:top w:val="nil"/>
              <w:left w:val="nil"/>
              <w:bottom w:val="nil"/>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 xml:space="preserve">Grants and Purchased </w:t>
            </w:r>
            <w:r w:rsidRPr="00843177">
              <w:rPr>
                <w:sz w:val="18"/>
                <w:szCs w:val="18"/>
                <w:lang w:eastAsia="en-AU"/>
              </w:rPr>
              <w:br/>
              <w:t xml:space="preserve">   Services</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9,796</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14,383</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xml:space="preserve">47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3,699</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3,671</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3,107</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396</w:t>
            </w:r>
          </w:p>
        </w:tc>
        <w:tc>
          <w:tcPr>
            <w:tcW w:w="2421" w:type="dxa"/>
            <w:tcBorders>
              <w:top w:val="nil"/>
              <w:left w:val="nil"/>
              <w:bottom w:val="nil"/>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Other Expenses</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0</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0</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xml:space="preserve">-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0</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0</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0</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38,266</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xml:space="preserve">Total </w:t>
            </w:r>
            <w:r w:rsidR="00EC2814">
              <w:rPr>
                <w:b/>
                <w:bCs/>
                <w:sz w:val="18"/>
                <w:szCs w:val="18"/>
                <w:lang w:eastAsia="en-AU"/>
              </w:rPr>
              <w:t xml:space="preserve">Ordinary </w:t>
            </w:r>
            <w:r w:rsidRPr="00843177">
              <w:rPr>
                <w:b/>
                <w:bCs/>
                <w:sz w:val="18"/>
                <w:szCs w:val="18"/>
                <w:lang w:eastAsia="en-AU"/>
              </w:rPr>
              <w:t>Expenses</w:t>
            </w:r>
          </w:p>
        </w:tc>
        <w:tc>
          <w:tcPr>
            <w:tcW w:w="1386"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65,321</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70,229</w:t>
            </w:r>
          </w:p>
        </w:tc>
        <w:tc>
          <w:tcPr>
            <w:tcW w:w="580"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 xml:space="preserve">8 </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53,013</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52,127</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50,946</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 </w:t>
            </w:r>
          </w:p>
        </w:tc>
        <w:tc>
          <w:tcPr>
            <w:tcW w:w="1386"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-484</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Operating Result</w:t>
            </w:r>
          </w:p>
        </w:tc>
        <w:tc>
          <w:tcPr>
            <w:tcW w:w="1386"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186</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3,724</w:t>
            </w:r>
          </w:p>
        </w:tc>
        <w:tc>
          <w:tcPr>
            <w:tcW w:w="580"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 xml:space="preserve"># </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-2,743</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-2,737</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-1,765</w:t>
            </w:r>
          </w:p>
        </w:tc>
      </w:tr>
      <w:tr w:rsidR="00843177" w:rsidRPr="00843177" w:rsidTr="00CD1F2B">
        <w:trPr>
          <w:trHeight w:val="240"/>
        </w:trPr>
        <w:tc>
          <w:tcPr>
            <w:tcW w:w="993"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 </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 </w:t>
            </w:r>
          </w:p>
        </w:tc>
        <w:tc>
          <w:tcPr>
            <w:tcW w:w="1386"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 </w:t>
            </w:r>
          </w:p>
        </w:tc>
        <w:tc>
          <w:tcPr>
            <w:tcW w:w="580"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 </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 </w:t>
            </w:r>
          </w:p>
        </w:tc>
      </w:tr>
      <w:tr w:rsidR="00843177" w:rsidRPr="00843177" w:rsidTr="00CD1F2B">
        <w:trPr>
          <w:trHeight w:val="480"/>
        </w:trPr>
        <w:tc>
          <w:tcPr>
            <w:tcW w:w="993"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-484</w:t>
            </w:r>
          </w:p>
        </w:tc>
        <w:tc>
          <w:tcPr>
            <w:tcW w:w="2421" w:type="dxa"/>
            <w:tcBorders>
              <w:top w:val="nil"/>
              <w:left w:val="nil"/>
              <w:bottom w:val="nil"/>
              <w:right w:val="nil"/>
            </w:tcBorders>
            <w:shd w:val="clear" w:color="000000" w:fill="FFFFFF"/>
            <w:hideMark/>
          </w:tcPr>
          <w:p w:rsidR="00843177" w:rsidRPr="00843177" w:rsidRDefault="00843177" w:rsidP="00971193">
            <w:pPr>
              <w:rPr>
                <w:b/>
                <w:bCs/>
                <w:sz w:val="18"/>
                <w:szCs w:val="18"/>
                <w:lang w:eastAsia="en-AU"/>
              </w:rPr>
            </w:pPr>
            <w:r w:rsidRPr="00843177">
              <w:rPr>
                <w:b/>
                <w:bCs/>
                <w:sz w:val="18"/>
                <w:szCs w:val="18"/>
                <w:lang w:eastAsia="en-AU"/>
              </w:rPr>
              <w:t>Total Comprehensive</w:t>
            </w:r>
            <w:r w:rsidRPr="00843177">
              <w:rPr>
                <w:b/>
                <w:bCs/>
                <w:sz w:val="18"/>
                <w:szCs w:val="18"/>
                <w:lang w:eastAsia="en-AU"/>
              </w:rPr>
              <w:br/>
              <w:t xml:space="preserve">   Income</w:t>
            </w:r>
          </w:p>
        </w:tc>
        <w:tc>
          <w:tcPr>
            <w:tcW w:w="1386"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186</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3,724</w:t>
            </w:r>
          </w:p>
        </w:tc>
        <w:tc>
          <w:tcPr>
            <w:tcW w:w="580"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 xml:space="preserve"># </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-2,743</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-2,737</w:t>
            </w:r>
          </w:p>
        </w:tc>
        <w:tc>
          <w:tcPr>
            <w:tcW w:w="994" w:type="dxa"/>
            <w:tcBorders>
              <w:top w:val="nil"/>
              <w:left w:val="nil"/>
              <w:bottom w:val="nil"/>
              <w:right w:val="nil"/>
            </w:tcBorders>
            <w:shd w:val="clear" w:color="000000" w:fill="FFFFFF"/>
            <w:hideMark/>
          </w:tcPr>
          <w:p w:rsidR="00843177" w:rsidRPr="00843177" w:rsidRDefault="00843177" w:rsidP="00971193">
            <w:pPr>
              <w:jc w:val="right"/>
              <w:rPr>
                <w:b/>
                <w:bCs/>
                <w:sz w:val="18"/>
                <w:szCs w:val="18"/>
                <w:lang w:eastAsia="en-AU"/>
              </w:rPr>
            </w:pPr>
            <w:r w:rsidRPr="00843177">
              <w:rPr>
                <w:b/>
                <w:bCs/>
                <w:sz w:val="18"/>
                <w:szCs w:val="18"/>
                <w:lang w:eastAsia="en-AU"/>
              </w:rPr>
              <w:t>-1,765</w:t>
            </w:r>
          </w:p>
        </w:tc>
      </w:tr>
      <w:tr w:rsidR="00843177" w:rsidRPr="00843177" w:rsidTr="00CD1F2B">
        <w:trPr>
          <w:trHeight w:val="240"/>
        </w:trPr>
        <w:tc>
          <w:tcPr>
            <w:tcW w:w="993" w:type="dxa"/>
            <w:tcBorders>
              <w:top w:val="nil"/>
              <w:left w:val="nil"/>
              <w:bottom w:val="single" w:sz="4" w:space="0" w:color="auto"/>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2421" w:type="dxa"/>
            <w:tcBorders>
              <w:top w:val="nil"/>
              <w:left w:val="nil"/>
              <w:bottom w:val="single" w:sz="4" w:space="0" w:color="auto"/>
              <w:right w:val="nil"/>
            </w:tcBorders>
            <w:shd w:val="clear" w:color="000000" w:fill="FFFFFF"/>
            <w:hideMark/>
          </w:tcPr>
          <w:p w:rsidR="00843177" w:rsidRPr="00843177" w:rsidRDefault="00843177" w:rsidP="00971193">
            <w:pPr>
              <w:rPr>
                <w:sz w:val="18"/>
                <w:szCs w:val="18"/>
                <w:lang w:eastAsia="en-AU"/>
              </w:rPr>
            </w:pPr>
            <w:r w:rsidRPr="00843177">
              <w:rPr>
                <w:sz w:val="18"/>
                <w:szCs w:val="18"/>
                <w:lang w:eastAsia="en-AU"/>
              </w:rPr>
              <w:t> </w:t>
            </w:r>
          </w:p>
        </w:tc>
        <w:tc>
          <w:tcPr>
            <w:tcW w:w="1386" w:type="dxa"/>
            <w:tcBorders>
              <w:top w:val="nil"/>
              <w:left w:val="nil"/>
              <w:bottom w:val="single" w:sz="4" w:space="0" w:color="auto"/>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single" w:sz="4" w:space="0" w:color="auto"/>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580" w:type="dxa"/>
            <w:tcBorders>
              <w:top w:val="nil"/>
              <w:left w:val="nil"/>
              <w:bottom w:val="single" w:sz="4" w:space="0" w:color="auto"/>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single" w:sz="4" w:space="0" w:color="auto"/>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single" w:sz="4" w:space="0" w:color="auto"/>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c>
          <w:tcPr>
            <w:tcW w:w="994" w:type="dxa"/>
            <w:tcBorders>
              <w:top w:val="nil"/>
              <w:left w:val="nil"/>
              <w:bottom w:val="single" w:sz="4" w:space="0" w:color="auto"/>
              <w:right w:val="nil"/>
            </w:tcBorders>
            <w:shd w:val="clear" w:color="000000" w:fill="FFFFFF"/>
            <w:hideMark/>
          </w:tcPr>
          <w:p w:rsidR="00843177" w:rsidRPr="00843177" w:rsidRDefault="00843177" w:rsidP="00971193">
            <w:pPr>
              <w:jc w:val="right"/>
              <w:rPr>
                <w:sz w:val="18"/>
                <w:szCs w:val="18"/>
                <w:lang w:eastAsia="en-AU"/>
              </w:rPr>
            </w:pPr>
            <w:r w:rsidRPr="00843177">
              <w:rPr>
                <w:sz w:val="18"/>
                <w:szCs w:val="18"/>
                <w:lang w:eastAsia="en-AU"/>
              </w:rPr>
              <w:t> </w:t>
            </w:r>
          </w:p>
        </w:tc>
      </w:tr>
    </w:tbl>
    <w:p w:rsidR="00843177" w:rsidRDefault="00843177">
      <w:pPr>
        <w:spacing w:after="200" w:line="276" w:lineRule="auto"/>
      </w:pPr>
    </w:p>
    <w:p w:rsidR="00843177" w:rsidRDefault="00843177">
      <w:pPr>
        <w:spacing w:after="200" w:line="276" w:lineRule="auto"/>
      </w:pPr>
      <w:r>
        <w:br w:type="page"/>
      </w:r>
    </w:p>
    <w:tbl>
      <w:tblPr>
        <w:tblW w:w="9392" w:type="dxa"/>
        <w:tblLook w:val="04A0"/>
      </w:tblPr>
      <w:tblGrid>
        <w:gridCol w:w="1054"/>
        <w:gridCol w:w="2392"/>
        <w:gridCol w:w="1106"/>
        <w:gridCol w:w="1054"/>
        <w:gridCol w:w="624"/>
        <w:gridCol w:w="1054"/>
        <w:gridCol w:w="1054"/>
        <w:gridCol w:w="1054"/>
      </w:tblGrid>
      <w:tr w:rsidR="00971193" w:rsidTr="00E84262">
        <w:trPr>
          <w:tblHeader/>
        </w:trPr>
        <w:tc>
          <w:tcPr>
            <w:tcW w:w="9392" w:type="dxa"/>
            <w:gridSpan w:val="8"/>
            <w:tcBorders>
              <w:top w:val="nil"/>
              <w:left w:val="nil"/>
              <w:bottom w:val="nil"/>
              <w:right w:val="nil"/>
            </w:tcBorders>
            <w:shd w:val="clear" w:color="000000" w:fill="FFFFFF"/>
            <w:noWrap/>
            <w:vAlign w:val="bottom"/>
            <w:hideMark/>
          </w:tcPr>
          <w:p w:rsidR="00971193" w:rsidRPr="00F7202F" w:rsidRDefault="00971193" w:rsidP="00E84262">
            <w:pPr>
              <w:jc w:val="center"/>
              <w:rPr>
                <w:rFonts w:ascii="Arial" w:hAnsi="Arial" w:cs="Arial"/>
                <w:b/>
                <w:bCs/>
                <w:szCs w:val="24"/>
              </w:rPr>
            </w:pPr>
            <w:bookmarkStart w:id="2" w:name="RANGE!A1:H50"/>
            <w:r w:rsidRPr="00F7202F">
              <w:rPr>
                <w:rFonts w:ascii="Arial" w:hAnsi="Arial" w:cs="Arial"/>
                <w:b/>
                <w:bCs/>
                <w:szCs w:val="24"/>
              </w:rPr>
              <w:lastRenderedPageBreak/>
              <w:t>Chief Minister and Treasury Directorate</w:t>
            </w:r>
            <w:bookmarkEnd w:id="2"/>
          </w:p>
        </w:tc>
      </w:tr>
      <w:tr w:rsidR="00971193" w:rsidTr="00E84262">
        <w:trPr>
          <w:tblHeader/>
        </w:trPr>
        <w:tc>
          <w:tcPr>
            <w:tcW w:w="9392" w:type="dxa"/>
            <w:gridSpan w:val="8"/>
            <w:tcBorders>
              <w:top w:val="nil"/>
              <w:left w:val="nil"/>
              <w:bottom w:val="nil"/>
              <w:right w:val="nil"/>
            </w:tcBorders>
            <w:shd w:val="clear" w:color="000000" w:fill="FFFFFF"/>
            <w:noWrap/>
            <w:vAlign w:val="bottom"/>
            <w:hideMark/>
          </w:tcPr>
          <w:p w:rsidR="00971193" w:rsidRPr="00F7202F" w:rsidRDefault="00971193" w:rsidP="00E84262">
            <w:pPr>
              <w:jc w:val="center"/>
              <w:rPr>
                <w:rFonts w:ascii="Arial" w:hAnsi="Arial" w:cs="Arial"/>
                <w:b/>
                <w:bCs/>
                <w:szCs w:val="24"/>
              </w:rPr>
            </w:pPr>
            <w:r w:rsidRPr="00F7202F">
              <w:rPr>
                <w:rFonts w:ascii="Arial" w:hAnsi="Arial" w:cs="Arial"/>
                <w:b/>
                <w:bCs/>
                <w:szCs w:val="24"/>
              </w:rPr>
              <w:t>Balance Sheet</w:t>
            </w:r>
          </w:p>
        </w:tc>
      </w:tr>
      <w:tr w:rsidR="00971193" w:rsidTr="00E84262">
        <w:trPr>
          <w:tblHeader/>
        </w:trPr>
        <w:tc>
          <w:tcPr>
            <w:tcW w:w="1054" w:type="dxa"/>
            <w:tcBorders>
              <w:top w:val="single" w:sz="4" w:space="0" w:color="auto"/>
              <w:left w:val="nil"/>
              <w:bottom w:val="nil"/>
              <w:right w:val="nil"/>
            </w:tcBorders>
            <w:shd w:val="clear" w:color="000000" w:fill="FFFFFF"/>
            <w:noWrap/>
            <w:hideMark/>
          </w:tcPr>
          <w:p w:rsidR="00971193" w:rsidRDefault="00971193" w:rsidP="00E84262">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971193" w:rsidRDefault="00971193" w:rsidP="00E8426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971193" w:rsidRDefault="00971193" w:rsidP="00E84262">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971193" w:rsidRDefault="00971193" w:rsidP="00E84262">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971193" w:rsidRDefault="00971193" w:rsidP="00E8426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971193" w:rsidRDefault="00971193" w:rsidP="00E84262">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971193" w:rsidRDefault="00971193" w:rsidP="00E84262">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971193" w:rsidRDefault="00971193" w:rsidP="00E84262">
            <w:pPr>
              <w:ind w:left="-283"/>
              <w:jc w:val="right"/>
              <w:rPr>
                <w:b/>
                <w:bCs/>
                <w:sz w:val="18"/>
                <w:szCs w:val="18"/>
              </w:rPr>
            </w:pPr>
            <w:r>
              <w:rPr>
                <w:b/>
                <w:bCs/>
                <w:sz w:val="18"/>
                <w:szCs w:val="18"/>
              </w:rPr>
              <w:t>Estimate</w:t>
            </w:r>
          </w:p>
        </w:tc>
      </w:tr>
      <w:tr w:rsidR="00971193" w:rsidTr="00E84262">
        <w:trPr>
          <w:tblHeader/>
        </w:trPr>
        <w:tc>
          <w:tcPr>
            <w:tcW w:w="1054" w:type="dxa"/>
            <w:tcBorders>
              <w:top w:val="nil"/>
              <w:left w:val="nil"/>
              <w:bottom w:val="nil"/>
              <w:right w:val="nil"/>
            </w:tcBorders>
            <w:shd w:val="clear" w:color="000000" w:fill="FFFFFF"/>
            <w:hideMark/>
          </w:tcPr>
          <w:p w:rsidR="00971193" w:rsidRDefault="00971193" w:rsidP="00E84262">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971193" w:rsidRDefault="00971193" w:rsidP="00E84262">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971193" w:rsidRDefault="00971193" w:rsidP="00E84262">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971193" w:rsidRDefault="00971193" w:rsidP="00E84262">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6"/>
                <w:szCs w:val="16"/>
              </w:rPr>
            </w:pPr>
            <w:r>
              <w:rPr>
                <w:b/>
                <w:bCs/>
                <w:sz w:val="16"/>
                <w:szCs w:val="16"/>
              </w:rPr>
              <w:t>as at 30/6/17</w:t>
            </w:r>
          </w:p>
        </w:tc>
      </w:tr>
      <w:tr w:rsidR="00971193" w:rsidTr="00E84262">
        <w:trPr>
          <w:tblHeader/>
        </w:trPr>
        <w:tc>
          <w:tcPr>
            <w:tcW w:w="1054" w:type="dxa"/>
            <w:tcBorders>
              <w:top w:val="nil"/>
              <w:left w:val="nil"/>
              <w:bottom w:val="single" w:sz="4" w:space="0" w:color="auto"/>
              <w:right w:val="nil"/>
            </w:tcBorders>
            <w:shd w:val="clear" w:color="000000" w:fill="FFFFFF"/>
            <w:noWrap/>
            <w:hideMark/>
          </w:tcPr>
          <w:p w:rsidR="00971193" w:rsidRDefault="00971193" w:rsidP="00E8426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971193" w:rsidRDefault="00971193" w:rsidP="00E84262">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971193" w:rsidRDefault="00971193"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71193" w:rsidRDefault="00971193" w:rsidP="00E8426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971193" w:rsidRDefault="00971193" w:rsidP="00E8426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971193" w:rsidRDefault="00971193"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71193" w:rsidRDefault="00971193"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71193" w:rsidRDefault="00971193" w:rsidP="00E84262">
            <w:pPr>
              <w:ind w:left="-283"/>
              <w:jc w:val="right"/>
              <w:rPr>
                <w:b/>
                <w:bCs/>
                <w:sz w:val="18"/>
                <w:szCs w:val="18"/>
              </w:rPr>
            </w:pPr>
            <w:r>
              <w:rPr>
                <w:b/>
                <w:bCs/>
                <w:sz w:val="18"/>
                <w:szCs w:val="18"/>
              </w:rPr>
              <w:t>$'000</w:t>
            </w:r>
          </w:p>
        </w:tc>
      </w:tr>
      <w:tr w:rsidR="00971193" w:rsidTr="00E84262">
        <w:trPr>
          <w:tblHeader/>
        </w:trPr>
        <w:tc>
          <w:tcPr>
            <w:tcW w:w="1054" w:type="dxa"/>
            <w:tcBorders>
              <w:top w:val="nil"/>
              <w:left w:val="nil"/>
              <w:bottom w:val="nil"/>
              <w:right w:val="nil"/>
            </w:tcBorders>
            <w:shd w:val="clear" w:color="000000" w:fill="FFFFFF"/>
            <w:noWrap/>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71193" w:rsidRDefault="00971193" w:rsidP="00E8426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71193" w:rsidRDefault="00971193" w:rsidP="00E84262">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971193" w:rsidRDefault="00971193" w:rsidP="00E84262">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971193" w:rsidRDefault="00971193" w:rsidP="00E84262">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971193" w:rsidRDefault="00971193" w:rsidP="00E84262">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971193" w:rsidRDefault="00971193" w:rsidP="00E84262">
            <w:pPr>
              <w:ind w:left="-283"/>
              <w:jc w:val="right"/>
              <w:rPr>
                <w:i/>
                <w:iCs/>
                <w:sz w:val="18"/>
                <w:szCs w:val="18"/>
              </w:rPr>
            </w:pPr>
            <w:r>
              <w:rPr>
                <w:i/>
                <w:iCs/>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1,772</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3,225</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3,245</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3,253</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3,253</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3,253</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1,048</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2,859</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2,895</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2,945</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3,066</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3,155</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45</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42</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42</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42</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42</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42</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2,865</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6,126</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6,182</w:t>
            </w:r>
          </w:p>
        </w:tc>
        <w:tc>
          <w:tcPr>
            <w:tcW w:w="62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6,240</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6,361</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6,450</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90,665</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90,562</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89,361</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88,032</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86,539</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169</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420</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339</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-19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243</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163</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102</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3,118</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Intangibles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450</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7,546</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5,088</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2,630</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1,131</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Capital Works in Progress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1,469</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3,287</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93,004</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98,447</w:t>
            </w:r>
          </w:p>
        </w:tc>
        <w:tc>
          <w:tcPr>
            <w:tcW w:w="62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94,692</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90,825</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87,772</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6,152</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99,130</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104,629</w:t>
            </w:r>
          </w:p>
        </w:tc>
        <w:tc>
          <w:tcPr>
            <w:tcW w:w="62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100,932</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97,186</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94,222</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359</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1,485</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1,450</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1,412</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1,373</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1,348</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Interest-Bearing Liabilities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1,105</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1,179</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1,254</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1,386</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1,493</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24</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34</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-32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34</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50</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4,617</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8,500</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8,723</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8,935</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9,149</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9,364</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5,000</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11,140</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11,386</w:t>
            </w:r>
          </w:p>
        </w:tc>
        <w:tc>
          <w:tcPr>
            <w:tcW w:w="62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xml:space="preserve">2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11,651</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11,942</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12,255</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Interest-Bearing Liabilities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90,665</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90,562</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89,361</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88,032</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86,539</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46</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70</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52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46</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70</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46</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386</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641</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648</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654</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659</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664</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Other Non-Current</w:t>
            </w:r>
            <w:r>
              <w:rPr>
                <w:sz w:val="18"/>
                <w:szCs w:val="18"/>
              </w:rPr>
              <w:br/>
              <w:t xml:space="preserve">   Provisions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134</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134</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134</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134</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134</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386</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91,486</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91,414</w:t>
            </w:r>
          </w:p>
        </w:tc>
        <w:tc>
          <w:tcPr>
            <w:tcW w:w="62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90,195</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88,895</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87,383</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5,386</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102,626</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102,800</w:t>
            </w:r>
          </w:p>
        </w:tc>
        <w:tc>
          <w:tcPr>
            <w:tcW w:w="62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101,846</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100,837</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99,638</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766</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-3,496</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1,829</w:t>
            </w:r>
          </w:p>
        </w:tc>
        <w:tc>
          <w:tcPr>
            <w:tcW w:w="62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xml:space="preserve">152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-914</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-3,651</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-5,416</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71193" w:rsidRDefault="00971193" w:rsidP="00E84262">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766</w:t>
            </w:r>
          </w:p>
        </w:tc>
        <w:tc>
          <w:tcPr>
            <w:tcW w:w="2392" w:type="dxa"/>
            <w:tcBorders>
              <w:top w:val="nil"/>
              <w:left w:val="nil"/>
              <w:bottom w:val="nil"/>
              <w:right w:val="nil"/>
            </w:tcBorders>
            <w:shd w:val="clear" w:color="000000" w:fill="FFFFFF"/>
            <w:hideMark/>
          </w:tcPr>
          <w:p w:rsidR="00971193" w:rsidRDefault="00971193" w:rsidP="00E84262">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-3,496</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1,829</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xml:space="preserve">152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-914</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-3,651</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-5,416</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71193" w:rsidRDefault="00971193" w:rsidP="00E84262">
            <w:pPr>
              <w:ind w:left="-283"/>
              <w:jc w:val="right"/>
              <w:rPr>
                <w:sz w:val="18"/>
                <w:szCs w:val="18"/>
              </w:rPr>
            </w:pPr>
            <w:r>
              <w:rPr>
                <w:sz w:val="18"/>
                <w:szCs w:val="18"/>
              </w:rPr>
              <w:t> </w:t>
            </w:r>
          </w:p>
        </w:tc>
      </w:tr>
      <w:tr w:rsidR="00971193" w:rsidTr="00E84262">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766</w:t>
            </w:r>
          </w:p>
        </w:tc>
        <w:tc>
          <w:tcPr>
            <w:tcW w:w="2392" w:type="dxa"/>
            <w:tcBorders>
              <w:top w:val="nil"/>
              <w:left w:val="nil"/>
              <w:bottom w:val="nil"/>
              <w:right w:val="nil"/>
            </w:tcBorders>
            <w:shd w:val="clear" w:color="000000" w:fill="FFFFFF"/>
            <w:hideMark/>
          </w:tcPr>
          <w:p w:rsidR="00971193" w:rsidRDefault="00971193" w:rsidP="00E84262">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-3,496</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1,829</w:t>
            </w:r>
          </w:p>
        </w:tc>
        <w:tc>
          <w:tcPr>
            <w:tcW w:w="62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 xml:space="preserve">152 </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-914</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-3,651</w:t>
            </w:r>
          </w:p>
        </w:tc>
        <w:tc>
          <w:tcPr>
            <w:tcW w:w="1054" w:type="dxa"/>
            <w:tcBorders>
              <w:top w:val="nil"/>
              <w:left w:val="nil"/>
              <w:bottom w:val="nil"/>
              <w:right w:val="nil"/>
            </w:tcBorders>
            <w:shd w:val="clear" w:color="000000" w:fill="FFFFFF"/>
            <w:hideMark/>
          </w:tcPr>
          <w:p w:rsidR="00971193" w:rsidRDefault="00971193" w:rsidP="00E84262">
            <w:pPr>
              <w:ind w:left="-283"/>
              <w:jc w:val="right"/>
              <w:rPr>
                <w:b/>
                <w:bCs/>
                <w:sz w:val="18"/>
                <w:szCs w:val="18"/>
              </w:rPr>
            </w:pPr>
            <w:r>
              <w:rPr>
                <w:b/>
                <w:bCs/>
                <w:sz w:val="18"/>
                <w:szCs w:val="18"/>
              </w:rPr>
              <w:t>-5,416</w:t>
            </w:r>
          </w:p>
        </w:tc>
      </w:tr>
      <w:tr w:rsidR="00971193" w:rsidTr="00E84262">
        <w:tc>
          <w:tcPr>
            <w:tcW w:w="1054" w:type="dxa"/>
            <w:tcBorders>
              <w:top w:val="nil"/>
              <w:left w:val="nil"/>
              <w:bottom w:val="single" w:sz="4" w:space="0" w:color="auto"/>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971193" w:rsidRDefault="00971193" w:rsidP="00E84262">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71193" w:rsidRDefault="00971193"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71193" w:rsidRDefault="00971193" w:rsidP="00E84262">
            <w:pPr>
              <w:ind w:left="-283"/>
              <w:jc w:val="right"/>
              <w:rPr>
                <w:sz w:val="18"/>
                <w:szCs w:val="18"/>
              </w:rPr>
            </w:pPr>
            <w:r>
              <w:rPr>
                <w:sz w:val="18"/>
                <w:szCs w:val="18"/>
              </w:rPr>
              <w:t> </w:t>
            </w:r>
          </w:p>
        </w:tc>
      </w:tr>
    </w:tbl>
    <w:p w:rsidR="00971193" w:rsidRDefault="00971193">
      <w:pPr>
        <w:spacing w:after="200" w:line="276" w:lineRule="auto"/>
      </w:pPr>
    </w:p>
    <w:p w:rsidR="00BE54D2" w:rsidRDefault="00843177">
      <w:pPr>
        <w:spacing w:after="200" w:line="276" w:lineRule="auto"/>
      </w:pPr>
      <w:r>
        <w:br w:type="page"/>
      </w:r>
    </w:p>
    <w:tbl>
      <w:tblPr>
        <w:tblW w:w="9356" w:type="dxa"/>
        <w:tblLook w:val="04A0"/>
      </w:tblPr>
      <w:tblGrid>
        <w:gridCol w:w="979"/>
        <w:gridCol w:w="2528"/>
        <w:gridCol w:w="1366"/>
        <w:gridCol w:w="978"/>
        <w:gridCol w:w="571"/>
        <w:gridCol w:w="978"/>
        <w:gridCol w:w="978"/>
        <w:gridCol w:w="978"/>
      </w:tblGrid>
      <w:tr w:rsidR="00BE54D2" w:rsidRPr="00BE54D2" w:rsidTr="00A122CE">
        <w:trPr>
          <w:trHeight w:val="315"/>
        </w:trPr>
        <w:tc>
          <w:tcPr>
            <w:tcW w:w="9356" w:type="dxa"/>
            <w:gridSpan w:val="8"/>
            <w:tcBorders>
              <w:top w:val="nil"/>
              <w:left w:val="nil"/>
              <w:bottom w:val="nil"/>
              <w:right w:val="nil"/>
            </w:tcBorders>
            <w:shd w:val="clear" w:color="000000" w:fill="FFFFFF"/>
            <w:noWrap/>
            <w:vAlign w:val="bottom"/>
            <w:hideMark/>
          </w:tcPr>
          <w:p w:rsidR="00BE54D2" w:rsidRPr="00BE54D2" w:rsidRDefault="00BE54D2" w:rsidP="00BE54D2">
            <w:pPr>
              <w:jc w:val="center"/>
              <w:rPr>
                <w:rFonts w:ascii="Arial" w:hAnsi="Arial" w:cs="Arial"/>
                <w:b/>
                <w:bCs/>
                <w:szCs w:val="24"/>
                <w:lang w:eastAsia="en-AU"/>
              </w:rPr>
            </w:pPr>
            <w:bookmarkStart w:id="3" w:name="RANGE!A1:H32"/>
            <w:r w:rsidRPr="00BE54D2">
              <w:rPr>
                <w:rFonts w:ascii="Arial" w:hAnsi="Arial" w:cs="Arial"/>
                <w:b/>
                <w:bCs/>
                <w:szCs w:val="24"/>
                <w:lang w:eastAsia="en-AU"/>
              </w:rPr>
              <w:lastRenderedPageBreak/>
              <w:t>Chief Minister and Treasury Directorate</w:t>
            </w:r>
            <w:bookmarkEnd w:id="3"/>
          </w:p>
        </w:tc>
      </w:tr>
      <w:tr w:rsidR="00BE54D2" w:rsidRPr="00BE54D2" w:rsidTr="00A122CE">
        <w:trPr>
          <w:trHeight w:val="315"/>
        </w:trPr>
        <w:tc>
          <w:tcPr>
            <w:tcW w:w="9356" w:type="dxa"/>
            <w:gridSpan w:val="8"/>
            <w:tcBorders>
              <w:top w:val="nil"/>
              <w:left w:val="nil"/>
              <w:bottom w:val="nil"/>
              <w:right w:val="nil"/>
            </w:tcBorders>
            <w:shd w:val="clear" w:color="000000" w:fill="FFFFFF"/>
            <w:noWrap/>
            <w:vAlign w:val="bottom"/>
            <w:hideMark/>
          </w:tcPr>
          <w:p w:rsidR="00BE54D2" w:rsidRPr="00BE54D2" w:rsidRDefault="00BE54D2" w:rsidP="00BE54D2">
            <w:pPr>
              <w:jc w:val="center"/>
              <w:rPr>
                <w:rFonts w:ascii="Arial" w:hAnsi="Arial" w:cs="Arial"/>
                <w:b/>
                <w:bCs/>
                <w:szCs w:val="24"/>
                <w:lang w:eastAsia="en-AU"/>
              </w:rPr>
            </w:pPr>
            <w:r w:rsidRPr="00BE54D2">
              <w:rPr>
                <w:rFonts w:ascii="Arial" w:hAnsi="Arial" w:cs="Arial"/>
                <w:b/>
                <w:bCs/>
                <w:szCs w:val="24"/>
                <w:lang w:eastAsia="en-AU"/>
              </w:rPr>
              <w:t>Statement of Changes in Equity</w:t>
            </w:r>
          </w:p>
        </w:tc>
      </w:tr>
      <w:tr w:rsidR="00BE54D2" w:rsidRPr="00BE54D2" w:rsidTr="00A122CE">
        <w:trPr>
          <w:trHeight w:val="240"/>
        </w:trPr>
        <w:tc>
          <w:tcPr>
            <w:tcW w:w="979" w:type="dxa"/>
            <w:tcBorders>
              <w:top w:val="single" w:sz="4" w:space="0" w:color="auto"/>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Budget</w:t>
            </w:r>
          </w:p>
        </w:tc>
        <w:tc>
          <w:tcPr>
            <w:tcW w:w="2528" w:type="dxa"/>
            <w:tcBorders>
              <w:top w:val="single" w:sz="4" w:space="0" w:color="auto"/>
              <w:left w:val="nil"/>
              <w:bottom w:val="nil"/>
              <w:right w:val="nil"/>
            </w:tcBorders>
            <w:shd w:val="clear" w:color="000000" w:fill="FFFFFF"/>
            <w:noWrap/>
            <w:hideMark/>
          </w:tcPr>
          <w:p w:rsidR="00BE54D2" w:rsidRPr="00BE54D2" w:rsidRDefault="00BE54D2" w:rsidP="00A122CE">
            <w:pPr>
              <w:rPr>
                <w:b/>
                <w:bCs/>
                <w:sz w:val="18"/>
                <w:szCs w:val="18"/>
                <w:lang w:eastAsia="en-AU"/>
              </w:rPr>
            </w:pPr>
            <w:r w:rsidRPr="00BE54D2">
              <w:rPr>
                <w:b/>
                <w:bCs/>
                <w:sz w:val="18"/>
                <w:szCs w:val="18"/>
                <w:lang w:eastAsia="en-AU"/>
              </w:rPr>
              <w:t xml:space="preserve"> </w:t>
            </w:r>
          </w:p>
        </w:tc>
        <w:tc>
          <w:tcPr>
            <w:tcW w:w="1366" w:type="dxa"/>
            <w:tcBorders>
              <w:top w:val="single" w:sz="4" w:space="0" w:color="auto"/>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Est. Outcome</w:t>
            </w:r>
          </w:p>
        </w:tc>
        <w:tc>
          <w:tcPr>
            <w:tcW w:w="978" w:type="dxa"/>
            <w:tcBorders>
              <w:top w:val="single" w:sz="4" w:space="0" w:color="auto"/>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Budget</w:t>
            </w:r>
          </w:p>
        </w:tc>
        <w:tc>
          <w:tcPr>
            <w:tcW w:w="571" w:type="dxa"/>
            <w:tcBorders>
              <w:top w:val="single" w:sz="4" w:space="0" w:color="auto"/>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978" w:type="dxa"/>
            <w:tcBorders>
              <w:top w:val="single" w:sz="4" w:space="0" w:color="auto"/>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Estimate</w:t>
            </w:r>
          </w:p>
        </w:tc>
        <w:tc>
          <w:tcPr>
            <w:tcW w:w="978" w:type="dxa"/>
            <w:tcBorders>
              <w:top w:val="single" w:sz="4" w:space="0" w:color="auto"/>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Estimate</w:t>
            </w:r>
          </w:p>
        </w:tc>
        <w:tc>
          <w:tcPr>
            <w:tcW w:w="978" w:type="dxa"/>
            <w:tcBorders>
              <w:top w:val="single" w:sz="4" w:space="0" w:color="auto"/>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Estimate</w:t>
            </w:r>
          </w:p>
        </w:tc>
      </w:tr>
      <w:tr w:rsidR="00BE54D2" w:rsidRPr="00BE54D2" w:rsidTr="00A122CE">
        <w:trPr>
          <w:trHeight w:val="240"/>
        </w:trPr>
        <w:tc>
          <w:tcPr>
            <w:tcW w:w="979" w:type="dxa"/>
            <w:tcBorders>
              <w:top w:val="nil"/>
              <w:left w:val="nil"/>
              <w:bottom w:val="nil"/>
              <w:right w:val="nil"/>
            </w:tcBorders>
            <w:shd w:val="clear" w:color="000000" w:fill="FFFFFF"/>
            <w:hideMark/>
          </w:tcPr>
          <w:p w:rsidR="00BE54D2" w:rsidRPr="00BE54D2" w:rsidRDefault="00BE54D2" w:rsidP="00A122CE">
            <w:pPr>
              <w:jc w:val="right"/>
              <w:rPr>
                <w:b/>
                <w:bCs/>
                <w:sz w:val="16"/>
                <w:szCs w:val="16"/>
                <w:lang w:eastAsia="en-AU"/>
              </w:rPr>
            </w:pPr>
            <w:r w:rsidRPr="00BE54D2">
              <w:rPr>
                <w:b/>
                <w:bCs/>
                <w:sz w:val="16"/>
                <w:szCs w:val="16"/>
                <w:lang w:eastAsia="en-AU"/>
              </w:rPr>
              <w:t>as at 30/6/13</w:t>
            </w:r>
          </w:p>
        </w:tc>
        <w:tc>
          <w:tcPr>
            <w:tcW w:w="2528" w:type="dxa"/>
            <w:tcBorders>
              <w:top w:val="nil"/>
              <w:left w:val="nil"/>
              <w:bottom w:val="nil"/>
              <w:right w:val="nil"/>
            </w:tcBorders>
            <w:shd w:val="clear" w:color="000000" w:fill="FFFFFF"/>
            <w:noWrap/>
            <w:hideMark/>
          </w:tcPr>
          <w:p w:rsidR="00BE54D2" w:rsidRPr="00BE54D2" w:rsidRDefault="00BE54D2" w:rsidP="00A122CE">
            <w:pPr>
              <w:rPr>
                <w:b/>
                <w:bCs/>
                <w:sz w:val="16"/>
                <w:szCs w:val="16"/>
                <w:lang w:eastAsia="en-AU"/>
              </w:rPr>
            </w:pPr>
            <w:r w:rsidRPr="00BE54D2">
              <w:rPr>
                <w:b/>
                <w:bCs/>
                <w:sz w:val="16"/>
                <w:szCs w:val="16"/>
                <w:lang w:eastAsia="en-AU"/>
              </w:rPr>
              <w:t xml:space="preserve"> </w:t>
            </w:r>
          </w:p>
        </w:tc>
        <w:tc>
          <w:tcPr>
            <w:tcW w:w="1366" w:type="dxa"/>
            <w:tcBorders>
              <w:top w:val="nil"/>
              <w:left w:val="nil"/>
              <w:bottom w:val="nil"/>
              <w:right w:val="nil"/>
            </w:tcBorders>
            <w:shd w:val="clear" w:color="000000" w:fill="FFFFFF"/>
            <w:hideMark/>
          </w:tcPr>
          <w:p w:rsidR="00BE54D2" w:rsidRPr="00BE54D2" w:rsidRDefault="00BE54D2" w:rsidP="00A122CE">
            <w:pPr>
              <w:jc w:val="right"/>
              <w:rPr>
                <w:b/>
                <w:bCs/>
                <w:sz w:val="16"/>
                <w:szCs w:val="16"/>
                <w:lang w:eastAsia="en-AU"/>
              </w:rPr>
            </w:pPr>
            <w:r w:rsidRPr="00BE54D2">
              <w:rPr>
                <w:b/>
                <w:bCs/>
                <w:sz w:val="16"/>
                <w:szCs w:val="16"/>
                <w:lang w:eastAsia="en-AU"/>
              </w:rPr>
              <w:t>as at 30/6/13</w:t>
            </w:r>
          </w:p>
        </w:tc>
        <w:tc>
          <w:tcPr>
            <w:tcW w:w="978" w:type="dxa"/>
            <w:tcBorders>
              <w:top w:val="nil"/>
              <w:left w:val="nil"/>
              <w:bottom w:val="nil"/>
              <w:right w:val="nil"/>
            </w:tcBorders>
            <w:shd w:val="clear" w:color="000000" w:fill="FFFFFF"/>
            <w:hideMark/>
          </w:tcPr>
          <w:p w:rsidR="00BE54D2" w:rsidRPr="00BE54D2" w:rsidRDefault="00BE54D2" w:rsidP="00A122CE">
            <w:pPr>
              <w:jc w:val="right"/>
              <w:rPr>
                <w:b/>
                <w:bCs/>
                <w:sz w:val="16"/>
                <w:szCs w:val="16"/>
                <w:lang w:eastAsia="en-AU"/>
              </w:rPr>
            </w:pPr>
            <w:r w:rsidRPr="00BE54D2">
              <w:rPr>
                <w:b/>
                <w:bCs/>
                <w:sz w:val="16"/>
                <w:szCs w:val="16"/>
                <w:lang w:eastAsia="en-AU"/>
              </w:rPr>
              <w:t>as at 30/6/14</w:t>
            </w:r>
          </w:p>
        </w:tc>
        <w:tc>
          <w:tcPr>
            <w:tcW w:w="571" w:type="dxa"/>
            <w:tcBorders>
              <w:top w:val="nil"/>
              <w:left w:val="nil"/>
              <w:bottom w:val="nil"/>
              <w:right w:val="nil"/>
            </w:tcBorders>
            <w:shd w:val="clear" w:color="000000" w:fill="FFFFFF"/>
            <w:hideMark/>
          </w:tcPr>
          <w:p w:rsidR="00BE54D2" w:rsidRPr="00BE54D2" w:rsidRDefault="00BE54D2" w:rsidP="00A122CE">
            <w:pPr>
              <w:jc w:val="right"/>
              <w:rPr>
                <w:b/>
                <w:bCs/>
                <w:sz w:val="16"/>
                <w:szCs w:val="16"/>
                <w:lang w:eastAsia="en-AU"/>
              </w:rPr>
            </w:pPr>
            <w:proofErr w:type="spellStart"/>
            <w:r w:rsidRPr="00BE54D2">
              <w:rPr>
                <w:b/>
                <w:bCs/>
                <w:sz w:val="16"/>
                <w:szCs w:val="16"/>
                <w:lang w:eastAsia="en-AU"/>
              </w:rPr>
              <w:t>Var</w:t>
            </w:r>
            <w:proofErr w:type="spellEnd"/>
          </w:p>
        </w:tc>
        <w:tc>
          <w:tcPr>
            <w:tcW w:w="978" w:type="dxa"/>
            <w:tcBorders>
              <w:top w:val="nil"/>
              <w:left w:val="nil"/>
              <w:bottom w:val="nil"/>
              <w:right w:val="nil"/>
            </w:tcBorders>
            <w:shd w:val="clear" w:color="000000" w:fill="FFFFFF"/>
            <w:hideMark/>
          </w:tcPr>
          <w:p w:rsidR="00BE54D2" w:rsidRPr="00BE54D2" w:rsidRDefault="00BE54D2" w:rsidP="00A122CE">
            <w:pPr>
              <w:jc w:val="right"/>
              <w:rPr>
                <w:b/>
                <w:bCs/>
                <w:sz w:val="16"/>
                <w:szCs w:val="16"/>
                <w:lang w:eastAsia="en-AU"/>
              </w:rPr>
            </w:pPr>
            <w:r w:rsidRPr="00BE54D2">
              <w:rPr>
                <w:b/>
                <w:bCs/>
                <w:sz w:val="16"/>
                <w:szCs w:val="16"/>
                <w:lang w:eastAsia="en-AU"/>
              </w:rPr>
              <w:t>as at 30/6/15</w:t>
            </w:r>
          </w:p>
        </w:tc>
        <w:tc>
          <w:tcPr>
            <w:tcW w:w="978" w:type="dxa"/>
            <w:tcBorders>
              <w:top w:val="nil"/>
              <w:left w:val="nil"/>
              <w:bottom w:val="nil"/>
              <w:right w:val="nil"/>
            </w:tcBorders>
            <w:shd w:val="clear" w:color="000000" w:fill="FFFFFF"/>
            <w:hideMark/>
          </w:tcPr>
          <w:p w:rsidR="00BE54D2" w:rsidRPr="00BE54D2" w:rsidRDefault="00BE54D2" w:rsidP="00A122CE">
            <w:pPr>
              <w:jc w:val="right"/>
              <w:rPr>
                <w:b/>
                <w:bCs/>
                <w:sz w:val="16"/>
                <w:szCs w:val="16"/>
                <w:lang w:eastAsia="en-AU"/>
              </w:rPr>
            </w:pPr>
            <w:r w:rsidRPr="00BE54D2">
              <w:rPr>
                <w:b/>
                <w:bCs/>
                <w:sz w:val="16"/>
                <w:szCs w:val="16"/>
                <w:lang w:eastAsia="en-AU"/>
              </w:rPr>
              <w:t>as at 30/6/16</w:t>
            </w:r>
          </w:p>
        </w:tc>
        <w:tc>
          <w:tcPr>
            <w:tcW w:w="978" w:type="dxa"/>
            <w:tcBorders>
              <w:top w:val="nil"/>
              <w:left w:val="nil"/>
              <w:bottom w:val="nil"/>
              <w:right w:val="nil"/>
            </w:tcBorders>
            <w:shd w:val="clear" w:color="000000" w:fill="FFFFFF"/>
            <w:hideMark/>
          </w:tcPr>
          <w:p w:rsidR="00BE54D2" w:rsidRPr="00BE54D2" w:rsidRDefault="00BE54D2" w:rsidP="00A122CE">
            <w:pPr>
              <w:jc w:val="right"/>
              <w:rPr>
                <w:b/>
                <w:bCs/>
                <w:sz w:val="16"/>
                <w:szCs w:val="16"/>
                <w:lang w:eastAsia="en-AU"/>
              </w:rPr>
            </w:pPr>
            <w:r w:rsidRPr="00BE54D2">
              <w:rPr>
                <w:b/>
                <w:bCs/>
                <w:sz w:val="16"/>
                <w:szCs w:val="16"/>
                <w:lang w:eastAsia="en-AU"/>
              </w:rPr>
              <w:t>as at 30/6/17</w:t>
            </w:r>
          </w:p>
        </w:tc>
      </w:tr>
      <w:tr w:rsidR="00BE54D2" w:rsidRPr="00BE54D2" w:rsidTr="00A122CE">
        <w:trPr>
          <w:trHeight w:val="240"/>
        </w:trPr>
        <w:tc>
          <w:tcPr>
            <w:tcW w:w="979" w:type="dxa"/>
            <w:tcBorders>
              <w:top w:val="nil"/>
              <w:left w:val="nil"/>
              <w:bottom w:val="single" w:sz="4" w:space="0" w:color="auto"/>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$'000</w:t>
            </w:r>
          </w:p>
        </w:tc>
        <w:tc>
          <w:tcPr>
            <w:tcW w:w="2528" w:type="dxa"/>
            <w:tcBorders>
              <w:top w:val="nil"/>
              <w:left w:val="nil"/>
              <w:bottom w:val="single" w:sz="4" w:space="0" w:color="auto"/>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 xml:space="preserve"> </w:t>
            </w:r>
          </w:p>
        </w:tc>
        <w:tc>
          <w:tcPr>
            <w:tcW w:w="1366" w:type="dxa"/>
            <w:tcBorders>
              <w:top w:val="nil"/>
              <w:left w:val="nil"/>
              <w:bottom w:val="single" w:sz="4" w:space="0" w:color="auto"/>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$'000</w:t>
            </w:r>
          </w:p>
        </w:tc>
        <w:tc>
          <w:tcPr>
            <w:tcW w:w="978" w:type="dxa"/>
            <w:tcBorders>
              <w:top w:val="nil"/>
              <w:left w:val="nil"/>
              <w:bottom w:val="single" w:sz="4" w:space="0" w:color="auto"/>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$'000</w:t>
            </w:r>
          </w:p>
        </w:tc>
        <w:tc>
          <w:tcPr>
            <w:tcW w:w="571" w:type="dxa"/>
            <w:tcBorders>
              <w:top w:val="nil"/>
              <w:left w:val="nil"/>
              <w:bottom w:val="single" w:sz="4" w:space="0" w:color="auto"/>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w:t>
            </w:r>
          </w:p>
        </w:tc>
        <w:tc>
          <w:tcPr>
            <w:tcW w:w="978" w:type="dxa"/>
            <w:tcBorders>
              <w:top w:val="nil"/>
              <w:left w:val="nil"/>
              <w:bottom w:val="single" w:sz="4" w:space="0" w:color="auto"/>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$'000</w:t>
            </w:r>
          </w:p>
        </w:tc>
        <w:tc>
          <w:tcPr>
            <w:tcW w:w="978" w:type="dxa"/>
            <w:tcBorders>
              <w:top w:val="nil"/>
              <w:left w:val="nil"/>
              <w:bottom w:val="single" w:sz="4" w:space="0" w:color="auto"/>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$'000</w:t>
            </w:r>
          </w:p>
        </w:tc>
        <w:tc>
          <w:tcPr>
            <w:tcW w:w="978" w:type="dxa"/>
            <w:tcBorders>
              <w:top w:val="nil"/>
              <w:left w:val="nil"/>
              <w:bottom w:val="single" w:sz="4" w:space="0" w:color="auto"/>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$'000</w:t>
            </w:r>
          </w:p>
        </w:tc>
      </w:tr>
      <w:tr w:rsidR="00BE54D2" w:rsidRPr="00BE54D2" w:rsidTr="00A122CE">
        <w:trPr>
          <w:trHeight w:hRule="exact" w:val="57"/>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 </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r>
      <w:tr w:rsidR="00BE54D2" w:rsidRPr="00BE54D2" w:rsidTr="00A122CE">
        <w:trPr>
          <w:trHeight w:hRule="exact" w:val="227"/>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b/>
                <w:bCs/>
                <w:sz w:val="18"/>
                <w:szCs w:val="18"/>
                <w:lang w:eastAsia="en-AU"/>
              </w:rPr>
            </w:pPr>
            <w:r w:rsidRPr="00BE54D2">
              <w:rPr>
                <w:b/>
                <w:bCs/>
                <w:sz w:val="18"/>
                <w:szCs w:val="18"/>
                <w:lang w:eastAsia="en-AU"/>
              </w:rPr>
              <w:t>Opening Equity</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r>
      <w:tr w:rsidR="00BE54D2" w:rsidRPr="00BE54D2" w:rsidTr="00A122CE">
        <w:trPr>
          <w:trHeight w:hRule="exact" w:val="113"/>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 </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r>
      <w:tr w:rsidR="00BE54D2" w:rsidRPr="00BE54D2" w:rsidTr="00A122CE">
        <w:trPr>
          <w:trHeight w:hRule="exact" w:val="227"/>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-1,332</w:t>
            </w:r>
          </w:p>
        </w:tc>
        <w:tc>
          <w:tcPr>
            <w:tcW w:w="2528" w:type="dxa"/>
            <w:tcBorders>
              <w:top w:val="nil"/>
              <w:left w:val="nil"/>
              <w:bottom w:val="nil"/>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Opening Accumulated Funds</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-1,869</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-3,496</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xml:space="preserve">-87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1,829</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-914</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-3,651</w:t>
            </w:r>
          </w:p>
        </w:tc>
      </w:tr>
      <w:tr w:rsidR="00BE54D2" w:rsidRPr="00BE54D2" w:rsidTr="00A122CE">
        <w:trPr>
          <w:trHeight w:hRule="exact" w:val="113"/>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 </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r>
      <w:tr w:rsidR="00BE54D2" w:rsidRPr="00BE54D2" w:rsidTr="00A122CE">
        <w:trPr>
          <w:trHeight w:val="480"/>
        </w:trPr>
        <w:tc>
          <w:tcPr>
            <w:tcW w:w="979"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-1,332</w:t>
            </w:r>
          </w:p>
        </w:tc>
        <w:tc>
          <w:tcPr>
            <w:tcW w:w="2528" w:type="dxa"/>
            <w:tcBorders>
              <w:top w:val="nil"/>
              <w:left w:val="nil"/>
              <w:bottom w:val="nil"/>
              <w:right w:val="nil"/>
            </w:tcBorders>
            <w:shd w:val="clear" w:color="000000" w:fill="FFFFFF"/>
            <w:hideMark/>
          </w:tcPr>
          <w:p w:rsidR="00BE54D2" w:rsidRPr="00BE54D2" w:rsidRDefault="00BE54D2" w:rsidP="00A122CE">
            <w:pPr>
              <w:rPr>
                <w:b/>
                <w:bCs/>
                <w:sz w:val="18"/>
                <w:szCs w:val="18"/>
                <w:lang w:eastAsia="en-AU"/>
              </w:rPr>
            </w:pPr>
            <w:r w:rsidRPr="00BE54D2">
              <w:rPr>
                <w:b/>
                <w:bCs/>
                <w:sz w:val="18"/>
                <w:szCs w:val="18"/>
                <w:lang w:eastAsia="en-AU"/>
              </w:rPr>
              <w:t>Balance at the Start of the</w:t>
            </w:r>
            <w:r w:rsidRPr="00BE54D2">
              <w:rPr>
                <w:b/>
                <w:bCs/>
                <w:sz w:val="18"/>
                <w:szCs w:val="18"/>
                <w:lang w:eastAsia="en-AU"/>
              </w:rPr>
              <w:br/>
              <w:t xml:space="preserve">   Reporting Period</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-1,869</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-3,496</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xml:space="preserve">-87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1,829</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-914</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-3,651</w:t>
            </w:r>
          </w:p>
        </w:tc>
      </w:tr>
      <w:tr w:rsidR="00BE54D2" w:rsidRPr="00BE54D2" w:rsidTr="00A122CE">
        <w:trPr>
          <w:trHeight w:hRule="exact" w:val="113"/>
        </w:trPr>
        <w:tc>
          <w:tcPr>
            <w:tcW w:w="979"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 </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r>
      <w:tr w:rsidR="00BE54D2" w:rsidRPr="00BE54D2" w:rsidTr="00A122CE">
        <w:trPr>
          <w:trHeight w:hRule="exact" w:val="227"/>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b/>
                <w:bCs/>
                <w:sz w:val="18"/>
                <w:szCs w:val="18"/>
                <w:lang w:eastAsia="en-AU"/>
              </w:rPr>
            </w:pPr>
            <w:r w:rsidRPr="00BE54D2">
              <w:rPr>
                <w:b/>
                <w:bCs/>
                <w:sz w:val="18"/>
                <w:szCs w:val="18"/>
                <w:lang w:eastAsia="en-AU"/>
              </w:rPr>
              <w:t>Comprehensive Income</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r>
      <w:tr w:rsidR="00BE54D2" w:rsidRPr="00BE54D2" w:rsidTr="00A122CE">
        <w:trPr>
          <w:trHeight w:hRule="exact" w:val="113"/>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b/>
                <w:bCs/>
                <w:sz w:val="18"/>
                <w:szCs w:val="18"/>
                <w:lang w:eastAsia="en-AU"/>
              </w:rPr>
            </w:pPr>
            <w:r w:rsidRPr="00BE54D2">
              <w:rPr>
                <w:b/>
                <w:bCs/>
                <w:sz w:val="18"/>
                <w:szCs w:val="18"/>
                <w:lang w:eastAsia="en-AU"/>
              </w:rPr>
              <w:t> </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r>
      <w:tr w:rsidR="00BE54D2" w:rsidRPr="00BE54D2" w:rsidTr="00A122CE">
        <w:trPr>
          <w:trHeight w:val="480"/>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-484</w:t>
            </w:r>
          </w:p>
        </w:tc>
        <w:tc>
          <w:tcPr>
            <w:tcW w:w="2528" w:type="dxa"/>
            <w:tcBorders>
              <w:top w:val="nil"/>
              <w:left w:val="nil"/>
              <w:bottom w:val="nil"/>
              <w:right w:val="nil"/>
            </w:tcBorders>
            <w:shd w:val="clear" w:color="000000" w:fill="FFFFFF"/>
            <w:hideMark/>
          </w:tcPr>
          <w:p w:rsidR="00BE54D2" w:rsidRPr="00BE54D2" w:rsidRDefault="00BE54D2" w:rsidP="00A122CE">
            <w:pPr>
              <w:rPr>
                <w:sz w:val="18"/>
                <w:szCs w:val="18"/>
                <w:lang w:eastAsia="en-AU"/>
              </w:rPr>
            </w:pPr>
            <w:r w:rsidRPr="00BE54D2">
              <w:rPr>
                <w:sz w:val="18"/>
                <w:szCs w:val="18"/>
                <w:lang w:eastAsia="en-AU"/>
              </w:rPr>
              <w:t>Operating Result for the</w:t>
            </w:r>
            <w:r w:rsidRPr="00BE54D2">
              <w:rPr>
                <w:sz w:val="18"/>
                <w:szCs w:val="18"/>
                <w:lang w:eastAsia="en-AU"/>
              </w:rPr>
              <w:br/>
              <w:t xml:space="preserve">   Period</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186</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3,724</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xml:space="preserve">#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-2,743</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-2,737</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-1,765</w:t>
            </w:r>
          </w:p>
        </w:tc>
      </w:tr>
      <w:tr w:rsidR="00BE54D2" w:rsidRPr="00BE54D2" w:rsidTr="00A122CE">
        <w:trPr>
          <w:trHeight w:hRule="exact" w:val="113"/>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 </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rFonts w:ascii="Arial" w:hAnsi="Arial" w:cs="Arial"/>
                <w:sz w:val="16"/>
                <w:szCs w:val="16"/>
                <w:lang w:eastAsia="en-AU"/>
              </w:rPr>
            </w:pPr>
            <w:r w:rsidRPr="00BE54D2">
              <w:rPr>
                <w:rFonts w:ascii="Arial" w:hAnsi="Arial" w:cs="Arial"/>
                <w:sz w:val="16"/>
                <w:szCs w:val="16"/>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r>
      <w:tr w:rsidR="00BE54D2" w:rsidRPr="00BE54D2" w:rsidTr="00A122CE">
        <w:trPr>
          <w:trHeight w:val="480"/>
        </w:trPr>
        <w:tc>
          <w:tcPr>
            <w:tcW w:w="979"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-484</w:t>
            </w:r>
          </w:p>
        </w:tc>
        <w:tc>
          <w:tcPr>
            <w:tcW w:w="2528" w:type="dxa"/>
            <w:tcBorders>
              <w:top w:val="nil"/>
              <w:left w:val="nil"/>
              <w:bottom w:val="nil"/>
              <w:right w:val="nil"/>
            </w:tcBorders>
            <w:shd w:val="clear" w:color="000000" w:fill="FFFFFF"/>
            <w:hideMark/>
          </w:tcPr>
          <w:p w:rsidR="00BE54D2" w:rsidRPr="00BE54D2" w:rsidRDefault="00BE54D2" w:rsidP="00A122CE">
            <w:pPr>
              <w:rPr>
                <w:b/>
                <w:bCs/>
                <w:sz w:val="18"/>
                <w:szCs w:val="18"/>
                <w:lang w:eastAsia="en-AU"/>
              </w:rPr>
            </w:pPr>
            <w:r w:rsidRPr="00BE54D2">
              <w:rPr>
                <w:b/>
                <w:bCs/>
                <w:sz w:val="18"/>
                <w:szCs w:val="18"/>
                <w:lang w:eastAsia="en-AU"/>
              </w:rPr>
              <w:t>Total Comprehensive</w:t>
            </w:r>
            <w:r w:rsidRPr="00BE54D2">
              <w:rPr>
                <w:b/>
                <w:bCs/>
                <w:sz w:val="18"/>
                <w:szCs w:val="18"/>
                <w:lang w:eastAsia="en-AU"/>
              </w:rPr>
              <w:br/>
              <w:t xml:space="preserve">   Income</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186</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3,724</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xml:space="preserve">#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-2,743</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-2,737</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-1,765</w:t>
            </w:r>
          </w:p>
        </w:tc>
      </w:tr>
      <w:tr w:rsidR="00BE54D2" w:rsidRPr="00BE54D2" w:rsidTr="00A122CE">
        <w:trPr>
          <w:trHeight w:hRule="exact" w:val="113"/>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 </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r>
      <w:tr w:rsidR="00BE54D2" w:rsidRPr="00BE54D2" w:rsidTr="00A122CE">
        <w:trPr>
          <w:trHeight w:hRule="exact" w:val="227"/>
        </w:trPr>
        <w:tc>
          <w:tcPr>
            <w:tcW w:w="979"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w:t>
            </w:r>
          </w:p>
        </w:tc>
        <w:tc>
          <w:tcPr>
            <w:tcW w:w="2528" w:type="dxa"/>
            <w:tcBorders>
              <w:top w:val="nil"/>
              <w:left w:val="nil"/>
              <w:bottom w:val="nil"/>
              <w:right w:val="nil"/>
            </w:tcBorders>
            <w:shd w:val="clear" w:color="000000" w:fill="FFFFFF"/>
            <w:noWrap/>
            <w:hideMark/>
          </w:tcPr>
          <w:p w:rsidR="00BE54D2" w:rsidRPr="00BE54D2" w:rsidRDefault="00BE54D2" w:rsidP="00A122CE">
            <w:pPr>
              <w:rPr>
                <w:b/>
                <w:bCs/>
                <w:sz w:val="18"/>
                <w:szCs w:val="18"/>
                <w:lang w:eastAsia="en-AU"/>
              </w:rPr>
            </w:pPr>
            <w:r w:rsidRPr="00BE54D2">
              <w:rPr>
                <w:b/>
                <w:bCs/>
                <w:sz w:val="18"/>
                <w:szCs w:val="18"/>
                <w:lang w:eastAsia="en-AU"/>
              </w:rPr>
              <w:t>Total Movement in Reserves</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xml:space="preserve">-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w:t>
            </w:r>
          </w:p>
        </w:tc>
      </w:tr>
      <w:tr w:rsidR="00BE54D2" w:rsidRPr="00BE54D2" w:rsidTr="00A122CE">
        <w:trPr>
          <w:trHeight w:hRule="exact" w:val="113"/>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 </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r>
      <w:tr w:rsidR="00A122CE" w:rsidRPr="00BE54D2" w:rsidTr="00A122CE">
        <w:trPr>
          <w:trHeight w:val="616"/>
        </w:trPr>
        <w:tc>
          <w:tcPr>
            <w:tcW w:w="979" w:type="dxa"/>
            <w:tcBorders>
              <w:top w:val="nil"/>
              <w:left w:val="nil"/>
              <w:bottom w:val="nil"/>
              <w:right w:val="nil"/>
            </w:tcBorders>
            <w:shd w:val="clear" w:color="000000" w:fill="FFFFFF"/>
            <w:noWrap/>
            <w:hideMark/>
          </w:tcPr>
          <w:p w:rsidR="00A122CE" w:rsidRPr="00BE54D2" w:rsidRDefault="00A122CE" w:rsidP="00A122CE">
            <w:pPr>
              <w:jc w:val="right"/>
              <w:rPr>
                <w:sz w:val="18"/>
                <w:szCs w:val="18"/>
                <w:lang w:eastAsia="en-AU"/>
              </w:rPr>
            </w:pPr>
            <w:r w:rsidRPr="00BE54D2">
              <w:rPr>
                <w:sz w:val="18"/>
                <w:szCs w:val="18"/>
                <w:lang w:eastAsia="en-AU"/>
              </w:rPr>
              <w:t> </w:t>
            </w:r>
          </w:p>
        </w:tc>
        <w:tc>
          <w:tcPr>
            <w:tcW w:w="3894" w:type="dxa"/>
            <w:gridSpan w:val="2"/>
            <w:tcBorders>
              <w:top w:val="nil"/>
              <w:left w:val="nil"/>
              <w:bottom w:val="nil"/>
              <w:right w:val="nil"/>
            </w:tcBorders>
            <w:shd w:val="clear" w:color="000000" w:fill="FFFFFF"/>
            <w:hideMark/>
          </w:tcPr>
          <w:p w:rsidR="00340970" w:rsidRDefault="00A122CE" w:rsidP="00340970">
            <w:pPr>
              <w:ind w:left="142" w:hanging="142"/>
              <w:rPr>
                <w:b/>
                <w:bCs/>
                <w:sz w:val="18"/>
                <w:szCs w:val="18"/>
                <w:lang w:eastAsia="en-AU"/>
              </w:rPr>
            </w:pPr>
            <w:r w:rsidRPr="00BE54D2">
              <w:rPr>
                <w:b/>
                <w:bCs/>
                <w:sz w:val="18"/>
                <w:szCs w:val="18"/>
                <w:lang w:eastAsia="en-AU"/>
              </w:rPr>
              <w:t>Transactions Involving</w:t>
            </w:r>
            <w:r>
              <w:rPr>
                <w:b/>
                <w:bCs/>
                <w:sz w:val="18"/>
                <w:szCs w:val="18"/>
                <w:lang w:eastAsia="en-AU"/>
              </w:rPr>
              <w:t xml:space="preserve"> Owners</w:t>
            </w:r>
          </w:p>
          <w:p w:rsidR="00A122CE" w:rsidRPr="00BE54D2" w:rsidRDefault="00340970" w:rsidP="00340970">
            <w:pPr>
              <w:ind w:left="142" w:hanging="142"/>
              <w:rPr>
                <w:sz w:val="18"/>
                <w:szCs w:val="18"/>
                <w:lang w:eastAsia="en-AU"/>
              </w:rPr>
            </w:pPr>
            <w:r>
              <w:rPr>
                <w:b/>
                <w:bCs/>
                <w:sz w:val="18"/>
                <w:szCs w:val="18"/>
                <w:lang w:eastAsia="en-AU"/>
              </w:rPr>
              <w:t xml:space="preserve">   </w:t>
            </w:r>
            <w:r w:rsidR="00A122CE" w:rsidRPr="00BE54D2">
              <w:rPr>
                <w:b/>
                <w:bCs/>
                <w:sz w:val="18"/>
                <w:szCs w:val="18"/>
                <w:lang w:eastAsia="en-AU"/>
              </w:rPr>
              <w:t>Affecting Accumulated Funds</w:t>
            </w:r>
          </w:p>
        </w:tc>
        <w:tc>
          <w:tcPr>
            <w:tcW w:w="978" w:type="dxa"/>
            <w:tcBorders>
              <w:top w:val="nil"/>
              <w:left w:val="nil"/>
              <w:bottom w:val="nil"/>
              <w:right w:val="nil"/>
            </w:tcBorders>
            <w:shd w:val="clear" w:color="000000" w:fill="FFFFFF"/>
            <w:noWrap/>
            <w:hideMark/>
          </w:tcPr>
          <w:p w:rsidR="00A122CE" w:rsidRPr="00BE54D2" w:rsidRDefault="00A122CE" w:rsidP="00A122CE">
            <w:pPr>
              <w:jc w:val="right"/>
              <w:rPr>
                <w:sz w:val="18"/>
                <w:szCs w:val="18"/>
                <w:lang w:eastAsia="en-AU"/>
              </w:rPr>
            </w:pPr>
            <w:r w:rsidRPr="00BE54D2">
              <w:rPr>
                <w:sz w:val="18"/>
                <w:szCs w:val="18"/>
                <w:lang w:eastAsia="en-AU"/>
              </w:rPr>
              <w:t> </w:t>
            </w:r>
          </w:p>
        </w:tc>
        <w:tc>
          <w:tcPr>
            <w:tcW w:w="571" w:type="dxa"/>
            <w:tcBorders>
              <w:top w:val="nil"/>
              <w:left w:val="nil"/>
              <w:bottom w:val="nil"/>
              <w:right w:val="nil"/>
            </w:tcBorders>
            <w:shd w:val="clear" w:color="000000" w:fill="FFFFFF"/>
            <w:noWrap/>
            <w:hideMark/>
          </w:tcPr>
          <w:p w:rsidR="00A122CE" w:rsidRPr="00BE54D2" w:rsidRDefault="00A122CE"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A122CE" w:rsidRPr="00BE54D2" w:rsidRDefault="00A122CE"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A122CE" w:rsidRPr="00BE54D2" w:rsidRDefault="00A122CE"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A122CE" w:rsidRPr="00BE54D2" w:rsidRDefault="00A122CE" w:rsidP="00A122CE">
            <w:pPr>
              <w:jc w:val="right"/>
              <w:rPr>
                <w:sz w:val="18"/>
                <w:szCs w:val="18"/>
                <w:lang w:eastAsia="en-AU"/>
              </w:rPr>
            </w:pPr>
            <w:r w:rsidRPr="00BE54D2">
              <w:rPr>
                <w:sz w:val="18"/>
                <w:szCs w:val="18"/>
                <w:lang w:eastAsia="en-AU"/>
              </w:rPr>
              <w:t> </w:t>
            </w:r>
          </w:p>
        </w:tc>
      </w:tr>
      <w:tr w:rsidR="00BE54D2" w:rsidRPr="00BE54D2" w:rsidTr="00A122CE">
        <w:trPr>
          <w:trHeight w:val="240"/>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2,946</w:t>
            </w:r>
          </w:p>
        </w:tc>
        <w:tc>
          <w:tcPr>
            <w:tcW w:w="2528" w:type="dxa"/>
            <w:tcBorders>
              <w:top w:val="nil"/>
              <w:left w:val="nil"/>
              <w:bottom w:val="nil"/>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Capital Injections</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1,725</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1,601</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xml:space="preserve">-7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0</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0</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0</w:t>
            </w:r>
          </w:p>
        </w:tc>
      </w:tr>
      <w:tr w:rsidR="00BE54D2" w:rsidRPr="00BE54D2" w:rsidTr="00A122CE">
        <w:trPr>
          <w:trHeight w:val="480"/>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-364</w:t>
            </w:r>
          </w:p>
        </w:tc>
        <w:tc>
          <w:tcPr>
            <w:tcW w:w="2528" w:type="dxa"/>
            <w:tcBorders>
              <w:top w:val="nil"/>
              <w:left w:val="nil"/>
              <w:bottom w:val="nil"/>
              <w:right w:val="nil"/>
            </w:tcBorders>
            <w:shd w:val="clear" w:color="000000" w:fill="FFFFFF"/>
            <w:hideMark/>
          </w:tcPr>
          <w:p w:rsidR="00BE54D2" w:rsidRPr="00BE54D2" w:rsidRDefault="00BE54D2" w:rsidP="00A122CE">
            <w:pPr>
              <w:rPr>
                <w:sz w:val="18"/>
                <w:szCs w:val="18"/>
                <w:lang w:eastAsia="en-AU"/>
              </w:rPr>
            </w:pPr>
            <w:r w:rsidRPr="00BE54D2">
              <w:rPr>
                <w:sz w:val="18"/>
                <w:szCs w:val="18"/>
                <w:lang w:eastAsia="en-AU"/>
              </w:rPr>
              <w:t>Inc/Dec in Net Assets due to</w:t>
            </w:r>
            <w:r w:rsidRPr="00BE54D2">
              <w:rPr>
                <w:sz w:val="18"/>
                <w:szCs w:val="18"/>
                <w:lang w:eastAsia="en-AU"/>
              </w:rPr>
              <w:br/>
              <w:t xml:space="preserve">   Admin Restructure</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-3,538</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0</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xml:space="preserve">100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0</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0</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0</w:t>
            </w:r>
          </w:p>
        </w:tc>
      </w:tr>
      <w:tr w:rsidR="00BE54D2" w:rsidRPr="00BE54D2" w:rsidTr="00A122CE">
        <w:trPr>
          <w:trHeight w:hRule="exact" w:val="113"/>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 </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r>
      <w:tr w:rsidR="00BE54D2" w:rsidRPr="00BE54D2" w:rsidTr="00A122CE">
        <w:trPr>
          <w:trHeight w:val="720"/>
        </w:trPr>
        <w:tc>
          <w:tcPr>
            <w:tcW w:w="979"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2,582</w:t>
            </w:r>
          </w:p>
        </w:tc>
        <w:tc>
          <w:tcPr>
            <w:tcW w:w="2528" w:type="dxa"/>
            <w:tcBorders>
              <w:top w:val="nil"/>
              <w:left w:val="nil"/>
              <w:bottom w:val="nil"/>
              <w:right w:val="nil"/>
            </w:tcBorders>
            <w:shd w:val="clear" w:color="000000" w:fill="FFFFFF"/>
            <w:hideMark/>
          </w:tcPr>
          <w:p w:rsidR="00BE54D2" w:rsidRPr="00BE54D2" w:rsidRDefault="00BE54D2" w:rsidP="00A122CE">
            <w:pPr>
              <w:rPr>
                <w:b/>
                <w:bCs/>
                <w:sz w:val="18"/>
                <w:szCs w:val="18"/>
                <w:lang w:eastAsia="en-AU"/>
              </w:rPr>
            </w:pPr>
            <w:r w:rsidRPr="00BE54D2">
              <w:rPr>
                <w:b/>
                <w:bCs/>
                <w:sz w:val="18"/>
                <w:szCs w:val="18"/>
                <w:lang w:eastAsia="en-AU"/>
              </w:rPr>
              <w:t>Total Transactions Involving</w:t>
            </w:r>
            <w:r w:rsidRPr="00BE54D2">
              <w:rPr>
                <w:b/>
                <w:bCs/>
                <w:sz w:val="18"/>
                <w:szCs w:val="18"/>
                <w:lang w:eastAsia="en-AU"/>
              </w:rPr>
              <w:br/>
              <w:t xml:space="preserve">   Owners Affecting</w:t>
            </w:r>
            <w:r w:rsidRPr="00BE54D2">
              <w:rPr>
                <w:b/>
                <w:bCs/>
                <w:sz w:val="18"/>
                <w:szCs w:val="18"/>
                <w:lang w:eastAsia="en-AU"/>
              </w:rPr>
              <w:br/>
              <w:t xml:space="preserve">   Accumulated Funds</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-1,813</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1,601</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xml:space="preserve">188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0</w:t>
            </w:r>
          </w:p>
        </w:tc>
      </w:tr>
      <w:tr w:rsidR="00BE54D2" w:rsidRPr="00BE54D2" w:rsidTr="00A122CE">
        <w:trPr>
          <w:trHeight w:val="113"/>
        </w:trPr>
        <w:tc>
          <w:tcPr>
            <w:tcW w:w="979"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 </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r>
      <w:tr w:rsidR="00BE54D2" w:rsidRPr="00BE54D2" w:rsidTr="00A122CE">
        <w:trPr>
          <w:trHeight w:val="240"/>
        </w:trPr>
        <w:tc>
          <w:tcPr>
            <w:tcW w:w="979"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b/>
                <w:bCs/>
                <w:sz w:val="18"/>
                <w:szCs w:val="18"/>
                <w:lang w:eastAsia="en-AU"/>
              </w:rPr>
            </w:pPr>
            <w:r w:rsidRPr="00BE54D2">
              <w:rPr>
                <w:b/>
                <w:bCs/>
                <w:sz w:val="18"/>
                <w:szCs w:val="18"/>
                <w:lang w:eastAsia="en-AU"/>
              </w:rPr>
              <w:t>Closing Equity</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r>
      <w:tr w:rsidR="00BE54D2" w:rsidRPr="00BE54D2" w:rsidTr="00A122CE">
        <w:trPr>
          <w:trHeight w:hRule="exact" w:val="113"/>
        </w:trPr>
        <w:tc>
          <w:tcPr>
            <w:tcW w:w="979"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 </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w:t>
            </w:r>
          </w:p>
        </w:tc>
      </w:tr>
      <w:tr w:rsidR="00BE54D2" w:rsidRPr="00BE54D2" w:rsidTr="00A122CE">
        <w:trPr>
          <w:trHeight w:val="240"/>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766</w:t>
            </w:r>
          </w:p>
        </w:tc>
        <w:tc>
          <w:tcPr>
            <w:tcW w:w="2528" w:type="dxa"/>
            <w:tcBorders>
              <w:top w:val="nil"/>
              <w:left w:val="nil"/>
              <w:bottom w:val="nil"/>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Closing Accumulated Funds</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-3,496</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1,829</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xml:space="preserve">152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-914</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-3,651</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-5,416</w:t>
            </w:r>
          </w:p>
        </w:tc>
      </w:tr>
      <w:tr w:rsidR="00BE54D2" w:rsidRPr="00BE54D2" w:rsidTr="00A122CE">
        <w:trPr>
          <w:trHeight w:hRule="exact" w:val="113"/>
        </w:trPr>
        <w:tc>
          <w:tcPr>
            <w:tcW w:w="979"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2528" w:type="dxa"/>
            <w:tcBorders>
              <w:top w:val="nil"/>
              <w:left w:val="nil"/>
              <w:bottom w:val="nil"/>
              <w:right w:val="nil"/>
            </w:tcBorders>
            <w:shd w:val="clear" w:color="000000" w:fill="FFFFFF"/>
            <w:noWrap/>
            <w:hideMark/>
          </w:tcPr>
          <w:p w:rsidR="00BE54D2" w:rsidRPr="00BE54D2" w:rsidRDefault="00BE54D2" w:rsidP="00A122CE">
            <w:pPr>
              <w:rPr>
                <w:sz w:val="18"/>
                <w:szCs w:val="18"/>
                <w:lang w:eastAsia="en-AU"/>
              </w:rPr>
            </w:pPr>
            <w:r w:rsidRPr="00BE54D2">
              <w:rPr>
                <w:sz w:val="18"/>
                <w:szCs w:val="18"/>
                <w:lang w:eastAsia="en-AU"/>
              </w:rPr>
              <w:t> </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sz w:val="18"/>
                <w:szCs w:val="18"/>
                <w:lang w:eastAsia="en-AU"/>
              </w:rPr>
            </w:pPr>
            <w:r w:rsidRPr="00BE54D2">
              <w:rPr>
                <w:sz w:val="18"/>
                <w:szCs w:val="18"/>
                <w:lang w:eastAsia="en-AU"/>
              </w:rPr>
              <w:t> </w:t>
            </w:r>
          </w:p>
        </w:tc>
      </w:tr>
      <w:tr w:rsidR="00BE54D2" w:rsidRPr="00BE54D2" w:rsidTr="00A122CE">
        <w:trPr>
          <w:trHeight w:val="480"/>
        </w:trPr>
        <w:tc>
          <w:tcPr>
            <w:tcW w:w="979"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766</w:t>
            </w:r>
          </w:p>
        </w:tc>
        <w:tc>
          <w:tcPr>
            <w:tcW w:w="2528" w:type="dxa"/>
            <w:tcBorders>
              <w:top w:val="nil"/>
              <w:left w:val="nil"/>
              <w:bottom w:val="nil"/>
              <w:right w:val="nil"/>
            </w:tcBorders>
            <w:shd w:val="clear" w:color="000000" w:fill="FFFFFF"/>
            <w:hideMark/>
          </w:tcPr>
          <w:p w:rsidR="00BE54D2" w:rsidRPr="00BE54D2" w:rsidRDefault="00BE54D2" w:rsidP="00A122CE">
            <w:pPr>
              <w:rPr>
                <w:b/>
                <w:bCs/>
                <w:sz w:val="18"/>
                <w:szCs w:val="18"/>
                <w:lang w:eastAsia="en-AU"/>
              </w:rPr>
            </w:pPr>
            <w:r w:rsidRPr="00BE54D2">
              <w:rPr>
                <w:b/>
                <w:bCs/>
                <w:sz w:val="18"/>
                <w:szCs w:val="18"/>
                <w:lang w:eastAsia="en-AU"/>
              </w:rPr>
              <w:t>Balance at the End of the</w:t>
            </w:r>
            <w:r w:rsidRPr="00BE54D2">
              <w:rPr>
                <w:b/>
                <w:bCs/>
                <w:sz w:val="18"/>
                <w:szCs w:val="18"/>
                <w:lang w:eastAsia="en-AU"/>
              </w:rPr>
              <w:br/>
              <w:t xml:space="preserve">   Reporting Period</w:t>
            </w:r>
          </w:p>
        </w:tc>
        <w:tc>
          <w:tcPr>
            <w:tcW w:w="1366"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-3,496</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1,829</w:t>
            </w:r>
          </w:p>
        </w:tc>
        <w:tc>
          <w:tcPr>
            <w:tcW w:w="571"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 xml:space="preserve">152 </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-914</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-3,651</w:t>
            </w:r>
          </w:p>
        </w:tc>
        <w:tc>
          <w:tcPr>
            <w:tcW w:w="978" w:type="dxa"/>
            <w:tcBorders>
              <w:top w:val="nil"/>
              <w:left w:val="nil"/>
              <w:bottom w:val="nil"/>
              <w:right w:val="nil"/>
            </w:tcBorders>
            <w:shd w:val="clear" w:color="000000" w:fill="FFFFFF"/>
            <w:noWrap/>
            <w:hideMark/>
          </w:tcPr>
          <w:p w:rsidR="00BE54D2" w:rsidRPr="00BE54D2" w:rsidRDefault="00BE54D2" w:rsidP="00A122CE">
            <w:pPr>
              <w:jc w:val="right"/>
              <w:rPr>
                <w:b/>
                <w:bCs/>
                <w:sz w:val="18"/>
                <w:szCs w:val="18"/>
                <w:lang w:eastAsia="en-AU"/>
              </w:rPr>
            </w:pPr>
            <w:r w:rsidRPr="00BE54D2">
              <w:rPr>
                <w:b/>
                <w:bCs/>
                <w:sz w:val="18"/>
                <w:szCs w:val="18"/>
                <w:lang w:eastAsia="en-AU"/>
              </w:rPr>
              <w:t>-5,416</w:t>
            </w:r>
          </w:p>
        </w:tc>
      </w:tr>
      <w:tr w:rsidR="00BE54D2" w:rsidRPr="00BE54D2" w:rsidTr="00A122CE">
        <w:trPr>
          <w:trHeight w:hRule="exact" w:val="57"/>
        </w:trPr>
        <w:tc>
          <w:tcPr>
            <w:tcW w:w="979" w:type="dxa"/>
            <w:tcBorders>
              <w:top w:val="nil"/>
              <w:left w:val="nil"/>
              <w:bottom w:val="single" w:sz="4" w:space="0" w:color="auto"/>
              <w:right w:val="nil"/>
            </w:tcBorders>
            <w:shd w:val="clear" w:color="000000" w:fill="FFFFFF"/>
            <w:noWrap/>
            <w:vAlign w:val="bottom"/>
            <w:hideMark/>
          </w:tcPr>
          <w:p w:rsidR="00BE54D2" w:rsidRPr="00BE54D2" w:rsidRDefault="00BE54D2" w:rsidP="00BE54D2">
            <w:pPr>
              <w:rPr>
                <w:b/>
                <w:bCs/>
                <w:sz w:val="18"/>
                <w:szCs w:val="18"/>
                <w:lang w:eastAsia="en-AU"/>
              </w:rPr>
            </w:pPr>
            <w:r w:rsidRPr="00BE54D2">
              <w:rPr>
                <w:b/>
                <w:bCs/>
                <w:sz w:val="18"/>
                <w:szCs w:val="18"/>
                <w:lang w:eastAsia="en-AU"/>
              </w:rPr>
              <w:t> </w:t>
            </w:r>
          </w:p>
        </w:tc>
        <w:tc>
          <w:tcPr>
            <w:tcW w:w="2528" w:type="dxa"/>
            <w:tcBorders>
              <w:top w:val="nil"/>
              <w:left w:val="nil"/>
              <w:bottom w:val="single" w:sz="4" w:space="0" w:color="auto"/>
              <w:right w:val="nil"/>
            </w:tcBorders>
            <w:shd w:val="clear" w:color="000000" w:fill="FFFFFF"/>
            <w:noWrap/>
            <w:vAlign w:val="bottom"/>
            <w:hideMark/>
          </w:tcPr>
          <w:p w:rsidR="00BE54D2" w:rsidRPr="00BE54D2" w:rsidRDefault="00BE54D2" w:rsidP="00BE54D2">
            <w:pPr>
              <w:rPr>
                <w:b/>
                <w:bCs/>
                <w:sz w:val="18"/>
                <w:szCs w:val="18"/>
                <w:lang w:eastAsia="en-AU"/>
              </w:rPr>
            </w:pPr>
            <w:r w:rsidRPr="00BE54D2">
              <w:rPr>
                <w:b/>
                <w:bCs/>
                <w:sz w:val="18"/>
                <w:szCs w:val="18"/>
                <w:lang w:eastAsia="en-AU"/>
              </w:rPr>
              <w:t> </w:t>
            </w:r>
          </w:p>
        </w:tc>
        <w:tc>
          <w:tcPr>
            <w:tcW w:w="1366" w:type="dxa"/>
            <w:tcBorders>
              <w:top w:val="nil"/>
              <w:left w:val="nil"/>
              <w:bottom w:val="single" w:sz="4" w:space="0" w:color="auto"/>
              <w:right w:val="nil"/>
            </w:tcBorders>
            <w:shd w:val="clear" w:color="000000" w:fill="FFFFFF"/>
            <w:noWrap/>
            <w:vAlign w:val="bottom"/>
            <w:hideMark/>
          </w:tcPr>
          <w:p w:rsidR="00BE54D2" w:rsidRPr="00BE54D2" w:rsidRDefault="00BE54D2" w:rsidP="00BE54D2">
            <w:pPr>
              <w:rPr>
                <w:b/>
                <w:bCs/>
                <w:sz w:val="18"/>
                <w:szCs w:val="18"/>
                <w:lang w:eastAsia="en-AU"/>
              </w:rPr>
            </w:pPr>
            <w:r w:rsidRPr="00BE54D2">
              <w:rPr>
                <w:b/>
                <w:bCs/>
                <w:sz w:val="18"/>
                <w:szCs w:val="18"/>
                <w:lang w:eastAsia="en-AU"/>
              </w:rPr>
              <w:t> </w:t>
            </w:r>
          </w:p>
        </w:tc>
        <w:tc>
          <w:tcPr>
            <w:tcW w:w="978" w:type="dxa"/>
            <w:tcBorders>
              <w:top w:val="nil"/>
              <w:left w:val="nil"/>
              <w:bottom w:val="single" w:sz="4" w:space="0" w:color="auto"/>
              <w:right w:val="nil"/>
            </w:tcBorders>
            <w:shd w:val="clear" w:color="000000" w:fill="FFFFFF"/>
            <w:noWrap/>
            <w:vAlign w:val="bottom"/>
            <w:hideMark/>
          </w:tcPr>
          <w:p w:rsidR="00BE54D2" w:rsidRPr="00BE54D2" w:rsidRDefault="00BE54D2" w:rsidP="00BE54D2">
            <w:pPr>
              <w:rPr>
                <w:b/>
                <w:bCs/>
                <w:sz w:val="18"/>
                <w:szCs w:val="18"/>
                <w:lang w:eastAsia="en-AU"/>
              </w:rPr>
            </w:pPr>
            <w:r w:rsidRPr="00BE54D2">
              <w:rPr>
                <w:b/>
                <w:bCs/>
                <w:sz w:val="18"/>
                <w:szCs w:val="18"/>
                <w:lang w:eastAsia="en-AU"/>
              </w:rPr>
              <w:t> </w:t>
            </w:r>
          </w:p>
        </w:tc>
        <w:tc>
          <w:tcPr>
            <w:tcW w:w="571" w:type="dxa"/>
            <w:tcBorders>
              <w:top w:val="nil"/>
              <w:left w:val="nil"/>
              <w:bottom w:val="single" w:sz="4" w:space="0" w:color="auto"/>
              <w:right w:val="nil"/>
            </w:tcBorders>
            <w:shd w:val="clear" w:color="000000" w:fill="FFFFFF"/>
            <w:noWrap/>
            <w:vAlign w:val="bottom"/>
            <w:hideMark/>
          </w:tcPr>
          <w:p w:rsidR="00BE54D2" w:rsidRPr="00BE54D2" w:rsidRDefault="00BE54D2" w:rsidP="00BE54D2">
            <w:pPr>
              <w:rPr>
                <w:b/>
                <w:bCs/>
                <w:sz w:val="18"/>
                <w:szCs w:val="18"/>
                <w:lang w:eastAsia="en-AU"/>
              </w:rPr>
            </w:pPr>
            <w:r w:rsidRPr="00BE54D2">
              <w:rPr>
                <w:b/>
                <w:bCs/>
                <w:sz w:val="18"/>
                <w:szCs w:val="18"/>
                <w:lang w:eastAsia="en-AU"/>
              </w:rPr>
              <w:t> </w:t>
            </w:r>
          </w:p>
        </w:tc>
        <w:tc>
          <w:tcPr>
            <w:tcW w:w="978" w:type="dxa"/>
            <w:tcBorders>
              <w:top w:val="nil"/>
              <w:left w:val="nil"/>
              <w:bottom w:val="single" w:sz="4" w:space="0" w:color="auto"/>
              <w:right w:val="nil"/>
            </w:tcBorders>
            <w:shd w:val="clear" w:color="000000" w:fill="FFFFFF"/>
            <w:noWrap/>
            <w:vAlign w:val="bottom"/>
            <w:hideMark/>
          </w:tcPr>
          <w:p w:rsidR="00BE54D2" w:rsidRPr="00BE54D2" w:rsidRDefault="00BE54D2" w:rsidP="00BE54D2">
            <w:pPr>
              <w:rPr>
                <w:b/>
                <w:bCs/>
                <w:sz w:val="18"/>
                <w:szCs w:val="18"/>
                <w:lang w:eastAsia="en-AU"/>
              </w:rPr>
            </w:pPr>
            <w:r w:rsidRPr="00BE54D2">
              <w:rPr>
                <w:b/>
                <w:bCs/>
                <w:sz w:val="18"/>
                <w:szCs w:val="18"/>
                <w:lang w:eastAsia="en-AU"/>
              </w:rPr>
              <w:t> </w:t>
            </w:r>
          </w:p>
        </w:tc>
        <w:tc>
          <w:tcPr>
            <w:tcW w:w="978" w:type="dxa"/>
            <w:tcBorders>
              <w:top w:val="nil"/>
              <w:left w:val="nil"/>
              <w:bottom w:val="single" w:sz="4" w:space="0" w:color="auto"/>
              <w:right w:val="nil"/>
            </w:tcBorders>
            <w:shd w:val="clear" w:color="000000" w:fill="FFFFFF"/>
            <w:noWrap/>
            <w:vAlign w:val="bottom"/>
            <w:hideMark/>
          </w:tcPr>
          <w:p w:rsidR="00BE54D2" w:rsidRPr="00BE54D2" w:rsidRDefault="00BE54D2" w:rsidP="00BE54D2">
            <w:pPr>
              <w:rPr>
                <w:b/>
                <w:bCs/>
                <w:sz w:val="18"/>
                <w:szCs w:val="18"/>
                <w:lang w:eastAsia="en-AU"/>
              </w:rPr>
            </w:pPr>
            <w:r w:rsidRPr="00BE54D2">
              <w:rPr>
                <w:b/>
                <w:bCs/>
                <w:sz w:val="18"/>
                <w:szCs w:val="18"/>
                <w:lang w:eastAsia="en-AU"/>
              </w:rPr>
              <w:t> </w:t>
            </w:r>
          </w:p>
        </w:tc>
        <w:tc>
          <w:tcPr>
            <w:tcW w:w="978" w:type="dxa"/>
            <w:tcBorders>
              <w:top w:val="nil"/>
              <w:left w:val="nil"/>
              <w:bottom w:val="single" w:sz="4" w:space="0" w:color="auto"/>
              <w:right w:val="nil"/>
            </w:tcBorders>
            <w:shd w:val="clear" w:color="000000" w:fill="FFFFFF"/>
            <w:noWrap/>
            <w:vAlign w:val="bottom"/>
            <w:hideMark/>
          </w:tcPr>
          <w:p w:rsidR="00BE54D2" w:rsidRPr="00BE54D2" w:rsidRDefault="00BE54D2" w:rsidP="00BE54D2">
            <w:pPr>
              <w:rPr>
                <w:b/>
                <w:bCs/>
                <w:sz w:val="18"/>
                <w:szCs w:val="18"/>
                <w:lang w:eastAsia="en-AU"/>
              </w:rPr>
            </w:pPr>
            <w:r w:rsidRPr="00BE54D2">
              <w:rPr>
                <w:b/>
                <w:bCs/>
                <w:sz w:val="18"/>
                <w:szCs w:val="18"/>
                <w:lang w:eastAsia="en-AU"/>
              </w:rPr>
              <w:t> </w:t>
            </w:r>
          </w:p>
        </w:tc>
      </w:tr>
    </w:tbl>
    <w:p w:rsidR="00BE54D2" w:rsidRDefault="00BE54D2">
      <w:pPr>
        <w:spacing w:after="200" w:line="276" w:lineRule="auto"/>
      </w:pPr>
    </w:p>
    <w:p w:rsidR="00615948" w:rsidRDefault="00BE54D2">
      <w:pPr>
        <w:spacing w:after="200" w:line="276" w:lineRule="auto"/>
      </w:pPr>
      <w:r>
        <w:br w:type="page"/>
      </w:r>
    </w:p>
    <w:tbl>
      <w:tblPr>
        <w:tblW w:w="9392" w:type="dxa"/>
        <w:tblLook w:val="04A0"/>
      </w:tblPr>
      <w:tblGrid>
        <w:gridCol w:w="1054"/>
        <w:gridCol w:w="2392"/>
        <w:gridCol w:w="1106"/>
        <w:gridCol w:w="1054"/>
        <w:gridCol w:w="624"/>
        <w:gridCol w:w="1054"/>
        <w:gridCol w:w="1054"/>
        <w:gridCol w:w="1054"/>
      </w:tblGrid>
      <w:tr w:rsidR="00DB1652" w:rsidTr="00D34C02">
        <w:trPr>
          <w:tblHeader/>
        </w:trPr>
        <w:tc>
          <w:tcPr>
            <w:tcW w:w="9392" w:type="dxa"/>
            <w:gridSpan w:val="8"/>
            <w:tcBorders>
              <w:top w:val="nil"/>
              <w:left w:val="nil"/>
              <w:bottom w:val="nil"/>
              <w:right w:val="nil"/>
            </w:tcBorders>
            <w:shd w:val="clear" w:color="000000" w:fill="FFFFFF"/>
            <w:noWrap/>
            <w:vAlign w:val="bottom"/>
            <w:hideMark/>
          </w:tcPr>
          <w:p w:rsidR="00DB1652" w:rsidRPr="00246318" w:rsidRDefault="00DB1652" w:rsidP="00D34C02">
            <w:pPr>
              <w:jc w:val="center"/>
              <w:rPr>
                <w:rFonts w:ascii="Arial" w:hAnsi="Arial" w:cs="Arial"/>
                <w:b/>
                <w:bCs/>
                <w:szCs w:val="24"/>
              </w:rPr>
            </w:pPr>
            <w:bookmarkStart w:id="4" w:name="RANGE!A1:H60"/>
            <w:r w:rsidRPr="00246318">
              <w:rPr>
                <w:rFonts w:ascii="Arial" w:hAnsi="Arial" w:cs="Arial"/>
                <w:b/>
                <w:bCs/>
                <w:szCs w:val="24"/>
              </w:rPr>
              <w:lastRenderedPageBreak/>
              <w:t>Chief Minister and Treasury Directorate</w:t>
            </w:r>
            <w:bookmarkEnd w:id="4"/>
          </w:p>
        </w:tc>
      </w:tr>
      <w:tr w:rsidR="00DB1652" w:rsidTr="00D34C02">
        <w:trPr>
          <w:tblHeader/>
        </w:trPr>
        <w:tc>
          <w:tcPr>
            <w:tcW w:w="9392" w:type="dxa"/>
            <w:gridSpan w:val="8"/>
            <w:tcBorders>
              <w:top w:val="nil"/>
              <w:left w:val="nil"/>
              <w:bottom w:val="nil"/>
              <w:right w:val="nil"/>
            </w:tcBorders>
            <w:shd w:val="clear" w:color="000000" w:fill="FFFFFF"/>
            <w:noWrap/>
            <w:vAlign w:val="bottom"/>
            <w:hideMark/>
          </w:tcPr>
          <w:p w:rsidR="00DB1652" w:rsidRPr="00246318" w:rsidRDefault="00DB1652" w:rsidP="00D34C02">
            <w:pPr>
              <w:jc w:val="center"/>
              <w:rPr>
                <w:rFonts w:ascii="Arial" w:hAnsi="Arial" w:cs="Arial"/>
                <w:b/>
                <w:bCs/>
                <w:szCs w:val="24"/>
              </w:rPr>
            </w:pPr>
            <w:r w:rsidRPr="00246318">
              <w:rPr>
                <w:rFonts w:ascii="Arial" w:hAnsi="Arial" w:cs="Arial"/>
                <w:b/>
                <w:bCs/>
                <w:szCs w:val="24"/>
              </w:rPr>
              <w:t>Cash Flow Statement</w:t>
            </w:r>
          </w:p>
        </w:tc>
      </w:tr>
      <w:tr w:rsidR="00DB1652" w:rsidTr="00D34C02">
        <w:trPr>
          <w:tblHeader/>
        </w:trPr>
        <w:tc>
          <w:tcPr>
            <w:tcW w:w="1054" w:type="dxa"/>
            <w:tcBorders>
              <w:top w:val="single" w:sz="4" w:space="0" w:color="auto"/>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DB1652" w:rsidRDefault="00DB1652" w:rsidP="00D34C0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2016-17</w:t>
            </w:r>
          </w:p>
        </w:tc>
      </w:tr>
      <w:tr w:rsidR="00DB1652" w:rsidTr="00D34C02">
        <w:trPr>
          <w:tblHeader/>
        </w:trPr>
        <w:tc>
          <w:tcPr>
            <w:tcW w:w="1054" w:type="dxa"/>
            <w:tcBorders>
              <w:top w:val="nil"/>
              <w:left w:val="nil"/>
              <w:bottom w:val="nil"/>
              <w:right w:val="nil"/>
            </w:tcBorders>
            <w:shd w:val="clear" w:color="000000" w:fill="FFFFFF"/>
            <w:hideMark/>
          </w:tcPr>
          <w:p w:rsidR="00DB1652" w:rsidRDefault="00DB1652" w:rsidP="00D34C02">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DB1652" w:rsidRDefault="00DB1652" w:rsidP="00D34C02">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DB1652" w:rsidRDefault="00DB1652" w:rsidP="00D34C02">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DB1652" w:rsidRDefault="00DB1652" w:rsidP="00D34C02">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Estimate</w:t>
            </w:r>
          </w:p>
        </w:tc>
      </w:tr>
      <w:tr w:rsidR="00DB1652" w:rsidTr="00D34C02">
        <w:trPr>
          <w:tblHeader/>
        </w:trPr>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DB1652" w:rsidRDefault="00DB1652" w:rsidP="00D34C02">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$'000</w:t>
            </w:r>
          </w:p>
        </w:tc>
      </w:tr>
      <w:tr w:rsidR="00DB1652" w:rsidTr="00D34C02">
        <w:trPr>
          <w:tblHeader/>
        </w:trPr>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DB1652" w:rsidRDefault="00DB1652" w:rsidP="00D34C02">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36,919</w:t>
            </w:r>
          </w:p>
        </w:tc>
        <w:tc>
          <w:tcPr>
            <w:tcW w:w="2392" w:type="dxa"/>
            <w:tcBorders>
              <w:top w:val="nil"/>
              <w:left w:val="nil"/>
              <w:bottom w:val="nil"/>
              <w:right w:val="nil"/>
            </w:tcBorders>
            <w:shd w:val="clear" w:color="000000" w:fill="FFFFFF"/>
            <w:hideMark/>
          </w:tcPr>
          <w:p w:rsidR="00DB1652" w:rsidRDefault="00DB1652" w:rsidP="00D34C02">
            <w:pPr>
              <w:rPr>
                <w:sz w:val="18"/>
                <w:szCs w:val="18"/>
              </w:rPr>
            </w:pPr>
            <w:r>
              <w:rPr>
                <w:sz w:val="18"/>
                <w:szCs w:val="18"/>
              </w:rPr>
              <w:t>Cash from Government</w:t>
            </w:r>
            <w:r>
              <w:rPr>
                <w:sz w:val="18"/>
                <w:szCs w:val="18"/>
              </w:rPr>
              <w:br/>
              <w:t xml:space="preserve">   for Outputs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59,683</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59,833</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41,470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40,622</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40,439</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467</w:t>
            </w:r>
          </w:p>
        </w:tc>
        <w:tc>
          <w:tcPr>
            <w:tcW w:w="2392" w:type="dxa"/>
            <w:tcBorders>
              <w:top w:val="nil"/>
              <w:left w:val="nil"/>
              <w:bottom w:val="nil"/>
              <w:right w:val="nil"/>
            </w:tcBorders>
            <w:shd w:val="clear" w:color="000000" w:fill="FFFFFF"/>
            <w:noWrap/>
            <w:hideMark/>
          </w:tcPr>
          <w:p w:rsidR="00DB1652" w:rsidRDefault="00DB1652" w:rsidP="00D34C02">
            <w:pPr>
              <w:rPr>
                <w:sz w:val="18"/>
                <w:szCs w:val="18"/>
              </w:rPr>
            </w:pPr>
            <w:r>
              <w:rPr>
                <w:sz w:val="18"/>
                <w:szCs w:val="18"/>
              </w:rPr>
              <w:t>User Charges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2,435</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4,097</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68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4,143</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4,187</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4,237</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DB1652" w:rsidRDefault="00DB1652" w:rsidP="00D34C02">
            <w:pPr>
              <w:rPr>
                <w:sz w:val="18"/>
                <w:szCs w:val="18"/>
              </w:rPr>
            </w:pPr>
            <w:r>
              <w:rPr>
                <w:sz w:val="18"/>
                <w:szCs w:val="18"/>
              </w:rPr>
              <w:t>Interest Received</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2,480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3,524</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42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3,450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3,375</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3,333</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4,847</w:t>
            </w:r>
          </w:p>
        </w:tc>
        <w:tc>
          <w:tcPr>
            <w:tcW w:w="2392" w:type="dxa"/>
            <w:tcBorders>
              <w:top w:val="nil"/>
              <w:left w:val="nil"/>
              <w:bottom w:val="nil"/>
              <w:right w:val="nil"/>
            </w:tcBorders>
            <w:shd w:val="clear" w:color="000000" w:fill="FFFFFF"/>
            <w:noWrap/>
            <w:hideMark/>
          </w:tcPr>
          <w:p w:rsidR="00DB1652" w:rsidRDefault="00DB1652" w:rsidP="00D34C02">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5,113</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5,894</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15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5,866</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5,860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5,869</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42,233</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69,711</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73,348</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54,929</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54,044</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53,878</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12,203</w:t>
            </w:r>
          </w:p>
        </w:tc>
        <w:tc>
          <w:tcPr>
            <w:tcW w:w="2392" w:type="dxa"/>
            <w:tcBorders>
              <w:top w:val="nil"/>
              <w:left w:val="nil"/>
              <w:bottom w:val="nil"/>
              <w:right w:val="nil"/>
            </w:tcBorders>
            <w:shd w:val="clear" w:color="000000" w:fill="FFFFFF"/>
            <w:noWrap/>
            <w:hideMark/>
          </w:tcPr>
          <w:p w:rsidR="00DB1652" w:rsidRDefault="00DB1652" w:rsidP="00D34C02">
            <w:pPr>
              <w:rPr>
                <w:sz w:val="18"/>
                <w:szCs w:val="18"/>
              </w:rPr>
            </w:pPr>
            <w:r>
              <w:rPr>
                <w:sz w:val="18"/>
                <w:szCs w:val="18"/>
              </w:rPr>
              <w:t>Related to Employees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19,615</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23,389</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19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21,851</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21,656</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21,955</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2,499</w:t>
            </w:r>
          </w:p>
        </w:tc>
        <w:tc>
          <w:tcPr>
            <w:tcW w:w="2392" w:type="dxa"/>
            <w:tcBorders>
              <w:top w:val="nil"/>
              <w:left w:val="nil"/>
              <w:bottom w:val="nil"/>
              <w:right w:val="nil"/>
            </w:tcBorders>
            <w:shd w:val="clear" w:color="000000" w:fill="FFFFFF"/>
            <w:noWrap/>
            <w:hideMark/>
          </w:tcPr>
          <w:p w:rsidR="00DB1652" w:rsidRDefault="00DB1652" w:rsidP="00D34C02">
            <w:pPr>
              <w:rPr>
                <w:sz w:val="18"/>
                <w:szCs w:val="18"/>
              </w:rPr>
            </w:pPr>
            <w:r>
              <w:rPr>
                <w:sz w:val="18"/>
                <w:szCs w:val="18"/>
              </w:rPr>
              <w:t>Related to Superannuation</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4,073</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4,732</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16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4,248</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3,862</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3,777</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22,389</w:t>
            </w:r>
          </w:p>
        </w:tc>
        <w:tc>
          <w:tcPr>
            <w:tcW w:w="2392" w:type="dxa"/>
            <w:tcBorders>
              <w:top w:val="nil"/>
              <w:left w:val="nil"/>
              <w:bottom w:val="nil"/>
              <w:right w:val="nil"/>
            </w:tcBorders>
            <w:shd w:val="clear" w:color="000000" w:fill="FFFFFF"/>
            <w:hideMark/>
          </w:tcPr>
          <w:p w:rsidR="00DB1652" w:rsidRDefault="00DB1652" w:rsidP="00D34C02">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29,140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21,360</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-27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15,759</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15,565</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15,784</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w:t>
            </w:r>
          </w:p>
        </w:tc>
        <w:tc>
          <w:tcPr>
            <w:tcW w:w="2392" w:type="dxa"/>
            <w:tcBorders>
              <w:top w:val="nil"/>
              <w:left w:val="nil"/>
              <w:bottom w:val="nil"/>
              <w:right w:val="nil"/>
            </w:tcBorders>
            <w:shd w:val="clear" w:color="000000" w:fill="FFFFFF"/>
            <w:noWrap/>
            <w:hideMark/>
          </w:tcPr>
          <w:p w:rsidR="00DB1652" w:rsidRDefault="00DB1652" w:rsidP="00D34C02">
            <w:pPr>
              <w:rPr>
                <w:sz w:val="18"/>
                <w:szCs w:val="18"/>
              </w:rPr>
            </w:pPr>
            <w:r>
              <w:rPr>
                <w:sz w:val="18"/>
                <w:szCs w:val="18"/>
              </w:rPr>
              <w:t>Borrowing Costs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2,482</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3,526</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42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3,452</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3,377</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3,335</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384</w:t>
            </w:r>
          </w:p>
        </w:tc>
        <w:tc>
          <w:tcPr>
            <w:tcW w:w="2392" w:type="dxa"/>
            <w:tcBorders>
              <w:top w:val="nil"/>
              <w:left w:val="nil"/>
              <w:bottom w:val="nil"/>
              <w:right w:val="nil"/>
            </w:tcBorders>
            <w:shd w:val="clear" w:color="000000" w:fill="FFFFFF"/>
            <w:noWrap/>
            <w:hideMark/>
          </w:tcPr>
          <w:p w:rsidR="00DB1652" w:rsidRDefault="00DB1652" w:rsidP="00D34C02">
            <w:pPr>
              <w:ind w:left="142" w:hanging="142"/>
              <w:rPr>
                <w:sz w:val="18"/>
                <w:szCs w:val="18"/>
              </w:rPr>
            </w:pPr>
            <w:r>
              <w:rPr>
                <w:sz w:val="18"/>
                <w:szCs w:val="18"/>
              </w:rPr>
              <w:t>Grants and Purchased Services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9,796</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14,383</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47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3,699</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3,671</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3,107</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4,847</w:t>
            </w:r>
          </w:p>
        </w:tc>
        <w:tc>
          <w:tcPr>
            <w:tcW w:w="2392" w:type="dxa"/>
            <w:tcBorders>
              <w:top w:val="nil"/>
              <w:left w:val="nil"/>
              <w:bottom w:val="nil"/>
              <w:right w:val="nil"/>
            </w:tcBorders>
            <w:shd w:val="clear" w:color="000000" w:fill="FFFFFF"/>
            <w:noWrap/>
            <w:hideMark/>
          </w:tcPr>
          <w:p w:rsidR="00DB1652" w:rsidRDefault="00DB1652" w:rsidP="00D34C02">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5,040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5,929</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18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5,904</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5,904</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5,912</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42,324</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70,146</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73,319</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54,913</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54,035</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53,870</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-91</w:t>
            </w:r>
          </w:p>
        </w:tc>
        <w:tc>
          <w:tcPr>
            <w:tcW w:w="2392" w:type="dxa"/>
            <w:tcBorders>
              <w:top w:val="nil"/>
              <w:left w:val="nil"/>
              <w:bottom w:val="nil"/>
              <w:right w:val="nil"/>
            </w:tcBorders>
            <w:shd w:val="clear" w:color="000000" w:fill="FFFFFF"/>
            <w:hideMark/>
          </w:tcPr>
          <w:p w:rsidR="00DB1652" w:rsidRDefault="00DB1652" w:rsidP="00D34C02">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-435</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29</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xml:space="preserve">107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16</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9</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8</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DB1652" w:rsidRDefault="00DB1652" w:rsidP="00D34C02">
            <w:pPr>
              <w:rPr>
                <w:sz w:val="18"/>
                <w:szCs w:val="18"/>
              </w:rPr>
            </w:pPr>
            <w:r>
              <w:rPr>
                <w:b/>
                <w:bCs/>
                <w:sz w:val="18"/>
                <w:szCs w:val="18"/>
              </w:rPr>
              <w:t>CASH FLOWS FROM INVESTING ACTIVITIES</w:t>
            </w:r>
            <w:r>
              <w:rPr>
                <w:sz w:val="18"/>
                <w:szCs w:val="18"/>
              </w:rPr>
              <w:t xml:space="preserve">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DB1652" w:rsidRDefault="00DB1652" w:rsidP="00D34C02">
            <w:pPr>
              <w:rPr>
                <w:sz w:val="18"/>
                <w:szCs w:val="18"/>
              </w:rPr>
            </w:pPr>
            <w:r>
              <w:rPr>
                <w:sz w:val="18"/>
                <w:szCs w:val="18"/>
              </w:rPr>
              <w:t>Proceeds from Sale of</w:t>
            </w:r>
            <w:r>
              <w:rPr>
                <w:sz w:val="18"/>
                <w:szCs w:val="18"/>
              </w:rPr>
              <w:br/>
              <w:t xml:space="preserve">   Property, Plant</w:t>
            </w:r>
            <w:r>
              <w:rPr>
                <w:sz w:val="18"/>
                <w:szCs w:val="18"/>
              </w:rPr>
              <w:br/>
              <w:t xml:space="preserve">   and Equipment</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19</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19</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DB1652" w:rsidRDefault="00DB1652" w:rsidP="00D34C02">
            <w:pPr>
              <w:rPr>
                <w:sz w:val="18"/>
                <w:szCs w:val="18"/>
              </w:rPr>
            </w:pPr>
            <w:r>
              <w:rPr>
                <w:sz w:val="18"/>
                <w:szCs w:val="18"/>
              </w:rPr>
              <w:t>Repayment of Home Loan</w:t>
            </w:r>
            <w:r>
              <w:rPr>
                <w:sz w:val="18"/>
                <w:szCs w:val="18"/>
              </w:rPr>
              <w:br/>
              <w:t xml:space="preserve">   Principal</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494</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1,105</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124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1,179</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1,254</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1,254</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Investing Receipts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494</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1,124</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128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1,179</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1,273</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1,254</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color w:val="0000FF"/>
                <w:sz w:val="18"/>
                <w:szCs w:val="18"/>
              </w:rPr>
            </w:pPr>
            <w:r>
              <w:rPr>
                <w:color w:val="0000FF"/>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2,946</w:t>
            </w:r>
          </w:p>
        </w:tc>
        <w:tc>
          <w:tcPr>
            <w:tcW w:w="2392" w:type="dxa"/>
            <w:tcBorders>
              <w:top w:val="nil"/>
              <w:left w:val="nil"/>
              <w:bottom w:val="nil"/>
              <w:right w:val="nil"/>
            </w:tcBorders>
            <w:shd w:val="clear" w:color="000000" w:fill="FFFFFF"/>
            <w:hideMark/>
          </w:tcPr>
          <w:p w:rsidR="00DB1652" w:rsidRDefault="00DB1652" w:rsidP="00D34C02">
            <w:pPr>
              <w:rPr>
                <w:sz w:val="18"/>
                <w:szCs w:val="18"/>
              </w:rPr>
            </w:pPr>
            <w:r>
              <w:rPr>
                <w:sz w:val="18"/>
                <w:szCs w:val="18"/>
              </w:rPr>
              <w:t>Purchase of Land and</w:t>
            </w:r>
            <w:r>
              <w:rPr>
                <w:sz w:val="18"/>
                <w:szCs w:val="18"/>
              </w:rPr>
              <w:br/>
              <w:t xml:space="preserve">   Intangibles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1,725</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1,601</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-7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DB1652" w:rsidRDefault="00DB1652" w:rsidP="00D34C02">
            <w:pPr>
              <w:rPr>
                <w:sz w:val="18"/>
                <w:szCs w:val="18"/>
              </w:rPr>
            </w:pPr>
            <w:r>
              <w:rPr>
                <w:sz w:val="18"/>
                <w:szCs w:val="18"/>
              </w:rPr>
              <w:t xml:space="preserve">Issue of Loan </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3,838</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1,050</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-73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2,946</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5,563</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2,651</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xml:space="preserve">-52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0</w:t>
            </w:r>
          </w:p>
        </w:tc>
      </w:tr>
      <w:tr w:rsidR="00DB1652" w:rsidTr="00D34C02">
        <w:tc>
          <w:tcPr>
            <w:tcW w:w="1054" w:type="dxa"/>
            <w:tcBorders>
              <w:top w:val="nil"/>
              <w:left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2392" w:type="dxa"/>
            <w:tcBorders>
              <w:top w:val="nil"/>
              <w:left w:val="nil"/>
              <w:right w:val="nil"/>
            </w:tcBorders>
            <w:shd w:val="clear" w:color="000000" w:fill="FFFFFF"/>
            <w:noWrap/>
            <w:hideMark/>
          </w:tcPr>
          <w:p w:rsidR="00DB1652" w:rsidRDefault="00DB1652" w:rsidP="00D34C02">
            <w:pPr>
              <w:rPr>
                <w:sz w:val="18"/>
                <w:szCs w:val="18"/>
              </w:rPr>
            </w:pPr>
            <w:r>
              <w:rPr>
                <w:sz w:val="18"/>
                <w:szCs w:val="18"/>
              </w:rPr>
              <w:t> </w:t>
            </w:r>
          </w:p>
        </w:tc>
        <w:tc>
          <w:tcPr>
            <w:tcW w:w="1106" w:type="dxa"/>
            <w:tcBorders>
              <w:top w:val="nil"/>
              <w:left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r>
      <w:tr w:rsidR="00DB1652" w:rsidTr="00D34C02">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-2,946</w:t>
            </w:r>
          </w:p>
        </w:tc>
        <w:tc>
          <w:tcPr>
            <w:tcW w:w="2392" w:type="dxa"/>
            <w:tcBorders>
              <w:top w:val="nil"/>
              <w:left w:val="nil"/>
              <w:bottom w:val="single" w:sz="4" w:space="0" w:color="auto"/>
              <w:right w:val="nil"/>
            </w:tcBorders>
            <w:shd w:val="clear" w:color="000000" w:fill="FFFFFF"/>
            <w:hideMark/>
          </w:tcPr>
          <w:p w:rsidR="00DB1652" w:rsidRDefault="00DB1652" w:rsidP="00D34C02">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-5,069</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-1,527</w:t>
            </w:r>
          </w:p>
        </w:tc>
        <w:tc>
          <w:tcPr>
            <w:tcW w:w="62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 xml:space="preserve">70 </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1,179</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1,273</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1,254</w:t>
            </w:r>
          </w:p>
        </w:tc>
      </w:tr>
    </w:tbl>
    <w:p w:rsidR="00DB1652" w:rsidRDefault="00DB1652">
      <w:pPr>
        <w:spacing w:after="200" w:line="276" w:lineRule="auto"/>
      </w:pPr>
    </w:p>
    <w:p w:rsidR="00DB1652" w:rsidRDefault="00DB1652">
      <w:pPr>
        <w:spacing w:after="200" w:line="276" w:lineRule="auto"/>
      </w:pPr>
      <w:r>
        <w:br w:type="page"/>
      </w:r>
    </w:p>
    <w:tbl>
      <w:tblPr>
        <w:tblW w:w="9392" w:type="dxa"/>
        <w:tblLook w:val="04A0"/>
      </w:tblPr>
      <w:tblGrid>
        <w:gridCol w:w="1054"/>
        <w:gridCol w:w="2392"/>
        <w:gridCol w:w="1106"/>
        <w:gridCol w:w="1054"/>
        <w:gridCol w:w="624"/>
        <w:gridCol w:w="1054"/>
        <w:gridCol w:w="1054"/>
        <w:gridCol w:w="1054"/>
      </w:tblGrid>
      <w:tr w:rsidR="00DB1652" w:rsidTr="00D34C02">
        <w:trPr>
          <w:tblHeader/>
        </w:trPr>
        <w:tc>
          <w:tcPr>
            <w:tcW w:w="9392" w:type="dxa"/>
            <w:gridSpan w:val="8"/>
            <w:tcBorders>
              <w:top w:val="nil"/>
              <w:left w:val="nil"/>
              <w:bottom w:val="nil"/>
              <w:right w:val="nil"/>
            </w:tcBorders>
            <w:shd w:val="clear" w:color="000000" w:fill="FFFFFF"/>
            <w:noWrap/>
            <w:vAlign w:val="bottom"/>
            <w:hideMark/>
          </w:tcPr>
          <w:p w:rsidR="00DB1652" w:rsidRPr="00246318" w:rsidRDefault="00DB1652" w:rsidP="00D34C02">
            <w:pPr>
              <w:jc w:val="center"/>
              <w:rPr>
                <w:rFonts w:ascii="Arial" w:hAnsi="Arial" w:cs="Arial"/>
                <w:b/>
                <w:bCs/>
                <w:szCs w:val="24"/>
              </w:rPr>
            </w:pPr>
            <w:r w:rsidRPr="00246318">
              <w:rPr>
                <w:rFonts w:ascii="Arial" w:hAnsi="Arial" w:cs="Arial"/>
                <w:b/>
                <w:bCs/>
                <w:szCs w:val="24"/>
              </w:rPr>
              <w:lastRenderedPageBreak/>
              <w:t>Chief Minister and Treasury Directorate</w:t>
            </w:r>
          </w:p>
        </w:tc>
      </w:tr>
      <w:tr w:rsidR="00DB1652" w:rsidTr="00D34C02">
        <w:trPr>
          <w:tblHeader/>
        </w:trPr>
        <w:tc>
          <w:tcPr>
            <w:tcW w:w="9392" w:type="dxa"/>
            <w:gridSpan w:val="8"/>
            <w:tcBorders>
              <w:top w:val="nil"/>
              <w:left w:val="nil"/>
              <w:bottom w:val="nil"/>
              <w:right w:val="nil"/>
            </w:tcBorders>
            <w:shd w:val="clear" w:color="000000" w:fill="FFFFFF"/>
            <w:noWrap/>
            <w:vAlign w:val="bottom"/>
            <w:hideMark/>
          </w:tcPr>
          <w:p w:rsidR="00DB1652" w:rsidRPr="00246318" w:rsidRDefault="00DB1652" w:rsidP="00D34C02">
            <w:pPr>
              <w:jc w:val="center"/>
              <w:rPr>
                <w:rFonts w:ascii="Arial" w:hAnsi="Arial" w:cs="Arial"/>
                <w:b/>
                <w:bCs/>
                <w:szCs w:val="24"/>
              </w:rPr>
            </w:pPr>
            <w:r w:rsidRPr="00246318">
              <w:rPr>
                <w:rFonts w:ascii="Arial" w:hAnsi="Arial" w:cs="Arial"/>
                <w:b/>
                <w:bCs/>
                <w:szCs w:val="24"/>
              </w:rPr>
              <w:t>Cash Flow Statement</w:t>
            </w:r>
            <w:r>
              <w:rPr>
                <w:rFonts w:ascii="Arial" w:hAnsi="Arial" w:cs="Arial"/>
                <w:b/>
                <w:bCs/>
                <w:szCs w:val="24"/>
              </w:rPr>
              <w:t xml:space="preserve"> cont.</w:t>
            </w:r>
          </w:p>
        </w:tc>
      </w:tr>
      <w:tr w:rsidR="00DB1652" w:rsidTr="00D34C02">
        <w:trPr>
          <w:tblHeader/>
        </w:trPr>
        <w:tc>
          <w:tcPr>
            <w:tcW w:w="1054" w:type="dxa"/>
            <w:tcBorders>
              <w:top w:val="single" w:sz="4" w:space="0" w:color="auto"/>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DB1652" w:rsidRDefault="00DB1652" w:rsidP="00D34C0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2016-17</w:t>
            </w:r>
          </w:p>
        </w:tc>
      </w:tr>
      <w:tr w:rsidR="00DB1652" w:rsidTr="00D34C02">
        <w:trPr>
          <w:tblHeader/>
        </w:trPr>
        <w:tc>
          <w:tcPr>
            <w:tcW w:w="1054" w:type="dxa"/>
            <w:tcBorders>
              <w:top w:val="nil"/>
              <w:left w:val="nil"/>
              <w:bottom w:val="nil"/>
              <w:right w:val="nil"/>
            </w:tcBorders>
            <w:shd w:val="clear" w:color="000000" w:fill="FFFFFF"/>
            <w:hideMark/>
          </w:tcPr>
          <w:p w:rsidR="00DB1652" w:rsidRDefault="00DB1652" w:rsidP="00D34C02">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DB1652" w:rsidRDefault="00DB1652" w:rsidP="00D34C02">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DB1652" w:rsidRDefault="00DB1652" w:rsidP="00D34C02">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DB1652" w:rsidRDefault="00DB1652" w:rsidP="00D34C02">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Estimate</w:t>
            </w:r>
          </w:p>
        </w:tc>
      </w:tr>
      <w:tr w:rsidR="00DB1652" w:rsidTr="00D34C02">
        <w:trPr>
          <w:tblHeader/>
        </w:trPr>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DB1652" w:rsidRDefault="00DB1652" w:rsidP="00D34C02">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$'000</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p>
        </w:tc>
        <w:tc>
          <w:tcPr>
            <w:tcW w:w="3498" w:type="dxa"/>
            <w:gridSpan w:val="2"/>
            <w:tcBorders>
              <w:top w:val="nil"/>
              <w:left w:val="nil"/>
              <w:bottom w:val="nil"/>
              <w:right w:val="nil"/>
            </w:tcBorders>
            <w:shd w:val="clear" w:color="000000" w:fill="FFFFFF"/>
            <w:hideMark/>
          </w:tcPr>
          <w:p w:rsidR="00DB1652" w:rsidRDefault="00DB1652" w:rsidP="00D34C02">
            <w:pPr>
              <w:rPr>
                <w:b/>
                <w:bCs/>
                <w:sz w:val="18"/>
                <w:szCs w:val="18"/>
              </w:rPr>
            </w:pP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DB1652" w:rsidRDefault="00DB1652" w:rsidP="00D34C02">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2,946</w:t>
            </w:r>
          </w:p>
        </w:tc>
        <w:tc>
          <w:tcPr>
            <w:tcW w:w="2392" w:type="dxa"/>
            <w:tcBorders>
              <w:top w:val="nil"/>
              <w:left w:val="nil"/>
              <w:bottom w:val="nil"/>
              <w:right w:val="nil"/>
            </w:tcBorders>
            <w:shd w:val="clear" w:color="000000" w:fill="FFFFFF"/>
            <w:hideMark/>
          </w:tcPr>
          <w:p w:rsidR="00DB1652" w:rsidRDefault="00DB1652" w:rsidP="00D34C02">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5,563</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2,651</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-52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DB1652" w:rsidRDefault="00DB1652" w:rsidP="00D34C02">
            <w:pPr>
              <w:rPr>
                <w:sz w:val="18"/>
                <w:szCs w:val="18"/>
              </w:rPr>
            </w:pPr>
            <w:r>
              <w:rPr>
                <w:sz w:val="18"/>
                <w:szCs w:val="18"/>
              </w:rPr>
              <w:t>Receipt of Transferred</w:t>
            </w:r>
            <w:r>
              <w:rPr>
                <w:sz w:val="18"/>
                <w:szCs w:val="18"/>
              </w:rPr>
              <w:br/>
              <w:t xml:space="preserve">   Cash Balances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1,159</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2,946</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6,722</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2,651</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xml:space="preserve">-61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0</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DB1652" w:rsidRDefault="00DB1652" w:rsidP="00D34C02">
            <w:pPr>
              <w:rPr>
                <w:sz w:val="18"/>
                <w:szCs w:val="18"/>
              </w:rPr>
            </w:pPr>
            <w:r>
              <w:rPr>
                <w:sz w:val="18"/>
                <w:szCs w:val="18"/>
              </w:rPr>
              <w:t>Repayment of Borrowings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494</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1,105</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124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1,179</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1,254</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1,254</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8</w:t>
            </w:r>
          </w:p>
        </w:tc>
        <w:tc>
          <w:tcPr>
            <w:tcW w:w="2392" w:type="dxa"/>
            <w:tcBorders>
              <w:top w:val="nil"/>
              <w:left w:val="nil"/>
              <w:bottom w:val="nil"/>
              <w:right w:val="nil"/>
            </w:tcBorders>
            <w:shd w:val="clear" w:color="000000" w:fill="FFFFFF"/>
            <w:noWrap/>
            <w:hideMark/>
          </w:tcPr>
          <w:p w:rsidR="00DB1652" w:rsidRDefault="00DB1652" w:rsidP="00D34C02">
            <w:pPr>
              <w:rPr>
                <w:sz w:val="18"/>
                <w:szCs w:val="18"/>
              </w:rPr>
            </w:pPr>
            <w:r>
              <w:rPr>
                <w:sz w:val="18"/>
                <w:szCs w:val="18"/>
              </w:rPr>
              <w:t>Repayment of Finance Leases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8</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28</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250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8</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28</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8</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364</w:t>
            </w:r>
          </w:p>
        </w:tc>
        <w:tc>
          <w:tcPr>
            <w:tcW w:w="2392" w:type="dxa"/>
            <w:tcBorders>
              <w:top w:val="nil"/>
              <w:left w:val="nil"/>
              <w:bottom w:val="nil"/>
              <w:right w:val="nil"/>
            </w:tcBorders>
            <w:shd w:val="clear" w:color="000000" w:fill="FFFFFF"/>
            <w:hideMark/>
          </w:tcPr>
          <w:p w:rsidR="00DB1652" w:rsidRDefault="00DB1652" w:rsidP="00D34C02">
            <w:pPr>
              <w:rPr>
                <w:sz w:val="18"/>
                <w:szCs w:val="18"/>
              </w:rPr>
            </w:pPr>
            <w:r>
              <w:rPr>
                <w:sz w:val="18"/>
                <w:szCs w:val="18"/>
              </w:rPr>
              <w:t>Payment of Transferred</w:t>
            </w:r>
            <w:r>
              <w:rPr>
                <w:sz w:val="18"/>
                <w:szCs w:val="18"/>
              </w:rPr>
              <w:br/>
              <w:t xml:space="preserve">   Cash Balances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364</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0</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372</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866</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1,133</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xml:space="preserve">31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1,187</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1,282</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1,262</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2,574</w:t>
            </w:r>
          </w:p>
        </w:tc>
        <w:tc>
          <w:tcPr>
            <w:tcW w:w="2392" w:type="dxa"/>
            <w:tcBorders>
              <w:top w:val="nil"/>
              <w:left w:val="nil"/>
              <w:bottom w:val="nil"/>
              <w:right w:val="nil"/>
            </w:tcBorders>
            <w:shd w:val="clear" w:color="000000" w:fill="FFFFFF"/>
            <w:hideMark/>
          </w:tcPr>
          <w:p w:rsidR="00DB1652" w:rsidRDefault="00DB1652" w:rsidP="00D34C02">
            <w:pPr>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5,856</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1,518</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xml:space="preserve">-74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-1,187</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-1,282</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-1,262</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-463</w:t>
            </w:r>
          </w:p>
        </w:tc>
        <w:tc>
          <w:tcPr>
            <w:tcW w:w="2392" w:type="dxa"/>
            <w:tcBorders>
              <w:top w:val="nil"/>
              <w:left w:val="nil"/>
              <w:bottom w:val="nil"/>
              <w:right w:val="nil"/>
            </w:tcBorders>
            <w:shd w:val="clear" w:color="000000" w:fill="FFFFFF"/>
            <w:hideMark/>
          </w:tcPr>
          <w:p w:rsidR="00DB1652" w:rsidRDefault="00DB1652" w:rsidP="00D34C02">
            <w:pPr>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352</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20</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xml:space="preserve">-94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8</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0</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DB1652" w:rsidRDefault="00DB1652" w:rsidP="00D34C0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r>
      <w:tr w:rsidR="00DB1652" w:rsidTr="00D34C02">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2,235</w:t>
            </w:r>
          </w:p>
        </w:tc>
        <w:tc>
          <w:tcPr>
            <w:tcW w:w="2392" w:type="dxa"/>
            <w:tcBorders>
              <w:top w:val="nil"/>
              <w:left w:val="nil"/>
              <w:bottom w:val="nil"/>
              <w:right w:val="nil"/>
            </w:tcBorders>
            <w:shd w:val="clear" w:color="000000" w:fill="FFFFFF"/>
            <w:hideMark/>
          </w:tcPr>
          <w:p w:rsidR="00DB1652" w:rsidRDefault="00DB1652" w:rsidP="00D34C02">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2,873</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3,225</w:t>
            </w:r>
          </w:p>
        </w:tc>
        <w:tc>
          <w:tcPr>
            <w:tcW w:w="62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 xml:space="preserve">12 </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3,245</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3,253</w:t>
            </w:r>
          </w:p>
        </w:tc>
        <w:tc>
          <w:tcPr>
            <w:tcW w:w="1054" w:type="dxa"/>
            <w:tcBorders>
              <w:top w:val="nil"/>
              <w:left w:val="nil"/>
              <w:bottom w:val="nil"/>
              <w:right w:val="nil"/>
            </w:tcBorders>
            <w:shd w:val="clear" w:color="000000" w:fill="FFFFFF"/>
            <w:noWrap/>
            <w:hideMark/>
          </w:tcPr>
          <w:p w:rsidR="00DB1652" w:rsidRDefault="00DB1652" w:rsidP="00D34C02">
            <w:pPr>
              <w:ind w:left="-283"/>
              <w:jc w:val="right"/>
              <w:rPr>
                <w:b/>
                <w:bCs/>
                <w:sz w:val="18"/>
                <w:szCs w:val="18"/>
              </w:rPr>
            </w:pPr>
            <w:r>
              <w:rPr>
                <w:b/>
                <w:bCs/>
                <w:sz w:val="18"/>
                <w:szCs w:val="18"/>
              </w:rPr>
              <w:t>3,253</w:t>
            </w:r>
          </w:p>
        </w:tc>
      </w:tr>
      <w:tr w:rsidR="00DB1652" w:rsidTr="00D34C02">
        <w:tc>
          <w:tcPr>
            <w:tcW w:w="1054" w:type="dxa"/>
            <w:tcBorders>
              <w:top w:val="nil"/>
              <w:left w:val="nil"/>
              <w:bottom w:val="nil"/>
              <w:right w:val="nil"/>
            </w:tcBorders>
            <w:shd w:val="clear" w:color="000000" w:fill="FFFFFF"/>
            <w:noWrap/>
            <w:hideMark/>
          </w:tcPr>
          <w:p w:rsidR="00DB1652" w:rsidRDefault="00DB1652" w:rsidP="00E01348">
            <w:pPr>
              <w:spacing w:before="60"/>
              <w:ind w:left="-283"/>
              <w:jc w:val="right"/>
              <w:rPr>
                <w:b/>
                <w:bCs/>
                <w:sz w:val="18"/>
                <w:szCs w:val="18"/>
              </w:rPr>
            </w:pPr>
            <w:r>
              <w:rPr>
                <w:b/>
                <w:bCs/>
                <w:sz w:val="18"/>
                <w:szCs w:val="18"/>
              </w:rPr>
              <w:t>1,772</w:t>
            </w:r>
          </w:p>
        </w:tc>
        <w:tc>
          <w:tcPr>
            <w:tcW w:w="2392" w:type="dxa"/>
            <w:tcBorders>
              <w:top w:val="nil"/>
              <w:left w:val="nil"/>
              <w:bottom w:val="nil"/>
              <w:right w:val="nil"/>
            </w:tcBorders>
            <w:shd w:val="clear" w:color="000000" w:fill="FFFFFF"/>
            <w:hideMark/>
          </w:tcPr>
          <w:p w:rsidR="00DB1652" w:rsidRDefault="00DB1652" w:rsidP="00E01348">
            <w:pPr>
              <w:spacing w:before="60"/>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DB1652" w:rsidRDefault="00DB1652" w:rsidP="00E01348">
            <w:pPr>
              <w:spacing w:before="60"/>
              <w:ind w:left="-283"/>
              <w:jc w:val="right"/>
              <w:rPr>
                <w:b/>
                <w:bCs/>
                <w:sz w:val="18"/>
                <w:szCs w:val="18"/>
              </w:rPr>
            </w:pPr>
            <w:r>
              <w:rPr>
                <w:b/>
                <w:bCs/>
                <w:sz w:val="18"/>
                <w:szCs w:val="18"/>
              </w:rPr>
              <w:t>3,225</w:t>
            </w:r>
          </w:p>
        </w:tc>
        <w:tc>
          <w:tcPr>
            <w:tcW w:w="1054" w:type="dxa"/>
            <w:tcBorders>
              <w:top w:val="nil"/>
              <w:left w:val="nil"/>
              <w:bottom w:val="nil"/>
              <w:right w:val="nil"/>
            </w:tcBorders>
            <w:shd w:val="clear" w:color="000000" w:fill="FFFFFF"/>
            <w:noWrap/>
            <w:hideMark/>
          </w:tcPr>
          <w:p w:rsidR="00DB1652" w:rsidRDefault="00DB1652" w:rsidP="00E01348">
            <w:pPr>
              <w:spacing w:before="60"/>
              <w:ind w:left="-283"/>
              <w:jc w:val="right"/>
              <w:rPr>
                <w:b/>
                <w:bCs/>
                <w:sz w:val="18"/>
                <w:szCs w:val="18"/>
              </w:rPr>
            </w:pPr>
            <w:r>
              <w:rPr>
                <w:b/>
                <w:bCs/>
                <w:sz w:val="18"/>
                <w:szCs w:val="18"/>
              </w:rPr>
              <w:t>3,245</w:t>
            </w:r>
          </w:p>
        </w:tc>
        <w:tc>
          <w:tcPr>
            <w:tcW w:w="624" w:type="dxa"/>
            <w:tcBorders>
              <w:top w:val="nil"/>
              <w:left w:val="nil"/>
              <w:bottom w:val="nil"/>
              <w:right w:val="nil"/>
            </w:tcBorders>
            <w:shd w:val="clear" w:color="000000" w:fill="FFFFFF"/>
            <w:noWrap/>
            <w:hideMark/>
          </w:tcPr>
          <w:p w:rsidR="00DB1652" w:rsidRDefault="00DB1652" w:rsidP="00E01348">
            <w:pPr>
              <w:spacing w:before="60"/>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DB1652" w:rsidRDefault="00DB1652" w:rsidP="00E01348">
            <w:pPr>
              <w:spacing w:before="60"/>
              <w:ind w:left="-283"/>
              <w:jc w:val="right"/>
              <w:rPr>
                <w:b/>
                <w:bCs/>
                <w:sz w:val="18"/>
                <w:szCs w:val="18"/>
              </w:rPr>
            </w:pPr>
            <w:r>
              <w:rPr>
                <w:b/>
                <w:bCs/>
                <w:sz w:val="18"/>
                <w:szCs w:val="18"/>
              </w:rPr>
              <w:t>3,253</w:t>
            </w:r>
          </w:p>
        </w:tc>
        <w:tc>
          <w:tcPr>
            <w:tcW w:w="1054" w:type="dxa"/>
            <w:tcBorders>
              <w:top w:val="nil"/>
              <w:left w:val="nil"/>
              <w:bottom w:val="nil"/>
              <w:right w:val="nil"/>
            </w:tcBorders>
            <w:shd w:val="clear" w:color="000000" w:fill="FFFFFF"/>
            <w:noWrap/>
            <w:hideMark/>
          </w:tcPr>
          <w:p w:rsidR="00DB1652" w:rsidRDefault="00DB1652" w:rsidP="00E01348">
            <w:pPr>
              <w:spacing w:before="60"/>
              <w:ind w:left="-283"/>
              <w:jc w:val="right"/>
              <w:rPr>
                <w:b/>
                <w:bCs/>
                <w:sz w:val="18"/>
                <w:szCs w:val="18"/>
              </w:rPr>
            </w:pPr>
            <w:r>
              <w:rPr>
                <w:b/>
                <w:bCs/>
                <w:sz w:val="18"/>
                <w:szCs w:val="18"/>
              </w:rPr>
              <w:t>3,253</w:t>
            </w:r>
          </w:p>
        </w:tc>
        <w:tc>
          <w:tcPr>
            <w:tcW w:w="1054" w:type="dxa"/>
            <w:tcBorders>
              <w:top w:val="nil"/>
              <w:left w:val="nil"/>
              <w:bottom w:val="nil"/>
              <w:right w:val="nil"/>
            </w:tcBorders>
            <w:shd w:val="clear" w:color="000000" w:fill="FFFFFF"/>
            <w:noWrap/>
            <w:hideMark/>
          </w:tcPr>
          <w:p w:rsidR="00DB1652" w:rsidRDefault="00DB1652" w:rsidP="00E01348">
            <w:pPr>
              <w:spacing w:before="60"/>
              <w:ind w:left="-283"/>
              <w:jc w:val="right"/>
              <w:rPr>
                <w:b/>
                <w:bCs/>
                <w:sz w:val="18"/>
                <w:szCs w:val="18"/>
              </w:rPr>
            </w:pPr>
            <w:r>
              <w:rPr>
                <w:b/>
                <w:bCs/>
                <w:sz w:val="18"/>
                <w:szCs w:val="18"/>
              </w:rPr>
              <w:t>3,253</w:t>
            </w:r>
          </w:p>
        </w:tc>
      </w:tr>
      <w:tr w:rsidR="00DB1652" w:rsidTr="00D34C02">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noWrap/>
            <w:hideMark/>
          </w:tcPr>
          <w:p w:rsidR="00DB1652" w:rsidRDefault="00DB1652" w:rsidP="00D34C02">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DB1652" w:rsidRDefault="00DB1652" w:rsidP="00D34C02">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DB1652" w:rsidRDefault="00DB1652" w:rsidP="00D34C02">
            <w:pPr>
              <w:ind w:left="-283"/>
              <w:jc w:val="right"/>
              <w:rPr>
                <w:sz w:val="18"/>
                <w:szCs w:val="18"/>
              </w:rPr>
            </w:pPr>
            <w:r>
              <w:rPr>
                <w:sz w:val="18"/>
                <w:szCs w:val="18"/>
              </w:rPr>
              <w:t> </w:t>
            </w:r>
          </w:p>
        </w:tc>
      </w:tr>
    </w:tbl>
    <w:p w:rsidR="00615948" w:rsidRDefault="00615948">
      <w:pPr>
        <w:spacing w:after="200" w:line="276" w:lineRule="auto"/>
      </w:pPr>
    </w:p>
    <w:p w:rsidR="00615948" w:rsidRDefault="00615948">
      <w:pPr>
        <w:spacing w:after="200" w:line="276" w:lineRule="auto"/>
      </w:pPr>
      <w:r>
        <w:br w:type="page"/>
      </w:r>
    </w:p>
    <w:p w:rsidR="00B21C59" w:rsidRPr="00D232C8" w:rsidRDefault="00B21C59" w:rsidP="00B21C59">
      <w:pPr>
        <w:pStyle w:val="Heading3"/>
      </w:pPr>
      <w:r w:rsidRPr="00D232C8">
        <w:lastRenderedPageBreak/>
        <w:t>Notes to the Budget Statements</w:t>
      </w:r>
    </w:p>
    <w:p w:rsidR="00B21C59" w:rsidRPr="00D232C8" w:rsidRDefault="00B21C59" w:rsidP="00B21C59">
      <w:pPr>
        <w:pStyle w:val="BodyText"/>
      </w:pPr>
      <w:r w:rsidRPr="00D232C8">
        <w:t>Significant variations are as follows:</w:t>
      </w:r>
    </w:p>
    <w:p w:rsidR="00B21C59" w:rsidRPr="00D232C8" w:rsidRDefault="00B21C59" w:rsidP="00B21C59">
      <w:pPr>
        <w:pStyle w:val="Heading4"/>
      </w:pPr>
      <w:r w:rsidRPr="00D232C8">
        <w:t xml:space="preserve">Operating Statement </w:t>
      </w:r>
    </w:p>
    <w:p w:rsidR="00B21C59" w:rsidRPr="00D232C8" w:rsidRDefault="00B21C59" w:rsidP="00062901">
      <w:pPr>
        <w:pStyle w:val="BodyTextIndent"/>
      </w:pPr>
      <w:r w:rsidRPr="00D232C8">
        <w:t>government payment for outputs:</w:t>
      </w:r>
      <w:r w:rsidR="00062901">
        <w:t xml:space="preserve"> </w:t>
      </w:r>
      <w:r w:rsidRPr="00D232C8">
        <w:t>the increase of $22.764 million in the 2012</w:t>
      </w:r>
      <w:r w:rsidRPr="00D232C8">
        <w:noBreakHyphen/>
        <w:t>13 estimated outcome from the original budget is mainly due to the transfer of functions from the former Treasury Directorate (TD) ($2</w:t>
      </w:r>
      <w:r>
        <w:t>2</w:t>
      </w:r>
      <w:r w:rsidRPr="00D232C8">
        <w:t xml:space="preserve">.907 million) and the Injury Management and Safety (IMS) unit from the Shared Services Centre (SSC) ($0.634 million) following the Administrative Arrangements of 9 November 2012 (the AAs), receipt of a Treasurer’s Advance for the Independent Competition and Regulatory Commission (ICRC) </w:t>
      </w:r>
      <w:r>
        <w:t xml:space="preserve">Secondary </w:t>
      </w:r>
      <w:r w:rsidRPr="00D232C8">
        <w:t>Water Use</w:t>
      </w:r>
      <w:r>
        <w:t xml:space="preserve"> Investigation</w:t>
      </w:r>
      <w:r w:rsidRPr="00D232C8">
        <w:t xml:space="preserve"> ($0.722 million), the rollover of appropriation from 2011</w:t>
      </w:r>
      <w:r w:rsidRPr="00D232C8">
        <w:noBreakHyphen/>
        <w:t>12 ($2.918 million), and 2</w:t>
      </w:r>
      <w:r w:rsidRPr="009C23B6">
        <w:rPr>
          <w:vertAlign w:val="superscript"/>
        </w:rPr>
        <w:t>nd</w:t>
      </w:r>
      <w:r w:rsidRPr="00D232C8">
        <w:t> Appropriation funding representing the rollover of 2011</w:t>
      </w:r>
      <w:r w:rsidRPr="00D232C8">
        <w:noBreakHyphen/>
        <w:t>12 appropriation from the former TD to CMTD in 2012</w:t>
      </w:r>
      <w:r w:rsidRPr="00D232C8">
        <w:noBreakHyphen/>
        <w:t>13 ($4.755 million), partially offset by the rollover of funding to 2013</w:t>
      </w:r>
      <w:r w:rsidRPr="00D232C8">
        <w:noBreakHyphen/>
        <w:t>14 ($9.183 million).</w:t>
      </w:r>
    </w:p>
    <w:p w:rsidR="00B21C59" w:rsidRPr="00D232C8" w:rsidRDefault="00B21C59" w:rsidP="00B21C59">
      <w:pPr>
        <w:pStyle w:val="BodyTextIndent"/>
      </w:pPr>
      <w:r w:rsidRPr="00D232C8">
        <w:t>user charges – ACT Government:</w:t>
      </w:r>
    </w:p>
    <w:p w:rsidR="00B21C59" w:rsidRPr="00D232C8" w:rsidRDefault="00B21C59" w:rsidP="00B21C59">
      <w:pPr>
        <w:pStyle w:val="BodyTextIndent2"/>
        <w:keepNext w:val="0"/>
        <w:ind w:left="714" w:hanging="357"/>
      </w:pPr>
      <w:r w:rsidRPr="00D232C8">
        <w:t>the increase of $1.968 million in the 2012</w:t>
      </w:r>
      <w:r w:rsidRPr="00D232C8">
        <w:noBreakHyphen/>
        <w:t>13 estimated outcome from the original budget is due to the transfer of the IMS unit from SSC</w:t>
      </w:r>
      <w:r>
        <w:t>; and</w:t>
      </w:r>
    </w:p>
    <w:p w:rsidR="00B21C59" w:rsidRPr="00D232C8" w:rsidRDefault="00B21C59" w:rsidP="00B21C59">
      <w:pPr>
        <w:pStyle w:val="BodyTextIndent2"/>
        <w:keepNext w:val="0"/>
        <w:ind w:left="714" w:hanging="357"/>
      </w:pPr>
      <w:proofErr w:type="gramStart"/>
      <w:r w:rsidRPr="00D232C8">
        <w:t>the</w:t>
      </w:r>
      <w:proofErr w:type="gramEnd"/>
      <w:r w:rsidRPr="00D232C8">
        <w:t xml:space="preserve"> increase of $1.662 million in the 2013</w:t>
      </w:r>
      <w:r w:rsidRPr="00D232C8">
        <w:noBreakHyphen/>
        <w:t>14 Budget from the 2012</w:t>
      </w:r>
      <w:r w:rsidRPr="00D232C8">
        <w:noBreakHyphen/>
        <w:t xml:space="preserve">13 estimated outcome is </w:t>
      </w:r>
      <w:r>
        <w:t xml:space="preserve">mainly </w:t>
      </w:r>
      <w:r w:rsidRPr="00D232C8">
        <w:t>due to the full year impact of the transfer of the IMS unit from SSC ($1.382 million</w:t>
      </w:r>
      <w:r>
        <w:t>)</w:t>
      </w:r>
      <w:r w:rsidRPr="00D232C8">
        <w:t>.</w:t>
      </w:r>
    </w:p>
    <w:p w:rsidR="00B21C59" w:rsidRPr="00D232C8" w:rsidRDefault="00B21C59" w:rsidP="00B21C59">
      <w:pPr>
        <w:pStyle w:val="BodyTextIndent"/>
      </w:pPr>
      <w:r w:rsidRPr="00D232C8">
        <w:t>interest:</w:t>
      </w:r>
    </w:p>
    <w:p w:rsidR="00B21C59" w:rsidRPr="00D232C8" w:rsidRDefault="00B21C59" w:rsidP="00B21C59">
      <w:pPr>
        <w:pStyle w:val="BodyTextIndent2"/>
        <w:keepNext w:val="0"/>
        <w:ind w:left="714" w:hanging="357"/>
      </w:pPr>
      <w:r w:rsidRPr="00D232C8">
        <w:t>the increase of $2.463 million in the 2012</w:t>
      </w:r>
      <w:r w:rsidRPr="00D232C8">
        <w:noBreakHyphen/>
        <w:t xml:space="preserve">13 estimated outcome from the original budget is mainly due to the </w:t>
      </w:r>
      <w:r w:rsidR="00591232">
        <w:t xml:space="preserve">full year impact of the </w:t>
      </w:r>
      <w:r w:rsidRPr="00D232C8">
        <w:t xml:space="preserve">transfer of functions from the former TD, and </w:t>
      </w:r>
      <w:r>
        <w:t>mainly</w:t>
      </w:r>
      <w:r w:rsidRPr="00D232C8">
        <w:t xml:space="preserve"> represents interest </w:t>
      </w:r>
      <w:r>
        <w:t>income</w:t>
      </w:r>
      <w:r w:rsidRPr="00D232C8">
        <w:t xml:space="preserve"> associated with the University of Canberra (UC) and Community Housing Canberra (CHC) loans; and</w:t>
      </w:r>
    </w:p>
    <w:p w:rsidR="00B21C59" w:rsidRPr="00D232C8" w:rsidRDefault="00B21C59" w:rsidP="00B21C59">
      <w:pPr>
        <w:pStyle w:val="BodyTextIndent2"/>
        <w:keepNext w:val="0"/>
        <w:ind w:left="714" w:hanging="357"/>
      </w:pPr>
      <w:proofErr w:type="gramStart"/>
      <w:r w:rsidRPr="00D232C8">
        <w:t>the</w:t>
      </w:r>
      <w:proofErr w:type="gramEnd"/>
      <w:r w:rsidRPr="00D232C8">
        <w:t xml:space="preserve"> increase of $1.069 million in the 2013</w:t>
      </w:r>
      <w:r w:rsidRPr="00D232C8">
        <w:noBreakHyphen/>
        <w:t>14 Budget from the 2012</w:t>
      </w:r>
      <w:r w:rsidRPr="00D232C8">
        <w:noBreakHyphen/>
        <w:t xml:space="preserve">13 estimated outcome is </w:t>
      </w:r>
      <w:r>
        <w:t>mainly</w:t>
      </w:r>
      <w:r w:rsidRPr="00D232C8">
        <w:t xml:space="preserve"> due to the transfer of functions from the former TD, and </w:t>
      </w:r>
      <w:r>
        <w:t>mainly</w:t>
      </w:r>
      <w:r w:rsidRPr="00D232C8">
        <w:t xml:space="preserve"> represents interest </w:t>
      </w:r>
      <w:r>
        <w:t>income</w:t>
      </w:r>
      <w:r w:rsidRPr="00D232C8">
        <w:t xml:space="preserve"> associated with the UC and CHC loans.  </w:t>
      </w:r>
      <w:r w:rsidR="007864B8">
        <w:t>It also includes an</w:t>
      </w:r>
      <w:r w:rsidRPr="00D232C8">
        <w:t xml:space="preserve"> increase in interest associated with a new loan to Exhibition Park Corporation (EPC).</w:t>
      </w:r>
    </w:p>
    <w:p w:rsidR="00B21C59" w:rsidRPr="00D232C8" w:rsidRDefault="00B21C59" w:rsidP="00B21C59">
      <w:pPr>
        <w:pStyle w:val="BodyTextIndent"/>
        <w:keepNext w:val="0"/>
        <w:ind w:left="357" w:hanging="357"/>
      </w:pPr>
      <w:proofErr w:type="gramStart"/>
      <w:r w:rsidRPr="00D232C8">
        <w:t>resources</w:t>
      </w:r>
      <w:proofErr w:type="gramEnd"/>
      <w:r w:rsidRPr="00D232C8">
        <w:t xml:space="preserve"> received free of charge:  the increase of $0.504 million in the 2012</w:t>
      </w:r>
      <w:r w:rsidRPr="00D232C8">
        <w:noBreakHyphen/>
        <w:t>13 estimated outcome from the original budget is mainly due to the transfer of functions from the former TD.</w:t>
      </w:r>
    </w:p>
    <w:p w:rsidR="00B21C59" w:rsidRPr="00EB4B40" w:rsidRDefault="00B21C59" w:rsidP="00B21C59">
      <w:pPr>
        <w:pStyle w:val="BodyTextIndent"/>
        <w:keepNext w:val="0"/>
        <w:ind w:left="357" w:hanging="357"/>
      </w:pPr>
      <w:proofErr w:type="gramStart"/>
      <w:r>
        <w:t>other</w:t>
      </w:r>
      <w:proofErr w:type="gramEnd"/>
      <w:r>
        <w:t xml:space="preserve"> gains:  the increase of $5.341 million in the 2013</w:t>
      </w:r>
      <w:r>
        <w:noBreakHyphen/>
        <w:t>14 Budget from the 2012</w:t>
      </w:r>
      <w:r>
        <w:noBreakHyphen/>
        <w:t xml:space="preserve">13 estimated outcome is due to the transfer of Whole of Government Banking and Oracle E-Business Suite projects from the Commerce and Works Directorate (CWD). </w:t>
      </w:r>
    </w:p>
    <w:p w:rsidR="00B21C59" w:rsidRPr="00D232C8" w:rsidRDefault="00B21C59" w:rsidP="00B21C59">
      <w:pPr>
        <w:pStyle w:val="BodyTextIndent"/>
      </w:pPr>
      <w:r w:rsidRPr="00D232C8">
        <w:t>employee expenses:</w:t>
      </w:r>
    </w:p>
    <w:p w:rsidR="00B21C59" w:rsidRPr="00D232C8" w:rsidRDefault="00B21C59" w:rsidP="00B21C59">
      <w:pPr>
        <w:pStyle w:val="BodyTextIndent2"/>
        <w:keepNext w:val="0"/>
        <w:ind w:left="714" w:hanging="357"/>
      </w:pPr>
      <w:r w:rsidRPr="00D232C8">
        <w:t>the increase of $6.9 million in the 2012</w:t>
      </w:r>
      <w:r w:rsidRPr="00D232C8">
        <w:noBreakHyphen/>
        <w:t xml:space="preserve">13 estimated outcome from the original budget is due </w:t>
      </w:r>
      <w:r>
        <w:t>mainly</w:t>
      </w:r>
      <w:r w:rsidRPr="00D232C8">
        <w:t xml:space="preserve"> to the transfers of functions from the former TD ($4.850 million) and the IMS unit from SSC ($1.949 million); and</w:t>
      </w:r>
    </w:p>
    <w:p w:rsidR="00B21C59" w:rsidRPr="00D232C8" w:rsidRDefault="00B21C59" w:rsidP="00B21C59">
      <w:pPr>
        <w:pStyle w:val="BodyTextIndent2"/>
        <w:keepNext w:val="0"/>
        <w:ind w:left="714" w:hanging="357"/>
      </w:pPr>
      <w:r w:rsidRPr="00D232C8">
        <w:lastRenderedPageBreak/>
        <w:t xml:space="preserve">the increase of $4.375 million in </w:t>
      </w:r>
      <w:r w:rsidRPr="003F540C">
        <w:t>the 2013</w:t>
      </w:r>
      <w:r w:rsidRPr="003F540C">
        <w:noBreakHyphen/>
        <w:t>14 Budget from the 2012</w:t>
      </w:r>
      <w:r w:rsidRPr="003F540C">
        <w:noBreakHyphen/>
        <w:t>13 estimated outcome is mainly due to new initiatives ($0.167 million) and the f</w:t>
      </w:r>
      <w:r w:rsidR="00CD1C68">
        <w:t>ull year impact of the transfer</w:t>
      </w:r>
      <w:r w:rsidRPr="003F540C">
        <w:t xml:space="preserve"> of functions from the former TD</w:t>
      </w:r>
      <w:r w:rsidRPr="00D232C8">
        <w:t xml:space="preserve"> ($3.618 million) and the IMS unit from SSC ($1.222 million</w:t>
      </w:r>
      <w:r w:rsidR="00D84573">
        <w:t>), partially offset by lower</w:t>
      </w:r>
      <w:r w:rsidRPr="00D232C8">
        <w:t xml:space="preserve"> employee expenses associated with the </w:t>
      </w:r>
      <w:r w:rsidR="00BE25CE">
        <w:t xml:space="preserve">completion of </w:t>
      </w:r>
      <w:r w:rsidRPr="00D232C8">
        <w:t xml:space="preserve">Centenary </w:t>
      </w:r>
      <w:r>
        <w:t xml:space="preserve">of Canberra – ACT Celebratory Program (Centenary </w:t>
      </w:r>
      <w:r w:rsidRPr="00D232C8">
        <w:t>Program</w:t>
      </w:r>
      <w:r>
        <w:t>)</w:t>
      </w:r>
      <w:r w:rsidRPr="00D232C8">
        <w:t xml:space="preserve"> activities.</w:t>
      </w:r>
    </w:p>
    <w:p w:rsidR="00B21C59" w:rsidRPr="00D232C8" w:rsidRDefault="00B21C59" w:rsidP="00B21C59">
      <w:pPr>
        <w:pStyle w:val="BodyTextIndent"/>
      </w:pPr>
      <w:r w:rsidRPr="00D232C8">
        <w:t>superannuation expenses:</w:t>
      </w:r>
    </w:p>
    <w:p w:rsidR="00B21C59" w:rsidRPr="00D232C8" w:rsidRDefault="00B21C59" w:rsidP="00B21C59">
      <w:pPr>
        <w:pStyle w:val="BodyTextIndent2"/>
        <w:keepNext w:val="0"/>
        <w:ind w:left="714" w:hanging="357"/>
      </w:pPr>
      <w:r w:rsidRPr="00D232C8">
        <w:t>the increase of $1.557 million in the 2012</w:t>
      </w:r>
      <w:r w:rsidRPr="00D232C8">
        <w:noBreakHyphen/>
        <w:t>13 estimated outcome from the original budget is m</w:t>
      </w:r>
      <w:r>
        <w:t>ainly</w:t>
      </w:r>
      <w:r w:rsidRPr="00D232C8">
        <w:t xml:space="preserve"> due the transfer of functions from the former TD ($1.279 million) and the IMS unit from SSC ($0.262 million); and</w:t>
      </w:r>
    </w:p>
    <w:p w:rsidR="00B21C59" w:rsidRPr="00D232C8" w:rsidRDefault="00B21C59" w:rsidP="00B21C59">
      <w:pPr>
        <w:pStyle w:val="BodyTextIndent2"/>
        <w:keepNext w:val="0"/>
        <w:ind w:left="714" w:hanging="357"/>
      </w:pPr>
      <w:proofErr w:type="gramStart"/>
      <w:r w:rsidRPr="00D232C8">
        <w:t>the</w:t>
      </w:r>
      <w:proofErr w:type="gramEnd"/>
      <w:r w:rsidRPr="00D232C8">
        <w:t xml:space="preserve"> increase of $0.697 million in the 2013</w:t>
      </w:r>
      <w:r w:rsidRPr="00D232C8">
        <w:noBreakHyphen/>
        <w:t>14 Budget from the 2012</w:t>
      </w:r>
      <w:r w:rsidRPr="00D232C8">
        <w:noBreakHyphen/>
        <w:t>13 estimated outcome is mainly due to a re</w:t>
      </w:r>
      <w:r w:rsidRPr="00D232C8">
        <w:noBreakHyphen/>
      </w:r>
      <w:proofErr w:type="spellStart"/>
      <w:r w:rsidRPr="00D232C8">
        <w:t>profiling</w:t>
      </w:r>
      <w:proofErr w:type="spellEnd"/>
      <w:r w:rsidRPr="00D232C8">
        <w:t xml:space="preserve"> of superannuation expenses, and the f</w:t>
      </w:r>
      <w:r w:rsidR="00BE45ED">
        <w:t>ull year impact of the transfer</w:t>
      </w:r>
      <w:r w:rsidRPr="00D232C8">
        <w:t xml:space="preserve"> of functions from the former TD ($0.143 million) and the IMS unit from SSC ($0.117 million).</w:t>
      </w:r>
    </w:p>
    <w:p w:rsidR="00B21C59" w:rsidRPr="00D232C8" w:rsidRDefault="00B21C59" w:rsidP="00B21C59">
      <w:pPr>
        <w:pStyle w:val="BodyTextIndent"/>
      </w:pPr>
      <w:r w:rsidRPr="00D232C8">
        <w:t>supplies and services:</w:t>
      </w:r>
    </w:p>
    <w:p w:rsidR="00B21C59" w:rsidRPr="006668A3" w:rsidRDefault="00B21C59" w:rsidP="00B21C59">
      <w:pPr>
        <w:pStyle w:val="BodyTextIndent2"/>
        <w:keepNext w:val="0"/>
        <w:ind w:left="714" w:hanging="357"/>
      </w:pPr>
      <w:r w:rsidRPr="00D232C8">
        <w:t>the increase of $7.451 million in the 2012</w:t>
      </w:r>
      <w:r w:rsidRPr="00D232C8">
        <w:noBreakHyphen/>
        <w:t>13 estimated outcome from the original budget is mainly due to the transfer of functions from the former TD ($6.159 million) and the IMS unit from SSC ($0.428 million), the rollover of appropriation from 2011</w:t>
      </w:r>
      <w:r w:rsidRPr="00D232C8">
        <w:noBreakHyphen/>
        <w:t>12 ($2.904 million), and 2</w:t>
      </w:r>
      <w:r w:rsidRPr="00D232C8">
        <w:rPr>
          <w:vertAlign w:val="superscript"/>
        </w:rPr>
        <w:t>nd</w:t>
      </w:r>
      <w:r w:rsidRPr="00D232C8">
        <w:t xml:space="preserve"> Appropriation funding </w:t>
      </w:r>
      <w:r w:rsidRPr="006668A3">
        <w:t>($1.456 million), partially offset by the rollover of 2012</w:t>
      </w:r>
      <w:r w:rsidRPr="006668A3">
        <w:noBreakHyphen/>
        <w:t>13 funding to 2013</w:t>
      </w:r>
      <w:r w:rsidRPr="006668A3">
        <w:noBreakHyphen/>
        <w:t>14 ($2.817 million); and</w:t>
      </w:r>
    </w:p>
    <w:p w:rsidR="00B21C59" w:rsidRPr="006668A3" w:rsidRDefault="00B21C59" w:rsidP="00B21C59">
      <w:pPr>
        <w:pStyle w:val="BodyTextIndent2"/>
        <w:keepNext w:val="0"/>
        <w:ind w:left="714" w:hanging="357"/>
      </w:pPr>
      <w:r w:rsidRPr="006668A3">
        <w:t>the decrease of $7.203 million in the 2013</w:t>
      </w:r>
      <w:r w:rsidRPr="006668A3">
        <w:noBreakHyphen/>
        <w:t>14 Budget from the 2012</w:t>
      </w:r>
      <w:r w:rsidRPr="006668A3">
        <w:noBreakHyphen/>
        <w:t>13 estimated outcome is mainly due to a decrease in Centenary Program activities, removal of the impact of the rollover of appropriation from 2011</w:t>
      </w:r>
      <w:r w:rsidRPr="006668A3">
        <w:noBreakHyphen/>
        <w:t>12 ($2.904 million)</w:t>
      </w:r>
      <w:r>
        <w:t xml:space="preserve"> and</w:t>
      </w:r>
      <w:r w:rsidRPr="006668A3">
        <w:t xml:space="preserve"> </w:t>
      </w:r>
      <w:r>
        <w:t xml:space="preserve">the </w:t>
      </w:r>
      <w:r w:rsidRPr="006668A3">
        <w:t>2</w:t>
      </w:r>
      <w:r w:rsidRPr="006668A3">
        <w:rPr>
          <w:vertAlign w:val="superscript"/>
        </w:rPr>
        <w:t>nd</w:t>
      </w:r>
      <w:r w:rsidRPr="006668A3">
        <w:t> Appropriation funding ($1.456 million) and general savings ($0.950 million).  This is partially offset by the rollover of funding to 2013</w:t>
      </w:r>
      <w:r w:rsidRPr="006668A3">
        <w:noBreakHyphen/>
        <w:t>14 ($5.634 million), new initiatives ($2.159 million) and the full year impact of the transfer of functions from the former TD and the IMS unit from SSC.</w:t>
      </w:r>
    </w:p>
    <w:p w:rsidR="00B21C59" w:rsidRPr="00D232C8" w:rsidRDefault="00B21C59" w:rsidP="00B21C59">
      <w:pPr>
        <w:pStyle w:val="BodyTextIndent"/>
      </w:pPr>
      <w:proofErr w:type="gramStart"/>
      <w:r w:rsidRPr="00D232C8">
        <w:t>depreciation</w:t>
      </w:r>
      <w:proofErr w:type="gramEnd"/>
      <w:r w:rsidRPr="00D232C8">
        <w:t xml:space="preserve"> and amortisation:</w:t>
      </w:r>
      <w:r>
        <w:t xml:space="preserve">  </w:t>
      </w:r>
      <w:r w:rsidRPr="00D232C8">
        <w:t>the increase of $1.383 million in the 2013</w:t>
      </w:r>
      <w:r w:rsidRPr="00D232C8">
        <w:noBreakHyphen/>
        <w:t>14 Budget from the 2012</w:t>
      </w:r>
      <w:r w:rsidRPr="00D232C8">
        <w:noBreakHyphen/>
        <w:t xml:space="preserve">13 estimated outcome is due </w:t>
      </w:r>
      <w:r>
        <w:t>mainly</w:t>
      </w:r>
      <w:r w:rsidRPr="00D232C8">
        <w:t xml:space="preserve"> to transfer of assets from the former TD.</w:t>
      </w:r>
    </w:p>
    <w:p w:rsidR="00B21C59" w:rsidRPr="00D232C8" w:rsidRDefault="00B21C59" w:rsidP="00B21C59">
      <w:pPr>
        <w:pStyle w:val="BodyTextIndent"/>
      </w:pPr>
      <w:r w:rsidRPr="00D232C8">
        <w:t>borrowing costs:</w:t>
      </w:r>
    </w:p>
    <w:p w:rsidR="00B21C59" w:rsidRPr="00D232C8" w:rsidRDefault="00B21C59" w:rsidP="00B21C59">
      <w:pPr>
        <w:pStyle w:val="BodyTextIndent2"/>
        <w:keepNext w:val="0"/>
        <w:ind w:left="714" w:hanging="357"/>
      </w:pPr>
      <w:r w:rsidRPr="00D232C8">
        <w:t>the increase of $2.463 million in the 2012</w:t>
      </w:r>
      <w:r w:rsidRPr="00D232C8">
        <w:noBreakHyphen/>
        <w:t xml:space="preserve">13 estimated outcome from the original budget is mainly due to the transfer of functions from the former TD, and </w:t>
      </w:r>
      <w:r>
        <w:t>mainly</w:t>
      </w:r>
      <w:r w:rsidRPr="00D232C8">
        <w:t xml:space="preserve"> represents interest </w:t>
      </w:r>
      <w:r w:rsidR="00591232">
        <w:t xml:space="preserve">on the </w:t>
      </w:r>
      <w:r w:rsidRPr="00D232C8">
        <w:t>UC and CHC loans; and</w:t>
      </w:r>
    </w:p>
    <w:p w:rsidR="00B21C59" w:rsidRPr="00D232C8" w:rsidRDefault="00B21C59" w:rsidP="00B21C59">
      <w:pPr>
        <w:pStyle w:val="BodyTextIndent2"/>
        <w:keepNext w:val="0"/>
        <w:ind w:left="714" w:hanging="357"/>
      </w:pPr>
      <w:proofErr w:type="gramStart"/>
      <w:r w:rsidRPr="00D232C8">
        <w:t>the</w:t>
      </w:r>
      <w:proofErr w:type="gramEnd"/>
      <w:r w:rsidRPr="00D232C8">
        <w:t xml:space="preserve"> increase of $1.069 million in the 2013</w:t>
      </w:r>
      <w:r w:rsidRPr="00D232C8">
        <w:noBreakHyphen/>
        <w:t>14 Budget from the 2012</w:t>
      </w:r>
      <w:r w:rsidRPr="00D232C8">
        <w:noBreakHyphen/>
        <w:t xml:space="preserve">13 estimated outcome is due to interest owed to the TBA </w:t>
      </w:r>
      <w:r w:rsidR="00591232">
        <w:t>on the</w:t>
      </w:r>
      <w:r w:rsidRPr="00D232C8">
        <w:t xml:space="preserve"> UC and CHC loans</w:t>
      </w:r>
      <w:r w:rsidR="009E7DF4">
        <w:t xml:space="preserve"> and a</w:t>
      </w:r>
      <w:r w:rsidRPr="00D232C8">
        <w:t xml:space="preserve"> new loan to EPC.</w:t>
      </w:r>
    </w:p>
    <w:p w:rsidR="00B21C59" w:rsidRPr="00D232C8" w:rsidRDefault="00B21C59" w:rsidP="00B21C59">
      <w:pPr>
        <w:pStyle w:val="BodyTextIndent"/>
      </w:pPr>
      <w:r w:rsidRPr="00D232C8">
        <w:lastRenderedPageBreak/>
        <w:t>grants and purchased services:</w:t>
      </w:r>
    </w:p>
    <w:p w:rsidR="00B21C59" w:rsidRPr="00D232C8" w:rsidRDefault="00B21C59" w:rsidP="00B21C59">
      <w:pPr>
        <w:pStyle w:val="BodyTextIndent2"/>
        <w:keepNext w:val="0"/>
        <w:ind w:left="714" w:hanging="357"/>
      </w:pPr>
      <w:r w:rsidRPr="00D232C8">
        <w:t>the increase of $9.412 million in the 2012</w:t>
      </w:r>
      <w:r w:rsidRPr="00D232C8">
        <w:noBreakHyphen/>
        <w:t xml:space="preserve">13 estimated outcome from the original budget is mainly due to the transfer of functions from the former TD ($10.863 million), a Treasurer’s Advance received for the ICRC </w:t>
      </w:r>
      <w:r>
        <w:t xml:space="preserve">Secondary </w:t>
      </w:r>
      <w:r w:rsidRPr="00D232C8">
        <w:t>Water Use</w:t>
      </w:r>
      <w:r>
        <w:t xml:space="preserve"> Investigation</w:t>
      </w:r>
      <w:r w:rsidRPr="00D232C8">
        <w:t xml:space="preserve"> ($0.722 million), and </w:t>
      </w:r>
      <w:r>
        <w:t xml:space="preserve">the </w:t>
      </w:r>
      <w:r w:rsidRPr="00D232C8">
        <w:t>2</w:t>
      </w:r>
      <w:r w:rsidRPr="00D232C8">
        <w:rPr>
          <w:vertAlign w:val="superscript"/>
        </w:rPr>
        <w:t>nd</w:t>
      </w:r>
      <w:r w:rsidRPr="00D232C8">
        <w:t> Appropriation funding ($3.093 million), partially offset by the rollover of funding to 2013</w:t>
      </w:r>
      <w:r w:rsidRPr="00D232C8">
        <w:noBreakHyphen/>
        <w:t>14 ($6.366 million); and</w:t>
      </w:r>
    </w:p>
    <w:p w:rsidR="00B21C59" w:rsidRPr="00D232C8" w:rsidRDefault="00B21C59" w:rsidP="00B21C59">
      <w:pPr>
        <w:pStyle w:val="BodyTextIndent2"/>
        <w:keepNext w:val="0"/>
        <w:ind w:left="714" w:hanging="357"/>
      </w:pPr>
      <w:r w:rsidRPr="00D232C8">
        <w:t>the increase of $4.587 million in the 2013</w:t>
      </w:r>
      <w:r w:rsidRPr="00D232C8">
        <w:noBreakHyphen/>
        <w:t>14 Budget from the 2012</w:t>
      </w:r>
      <w:r w:rsidRPr="00D232C8">
        <w:noBreakHyphen/>
        <w:t xml:space="preserve">13 estimated outcome is </w:t>
      </w:r>
      <w:r>
        <w:t>mainly due</w:t>
      </w:r>
      <w:r w:rsidRPr="00D232C8">
        <w:t xml:space="preserve"> to new initiatives ($0.5 million) and the rollover of funding to 2013</w:t>
      </w:r>
      <w:r w:rsidRPr="00D232C8">
        <w:noBreakHyphen/>
        <w:t>14 ($12.732 million), partially offset by the removal of the impact of the rollover of appropriation from 2011</w:t>
      </w:r>
      <w:r w:rsidRPr="00D232C8">
        <w:noBreakHyphen/>
        <w:t>12 ($3.903 million) and the one</w:t>
      </w:r>
      <w:r w:rsidRPr="00D232C8">
        <w:noBreakHyphen/>
        <w:t>off Treasurer’s Advance provided in 2012</w:t>
      </w:r>
      <w:r w:rsidRPr="00D232C8">
        <w:noBreakHyphen/>
        <w:t xml:space="preserve">13, and a reduction of funding available for </w:t>
      </w:r>
      <w:r>
        <w:t>programs</w:t>
      </w:r>
      <w:r w:rsidRPr="00D232C8">
        <w:t xml:space="preserve"> </w:t>
      </w:r>
      <w:r w:rsidR="00CD1C68">
        <w:t>including</w:t>
      </w:r>
      <w:r w:rsidRPr="00D232C8">
        <w:t xml:space="preserve"> the Restructure Fund and the Strategic Asset Management </w:t>
      </w:r>
      <w:r>
        <w:t>Program</w:t>
      </w:r>
      <w:r w:rsidRPr="00D232C8">
        <w:t>.</w:t>
      </w:r>
    </w:p>
    <w:p w:rsidR="00B21C59" w:rsidRPr="00D232C8" w:rsidRDefault="00B21C59" w:rsidP="00B21C59">
      <w:pPr>
        <w:pStyle w:val="Heading4"/>
      </w:pPr>
      <w:r w:rsidRPr="00D232C8">
        <w:t>Balance Sheet</w:t>
      </w:r>
    </w:p>
    <w:p w:rsidR="00B21C59" w:rsidRPr="00D232C8" w:rsidRDefault="00B21C59" w:rsidP="00B21C59">
      <w:pPr>
        <w:pStyle w:val="BodyTextIndent"/>
        <w:keepNext w:val="0"/>
        <w:ind w:left="357" w:hanging="357"/>
      </w:pPr>
      <w:proofErr w:type="gramStart"/>
      <w:r w:rsidRPr="00D232C8">
        <w:t>cash</w:t>
      </w:r>
      <w:proofErr w:type="gramEnd"/>
      <w:r w:rsidRPr="00D232C8">
        <w:t xml:space="preserve"> and cash equivalents:  the increase of $1.453 million in the 2012</w:t>
      </w:r>
      <w:r w:rsidRPr="00D232C8">
        <w:noBreakHyphen/>
        <w:t xml:space="preserve">13 estimated outcome from the original budget is mainly </w:t>
      </w:r>
      <w:r>
        <w:t xml:space="preserve">due </w:t>
      </w:r>
      <w:r w:rsidRPr="00D232C8">
        <w:t>to the transfer of functions from the former TD.</w:t>
      </w:r>
    </w:p>
    <w:p w:rsidR="00B21C59" w:rsidRPr="00D232C8" w:rsidRDefault="00D00CB0" w:rsidP="00B21C59">
      <w:pPr>
        <w:pStyle w:val="BodyTextIndent"/>
        <w:keepNext w:val="0"/>
        <w:ind w:left="357" w:hanging="357"/>
      </w:pPr>
      <w:proofErr w:type="gramStart"/>
      <w:r>
        <w:t>current</w:t>
      </w:r>
      <w:proofErr w:type="gramEnd"/>
      <w:r>
        <w:t xml:space="preserve"> and </w:t>
      </w:r>
      <w:proofErr w:type="spellStart"/>
      <w:r>
        <w:t>non current</w:t>
      </w:r>
      <w:proofErr w:type="spellEnd"/>
      <w:r>
        <w:t xml:space="preserve"> </w:t>
      </w:r>
      <w:r w:rsidR="00B21C59" w:rsidRPr="00D232C8">
        <w:t>receivables:  the increase of $92.4</w:t>
      </w:r>
      <w:r w:rsidR="00B21C59">
        <w:t>7</w:t>
      </w:r>
      <w:r w:rsidR="00B21C59" w:rsidRPr="00D232C8">
        <w:t>6 million in the 2012</w:t>
      </w:r>
      <w:r w:rsidR="00B21C59" w:rsidRPr="00D232C8">
        <w:noBreakHyphen/>
        <w:t xml:space="preserve">13 estimated outcome from the original budget is due to the transfer of functions from the former TD, and </w:t>
      </w:r>
      <w:r w:rsidR="00B21C59">
        <w:t>mainly</w:t>
      </w:r>
      <w:r w:rsidR="00B21C59" w:rsidRPr="00D232C8">
        <w:t xml:space="preserve"> represents interest associated </w:t>
      </w:r>
      <w:r w:rsidR="00421F29">
        <w:t>with</w:t>
      </w:r>
      <w:r w:rsidR="00B21C59" w:rsidRPr="00D232C8">
        <w:t xml:space="preserve"> the UC and CHC loans.</w:t>
      </w:r>
    </w:p>
    <w:p w:rsidR="00B21C59" w:rsidRPr="00D232C8" w:rsidRDefault="00B21C59" w:rsidP="00B21C59">
      <w:pPr>
        <w:pStyle w:val="BodyTextIndent"/>
      </w:pPr>
      <w:r w:rsidRPr="00D232C8">
        <w:t>intangible</w:t>
      </w:r>
      <w:r w:rsidR="00482477">
        <w:t>s</w:t>
      </w:r>
      <w:r w:rsidRPr="00D232C8">
        <w:t>:</w:t>
      </w:r>
    </w:p>
    <w:p w:rsidR="00B21C59" w:rsidRPr="00D232C8" w:rsidRDefault="00B21C59" w:rsidP="00B21C59">
      <w:pPr>
        <w:pStyle w:val="BodyTextIndent2"/>
        <w:keepNext w:val="0"/>
        <w:ind w:left="714" w:hanging="357"/>
      </w:pPr>
      <w:r w:rsidRPr="00D232C8">
        <w:t>the decrease of $2.668 million in the 2012</w:t>
      </w:r>
      <w:r w:rsidRPr="00D232C8">
        <w:noBreakHyphen/>
        <w:t>13 estimated outcome from the original budget is mainly due to the rollover of funding to 2013</w:t>
      </w:r>
      <w:r w:rsidRPr="00D232C8">
        <w:noBreakHyphen/>
        <w:t>14 and a reallocation of assets to capital works in progress to reflect later completion dates for existing capital works projects; and</w:t>
      </w:r>
    </w:p>
    <w:p w:rsidR="00B21C59" w:rsidRPr="00D232C8" w:rsidRDefault="00B21C59" w:rsidP="00B21C59">
      <w:pPr>
        <w:pStyle w:val="BodyTextIndent2"/>
        <w:keepNext w:val="0"/>
        <w:ind w:left="714" w:hanging="357"/>
      </w:pPr>
      <w:proofErr w:type="gramStart"/>
      <w:r w:rsidRPr="00D232C8">
        <w:t>the</w:t>
      </w:r>
      <w:proofErr w:type="gramEnd"/>
      <w:r w:rsidRPr="00D232C8">
        <w:t xml:space="preserve"> increase of $7.096 million in </w:t>
      </w:r>
      <w:r w:rsidR="00421F29">
        <w:t xml:space="preserve">the </w:t>
      </w:r>
      <w:r w:rsidRPr="00D232C8">
        <w:t>2013</w:t>
      </w:r>
      <w:r w:rsidRPr="00D232C8">
        <w:noBreakHyphen/>
        <w:t>14 Budget from the 2012</w:t>
      </w:r>
      <w:r w:rsidRPr="00D232C8">
        <w:noBreakHyphen/>
        <w:t xml:space="preserve">13 estimated outcome is </w:t>
      </w:r>
      <w:r>
        <w:t>mainly</w:t>
      </w:r>
      <w:r w:rsidRPr="00D232C8">
        <w:t xml:space="preserve"> due to the transfer of completed projects from CWD, the impact of the rollover of capital funding to 2013</w:t>
      </w:r>
      <w:r w:rsidRPr="00D232C8">
        <w:noBreakHyphen/>
        <w:t>14 and the associated one</w:t>
      </w:r>
      <w:r w:rsidRPr="00D232C8">
        <w:noBreakHyphen/>
        <w:t>off impact of the asset reallocation from capital works in progress following completion of capital works projects.  This is partially offset by increased depreciation resulting from the scheduled completion of capital projects during 2013</w:t>
      </w:r>
      <w:r w:rsidRPr="00D232C8">
        <w:noBreakHyphen/>
        <w:t>14.</w:t>
      </w:r>
    </w:p>
    <w:p w:rsidR="00B21C59" w:rsidRPr="00D232C8" w:rsidRDefault="00B21C59" w:rsidP="00B21C59">
      <w:pPr>
        <w:pStyle w:val="BodyTextIndent"/>
        <w:keepNext w:val="0"/>
        <w:ind w:left="357" w:hanging="357"/>
      </w:pPr>
      <w:proofErr w:type="gramStart"/>
      <w:r w:rsidRPr="00D232C8">
        <w:t>capital</w:t>
      </w:r>
      <w:proofErr w:type="gramEnd"/>
      <w:r w:rsidRPr="00D232C8">
        <w:t xml:space="preserve"> works in progress:  the variation</w:t>
      </w:r>
      <w:r>
        <w:t>s</w:t>
      </w:r>
      <w:r w:rsidRPr="00D232C8">
        <w:t xml:space="preserve"> </w:t>
      </w:r>
      <w:r>
        <w:t>of $1.469 million are</w:t>
      </w:r>
      <w:r w:rsidRPr="00D232C8">
        <w:t xml:space="preserve"> as noted for intangible assets above excluding the impact of the transfer of completed projects from CWD.</w:t>
      </w:r>
    </w:p>
    <w:p w:rsidR="00B21C59" w:rsidRPr="00D232C8" w:rsidRDefault="00B21C59" w:rsidP="00B21C59">
      <w:pPr>
        <w:pStyle w:val="BodyTextIndent"/>
        <w:keepNext w:val="0"/>
        <w:ind w:left="357" w:hanging="357"/>
      </w:pPr>
      <w:proofErr w:type="gramStart"/>
      <w:r w:rsidRPr="00D232C8">
        <w:t>payables</w:t>
      </w:r>
      <w:proofErr w:type="gramEnd"/>
      <w:r w:rsidRPr="00D232C8">
        <w:t>:  the increase of $1.126 million in the 2012</w:t>
      </w:r>
      <w:r w:rsidRPr="00D232C8">
        <w:noBreakHyphen/>
        <w:t>13 estimated outcome from the original budget is due to the transfer of functions from the former TD.</w:t>
      </w:r>
    </w:p>
    <w:p w:rsidR="00B21C59" w:rsidRPr="00D232C8" w:rsidRDefault="00482477" w:rsidP="00B21C59">
      <w:pPr>
        <w:pStyle w:val="BodyTextIndent"/>
        <w:keepNext w:val="0"/>
        <w:ind w:left="357" w:hanging="357"/>
      </w:pPr>
      <w:proofErr w:type="gramStart"/>
      <w:r>
        <w:t>current</w:t>
      </w:r>
      <w:proofErr w:type="gramEnd"/>
      <w:r>
        <w:t xml:space="preserve"> and </w:t>
      </w:r>
      <w:proofErr w:type="spellStart"/>
      <w:r>
        <w:t>non current</w:t>
      </w:r>
      <w:proofErr w:type="spellEnd"/>
      <w:r>
        <w:t xml:space="preserve"> </w:t>
      </w:r>
      <w:r w:rsidR="00B21C59" w:rsidRPr="00D232C8">
        <w:t>interest</w:t>
      </w:r>
      <w:r w:rsidR="00B21C59" w:rsidRPr="00D232C8">
        <w:noBreakHyphen/>
        <w:t>bearing liabilities:  the increase of $91.770 million in the 2012</w:t>
      </w:r>
      <w:r w:rsidR="00B21C59" w:rsidRPr="00D232C8">
        <w:noBreakHyphen/>
        <w:t>13 estimated outcome from the original budget is due to the transfer of functions from the former TD</w:t>
      </w:r>
      <w:r w:rsidR="00BF0427">
        <w:t xml:space="preserve"> associated with the</w:t>
      </w:r>
      <w:r w:rsidR="00B21C59" w:rsidRPr="00D232C8">
        <w:t xml:space="preserve"> interest liability to the TBA </w:t>
      </w:r>
      <w:r w:rsidR="00B21C59">
        <w:t>for</w:t>
      </w:r>
      <w:r w:rsidR="00B21C59" w:rsidRPr="00D232C8">
        <w:t xml:space="preserve"> the UC and CHC loans.</w:t>
      </w:r>
    </w:p>
    <w:p w:rsidR="00B21C59" w:rsidRPr="00D232C8" w:rsidRDefault="00482477" w:rsidP="00B21C59">
      <w:pPr>
        <w:pStyle w:val="BodyTextIndent"/>
        <w:keepNext w:val="0"/>
        <w:ind w:left="357" w:hanging="357"/>
      </w:pPr>
      <w:r>
        <w:lastRenderedPageBreak/>
        <w:t xml:space="preserve">current and </w:t>
      </w:r>
      <w:proofErr w:type="spellStart"/>
      <w:r>
        <w:t>non current</w:t>
      </w:r>
      <w:proofErr w:type="spellEnd"/>
      <w:r>
        <w:t xml:space="preserve"> </w:t>
      </w:r>
      <w:r w:rsidR="00B21C59" w:rsidRPr="00D232C8">
        <w:t>employee benefits:  the increase of $4.138 million in the 2012</w:t>
      </w:r>
      <w:r w:rsidR="00B21C59" w:rsidRPr="00D232C8">
        <w:noBreakHyphen/>
        <w:t xml:space="preserve">13 estimated outcome from the original budget is </w:t>
      </w:r>
      <w:r w:rsidR="00B21C59">
        <w:t>mainly</w:t>
      </w:r>
      <w:r w:rsidR="00004F0C">
        <w:t xml:space="preserve"> due to the transfer</w:t>
      </w:r>
      <w:r w:rsidR="00B21C59" w:rsidRPr="00D232C8">
        <w:t xml:space="preserve"> of functions from the former TD ($3.723 million) and the IMS unit from SSC ($0.503 million)</w:t>
      </w:r>
    </w:p>
    <w:p w:rsidR="00B21C59" w:rsidRPr="00D232C8" w:rsidRDefault="00B21C59" w:rsidP="00B21C59">
      <w:pPr>
        <w:pStyle w:val="Heading4"/>
        <w:keepNext w:val="0"/>
        <w:keepLines w:val="0"/>
      </w:pPr>
      <w:r w:rsidRPr="00D232C8">
        <w:t>Statement of Changes in Equity</w:t>
      </w:r>
    </w:p>
    <w:p w:rsidR="00B21C59" w:rsidRPr="00D232C8" w:rsidRDefault="00B21C59" w:rsidP="00B21C59">
      <w:pPr>
        <w:pStyle w:val="BodyText"/>
      </w:pPr>
      <w:r w:rsidRPr="00D232C8">
        <w:t>Variations in the statement are explained in the notes above.</w:t>
      </w:r>
    </w:p>
    <w:p w:rsidR="00B21C59" w:rsidRPr="00D232C8" w:rsidRDefault="00B21C59" w:rsidP="00B21C59">
      <w:pPr>
        <w:pStyle w:val="Heading4"/>
        <w:keepNext w:val="0"/>
        <w:keepLines w:val="0"/>
      </w:pPr>
      <w:r w:rsidRPr="00D232C8">
        <w:t>Cash Flow Statement</w:t>
      </w:r>
    </w:p>
    <w:p w:rsidR="00B21C59" w:rsidRPr="00D232C8" w:rsidRDefault="00B21C59" w:rsidP="00B21C59">
      <w:pPr>
        <w:pStyle w:val="BodyText"/>
      </w:pPr>
      <w:r w:rsidRPr="00D232C8">
        <w:t>Variations in the statement are explained in the notes above.</w:t>
      </w:r>
    </w:p>
    <w:p w:rsidR="00B21C59" w:rsidRPr="00D232C8" w:rsidRDefault="00B21C59" w:rsidP="00B21C59">
      <w:r w:rsidRPr="00D232C8">
        <w:br w:type="page"/>
      </w:r>
    </w:p>
    <w:tbl>
      <w:tblPr>
        <w:tblW w:w="9356" w:type="dxa"/>
        <w:tblLook w:val="04A0"/>
      </w:tblPr>
      <w:tblGrid>
        <w:gridCol w:w="1050"/>
        <w:gridCol w:w="2384"/>
        <w:gridCol w:w="1102"/>
        <w:gridCol w:w="1050"/>
        <w:gridCol w:w="620"/>
        <w:gridCol w:w="1050"/>
        <w:gridCol w:w="1050"/>
        <w:gridCol w:w="1050"/>
      </w:tblGrid>
      <w:tr w:rsidR="00A4123E" w:rsidTr="00E84262">
        <w:trPr>
          <w:tblHeader/>
        </w:trPr>
        <w:tc>
          <w:tcPr>
            <w:tcW w:w="9392" w:type="dxa"/>
            <w:gridSpan w:val="8"/>
            <w:tcBorders>
              <w:top w:val="nil"/>
              <w:left w:val="nil"/>
              <w:bottom w:val="nil"/>
              <w:right w:val="nil"/>
            </w:tcBorders>
            <w:shd w:val="clear" w:color="000000" w:fill="FFFFFF"/>
            <w:hideMark/>
          </w:tcPr>
          <w:p w:rsidR="00A4123E" w:rsidRPr="00246318" w:rsidRDefault="00A4123E" w:rsidP="00E84262">
            <w:pPr>
              <w:jc w:val="center"/>
              <w:rPr>
                <w:rFonts w:ascii="Arial" w:hAnsi="Arial" w:cs="Arial"/>
                <w:b/>
                <w:bCs/>
                <w:szCs w:val="24"/>
              </w:rPr>
            </w:pPr>
            <w:bookmarkStart w:id="5" w:name="RANGE!A1:H28"/>
            <w:r w:rsidRPr="00246318">
              <w:rPr>
                <w:rFonts w:ascii="Arial" w:hAnsi="Arial" w:cs="Arial"/>
                <w:b/>
                <w:bCs/>
                <w:szCs w:val="24"/>
              </w:rPr>
              <w:lastRenderedPageBreak/>
              <w:t>Chief Minister and Treasury Directorate</w:t>
            </w:r>
            <w:bookmarkEnd w:id="5"/>
          </w:p>
        </w:tc>
      </w:tr>
      <w:tr w:rsidR="00A4123E" w:rsidTr="00E84262">
        <w:trPr>
          <w:tblHeader/>
        </w:trPr>
        <w:tc>
          <w:tcPr>
            <w:tcW w:w="9392" w:type="dxa"/>
            <w:gridSpan w:val="8"/>
            <w:tcBorders>
              <w:top w:val="nil"/>
              <w:left w:val="nil"/>
              <w:bottom w:val="nil"/>
              <w:right w:val="nil"/>
            </w:tcBorders>
            <w:shd w:val="clear" w:color="000000" w:fill="FFFFFF"/>
            <w:hideMark/>
          </w:tcPr>
          <w:p w:rsidR="00A4123E" w:rsidRPr="00246318" w:rsidRDefault="00A4123E" w:rsidP="00E84262">
            <w:pPr>
              <w:jc w:val="center"/>
              <w:rPr>
                <w:rFonts w:ascii="Arial" w:hAnsi="Arial" w:cs="Arial"/>
                <w:b/>
                <w:bCs/>
                <w:szCs w:val="24"/>
              </w:rPr>
            </w:pPr>
            <w:r w:rsidRPr="00246318">
              <w:rPr>
                <w:rFonts w:ascii="Arial" w:hAnsi="Arial" w:cs="Arial"/>
                <w:b/>
                <w:bCs/>
                <w:szCs w:val="24"/>
              </w:rPr>
              <w:t>Statement of Income and Expenses on Behalf of the Territory</w:t>
            </w:r>
          </w:p>
        </w:tc>
      </w:tr>
      <w:tr w:rsidR="00A4123E" w:rsidTr="00E84262">
        <w:trPr>
          <w:tblHeader/>
        </w:trPr>
        <w:tc>
          <w:tcPr>
            <w:tcW w:w="1054" w:type="dxa"/>
            <w:tcBorders>
              <w:top w:val="single" w:sz="4" w:space="0" w:color="auto"/>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A4123E" w:rsidRDefault="00A4123E" w:rsidP="00E8426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2016-17</w:t>
            </w:r>
          </w:p>
        </w:tc>
      </w:tr>
      <w:tr w:rsidR="00A4123E" w:rsidTr="00E84262">
        <w:trPr>
          <w:tblHeader/>
        </w:trPr>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Estimate</w:t>
            </w:r>
          </w:p>
        </w:tc>
      </w:tr>
      <w:tr w:rsidR="00A4123E" w:rsidTr="00E84262">
        <w:trPr>
          <w:tblHeader/>
        </w:trPr>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A4123E" w:rsidRDefault="00A4123E" w:rsidP="00E84262">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A4123E" w:rsidRDefault="00A4123E"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A4123E" w:rsidRDefault="00A4123E" w:rsidP="00E8426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b/>
                <w:bCs/>
                <w:sz w:val="18"/>
                <w:szCs w:val="18"/>
              </w:rPr>
            </w:pPr>
            <w:r>
              <w:rPr>
                <w:b/>
                <w:bCs/>
                <w:sz w:val="18"/>
                <w:szCs w:val="18"/>
              </w:rPr>
              <w:t>$'000</w:t>
            </w:r>
          </w:p>
        </w:tc>
      </w:tr>
      <w:tr w:rsidR="00A4123E" w:rsidTr="00E84262">
        <w:trPr>
          <w:tblHeader/>
        </w:trPr>
        <w:tc>
          <w:tcPr>
            <w:tcW w:w="1054" w:type="dxa"/>
            <w:tcBorders>
              <w:top w:val="nil"/>
              <w:left w:val="nil"/>
              <w:bottom w:val="nil"/>
              <w:right w:val="nil"/>
            </w:tcBorders>
            <w:shd w:val="clear" w:color="000000" w:fill="FFFFFF"/>
            <w:hideMark/>
          </w:tcPr>
          <w:p w:rsidR="00A4123E" w:rsidRDefault="00A4123E" w:rsidP="00E84262">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i/>
                <w:iCs/>
                <w:sz w:val="18"/>
                <w:szCs w:val="18"/>
              </w:rPr>
            </w:pPr>
            <w:r>
              <w:rPr>
                <w:b/>
                <w:bCs/>
                <w:i/>
                <w:iCs/>
                <w:sz w:val="18"/>
                <w:szCs w:val="18"/>
              </w:rPr>
              <w:t> </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4123E" w:rsidRDefault="00A4123E" w:rsidP="00E84262">
            <w:pPr>
              <w:rPr>
                <w:sz w:val="18"/>
                <w:szCs w:val="18"/>
              </w:rPr>
            </w:pPr>
            <w:r>
              <w:rPr>
                <w:sz w:val="18"/>
                <w:szCs w:val="18"/>
              </w:rPr>
              <w:t>Taxes, Fees and Fines</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1,871</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3,155</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4,500</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6,861</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4123E" w:rsidRDefault="00A4123E" w:rsidP="00E84262">
            <w:pPr>
              <w:ind w:left="142" w:hanging="142"/>
              <w:rPr>
                <w:sz w:val="18"/>
                <w:szCs w:val="18"/>
              </w:rPr>
            </w:pPr>
            <w:r>
              <w:rPr>
                <w:sz w:val="18"/>
                <w:szCs w:val="18"/>
              </w:rPr>
              <w:t>Grants from the Commonwealth</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997,046</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1,514,003</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xml:space="preserve">52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1,612,989</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1,629,410</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1,703,064</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4123E" w:rsidRDefault="00A4123E" w:rsidP="00E84262">
            <w:pPr>
              <w:rPr>
                <w:sz w:val="18"/>
                <w:szCs w:val="18"/>
              </w:rPr>
            </w:pPr>
            <w:r>
              <w:rPr>
                <w:sz w:val="18"/>
                <w:szCs w:val="18"/>
              </w:rPr>
              <w:t>Dividend Revenue</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197,292</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192,133</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195,542</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267,720</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253,095</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1,194,338</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1,708,007</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xml:space="preserve">43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1,811,686</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1,901,630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1,963,020</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1,194,338</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1,708,007</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xml:space="preserve">43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1,811,686</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1,901,630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1,963,020</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4123E" w:rsidRDefault="00A4123E" w:rsidP="00E84262">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7,806</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11,596</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xml:space="preserve">49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11,905</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12,115</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9,922</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4123E" w:rsidRDefault="00A4123E" w:rsidP="00E84262">
            <w:pPr>
              <w:rPr>
                <w:sz w:val="18"/>
                <w:szCs w:val="18"/>
              </w:rPr>
            </w:pPr>
            <w:r>
              <w:rPr>
                <w:sz w:val="18"/>
                <w:szCs w:val="18"/>
              </w:rPr>
              <w:t>Transfer Expenses</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1,186,532</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1,696,411</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xml:space="preserve">43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1,799,781</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1,889,515</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1,953,098</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1,194,338</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1,708,007</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xml:space="preserve">43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1,811,686</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1,901,630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1,963,020</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r>
      <w:tr w:rsidR="00A4123E" w:rsidTr="00E84262">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r>
      <w:tr w:rsidR="00A4123E" w:rsidTr="00E84262">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A4123E" w:rsidRDefault="00A4123E" w:rsidP="00E84262">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sz w:val="18"/>
                <w:szCs w:val="18"/>
              </w:rPr>
            </w:pPr>
            <w:r>
              <w:rPr>
                <w:sz w:val="18"/>
                <w:szCs w:val="18"/>
              </w:rPr>
              <w:t> </w:t>
            </w:r>
          </w:p>
        </w:tc>
      </w:tr>
    </w:tbl>
    <w:p w:rsidR="00D34C02" w:rsidRDefault="00D34C02"/>
    <w:p w:rsidR="00A4123E" w:rsidRDefault="00A4123E"/>
    <w:tbl>
      <w:tblPr>
        <w:tblW w:w="9392" w:type="dxa"/>
        <w:tblLook w:val="04A0"/>
      </w:tblPr>
      <w:tblGrid>
        <w:gridCol w:w="1054"/>
        <w:gridCol w:w="2392"/>
        <w:gridCol w:w="1106"/>
        <w:gridCol w:w="1054"/>
        <w:gridCol w:w="624"/>
        <w:gridCol w:w="1054"/>
        <w:gridCol w:w="1054"/>
        <w:gridCol w:w="1054"/>
      </w:tblGrid>
      <w:tr w:rsidR="00A4123E" w:rsidTr="000C586B">
        <w:trPr>
          <w:tblHeader/>
        </w:trPr>
        <w:tc>
          <w:tcPr>
            <w:tcW w:w="9392" w:type="dxa"/>
            <w:gridSpan w:val="8"/>
            <w:tcBorders>
              <w:top w:val="nil"/>
              <w:left w:val="nil"/>
              <w:bottom w:val="nil"/>
              <w:right w:val="nil"/>
            </w:tcBorders>
            <w:shd w:val="clear" w:color="000000" w:fill="FFFFFF"/>
            <w:noWrap/>
            <w:vAlign w:val="bottom"/>
            <w:hideMark/>
          </w:tcPr>
          <w:p w:rsidR="00A4123E" w:rsidRPr="00246318" w:rsidRDefault="00A4123E" w:rsidP="00E84262">
            <w:pPr>
              <w:jc w:val="center"/>
              <w:rPr>
                <w:rFonts w:ascii="Arial" w:hAnsi="Arial" w:cs="Arial"/>
                <w:b/>
                <w:bCs/>
                <w:szCs w:val="24"/>
              </w:rPr>
            </w:pPr>
            <w:bookmarkStart w:id="6" w:name="RANGE!A1:H27"/>
            <w:r w:rsidRPr="00246318">
              <w:rPr>
                <w:rFonts w:ascii="Arial" w:hAnsi="Arial" w:cs="Arial"/>
                <w:b/>
                <w:bCs/>
                <w:szCs w:val="24"/>
              </w:rPr>
              <w:t>Chief Minister and Treasury Directorate</w:t>
            </w:r>
            <w:bookmarkEnd w:id="6"/>
          </w:p>
        </w:tc>
      </w:tr>
      <w:tr w:rsidR="00A4123E" w:rsidTr="000C586B">
        <w:trPr>
          <w:tblHeader/>
        </w:trPr>
        <w:tc>
          <w:tcPr>
            <w:tcW w:w="9392" w:type="dxa"/>
            <w:gridSpan w:val="8"/>
            <w:tcBorders>
              <w:top w:val="nil"/>
              <w:left w:val="nil"/>
              <w:bottom w:val="nil"/>
              <w:right w:val="nil"/>
            </w:tcBorders>
            <w:shd w:val="clear" w:color="000000" w:fill="FFFFFF"/>
            <w:noWrap/>
            <w:vAlign w:val="bottom"/>
            <w:hideMark/>
          </w:tcPr>
          <w:p w:rsidR="00A4123E" w:rsidRPr="00246318" w:rsidRDefault="00A4123E" w:rsidP="00E84262">
            <w:pPr>
              <w:jc w:val="center"/>
              <w:rPr>
                <w:rFonts w:ascii="Arial" w:hAnsi="Arial" w:cs="Arial"/>
                <w:b/>
                <w:bCs/>
                <w:szCs w:val="24"/>
              </w:rPr>
            </w:pPr>
            <w:r w:rsidRPr="00246318">
              <w:rPr>
                <w:rFonts w:ascii="Arial" w:hAnsi="Arial" w:cs="Arial"/>
                <w:b/>
                <w:bCs/>
                <w:szCs w:val="24"/>
              </w:rPr>
              <w:t>Statement of Assets and Liabilities on Behalf of the Territory</w:t>
            </w:r>
          </w:p>
        </w:tc>
      </w:tr>
      <w:tr w:rsidR="00A4123E" w:rsidTr="000C586B">
        <w:trPr>
          <w:tblHeader/>
        </w:trPr>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A4123E" w:rsidRDefault="00A4123E" w:rsidP="00E8426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Estimate</w:t>
            </w:r>
          </w:p>
        </w:tc>
      </w:tr>
      <w:tr w:rsidR="00A4123E" w:rsidTr="000C586B">
        <w:trPr>
          <w:tblHeader/>
        </w:trPr>
        <w:tc>
          <w:tcPr>
            <w:tcW w:w="1054" w:type="dxa"/>
            <w:tcBorders>
              <w:top w:val="nil"/>
              <w:left w:val="nil"/>
              <w:bottom w:val="nil"/>
              <w:right w:val="nil"/>
            </w:tcBorders>
            <w:shd w:val="clear" w:color="000000" w:fill="FFFFFF"/>
            <w:hideMark/>
          </w:tcPr>
          <w:p w:rsidR="00A4123E" w:rsidRDefault="00A4123E" w:rsidP="00E84262">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A4123E" w:rsidRDefault="00A4123E" w:rsidP="00E84262">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6"/>
                <w:szCs w:val="16"/>
              </w:rPr>
            </w:pPr>
            <w:r>
              <w:rPr>
                <w:b/>
                <w:bCs/>
                <w:sz w:val="16"/>
                <w:szCs w:val="16"/>
              </w:rPr>
              <w:t>as at 30/6/17</w:t>
            </w:r>
          </w:p>
        </w:tc>
      </w:tr>
      <w:tr w:rsidR="00A4123E" w:rsidTr="000C586B">
        <w:trPr>
          <w:tblHeader/>
        </w:trPr>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A4123E" w:rsidRDefault="00A4123E" w:rsidP="00E84262">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r>
      <w:tr w:rsidR="00A4123E" w:rsidTr="000C586B">
        <w:trPr>
          <w:tblHeader/>
        </w:trPr>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4123E" w:rsidRDefault="00A4123E" w:rsidP="00E8426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i/>
                <w:iCs/>
                <w:sz w:val="18"/>
                <w:szCs w:val="18"/>
              </w:rPr>
            </w:pPr>
            <w:r>
              <w:rPr>
                <w:i/>
                <w:iCs/>
                <w:sz w:val="18"/>
                <w:szCs w:val="18"/>
              </w:rPr>
              <w:t> </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4123E" w:rsidRDefault="00A4123E" w:rsidP="00E84262">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49,519</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59,650</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xml:space="preserve">20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32,179</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41,184</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40,460</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49,519</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59,650</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xml:space="preserve">20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32,179</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41,184</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40,460</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49,519</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59,650</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xml:space="preserve">20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32,179</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41,184</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40,460</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4123E" w:rsidRDefault="00A4123E" w:rsidP="00E84262">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49,519</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59,650</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xml:space="preserve">20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32,179</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41,184</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40,460</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49,519</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59,650</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xml:space="preserve">20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32,179</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41,184</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40,460</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49,519</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59,650</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xml:space="preserve">20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32,179</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41,184</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40,460</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A4123E" w:rsidRDefault="00A4123E" w:rsidP="00E84262">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4123E" w:rsidRDefault="00A4123E" w:rsidP="00E84262">
            <w:pPr>
              <w:ind w:left="-283"/>
              <w:jc w:val="right"/>
              <w:rPr>
                <w:sz w:val="18"/>
                <w:szCs w:val="18"/>
              </w:rPr>
            </w:pPr>
            <w:r>
              <w:rPr>
                <w:sz w:val="18"/>
                <w:szCs w:val="18"/>
              </w:rPr>
              <w:t> </w:t>
            </w:r>
          </w:p>
        </w:tc>
      </w:tr>
      <w:tr w:rsidR="00A4123E" w:rsidTr="000C586B">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0</w:t>
            </w:r>
          </w:p>
        </w:tc>
      </w:tr>
      <w:tr w:rsidR="00A4123E" w:rsidTr="000C586B">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A4123E" w:rsidRDefault="00A4123E" w:rsidP="00E84262">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4123E" w:rsidRDefault="00A4123E" w:rsidP="00E84262">
            <w:pPr>
              <w:ind w:left="-283"/>
              <w:jc w:val="right"/>
              <w:rPr>
                <w:sz w:val="18"/>
                <w:szCs w:val="18"/>
              </w:rPr>
            </w:pPr>
            <w:r>
              <w:rPr>
                <w:sz w:val="18"/>
                <w:szCs w:val="18"/>
              </w:rPr>
              <w:t> </w:t>
            </w:r>
          </w:p>
        </w:tc>
      </w:tr>
    </w:tbl>
    <w:p w:rsidR="00A4123E" w:rsidRDefault="00A4123E">
      <w:pPr>
        <w:spacing w:after="200" w:line="276" w:lineRule="auto"/>
      </w:pPr>
      <w:r>
        <w:br w:type="page"/>
      </w:r>
    </w:p>
    <w:tbl>
      <w:tblPr>
        <w:tblW w:w="9392" w:type="dxa"/>
        <w:tblLook w:val="04A0"/>
      </w:tblPr>
      <w:tblGrid>
        <w:gridCol w:w="1054"/>
        <w:gridCol w:w="2392"/>
        <w:gridCol w:w="1106"/>
        <w:gridCol w:w="1054"/>
        <w:gridCol w:w="624"/>
        <w:gridCol w:w="1054"/>
        <w:gridCol w:w="1054"/>
        <w:gridCol w:w="1054"/>
      </w:tblGrid>
      <w:tr w:rsidR="00A4123E" w:rsidTr="000C586B">
        <w:trPr>
          <w:tblHeader/>
        </w:trPr>
        <w:tc>
          <w:tcPr>
            <w:tcW w:w="9392" w:type="dxa"/>
            <w:gridSpan w:val="8"/>
            <w:tcBorders>
              <w:top w:val="nil"/>
              <w:left w:val="nil"/>
              <w:bottom w:val="nil"/>
              <w:right w:val="nil"/>
            </w:tcBorders>
            <w:shd w:val="clear" w:color="000000" w:fill="FFFFFF"/>
            <w:noWrap/>
            <w:vAlign w:val="bottom"/>
            <w:hideMark/>
          </w:tcPr>
          <w:p w:rsidR="00A4123E" w:rsidRPr="00246318" w:rsidRDefault="00A4123E" w:rsidP="00E84262">
            <w:pPr>
              <w:jc w:val="center"/>
              <w:rPr>
                <w:rFonts w:ascii="Arial" w:hAnsi="Arial" w:cs="Arial"/>
                <w:b/>
                <w:bCs/>
                <w:szCs w:val="24"/>
              </w:rPr>
            </w:pPr>
            <w:bookmarkStart w:id="7" w:name="RANGE!A1:H11"/>
            <w:r w:rsidRPr="00246318">
              <w:rPr>
                <w:rFonts w:ascii="Arial" w:hAnsi="Arial" w:cs="Arial"/>
                <w:b/>
                <w:bCs/>
                <w:szCs w:val="24"/>
              </w:rPr>
              <w:lastRenderedPageBreak/>
              <w:t>Chief Minister and Treasury Directorate</w:t>
            </w:r>
            <w:bookmarkEnd w:id="7"/>
          </w:p>
        </w:tc>
      </w:tr>
      <w:tr w:rsidR="00A4123E" w:rsidTr="000C586B">
        <w:trPr>
          <w:tblHeader/>
        </w:trPr>
        <w:tc>
          <w:tcPr>
            <w:tcW w:w="9392" w:type="dxa"/>
            <w:gridSpan w:val="8"/>
            <w:tcBorders>
              <w:top w:val="nil"/>
              <w:left w:val="nil"/>
              <w:bottom w:val="nil"/>
              <w:right w:val="nil"/>
            </w:tcBorders>
            <w:shd w:val="clear" w:color="000000" w:fill="FFFFFF"/>
            <w:noWrap/>
            <w:vAlign w:val="bottom"/>
            <w:hideMark/>
          </w:tcPr>
          <w:p w:rsidR="00A4123E" w:rsidRPr="00246318" w:rsidRDefault="00A4123E" w:rsidP="00E84262">
            <w:pPr>
              <w:jc w:val="center"/>
              <w:rPr>
                <w:rFonts w:ascii="Arial" w:hAnsi="Arial" w:cs="Arial"/>
                <w:b/>
                <w:bCs/>
                <w:szCs w:val="24"/>
              </w:rPr>
            </w:pPr>
            <w:r w:rsidRPr="00246318">
              <w:rPr>
                <w:rFonts w:ascii="Arial" w:hAnsi="Arial" w:cs="Arial"/>
                <w:b/>
                <w:bCs/>
                <w:szCs w:val="24"/>
              </w:rPr>
              <w:t>Statement of Changes in Equity on Behalf of the Territory</w:t>
            </w:r>
          </w:p>
        </w:tc>
      </w:tr>
      <w:tr w:rsidR="00A4123E" w:rsidTr="000C586B">
        <w:trPr>
          <w:tblHeader/>
        </w:trPr>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A4123E" w:rsidRDefault="00A4123E" w:rsidP="00E84262">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Estimate</w:t>
            </w:r>
          </w:p>
        </w:tc>
      </w:tr>
      <w:tr w:rsidR="00A4123E" w:rsidTr="000C586B">
        <w:trPr>
          <w:tblHeader/>
        </w:trPr>
        <w:tc>
          <w:tcPr>
            <w:tcW w:w="1054" w:type="dxa"/>
            <w:tcBorders>
              <w:top w:val="nil"/>
              <w:left w:val="nil"/>
              <w:bottom w:val="nil"/>
              <w:right w:val="nil"/>
            </w:tcBorders>
            <w:shd w:val="clear" w:color="000000" w:fill="FFFFFF"/>
            <w:hideMark/>
          </w:tcPr>
          <w:p w:rsidR="00A4123E" w:rsidRDefault="00A4123E" w:rsidP="00E84262">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A4123E" w:rsidRDefault="00A4123E" w:rsidP="00E84262">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6"/>
                <w:szCs w:val="16"/>
              </w:rPr>
            </w:pPr>
            <w:r>
              <w:rPr>
                <w:b/>
                <w:bCs/>
                <w:sz w:val="16"/>
                <w:szCs w:val="16"/>
              </w:rPr>
              <w:t>as at 30/6/17</w:t>
            </w:r>
          </w:p>
        </w:tc>
      </w:tr>
      <w:tr w:rsidR="00A4123E" w:rsidTr="000C586B">
        <w:trPr>
          <w:tblHeader/>
        </w:trPr>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A4123E" w:rsidRDefault="00A4123E" w:rsidP="00E84262">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r>
      <w:tr w:rsidR="00A4123E" w:rsidTr="000C586B">
        <w:trPr>
          <w:tblHeader/>
        </w:trPr>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4123E" w:rsidRDefault="00A4123E" w:rsidP="00E8426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r>
      <w:tr w:rsidR="00A4123E" w:rsidTr="000C586B">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A4123E" w:rsidRDefault="00A4123E" w:rsidP="00E84262">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r>
      <w:tr w:rsidR="00A4123E" w:rsidTr="000C586B">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4123E" w:rsidRDefault="00A4123E" w:rsidP="00E8426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r>
      <w:tr w:rsidR="00A4123E" w:rsidTr="000C586B">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r>
      <w:tr w:rsidR="00A4123E" w:rsidTr="000C586B">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A4123E" w:rsidRDefault="00A4123E" w:rsidP="00E84262">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r>
    </w:tbl>
    <w:p w:rsidR="00A4123E" w:rsidRDefault="00A4123E"/>
    <w:p w:rsidR="00A4123E" w:rsidRDefault="00A4123E"/>
    <w:tbl>
      <w:tblPr>
        <w:tblW w:w="9356" w:type="dxa"/>
        <w:tblLook w:val="04A0"/>
      </w:tblPr>
      <w:tblGrid>
        <w:gridCol w:w="1054"/>
        <w:gridCol w:w="2392"/>
        <w:gridCol w:w="1106"/>
        <w:gridCol w:w="1054"/>
        <w:gridCol w:w="624"/>
        <w:gridCol w:w="1054"/>
        <w:gridCol w:w="1054"/>
        <w:gridCol w:w="1054"/>
      </w:tblGrid>
      <w:tr w:rsidR="00A4123E" w:rsidTr="00E84262">
        <w:trPr>
          <w:tblHeader/>
        </w:trPr>
        <w:tc>
          <w:tcPr>
            <w:tcW w:w="9392" w:type="dxa"/>
            <w:gridSpan w:val="8"/>
            <w:tcBorders>
              <w:top w:val="nil"/>
              <w:left w:val="nil"/>
              <w:bottom w:val="nil"/>
              <w:right w:val="nil"/>
            </w:tcBorders>
            <w:shd w:val="clear" w:color="000000" w:fill="FFFFFF"/>
            <w:noWrap/>
            <w:vAlign w:val="bottom"/>
            <w:hideMark/>
          </w:tcPr>
          <w:p w:rsidR="00A4123E" w:rsidRPr="00246318" w:rsidRDefault="00A4123E" w:rsidP="00E84262">
            <w:pPr>
              <w:jc w:val="center"/>
              <w:rPr>
                <w:rFonts w:ascii="Arial" w:hAnsi="Arial" w:cs="Arial"/>
                <w:b/>
                <w:bCs/>
                <w:szCs w:val="24"/>
              </w:rPr>
            </w:pPr>
            <w:bookmarkStart w:id="8" w:name="RANGE!A1:H24"/>
            <w:r w:rsidRPr="00246318">
              <w:rPr>
                <w:rFonts w:ascii="Arial" w:hAnsi="Arial" w:cs="Arial"/>
                <w:b/>
                <w:bCs/>
                <w:szCs w:val="24"/>
              </w:rPr>
              <w:t>Chief Minister and Treasury Directorate</w:t>
            </w:r>
            <w:bookmarkEnd w:id="8"/>
          </w:p>
        </w:tc>
      </w:tr>
      <w:tr w:rsidR="00A4123E" w:rsidTr="00E84262">
        <w:trPr>
          <w:tblHeader/>
        </w:trPr>
        <w:tc>
          <w:tcPr>
            <w:tcW w:w="9392" w:type="dxa"/>
            <w:gridSpan w:val="8"/>
            <w:tcBorders>
              <w:top w:val="nil"/>
              <w:left w:val="nil"/>
              <w:bottom w:val="nil"/>
              <w:right w:val="nil"/>
            </w:tcBorders>
            <w:shd w:val="clear" w:color="000000" w:fill="FFFFFF"/>
            <w:noWrap/>
            <w:vAlign w:val="bottom"/>
            <w:hideMark/>
          </w:tcPr>
          <w:p w:rsidR="00A4123E" w:rsidRPr="00246318" w:rsidRDefault="00A4123E" w:rsidP="00E84262">
            <w:pPr>
              <w:jc w:val="center"/>
              <w:rPr>
                <w:rFonts w:ascii="Arial" w:hAnsi="Arial" w:cs="Arial"/>
                <w:b/>
                <w:bCs/>
                <w:szCs w:val="24"/>
              </w:rPr>
            </w:pPr>
            <w:r w:rsidRPr="00246318">
              <w:rPr>
                <w:rFonts w:ascii="Arial" w:hAnsi="Arial" w:cs="Arial"/>
                <w:b/>
                <w:bCs/>
                <w:szCs w:val="24"/>
              </w:rPr>
              <w:t>Statement of Cash Flows on Behalf of the Territory</w:t>
            </w:r>
          </w:p>
        </w:tc>
      </w:tr>
      <w:tr w:rsidR="00A4123E" w:rsidTr="00E84262">
        <w:trPr>
          <w:tblHeader/>
        </w:trPr>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A4123E" w:rsidRDefault="00A4123E" w:rsidP="00E8426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2016-17</w:t>
            </w:r>
          </w:p>
        </w:tc>
      </w:tr>
      <w:tr w:rsidR="00A4123E" w:rsidTr="00E84262">
        <w:trPr>
          <w:tblHeader/>
        </w:trPr>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A4123E" w:rsidRDefault="00A4123E"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A4123E" w:rsidRDefault="00A4123E" w:rsidP="00E84262">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Estimate</w:t>
            </w:r>
          </w:p>
        </w:tc>
      </w:tr>
      <w:tr w:rsidR="00A4123E" w:rsidTr="00E84262">
        <w:trPr>
          <w:tblHeader/>
        </w:trPr>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A4123E" w:rsidRDefault="00A4123E" w:rsidP="00E84262">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$'000</w:t>
            </w:r>
          </w:p>
        </w:tc>
      </w:tr>
      <w:tr w:rsidR="00A4123E" w:rsidTr="00E84262">
        <w:trPr>
          <w:tblHeader/>
        </w:trPr>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A4123E" w:rsidRDefault="00A4123E" w:rsidP="00E8426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A4123E" w:rsidRDefault="00A4123E" w:rsidP="00E84262">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4123E" w:rsidRDefault="00A4123E"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4123E" w:rsidRDefault="00A4123E" w:rsidP="00E84262">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A4123E" w:rsidRDefault="00A4123E" w:rsidP="00E84262">
            <w:pPr>
              <w:rPr>
                <w:sz w:val="18"/>
                <w:szCs w:val="18"/>
              </w:rPr>
            </w:pPr>
            <w:r>
              <w:rPr>
                <w:sz w:val="18"/>
                <w:szCs w:val="18"/>
              </w:rPr>
              <w:t>Taxes, Fees and Fines</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1,871</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3,155</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4,500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6,861</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4123E" w:rsidRDefault="00A4123E" w:rsidP="00E84262">
            <w:pPr>
              <w:rPr>
                <w:sz w:val="18"/>
                <w:szCs w:val="18"/>
              </w:rPr>
            </w:pPr>
            <w:r>
              <w:rPr>
                <w:sz w:val="18"/>
                <w:szCs w:val="18"/>
              </w:rPr>
              <w:t>Grants Received from the</w:t>
            </w:r>
            <w:r>
              <w:rPr>
                <w:sz w:val="18"/>
                <w:szCs w:val="18"/>
              </w:rPr>
              <w:br/>
              <w:t xml:space="preserve">   Commonwealth</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989,240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1,502,407</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xml:space="preserve">52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1,601,084</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1,617,295</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1,693,142</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A4123E" w:rsidRDefault="00A4123E" w:rsidP="00E84262">
            <w:pPr>
              <w:rPr>
                <w:sz w:val="18"/>
                <w:szCs w:val="18"/>
              </w:rPr>
            </w:pPr>
            <w:r>
              <w:rPr>
                <w:sz w:val="18"/>
                <w:szCs w:val="18"/>
              </w:rPr>
              <w:t xml:space="preserve">Dividends   </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210,121</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182,002</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xml:space="preserve">-13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223,013</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258,715</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253,819</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A4123E" w:rsidRDefault="00A4123E" w:rsidP="00E84262">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1,199,361</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1,686,280</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xml:space="preserve">41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1,827,252</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1,880,510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1,953,822</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A4123E" w:rsidRDefault="00A4123E"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color w:val="0000FF"/>
                <w:sz w:val="18"/>
                <w:szCs w:val="18"/>
              </w:rPr>
            </w:pPr>
            <w:r>
              <w:rPr>
                <w:color w:val="0000FF"/>
                <w:sz w:val="18"/>
                <w:szCs w:val="18"/>
              </w:rPr>
              <w:t> </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A4123E" w:rsidRDefault="00A4123E" w:rsidP="00E84262">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color w:val="0000FF"/>
                <w:sz w:val="18"/>
                <w:szCs w:val="18"/>
              </w:rPr>
            </w:pPr>
            <w:r>
              <w:rPr>
                <w:color w:val="0000FF"/>
                <w:sz w:val="18"/>
                <w:szCs w:val="18"/>
              </w:rPr>
              <w:t> </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4123E" w:rsidRDefault="00A4123E" w:rsidP="00E84262">
            <w:pPr>
              <w:rPr>
                <w:sz w:val="18"/>
                <w:szCs w:val="18"/>
              </w:rPr>
            </w:pPr>
            <w:r>
              <w:rPr>
                <w:sz w:val="18"/>
                <w:szCs w:val="18"/>
              </w:rPr>
              <w:t>Territory Receipts to</w:t>
            </w:r>
            <w:r>
              <w:rPr>
                <w:sz w:val="18"/>
                <w:szCs w:val="18"/>
              </w:rPr>
              <w:br/>
              <w:t xml:space="preserve">   Government</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1,199,361</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1,686,280</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xml:space="preserve">41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1,827,252</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1,880,510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1,953,822</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A4123E" w:rsidRDefault="00A4123E" w:rsidP="00E84262">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1,199,361</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1,686,280</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xml:space="preserve">41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1,827,252</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1,880,510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1,953,822</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4123E" w:rsidRDefault="00A4123E" w:rsidP="00E8426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A4123E" w:rsidRDefault="00A4123E" w:rsidP="00E84262">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ind w:left="-283"/>
              <w:jc w:val="right"/>
              <w:rPr>
                <w:b/>
                <w:bCs/>
                <w:sz w:val="18"/>
                <w:szCs w:val="18"/>
              </w:rPr>
            </w:pPr>
            <w:r>
              <w:rPr>
                <w:b/>
                <w:bCs/>
                <w:sz w:val="18"/>
                <w:szCs w:val="18"/>
              </w:rPr>
              <w:t>0</w:t>
            </w:r>
          </w:p>
        </w:tc>
      </w:tr>
      <w:tr w:rsidR="00A4123E" w:rsidTr="00E84262">
        <w:tc>
          <w:tcPr>
            <w:tcW w:w="1054" w:type="dxa"/>
            <w:tcBorders>
              <w:top w:val="nil"/>
              <w:left w:val="nil"/>
              <w:bottom w:val="nil"/>
              <w:right w:val="nil"/>
            </w:tcBorders>
            <w:shd w:val="clear" w:color="000000" w:fill="FFFFFF"/>
            <w:noWrap/>
            <w:hideMark/>
          </w:tcPr>
          <w:p w:rsidR="00A4123E" w:rsidRDefault="00A4123E" w:rsidP="00E84262">
            <w:pPr>
              <w:spacing w:before="60"/>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4123E" w:rsidRDefault="00A4123E" w:rsidP="00E84262">
            <w:pPr>
              <w:spacing w:before="60"/>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A4123E" w:rsidRDefault="00A4123E" w:rsidP="00E84262">
            <w:pPr>
              <w:spacing w:before="6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spacing w:before="6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A4123E" w:rsidRDefault="00A4123E" w:rsidP="00E84262">
            <w:pPr>
              <w:spacing w:before="60"/>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A4123E" w:rsidRDefault="00A4123E" w:rsidP="00E84262">
            <w:pPr>
              <w:spacing w:before="6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spacing w:before="6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4123E" w:rsidRDefault="00A4123E" w:rsidP="00E84262">
            <w:pPr>
              <w:spacing w:before="60"/>
              <w:ind w:left="-283"/>
              <w:jc w:val="right"/>
              <w:rPr>
                <w:b/>
                <w:bCs/>
                <w:sz w:val="18"/>
                <w:szCs w:val="18"/>
              </w:rPr>
            </w:pPr>
            <w:r>
              <w:rPr>
                <w:b/>
                <w:bCs/>
                <w:sz w:val="18"/>
                <w:szCs w:val="18"/>
              </w:rPr>
              <w:t>0</w:t>
            </w:r>
          </w:p>
        </w:tc>
      </w:tr>
      <w:tr w:rsidR="00A4123E" w:rsidTr="00E84262">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noWrap/>
            <w:hideMark/>
          </w:tcPr>
          <w:p w:rsidR="00A4123E" w:rsidRDefault="00A4123E" w:rsidP="00E84262">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A4123E" w:rsidRDefault="00A4123E" w:rsidP="00E84262">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A4123E" w:rsidRDefault="00A4123E" w:rsidP="00E84262">
            <w:pPr>
              <w:ind w:left="-283"/>
              <w:jc w:val="right"/>
              <w:rPr>
                <w:sz w:val="18"/>
                <w:szCs w:val="18"/>
              </w:rPr>
            </w:pPr>
            <w:r>
              <w:rPr>
                <w:sz w:val="18"/>
                <w:szCs w:val="18"/>
              </w:rPr>
              <w:t> </w:t>
            </w:r>
          </w:p>
        </w:tc>
      </w:tr>
    </w:tbl>
    <w:p w:rsidR="00A4123E" w:rsidRDefault="00A4123E"/>
    <w:p w:rsidR="00BE54D2" w:rsidRDefault="00BE54D2">
      <w:r>
        <w:br w:type="page"/>
      </w:r>
    </w:p>
    <w:p w:rsidR="002F3725" w:rsidRPr="00D232C8" w:rsidRDefault="002F3725" w:rsidP="002F3725">
      <w:pPr>
        <w:pStyle w:val="Heading3"/>
      </w:pPr>
      <w:r w:rsidRPr="00D232C8">
        <w:lastRenderedPageBreak/>
        <w:t xml:space="preserve">Notes to the Budget Statements </w:t>
      </w:r>
    </w:p>
    <w:p w:rsidR="002F3725" w:rsidRPr="00D232C8" w:rsidRDefault="002F3725" w:rsidP="002F3725">
      <w:pPr>
        <w:pStyle w:val="BodyText"/>
      </w:pPr>
      <w:r w:rsidRPr="00D232C8">
        <w:t>The CMTD Territorial financial statements include grants received from the Commonwealth under the framework for the Federal Financial Relations implemented by COAG on 1 January 2009.  The principal impact of the framework is the amalgamation of many grant payments previously made to ACT </w:t>
      </w:r>
      <w:r w:rsidR="00737041">
        <w:t>Government </w:t>
      </w:r>
      <w:r w:rsidRPr="00D232C8">
        <w:t xml:space="preserve">Agencies, into one monthly payment from the Commonwealth Treasury to </w:t>
      </w:r>
      <w:r w:rsidR="00B33092">
        <w:t>the f</w:t>
      </w:r>
      <w:r w:rsidR="0022586C">
        <w:t xml:space="preserve">ormer </w:t>
      </w:r>
      <w:r w:rsidRPr="00D232C8">
        <w:t>ACT Treasury’s Territorial Account.  A detailed explanation of the grants is provided in Budget Paper 3.</w:t>
      </w:r>
    </w:p>
    <w:p w:rsidR="002F3725" w:rsidRPr="00D232C8" w:rsidRDefault="002F3725" w:rsidP="002F3725">
      <w:pPr>
        <w:pStyle w:val="BodyText"/>
      </w:pPr>
      <w:r w:rsidRPr="00D232C8">
        <w:t>The CMTD Territorial financial statements also include dividend revenue collected from other ACT Government Agencies, and from 2013</w:t>
      </w:r>
      <w:r w:rsidRPr="00D232C8">
        <w:noBreakHyphen/>
        <w:t>14, the collection of a new regulatory levy on workers’ compensation insurers to offset the cost of administering workers’ compensation laws.</w:t>
      </w:r>
    </w:p>
    <w:p w:rsidR="002F3725" w:rsidRPr="00D232C8" w:rsidRDefault="002F3725" w:rsidP="002F3725">
      <w:pPr>
        <w:pStyle w:val="BodyText"/>
      </w:pPr>
      <w:r w:rsidRPr="00D232C8">
        <w:t>Significant variations are as follows:</w:t>
      </w:r>
    </w:p>
    <w:p w:rsidR="002F3725" w:rsidRPr="00D232C8" w:rsidRDefault="002F3725" w:rsidP="002F3725">
      <w:pPr>
        <w:pStyle w:val="Heading4"/>
      </w:pPr>
      <w:r w:rsidRPr="00D232C8">
        <w:t>Statement of Income and Expenses on Behalf of the Territory</w:t>
      </w:r>
    </w:p>
    <w:p w:rsidR="002F3725" w:rsidRPr="00D232C8" w:rsidRDefault="002F3725" w:rsidP="002F3725">
      <w:pPr>
        <w:pStyle w:val="BodyTextIndent"/>
        <w:keepNext w:val="0"/>
        <w:ind w:left="357" w:hanging="357"/>
      </w:pPr>
      <w:proofErr w:type="gramStart"/>
      <w:r w:rsidRPr="00D232C8">
        <w:t>taxes</w:t>
      </w:r>
      <w:proofErr w:type="gramEnd"/>
      <w:r w:rsidRPr="00D232C8">
        <w:t xml:space="preserve">, fees and fines:  the increase of $1.871 million in the </w:t>
      </w:r>
      <w:r>
        <w:t xml:space="preserve">2013-14 Budget from the </w:t>
      </w:r>
      <w:r w:rsidRPr="00D232C8">
        <w:t>2012</w:t>
      </w:r>
      <w:r w:rsidRPr="00D232C8">
        <w:noBreakHyphen/>
        <w:t>13</w:t>
      </w:r>
      <w:r>
        <w:t xml:space="preserve"> </w:t>
      </w:r>
      <w:r w:rsidRPr="00D232C8">
        <w:t>estimated outcome is due to a new regulatory levy on workers’ compensation insurers to offset the cost of administering workers’ compensation laws.</w:t>
      </w:r>
    </w:p>
    <w:p w:rsidR="002F3725" w:rsidRPr="00836062" w:rsidRDefault="002F3725" w:rsidP="002F3725">
      <w:pPr>
        <w:pStyle w:val="BodyTextIndent"/>
        <w:ind w:left="357" w:hanging="357"/>
      </w:pPr>
      <w:r w:rsidRPr="00D232C8">
        <w:t xml:space="preserve">grants from </w:t>
      </w:r>
      <w:r w:rsidRPr="00836062">
        <w:t>the Commonwealth:</w:t>
      </w:r>
    </w:p>
    <w:p w:rsidR="002F3725" w:rsidRPr="00836062" w:rsidRDefault="002F3725" w:rsidP="002F3725">
      <w:pPr>
        <w:pStyle w:val="BodyTextIndent2"/>
        <w:keepNext w:val="0"/>
        <w:ind w:left="714" w:hanging="357"/>
      </w:pPr>
      <w:r w:rsidRPr="00836062">
        <w:t>the increase of $997.046 million in the 2012</w:t>
      </w:r>
      <w:r w:rsidRPr="00836062">
        <w:noBreakHyphen/>
        <w:t xml:space="preserve">13 estimated outcome from the original budget is </w:t>
      </w:r>
      <w:r>
        <w:t xml:space="preserve">mainly </w:t>
      </w:r>
      <w:r w:rsidRPr="00836062">
        <w:t xml:space="preserve">due to the transfer of functions from the former TD ($923.152 million), an increase in National Healthcare Reform Payments ($61.049 million) and Finance Assistance Grants </w:t>
      </w:r>
      <w:r w:rsidR="0018692E">
        <w:t xml:space="preserve">brought forward </w:t>
      </w:r>
      <w:r w:rsidR="00F9766E">
        <w:t>from 2013</w:t>
      </w:r>
      <w:r w:rsidR="00F9766E">
        <w:noBreakHyphen/>
        <w:t>14 to 2012</w:t>
      </w:r>
      <w:r w:rsidR="00F9766E">
        <w:noBreakHyphen/>
        <w:t>13 ($24.</w:t>
      </w:r>
      <w:r w:rsidRPr="00836062">
        <w:t>666 million); and</w:t>
      </w:r>
    </w:p>
    <w:p w:rsidR="002F3725" w:rsidRDefault="002F3725" w:rsidP="002F3725">
      <w:pPr>
        <w:pStyle w:val="BodyTextIndent2"/>
        <w:keepNext w:val="0"/>
        <w:ind w:left="714" w:hanging="357"/>
      </w:pPr>
      <w:r w:rsidRPr="00836062">
        <w:t>the increase of $516.957 million in the 2013</w:t>
      </w:r>
      <w:r w:rsidRPr="00836062">
        <w:noBreakHyphen/>
        <w:t>14 Budget from the 2012</w:t>
      </w:r>
      <w:r w:rsidRPr="00836062">
        <w:noBreakHyphen/>
        <w:t>13 estimated outcome is mainly due to the full year impact of the transfer of functions from the former TD ($578.802 million) and an increase in GST revenue ($15.7 million), partially offset by a removal of the on</w:t>
      </w:r>
      <w:r>
        <w:t>e</w:t>
      </w:r>
      <w:r w:rsidRPr="00836062">
        <w:noBreakHyphen/>
        <w:t xml:space="preserve">off impact of the increase in National Healthcare Reform Payments ($61.049 million) and the impact of Finance Assistance Grants </w:t>
      </w:r>
      <w:r w:rsidR="0018692E">
        <w:t xml:space="preserve">brought forward </w:t>
      </w:r>
      <w:r w:rsidRPr="00836062">
        <w:t>from 2013</w:t>
      </w:r>
      <w:r w:rsidRPr="00836062">
        <w:noBreakHyphen/>
        <w:t>14 to 2012</w:t>
      </w:r>
      <w:r w:rsidRPr="00836062">
        <w:noBreakHyphen/>
        <w:t>13 ($49.</w:t>
      </w:r>
      <w:r>
        <w:t>332</w:t>
      </w:r>
      <w:r w:rsidRPr="00836062">
        <w:t> million)</w:t>
      </w:r>
      <w:r>
        <w:t>.</w:t>
      </w:r>
    </w:p>
    <w:p w:rsidR="002F3725" w:rsidRPr="00836062" w:rsidRDefault="002F3725" w:rsidP="002F3725">
      <w:pPr>
        <w:pStyle w:val="BodyTextIndent"/>
        <w:ind w:left="357" w:hanging="357"/>
      </w:pPr>
      <w:r w:rsidRPr="00836062">
        <w:t>dividend revenue:</w:t>
      </w:r>
    </w:p>
    <w:p w:rsidR="002F3725" w:rsidRPr="00836062" w:rsidRDefault="002F3725" w:rsidP="002F3725">
      <w:pPr>
        <w:pStyle w:val="BodyTextIndent2"/>
        <w:keepNext w:val="0"/>
        <w:ind w:left="714" w:hanging="357"/>
      </w:pPr>
      <w:proofErr w:type="gramStart"/>
      <w:r w:rsidRPr="00836062">
        <w:t>the</w:t>
      </w:r>
      <w:proofErr w:type="gramEnd"/>
      <w:r w:rsidRPr="00836062">
        <w:t xml:space="preserve"> increase of $197.292 million in the 2012</w:t>
      </w:r>
      <w:r w:rsidRPr="00836062">
        <w:noBreakHyphen/>
        <w:t>13 estimated outcome from the original budget is mainly due to the transfer of functions from the former TD ($172.250 million), and represents dividend revenu</w:t>
      </w:r>
      <w:r w:rsidR="00E45D8D">
        <w:t>e expected from ACT Government a</w:t>
      </w:r>
      <w:r w:rsidRPr="00836062">
        <w:t xml:space="preserve">gencies.  Dividend revenue estimates have also been updated following the transfer, and include an increase to the </w:t>
      </w:r>
      <w:r>
        <w:t xml:space="preserve">dividend from the </w:t>
      </w:r>
      <w:r w:rsidRPr="00836062">
        <w:t>Lan</w:t>
      </w:r>
      <w:r w:rsidR="00FE06E7">
        <w:t>d Development Agency (LDA) ($23.</w:t>
      </w:r>
      <w:r w:rsidRPr="00836062">
        <w:t>883 million); and</w:t>
      </w:r>
    </w:p>
    <w:p w:rsidR="002F3725" w:rsidRPr="00836062" w:rsidRDefault="002F3725" w:rsidP="002F3725">
      <w:pPr>
        <w:pStyle w:val="BodyTextIndent2"/>
        <w:keepNext w:val="0"/>
        <w:ind w:left="714" w:hanging="357"/>
      </w:pPr>
      <w:proofErr w:type="gramStart"/>
      <w:r w:rsidRPr="00836062">
        <w:t>the</w:t>
      </w:r>
      <w:proofErr w:type="gramEnd"/>
      <w:r w:rsidRPr="00836062">
        <w:t xml:space="preserve"> decrease of $5.159 million in the 2013</w:t>
      </w:r>
      <w:r w:rsidRPr="00836062">
        <w:noBreakHyphen/>
        <w:t>14 Budget from the 2012</w:t>
      </w:r>
      <w:r w:rsidRPr="00836062">
        <w:noBreakHyphen/>
        <w:t xml:space="preserve">13 estimated outcome is mainly due to a decrease in the dividend revenue estimate for the LDA ($16.958 million), offset by an increase for ACTEW </w:t>
      </w:r>
      <w:r>
        <w:t xml:space="preserve">dividends </w:t>
      </w:r>
      <w:r w:rsidRPr="00836062">
        <w:t>($11.366 million).</w:t>
      </w:r>
    </w:p>
    <w:p w:rsidR="002F3725" w:rsidRPr="00836062" w:rsidRDefault="002F3725" w:rsidP="002F3725">
      <w:pPr>
        <w:pStyle w:val="BodyTextIndent"/>
        <w:ind w:left="357" w:hanging="357"/>
      </w:pPr>
      <w:r w:rsidRPr="00836062">
        <w:lastRenderedPageBreak/>
        <w:t>supplies and services:</w:t>
      </w:r>
    </w:p>
    <w:p w:rsidR="002F3725" w:rsidRPr="00836062" w:rsidRDefault="002F3725" w:rsidP="002F3725">
      <w:pPr>
        <w:pStyle w:val="BodyTextIndent2"/>
        <w:keepNext w:val="0"/>
        <w:ind w:left="714" w:hanging="357"/>
      </w:pPr>
      <w:r w:rsidRPr="00836062">
        <w:t>the increase of $7.806 million in the 2012</w:t>
      </w:r>
      <w:r w:rsidRPr="00836062">
        <w:noBreakHyphen/>
        <w:t>13 estimated outcome from the original budget is</w:t>
      </w:r>
      <w:r w:rsidR="00FB7B6C">
        <w:t xml:space="preserve"> mainly due to the transfer of </w:t>
      </w:r>
      <w:r w:rsidRPr="00836062">
        <w:t xml:space="preserve">functions from the former TD, and reflects </w:t>
      </w:r>
      <w:r w:rsidR="00E45D8D">
        <w:t>payment for</w:t>
      </w:r>
      <w:r w:rsidRPr="00836062">
        <w:t xml:space="preserve"> GST Administration Expenses to the Commonwealth; and</w:t>
      </w:r>
    </w:p>
    <w:p w:rsidR="002F3725" w:rsidRPr="00836062" w:rsidRDefault="002F3725" w:rsidP="002F3725">
      <w:pPr>
        <w:pStyle w:val="BodyTextIndent2"/>
        <w:keepNext w:val="0"/>
        <w:ind w:left="714" w:hanging="357"/>
      </w:pPr>
      <w:proofErr w:type="gramStart"/>
      <w:r w:rsidRPr="00836062">
        <w:t>the</w:t>
      </w:r>
      <w:proofErr w:type="gramEnd"/>
      <w:r w:rsidRPr="00836062">
        <w:t xml:space="preserve"> increase of $3.790 million in the 2013</w:t>
      </w:r>
      <w:r w:rsidRPr="00836062">
        <w:noBreakHyphen/>
        <w:t>14 Budget from the 2012</w:t>
      </w:r>
      <w:r w:rsidRPr="00836062">
        <w:noBreakHyphen/>
        <w:t>13 estimated outcome is mainly due to the full year impact of the transfer of functions from the former TD.</w:t>
      </w:r>
    </w:p>
    <w:p w:rsidR="002F3725" w:rsidRPr="00836062" w:rsidRDefault="002F3725" w:rsidP="002F3725">
      <w:pPr>
        <w:pStyle w:val="BodyTextIndent"/>
        <w:ind w:left="357" w:hanging="357"/>
      </w:pPr>
      <w:r w:rsidRPr="00836062">
        <w:t>transfer expenses:</w:t>
      </w:r>
    </w:p>
    <w:p w:rsidR="002F3725" w:rsidRPr="00D232C8" w:rsidRDefault="002F3725" w:rsidP="002F3725">
      <w:pPr>
        <w:pStyle w:val="BodyTextIndent2"/>
        <w:keepNext w:val="0"/>
        <w:ind w:left="714" w:hanging="357"/>
      </w:pPr>
      <w:r w:rsidRPr="00836062">
        <w:t>the increase of $1.187 billion in the 2012</w:t>
      </w:r>
      <w:r w:rsidRPr="00836062">
        <w:noBreakHyphen/>
        <w:t>13 estimated outcome from the original budget is mainly due to the transfer of functions from the former TD, and represents the transfer of r</w:t>
      </w:r>
      <w:r w:rsidRPr="00D232C8">
        <w:t>evenue received from fees, Commonwealth grants and dividends to the Territory Banking Account (TBA); and</w:t>
      </w:r>
    </w:p>
    <w:p w:rsidR="002F3725" w:rsidRPr="00D232C8" w:rsidRDefault="002F3725" w:rsidP="002F3725">
      <w:pPr>
        <w:pStyle w:val="BodyTextIndent2"/>
        <w:keepNext w:val="0"/>
        <w:ind w:left="714" w:hanging="357"/>
      </w:pPr>
      <w:proofErr w:type="gramStart"/>
      <w:r w:rsidRPr="00D232C8">
        <w:t>the</w:t>
      </w:r>
      <w:proofErr w:type="gramEnd"/>
      <w:r w:rsidRPr="00D232C8">
        <w:t xml:space="preserve"> </w:t>
      </w:r>
      <w:r w:rsidR="0018692E">
        <w:t>in</w:t>
      </w:r>
      <w:r w:rsidRPr="00D232C8">
        <w:t>crease of $509.879 million in the 2013</w:t>
      </w:r>
      <w:r w:rsidRPr="00D232C8">
        <w:noBreakHyphen/>
        <w:t>14 Budget from the 2012</w:t>
      </w:r>
      <w:r w:rsidRPr="00D232C8">
        <w:noBreakHyphen/>
        <w:t>13 estimated outcome is due to the full year impact of the transfer of functions from the former TD, and updated estimates for the transfer of revenue received from fees, Commonwealth grants and dividends to the TBA.</w:t>
      </w:r>
    </w:p>
    <w:p w:rsidR="002F3725" w:rsidRPr="00D232C8" w:rsidRDefault="002F3725" w:rsidP="002F3725">
      <w:pPr>
        <w:pStyle w:val="Heading4"/>
      </w:pPr>
      <w:r w:rsidRPr="00D232C8">
        <w:t>Statement of Assets and Liabilities on Behalf of the Territory</w:t>
      </w:r>
    </w:p>
    <w:p w:rsidR="002F3725" w:rsidRPr="00D232C8" w:rsidRDefault="002F3725" w:rsidP="002F3725">
      <w:pPr>
        <w:pStyle w:val="BodyTextIndent"/>
        <w:ind w:left="357" w:hanging="357"/>
      </w:pPr>
      <w:r w:rsidRPr="00D232C8">
        <w:t>receivables:</w:t>
      </w:r>
    </w:p>
    <w:p w:rsidR="002F3725" w:rsidRPr="00836062" w:rsidRDefault="002F3725" w:rsidP="002F3725">
      <w:pPr>
        <w:pStyle w:val="BodyTextIndent2"/>
        <w:keepNext w:val="0"/>
        <w:ind w:left="714" w:hanging="357"/>
      </w:pPr>
      <w:r w:rsidRPr="00D232C8">
        <w:t>the increase of $</w:t>
      </w:r>
      <w:r w:rsidRPr="00836062">
        <w:t>49.519 million in the 2012</w:t>
      </w:r>
      <w:r w:rsidRPr="00836062">
        <w:noBreakHyphen/>
        <w:t>13 estimated outcome from the original budget is mainly due to the transfer of functions from the former TD ($20.307 million), and updated estimates for end of year accruals for the receipt of dividend revenue ($29.212 million), both relating to the timing of dividend payments to the Dire</w:t>
      </w:r>
      <w:r w:rsidR="00627189">
        <w:t>ctorate from Government a</w:t>
      </w:r>
      <w:r w:rsidRPr="00836062">
        <w:t>gencies; and</w:t>
      </w:r>
    </w:p>
    <w:p w:rsidR="002F3725" w:rsidRPr="00836062" w:rsidRDefault="002F3725" w:rsidP="002F3725">
      <w:pPr>
        <w:pStyle w:val="BodyTextIndent2"/>
        <w:keepNext w:val="0"/>
        <w:ind w:left="714" w:hanging="357"/>
      </w:pPr>
      <w:proofErr w:type="gramStart"/>
      <w:r w:rsidRPr="00836062">
        <w:t>the</w:t>
      </w:r>
      <w:proofErr w:type="gramEnd"/>
      <w:r w:rsidRPr="00836062">
        <w:t xml:space="preserve"> increase of $10.131 million in the 2013</w:t>
      </w:r>
      <w:r w:rsidRPr="00836062">
        <w:noBreakHyphen/>
        <w:t>14 Budget from the 2012</w:t>
      </w:r>
      <w:r w:rsidRPr="00836062">
        <w:noBreakHyphen/>
        <w:t>13 estimated outcome is due to changes to end of year accrual estimates for dividend revenue.</w:t>
      </w:r>
    </w:p>
    <w:p w:rsidR="002F3725" w:rsidRDefault="002F3725" w:rsidP="002F3725">
      <w:pPr>
        <w:pStyle w:val="BodyTextIndent"/>
        <w:ind w:left="357" w:hanging="357"/>
      </w:pPr>
      <w:proofErr w:type="gramStart"/>
      <w:r w:rsidRPr="00836062">
        <w:t>payables</w:t>
      </w:r>
      <w:proofErr w:type="gramEnd"/>
      <w:r w:rsidRPr="00836062">
        <w:t xml:space="preserve">:  the variations in payables reflect those for receivables, above, </w:t>
      </w:r>
      <w:r>
        <w:t>and</w:t>
      </w:r>
      <w:r w:rsidRPr="00836062">
        <w:t xml:space="preserve"> accrued payments to the TBA.</w:t>
      </w:r>
    </w:p>
    <w:p w:rsidR="00A3649B" w:rsidRDefault="00A3649B" w:rsidP="00A3649B">
      <w:pPr>
        <w:pStyle w:val="Heading4"/>
      </w:pPr>
      <w:r w:rsidRPr="00D232C8">
        <w:t xml:space="preserve">Statement of </w:t>
      </w:r>
      <w:r>
        <w:t>Changes in Equity</w:t>
      </w:r>
      <w:r w:rsidRPr="00D232C8">
        <w:t xml:space="preserve"> on Behalf of the Territory</w:t>
      </w:r>
    </w:p>
    <w:p w:rsidR="00555744" w:rsidRPr="00555744" w:rsidRDefault="00FD6DD7" w:rsidP="00555744">
      <w:pPr>
        <w:pStyle w:val="BodyText"/>
      </w:pPr>
      <w:r>
        <w:t>There are no variations in the statement of changes in equity on behalf of the Territory.</w:t>
      </w:r>
    </w:p>
    <w:p w:rsidR="00A3649B" w:rsidRPr="00D232C8" w:rsidRDefault="00A3649B" w:rsidP="00A3649B">
      <w:pPr>
        <w:pStyle w:val="Heading4"/>
      </w:pPr>
      <w:r w:rsidRPr="00D232C8">
        <w:t xml:space="preserve">Statement of </w:t>
      </w:r>
      <w:r>
        <w:t xml:space="preserve">Cash Flows </w:t>
      </w:r>
      <w:r w:rsidRPr="00D232C8">
        <w:t>on Behalf of the Territory</w:t>
      </w:r>
    </w:p>
    <w:p w:rsidR="00A3649B" w:rsidRPr="00A3649B" w:rsidRDefault="00A3649B" w:rsidP="00A3649B">
      <w:pPr>
        <w:pStyle w:val="BodyText"/>
      </w:pPr>
      <w:r>
        <w:t>Variations in the statement are explained in the notes above.</w:t>
      </w:r>
    </w:p>
    <w:p w:rsidR="00BE54D2" w:rsidRDefault="00BE54D2">
      <w:pPr>
        <w:spacing w:after="200" w:line="276" w:lineRule="auto"/>
      </w:pPr>
      <w:r>
        <w:br w:type="page"/>
      </w:r>
    </w:p>
    <w:tbl>
      <w:tblPr>
        <w:tblW w:w="9356" w:type="dxa"/>
        <w:tblLook w:val="04A0"/>
      </w:tblPr>
      <w:tblGrid>
        <w:gridCol w:w="1050"/>
        <w:gridCol w:w="2384"/>
        <w:gridCol w:w="1102"/>
        <w:gridCol w:w="1049"/>
        <w:gridCol w:w="621"/>
        <w:gridCol w:w="1050"/>
        <w:gridCol w:w="1050"/>
        <w:gridCol w:w="1050"/>
      </w:tblGrid>
      <w:tr w:rsidR="00A30D86" w:rsidTr="00E84262">
        <w:trPr>
          <w:tblHeader/>
        </w:trPr>
        <w:tc>
          <w:tcPr>
            <w:tcW w:w="9388" w:type="dxa"/>
            <w:gridSpan w:val="8"/>
            <w:tcBorders>
              <w:top w:val="nil"/>
              <w:left w:val="nil"/>
              <w:bottom w:val="nil"/>
              <w:right w:val="nil"/>
            </w:tcBorders>
            <w:shd w:val="clear" w:color="000000" w:fill="FFFFFF"/>
            <w:hideMark/>
          </w:tcPr>
          <w:p w:rsidR="00A30D86" w:rsidRPr="00866E53" w:rsidRDefault="00A30D86" w:rsidP="00E84262">
            <w:pPr>
              <w:jc w:val="center"/>
              <w:rPr>
                <w:rFonts w:ascii="Arial" w:hAnsi="Arial" w:cs="Arial"/>
                <w:b/>
                <w:bCs/>
                <w:szCs w:val="24"/>
              </w:rPr>
            </w:pPr>
            <w:r w:rsidRPr="00866E53">
              <w:rPr>
                <w:rFonts w:ascii="Arial" w:hAnsi="Arial" w:cs="Arial"/>
                <w:b/>
                <w:bCs/>
                <w:szCs w:val="24"/>
              </w:rPr>
              <w:lastRenderedPageBreak/>
              <w:t>Government Strategy</w:t>
            </w:r>
          </w:p>
        </w:tc>
      </w:tr>
      <w:tr w:rsidR="00A30D86" w:rsidTr="00E84262">
        <w:trPr>
          <w:tblHeader/>
        </w:trPr>
        <w:tc>
          <w:tcPr>
            <w:tcW w:w="9388" w:type="dxa"/>
            <w:gridSpan w:val="8"/>
            <w:tcBorders>
              <w:top w:val="nil"/>
              <w:left w:val="nil"/>
              <w:bottom w:val="nil"/>
              <w:right w:val="nil"/>
            </w:tcBorders>
            <w:shd w:val="clear" w:color="000000" w:fill="FFFFFF"/>
            <w:hideMark/>
          </w:tcPr>
          <w:p w:rsidR="00A30D86" w:rsidRPr="00866E53" w:rsidRDefault="00A30D86" w:rsidP="00E84262">
            <w:pPr>
              <w:jc w:val="center"/>
              <w:rPr>
                <w:rFonts w:ascii="Arial" w:hAnsi="Arial" w:cs="Arial"/>
                <w:b/>
                <w:bCs/>
                <w:szCs w:val="24"/>
              </w:rPr>
            </w:pPr>
            <w:r w:rsidRPr="00866E53">
              <w:rPr>
                <w:rFonts w:ascii="Arial" w:hAnsi="Arial" w:cs="Arial"/>
                <w:b/>
                <w:bCs/>
                <w:szCs w:val="24"/>
              </w:rPr>
              <w:t>Operating Statement</w:t>
            </w:r>
          </w:p>
        </w:tc>
      </w:tr>
      <w:tr w:rsidR="00A30D86" w:rsidTr="00E84262">
        <w:trPr>
          <w:tblHeader/>
        </w:trPr>
        <w:tc>
          <w:tcPr>
            <w:tcW w:w="1054" w:type="dxa"/>
            <w:tcBorders>
              <w:top w:val="single" w:sz="4" w:space="0" w:color="auto"/>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2016-17</w:t>
            </w:r>
          </w:p>
        </w:tc>
      </w:tr>
      <w:tr w:rsidR="00A30D86" w:rsidTr="00E84262">
        <w:trPr>
          <w:tblHeader/>
        </w:trPr>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Estimate</w:t>
            </w:r>
          </w:p>
        </w:tc>
      </w:tr>
      <w:tr w:rsidR="00A30D86" w:rsidTr="00E84262">
        <w:trPr>
          <w:tblHeader/>
        </w:trPr>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A30D86" w:rsidRDefault="00A30D86"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A30D86" w:rsidRDefault="00A30D86" w:rsidP="00E8426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b/>
                <w:bCs/>
                <w:sz w:val="18"/>
                <w:szCs w:val="18"/>
              </w:rPr>
            </w:pPr>
            <w:r>
              <w:rPr>
                <w:b/>
                <w:bCs/>
                <w:sz w:val="18"/>
                <w:szCs w:val="18"/>
              </w:rPr>
              <w:t>$'000</w:t>
            </w:r>
          </w:p>
        </w:tc>
      </w:tr>
      <w:tr w:rsidR="00A30D86" w:rsidTr="00E84262">
        <w:trPr>
          <w:tblHeader/>
        </w:trPr>
        <w:tc>
          <w:tcPr>
            <w:tcW w:w="1054" w:type="dxa"/>
            <w:tcBorders>
              <w:top w:val="nil"/>
              <w:left w:val="nil"/>
              <w:bottom w:val="nil"/>
              <w:right w:val="nil"/>
            </w:tcBorders>
            <w:shd w:val="clear" w:color="000000" w:fill="FFFFFF"/>
            <w:hideMark/>
          </w:tcPr>
          <w:p w:rsidR="00A30D86" w:rsidRDefault="00A30D86" w:rsidP="00E84262">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i/>
                <w:iCs/>
                <w:sz w:val="18"/>
                <w:szCs w:val="18"/>
              </w:rPr>
            </w:pPr>
            <w:r>
              <w:rPr>
                <w:b/>
                <w:bCs/>
                <w:i/>
                <w:iCs/>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36,919</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39,926</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25,685</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-36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22,148</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22,056</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21,561</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467</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 xml:space="preserve">User Charges - ACT </w:t>
            </w:r>
            <w:r>
              <w:rPr>
                <w:sz w:val="18"/>
                <w:szCs w:val="18"/>
              </w:rPr>
              <w:br/>
              <w:t xml:space="preserve">   Government</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2,435</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4,097</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68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4,143</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4,187</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4,237</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396</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 xml:space="preserve">Resources Received Free of </w:t>
            </w:r>
            <w:r>
              <w:rPr>
                <w:sz w:val="18"/>
                <w:szCs w:val="18"/>
              </w:rPr>
              <w:br/>
              <w:t xml:space="preserve">   Charge</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396</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405</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415</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425</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436</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37,782</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42,757</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30,187</w:t>
            </w:r>
          </w:p>
        </w:tc>
        <w:tc>
          <w:tcPr>
            <w:tcW w:w="62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 xml:space="preserve">-29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26,706</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26,668</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26,234</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37,782</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42,757</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30,187</w:t>
            </w:r>
          </w:p>
        </w:tc>
        <w:tc>
          <w:tcPr>
            <w:tcW w:w="62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 xml:space="preserve">-29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26,706</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26,668</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26,234</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12,365</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14,375</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14,136</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13,082</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13,081</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13,262</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2,499</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2,792</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3,111</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11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2,743</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2,438</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2,382</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22,259</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24,211</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11,264</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-53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9,174</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9,482</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9,497</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361</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29</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384</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707</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707</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707</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384</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1,484</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1,817</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22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1,839</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1,799</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1,225</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396</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38,266</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42,893</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30,714</w:t>
            </w:r>
          </w:p>
        </w:tc>
        <w:tc>
          <w:tcPr>
            <w:tcW w:w="62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 xml:space="preserve">-28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27,547</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27,509</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27,075</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-484</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-136</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-527</w:t>
            </w:r>
          </w:p>
        </w:tc>
        <w:tc>
          <w:tcPr>
            <w:tcW w:w="62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 xml:space="preserve">-288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-841</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-841</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-841</w:t>
            </w:r>
          </w:p>
        </w:tc>
      </w:tr>
      <w:tr w:rsidR="00A30D86" w:rsidTr="00E84262">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A30D86" w:rsidRDefault="00A30D86" w:rsidP="00E84262">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sz w:val="18"/>
                <w:szCs w:val="18"/>
              </w:rPr>
            </w:pPr>
            <w:r>
              <w:rPr>
                <w:sz w:val="18"/>
                <w:szCs w:val="18"/>
              </w:rPr>
              <w:t> </w:t>
            </w:r>
          </w:p>
        </w:tc>
      </w:tr>
    </w:tbl>
    <w:p w:rsidR="00A30D86" w:rsidRDefault="00A30D86">
      <w:pPr>
        <w:spacing w:after="200" w:line="276" w:lineRule="auto"/>
      </w:pPr>
    </w:p>
    <w:p w:rsidR="00A30D86" w:rsidRDefault="00A30D86">
      <w:pPr>
        <w:spacing w:after="200" w:line="276" w:lineRule="auto"/>
      </w:pPr>
      <w:r>
        <w:br w:type="page"/>
      </w:r>
    </w:p>
    <w:tbl>
      <w:tblPr>
        <w:tblW w:w="9356" w:type="dxa"/>
        <w:tblLook w:val="04A0"/>
      </w:tblPr>
      <w:tblGrid>
        <w:gridCol w:w="1050"/>
        <w:gridCol w:w="2384"/>
        <w:gridCol w:w="1102"/>
        <w:gridCol w:w="1049"/>
        <w:gridCol w:w="621"/>
        <w:gridCol w:w="1050"/>
        <w:gridCol w:w="1050"/>
        <w:gridCol w:w="1050"/>
      </w:tblGrid>
      <w:tr w:rsidR="00A30D86" w:rsidTr="00E84262">
        <w:trPr>
          <w:tblHeader/>
        </w:trPr>
        <w:tc>
          <w:tcPr>
            <w:tcW w:w="9388" w:type="dxa"/>
            <w:gridSpan w:val="8"/>
            <w:tcBorders>
              <w:top w:val="nil"/>
              <w:left w:val="nil"/>
              <w:bottom w:val="nil"/>
              <w:right w:val="nil"/>
            </w:tcBorders>
            <w:shd w:val="clear" w:color="000000" w:fill="FFFFFF"/>
            <w:hideMark/>
          </w:tcPr>
          <w:p w:rsidR="00A30D86" w:rsidRPr="00866E53" w:rsidRDefault="00A30D86" w:rsidP="00E84262">
            <w:pPr>
              <w:jc w:val="center"/>
              <w:rPr>
                <w:rFonts w:ascii="Arial" w:hAnsi="Arial" w:cs="Arial"/>
                <w:b/>
                <w:bCs/>
                <w:szCs w:val="24"/>
              </w:rPr>
            </w:pPr>
            <w:bookmarkStart w:id="9" w:name="RANGE!A1:H38"/>
            <w:r w:rsidRPr="00866E53">
              <w:rPr>
                <w:rFonts w:ascii="Arial" w:hAnsi="Arial" w:cs="Arial"/>
                <w:b/>
                <w:bCs/>
                <w:szCs w:val="24"/>
              </w:rPr>
              <w:lastRenderedPageBreak/>
              <w:t xml:space="preserve">Financial and Economic </w:t>
            </w:r>
            <w:bookmarkEnd w:id="9"/>
            <w:r w:rsidR="006F2ADF" w:rsidRPr="00866E53">
              <w:rPr>
                <w:rFonts w:ascii="Arial" w:hAnsi="Arial" w:cs="Arial"/>
                <w:b/>
                <w:bCs/>
                <w:szCs w:val="24"/>
              </w:rPr>
              <w:t>Management</w:t>
            </w:r>
          </w:p>
        </w:tc>
      </w:tr>
      <w:tr w:rsidR="00A30D86" w:rsidTr="00E84262">
        <w:trPr>
          <w:tblHeader/>
        </w:trPr>
        <w:tc>
          <w:tcPr>
            <w:tcW w:w="9388" w:type="dxa"/>
            <w:gridSpan w:val="8"/>
            <w:tcBorders>
              <w:top w:val="nil"/>
              <w:left w:val="nil"/>
              <w:bottom w:val="nil"/>
              <w:right w:val="nil"/>
            </w:tcBorders>
            <w:shd w:val="clear" w:color="000000" w:fill="FFFFFF"/>
            <w:hideMark/>
          </w:tcPr>
          <w:p w:rsidR="00A30D86" w:rsidRPr="00866E53" w:rsidRDefault="00A30D86" w:rsidP="00E84262">
            <w:pPr>
              <w:jc w:val="center"/>
              <w:rPr>
                <w:rFonts w:ascii="Arial" w:hAnsi="Arial" w:cs="Arial"/>
                <w:b/>
                <w:bCs/>
                <w:szCs w:val="24"/>
              </w:rPr>
            </w:pPr>
            <w:r w:rsidRPr="00866E53">
              <w:rPr>
                <w:rFonts w:ascii="Arial" w:hAnsi="Arial" w:cs="Arial"/>
                <w:b/>
                <w:bCs/>
                <w:szCs w:val="24"/>
              </w:rPr>
              <w:t>Operating Statement</w:t>
            </w:r>
          </w:p>
        </w:tc>
      </w:tr>
      <w:tr w:rsidR="00A30D86" w:rsidTr="00E84262">
        <w:trPr>
          <w:tblHeader/>
        </w:trPr>
        <w:tc>
          <w:tcPr>
            <w:tcW w:w="1054" w:type="dxa"/>
            <w:tcBorders>
              <w:top w:val="single" w:sz="4" w:space="0" w:color="auto"/>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2016-17</w:t>
            </w:r>
          </w:p>
        </w:tc>
      </w:tr>
      <w:tr w:rsidR="00A30D86" w:rsidTr="00E84262">
        <w:trPr>
          <w:tblHeader/>
        </w:trPr>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Estimate</w:t>
            </w:r>
          </w:p>
        </w:tc>
      </w:tr>
      <w:tr w:rsidR="00A30D86" w:rsidTr="00E84262">
        <w:trPr>
          <w:tblHeader/>
        </w:trPr>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A30D86" w:rsidRDefault="00A30D86"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A30D86" w:rsidRDefault="00A30D86" w:rsidP="00E8426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b/>
                <w:bCs/>
                <w:sz w:val="18"/>
                <w:szCs w:val="18"/>
              </w:rPr>
            </w:pPr>
            <w:r>
              <w:rPr>
                <w:b/>
                <w:bCs/>
                <w:sz w:val="18"/>
                <w:szCs w:val="18"/>
              </w:rPr>
              <w:t>$'000</w:t>
            </w:r>
          </w:p>
        </w:tc>
      </w:tr>
      <w:tr w:rsidR="00A30D86" w:rsidTr="00E84262">
        <w:trPr>
          <w:tblHeader/>
        </w:trPr>
        <w:tc>
          <w:tcPr>
            <w:tcW w:w="1054" w:type="dxa"/>
            <w:tcBorders>
              <w:top w:val="nil"/>
              <w:left w:val="nil"/>
              <w:bottom w:val="nil"/>
              <w:right w:val="nil"/>
            </w:tcBorders>
            <w:shd w:val="clear" w:color="000000" w:fill="FFFFFF"/>
            <w:hideMark/>
          </w:tcPr>
          <w:p w:rsidR="00A30D86" w:rsidRDefault="00A30D86" w:rsidP="00E84262">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i/>
                <w:iCs/>
                <w:sz w:val="18"/>
                <w:szCs w:val="18"/>
              </w:rPr>
            </w:pPr>
            <w:r>
              <w:rPr>
                <w:b/>
                <w:bCs/>
                <w:i/>
                <w:iCs/>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19,757</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34,148</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73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19,322</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18,566</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18,878</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Interest</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2,463</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3,532</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43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3,485</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3,411</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3,324</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26</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44</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69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38</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26</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26</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 xml:space="preserve">Resources Received Free of </w:t>
            </w:r>
            <w:r>
              <w:rPr>
                <w:sz w:val="18"/>
                <w:szCs w:val="18"/>
              </w:rPr>
              <w:br/>
              <w:t xml:space="preserve">   Charge</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504</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701</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39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719</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719</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719</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22,750</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38,425</w:t>
            </w:r>
          </w:p>
        </w:tc>
        <w:tc>
          <w:tcPr>
            <w:tcW w:w="62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 xml:space="preserve">69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23,564</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22,722</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22,947</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Gains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Other Gains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5,341</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Total Gains</w:t>
            </w:r>
          </w:p>
        </w:tc>
        <w:tc>
          <w:tcPr>
            <w:tcW w:w="1106"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5,341</w:t>
            </w:r>
          </w:p>
        </w:tc>
        <w:tc>
          <w:tcPr>
            <w:tcW w:w="62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0</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22,750</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43,766</w:t>
            </w:r>
          </w:p>
        </w:tc>
        <w:tc>
          <w:tcPr>
            <w:tcW w:w="62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 xml:space="preserve">92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23,564</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22,722</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22,947</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4,890</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9,504</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94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9,006</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8,811</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8,932</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1,264</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1,642</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30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1,526</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1,445</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1,416</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5,499</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11,243</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104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7,742</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7,232</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7,464</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1,028</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1,847</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1,847</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853</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2,463</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3,532</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43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3,485</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3,411</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3,324</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8,312</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12,566</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xml:space="preserve">51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1,860</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1,872</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1,882</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22,428</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39,515</w:t>
            </w:r>
          </w:p>
        </w:tc>
        <w:tc>
          <w:tcPr>
            <w:tcW w:w="62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 xml:space="preserve">76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25,466</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24,618</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23,871</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30D86" w:rsidRDefault="00A30D86" w:rsidP="00E84262">
            <w:pPr>
              <w:rPr>
                <w:sz w:val="18"/>
                <w:szCs w:val="18"/>
              </w:rPr>
            </w:pPr>
            <w:r>
              <w:rPr>
                <w:sz w:val="18"/>
                <w:szCs w:val="18"/>
              </w:rPr>
              <w:t> </w:t>
            </w:r>
          </w:p>
        </w:tc>
        <w:tc>
          <w:tcPr>
            <w:tcW w:w="1106"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30D86" w:rsidRDefault="00A30D86" w:rsidP="00E84262">
            <w:pPr>
              <w:ind w:left="-283"/>
              <w:jc w:val="right"/>
              <w:rPr>
                <w:sz w:val="18"/>
                <w:szCs w:val="18"/>
              </w:rPr>
            </w:pPr>
            <w:r>
              <w:rPr>
                <w:sz w:val="18"/>
                <w:szCs w:val="18"/>
              </w:rPr>
              <w:t> </w:t>
            </w:r>
          </w:p>
        </w:tc>
      </w:tr>
      <w:tr w:rsidR="00A30D86" w:rsidTr="00E84262">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30D86" w:rsidRDefault="00A30D86" w:rsidP="00E84262">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322</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4,251</w:t>
            </w:r>
          </w:p>
        </w:tc>
        <w:tc>
          <w:tcPr>
            <w:tcW w:w="62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-1,902</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-1,896</w:t>
            </w:r>
          </w:p>
        </w:tc>
        <w:tc>
          <w:tcPr>
            <w:tcW w:w="1054" w:type="dxa"/>
            <w:tcBorders>
              <w:top w:val="nil"/>
              <w:left w:val="nil"/>
              <w:bottom w:val="nil"/>
              <w:right w:val="nil"/>
            </w:tcBorders>
            <w:shd w:val="clear" w:color="000000" w:fill="FFFFFF"/>
            <w:hideMark/>
          </w:tcPr>
          <w:p w:rsidR="00A30D86" w:rsidRDefault="00A30D86" w:rsidP="00E84262">
            <w:pPr>
              <w:ind w:left="-283"/>
              <w:jc w:val="right"/>
              <w:rPr>
                <w:b/>
                <w:bCs/>
                <w:sz w:val="18"/>
                <w:szCs w:val="18"/>
              </w:rPr>
            </w:pPr>
            <w:r>
              <w:rPr>
                <w:b/>
                <w:bCs/>
                <w:sz w:val="18"/>
                <w:szCs w:val="18"/>
              </w:rPr>
              <w:t>-924</w:t>
            </w:r>
          </w:p>
        </w:tc>
      </w:tr>
      <w:tr w:rsidR="00A30D86" w:rsidTr="00E84262">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A30D86" w:rsidRDefault="00A30D86" w:rsidP="00E84262">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30D86" w:rsidRDefault="00A30D86" w:rsidP="00E84262">
            <w:pPr>
              <w:ind w:left="-283"/>
              <w:jc w:val="right"/>
              <w:rPr>
                <w:sz w:val="18"/>
                <w:szCs w:val="18"/>
              </w:rPr>
            </w:pPr>
            <w:r>
              <w:rPr>
                <w:sz w:val="18"/>
                <w:szCs w:val="18"/>
              </w:rPr>
              <w:t> </w:t>
            </w:r>
          </w:p>
        </w:tc>
      </w:tr>
    </w:tbl>
    <w:p w:rsidR="00A30D86" w:rsidRDefault="00A30D86">
      <w:pPr>
        <w:spacing w:after="200" w:line="276" w:lineRule="auto"/>
      </w:pPr>
    </w:p>
    <w:p w:rsidR="00BE54D2" w:rsidRDefault="00BE54D2">
      <w:pPr>
        <w:spacing w:after="200" w:line="276" w:lineRule="auto"/>
      </w:pPr>
      <w:r>
        <w:br w:type="page"/>
      </w:r>
    </w:p>
    <w:p w:rsidR="00D232C8" w:rsidRPr="00D232C8" w:rsidRDefault="00D232C8" w:rsidP="00D232C8">
      <w:pPr>
        <w:pStyle w:val="Heading3"/>
      </w:pPr>
      <w:r w:rsidRPr="00D232C8">
        <w:lastRenderedPageBreak/>
        <w:t>Notes to the Output Class Statements</w:t>
      </w:r>
    </w:p>
    <w:p w:rsidR="00D232C8" w:rsidRPr="00D232C8" w:rsidRDefault="00D232C8" w:rsidP="00D232C8">
      <w:pPr>
        <w:pStyle w:val="BodyText"/>
      </w:pPr>
      <w:r w:rsidRPr="00D232C8">
        <w:t>Significant variations are as follows:</w:t>
      </w:r>
    </w:p>
    <w:p w:rsidR="001671E4" w:rsidRPr="001671E4" w:rsidRDefault="001671E4" w:rsidP="001671E4">
      <w:pPr>
        <w:pStyle w:val="BodyText"/>
        <w:rPr>
          <w:i/>
        </w:rPr>
      </w:pPr>
      <w:r w:rsidRPr="001671E4">
        <w:rPr>
          <w:i/>
        </w:rPr>
        <w:t>Government Strategy Total Ordinary Expenses</w:t>
      </w:r>
    </w:p>
    <w:p w:rsidR="00D232C8" w:rsidRPr="00D232C8" w:rsidRDefault="00D232C8" w:rsidP="00D232C8">
      <w:pPr>
        <w:pStyle w:val="BodyTextIndent"/>
        <w:keepNext w:val="0"/>
        <w:spacing w:before="60"/>
        <w:ind w:left="357" w:hanging="357"/>
      </w:pPr>
      <w:r w:rsidRPr="00D232C8">
        <w:t>the increase of $4.</w:t>
      </w:r>
      <w:r w:rsidR="001A2111">
        <w:t>627</w:t>
      </w:r>
      <w:r w:rsidRPr="00D232C8">
        <w:t> million in the 2012</w:t>
      </w:r>
      <w:r w:rsidRPr="00D232C8">
        <w:noBreakHyphen/>
        <w:t>13 estimated outcome from the original budget is mainly due to an increase in Centenary of Canberra – ACT Celebratory Program</w:t>
      </w:r>
      <w:r w:rsidR="00062901">
        <w:t xml:space="preserve"> (Centenary Program) activities; and</w:t>
      </w:r>
    </w:p>
    <w:p w:rsidR="00D232C8" w:rsidRPr="00D232C8" w:rsidRDefault="001A2111" w:rsidP="00D232C8">
      <w:pPr>
        <w:pStyle w:val="BodyTextIndent"/>
        <w:keepNext w:val="0"/>
        <w:spacing w:before="60"/>
        <w:ind w:left="357" w:hanging="357"/>
      </w:pPr>
      <w:proofErr w:type="gramStart"/>
      <w:r>
        <w:t>the</w:t>
      </w:r>
      <w:proofErr w:type="gramEnd"/>
      <w:r>
        <w:t xml:space="preserve"> decrease of $12</w:t>
      </w:r>
      <w:r w:rsidR="00D232C8" w:rsidRPr="00D232C8">
        <w:t>.</w:t>
      </w:r>
      <w:r>
        <w:t>179</w:t>
      </w:r>
      <w:r w:rsidR="00D232C8" w:rsidRPr="00D232C8">
        <w:t> million in the 2013</w:t>
      </w:r>
      <w:r w:rsidR="00D232C8" w:rsidRPr="00D232C8">
        <w:noBreakHyphen/>
        <w:t>14 Budget from the 2012</w:t>
      </w:r>
      <w:r w:rsidR="00D232C8" w:rsidRPr="00D232C8">
        <w:noBreakHyphen/>
        <w:t xml:space="preserve">13 estimated outcome is </w:t>
      </w:r>
      <w:r w:rsidR="00570E05">
        <w:t xml:space="preserve">mainly </w:t>
      </w:r>
      <w:r w:rsidR="00D232C8" w:rsidRPr="00D232C8">
        <w:t>due to a decrease in Centenary Program activities as the program comes to a close.</w:t>
      </w:r>
      <w:bookmarkStart w:id="10" w:name="_GoBack"/>
      <w:bookmarkEnd w:id="10"/>
    </w:p>
    <w:p w:rsidR="001671E4" w:rsidRDefault="001671E4" w:rsidP="001671E4">
      <w:pPr>
        <w:pStyle w:val="Heading4"/>
      </w:pPr>
      <w:r w:rsidRPr="00D232C8">
        <w:t>Financial and Economic Management</w:t>
      </w:r>
      <w:r>
        <w:t xml:space="preserve"> Total Ordinary Expenses</w:t>
      </w:r>
    </w:p>
    <w:p w:rsidR="00D232C8" w:rsidRDefault="00D232C8" w:rsidP="00D232C8">
      <w:pPr>
        <w:pStyle w:val="BodyTextIndent"/>
        <w:keepNext w:val="0"/>
        <w:spacing w:before="60"/>
        <w:ind w:left="357" w:hanging="357"/>
      </w:pPr>
      <w:r w:rsidRPr="00D232C8">
        <w:t>the increase of $22.</w:t>
      </w:r>
      <w:r w:rsidR="000D2382">
        <w:t>428</w:t>
      </w:r>
      <w:r w:rsidRPr="00D232C8">
        <w:t> million in the 2012</w:t>
      </w:r>
      <w:r w:rsidRPr="00D232C8">
        <w:noBreakHyphen/>
        <w:t xml:space="preserve">13 estimated outcome from the original budget is mainly due to the transfer </w:t>
      </w:r>
      <w:r w:rsidR="00062901">
        <w:t>of functions from the former TD; and</w:t>
      </w:r>
    </w:p>
    <w:p w:rsidR="003A1A1F" w:rsidRDefault="00B228EC">
      <w:pPr>
        <w:pStyle w:val="BodyTextIndent"/>
        <w:keepNext w:val="0"/>
        <w:spacing w:before="60"/>
        <w:ind w:left="357" w:hanging="357"/>
      </w:pPr>
      <w:proofErr w:type="gramStart"/>
      <w:r w:rsidRPr="002F3725">
        <w:t>the</w:t>
      </w:r>
      <w:proofErr w:type="gramEnd"/>
      <w:r w:rsidRPr="002F3725">
        <w:t xml:space="preserve"> increase</w:t>
      </w:r>
      <w:r w:rsidR="005E0637">
        <w:t xml:space="preserve"> of $17.087 million in the 2013</w:t>
      </w:r>
      <w:r w:rsidR="005E0637">
        <w:noBreakHyphen/>
        <w:t>14 Budget from the 2012</w:t>
      </w:r>
      <w:r w:rsidR="005E0637">
        <w:noBreakHyphen/>
      </w:r>
      <w:r w:rsidRPr="002F3725">
        <w:t>13 estimated outcome is mainly due to the full year impact of the transfer of functions from the former TD and the rollover of funding for initiatives to 2013</w:t>
      </w:r>
      <w:r w:rsidR="005E0637">
        <w:noBreakHyphen/>
        <w:t>14 ($8.461 </w:t>
      </w:r>
      <w:r w:rsidRPr="002F3725">
        <w:t>million).</w:t>
      </w:r>
      <w:r w:rsidR="009E6C43" w:rsidRPr="009E6C43">
        <w:t xml:space="preserve"> </w:t>
      </w:r>
    </w:p>
    <w:sectPr w:rsidR="003A1A1F" w:rsidSect="00D57A06">
      <w:footerReference w:type="default" r:id="rId11"/>
      <w:headerReference w:type="first" r:id="rId12"/>
      <w:pgSz w:w="11906" w:h="16838" w:code="9"/>
      <w:pgMar w:top="1151" w:right="1440" w:bottom="1729" w:left="1440" w:header="720" w:footer="720" w:gutter="0"/>
      <w:pgNumType w:start="2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262" w:rsidRDefault="00E84262">
      <w:r>
        <w:separator/>
      </w:r>
    </w:p>
  </w:endnote>
  <w:endnote w:type="continuationSeparator" w:id="0">
    <w:p w:rsidR="00E84262" w:rsidRDefault="00E84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2A87"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62" w:rsidRDefault="00E84262">
    <w:pPr>
      <w:pStyle w:val="Footer"/>
      <w:pBdr>
        <w:top w:val="single" w:sz="4" w:space="1" w:color="auto"/>
      </w:pBdr>
      <w:tabs>
        <w:tab w:val="clear" w:pos="8306"/>
        <w:tab w:val="right" w:pos="9000"/>
      </w:tabs>
      <w:ind w:left="-180"/>
      <w:rPr>
        <w:i/>
        <w:iCs/>
        <w:sz w:val="20"/>
      </w:rPr>
    </w:pPr>
    <w:r>
      <w:rPr>
        <w:i/>
        <w:iCs/>
        <w:sz w:val="20"/>
      </w:rPr>
      <w:t>2013-14 Budget Paper No.4</w:t>
    </w:r>
    <w:r>
      <w:rPr>
        <w:i/>
        <w:iCs/>
        <w:sz w:val="20"/>
      </w:rPr>
      <w:tab/>
    </w:r>
    <w:r w:rsidR="00A7789C" w:rsidRPr="00D57A06">
      <w:rPr>
        <w:i/>
        <w:iCs/>
        <w:sz w:val="20"/>
      </w:rPr>
      <w:fldChar w:fldCharType="begin"/>
    </w:r>
    <w:r w:rsidR="00D57A06" w:rsidRPr="00D57A06">
      <w:rPr>
        <w:i/>
        <w:iCs/>
        <w:sz w:val="20"/>
      </w:rPr>
      <w:instrText xml:space="preserve"> PAGE   \* MERGEFORMAT </w:instrText>
    </w:r>
    <w:r w:rsidR="00A7789C" w:rsidRPr="00D57A06">
      <w:rPr>
        <w:i/>
        <w:iCs/>
        <w:sz w:val="20"/>
      </w:rPr>
      <w:fldChar w:fldCharType="separate"/>
    </w:r>
    <w:r w:rsidR="00DA4DBC">
      <w:rPr>
        <w:i/>
        <w:iCs/>
        <w:noProof/>
        <w:sz w:val="20"/>
      </w:rPr>
      <w:t>29</w:t>
    </w:r>
    <w:r w:rsidR="00A7789C" w:rsidRPr="00D57A06">
      <w:rPr>
        <w:i/>
        <w:iCs/>
        <w:sz w:val="20"/>
      </w:rPr>
      <w:fldChar w:fldCharType="end"/>
    </w:r>
    <w:r>
      <w:rPr>
        <w:i/>
        <w:iCs/>
        <w:sz w:val="20"/>
      </w:rPr>
      <w:tab/>
      <w:t>Chief Minister and Treasury Directorate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262" w:rsidRDefault="00E84262">
      <w:r>
        <w:separator/>
      </w:r>
    </w:p>
  </w:footnote>
  <w:footnote w:type="continuationSeparator" w:id="0">
    <w:p w:rsidR="00E84262" w:rsidRDefault="00E842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262" w:rsidRDefault="00E84262">
    <w:pPr>
      <w:pStyle w:val="Header"/>
      <w:rPr>
        <w:b/>
        <w:bCs/>
      </w:rPr>
    </w:pPr>
    <w:r>
      <w:rPr>
        <w:b/>
        <w:bCs/>
      </w:rPr>
      <w:t>Attachment A – BP4 Agency Chapter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BA1138"/>
    <w:lvl w:ilvl="0">
      <w:start w:val="1"/>
      <w:numFmt w:val="decimal"/>
      <w:pStyle w:val="ListBullet3"/>
      <w:lvlText w:val="%1."/>
      <w:lvlJc w:val="left"/>
      <w:pPr>
        <w:tabs>
          <w:tab w:val="num" w:pos="1492"/>
        </w:tabs>
        <w:ind w:left="1492" w:hanging="360"/>
      </w:pPr>
      <w:rPr>
        <w:rFonts w:cs="Times New Roman"/>
      </w:rPr>
    </w:lvl>
  </w:abstractNum>
  <w:abstractNum w:abstractNumId="1">
    <w:nsid w:val="FFFFFF7D"/>
    <w:multiLevelType w:val="singleLevel"/>
    <w:tmpl w:val="C6D8CF74"/>
    <w:lvl w:ilvl="0">
      <w:start w:val="1"/>
      <w:numFmt w:val="decimal"/>
      <w:pStyle w:val="ListBullet2"/>
      <w:lvlText w:val="%1."/>
      <w:lvlJc w:val="left"/>
      <w:pPr>
        <w:tabs>
          <w:tab w:val="num" w:pos="1209"/>
        </w:tabs>
        <w:ind w:left="1209" w:hanging="360"/>
      </w:pPr>
      <w:rPr>
        <w:rFonts w:cs="Times New Roman"/>
      </w:rPr>
    </w:lvl>
  </w:abstractNum>
  <w:abstractNum w:abstractNumId="2">
    <w:nsid w:val="FFFFFF7E"/>
    <w:multiLevelType w:val="singleLevel"/>
    <w:tmpl w:val="CC72A886"/>
    <w:lvl w:ilvl="0">
      <w:start w:val="1"/>
      <w:numFmt w:val="decimal"/>
      <w:pStyle w:val="ListBullet"/>
      <w:lvlText w:val="%1."/>
      <w:lvlJc w:val="left"/>
      <w:pPr>
        <w:tabs>
          <w:tab w:val="num" w:pos="926"/>
        </w:tabs>
        <w:ind w:left="926" w:hanging="360"/>
      </w:pPr>
      <w:rPr>
        <w:rFonts w:cs="Times New Roman"/>
      </w:rPr>
    </w:lvl>
  </w:abstractNum>
  <w:abstractNum w:abstractNumId="3">
    <w:nsid w:val="FFFFFF7F"/>
    <w:multiLevelType w:val="singleLevel"/>
    <w:tmpl w:val="E0F46DDA"/>
    <w:lvl w:ilvl="0">
      <w:start w:val="1"/>
      <w:numFmt w:val="decimal"/>
      <w:pStyle w:val="Paragraph2-Bullets"/>
      <w:lvlText w:val="%1."/>
      <w:lvlJc w:val="left"/>
      <w:pPr>
        <w:tabs>
          <w:tab w:val="num" w:pos="643"/>
        </w:tabs>
        <w:ind w:left="643" w:hanging="360"/>
      </w:pPr>
      <w:rPr>
        <w:rFonts w:cs="Times New Roman"/>
      </w:rPr>
    </w:lvl>
  </w:abstractNum>
  <w:abstractNum w:abstractNumId="4">
    <w:nsid w:val="FFFFFF80"/>
    <w:multiLevelType w:val="singleLevel"/>
    <w:tmpl w:val="717C237C"/>
    <w:lvl w:ilvl="0">
      <w:start w:val="1"/>
      <w:numFmt w:val="bullet"/>
      <w:pStyle w:val="ListNumber4"/>
      <w:lvlText w:val=""/>
      <w:lvlJc w:val="left"/>
      <w:pPr>
        <w:tabs>
          <w:tab w:val="num" w:pos="1492"/>
        </w:tabs>
        <w:ind w:left="1492" w:hanging="360"/>
      </w:pPr>
      <w:rPr>
        <w:rFonts w:ascii="Symbol" w:hAnsi="Symbol" w:hint="default"/>
      </w:rPr>
    </w:lvl>
  </w:abstractNum>
  <w:abstractNum w:abstractNumId="5">
    <w:nsid w:val="FFFFFF81"/>
    <w:multiLevelType w:val="singleLevel"/>
    <w:tmpl w:val="05AE27F0"/>
    <w:lvl w:ilvl="0">
      <w:start w:val="1"/>
      <w:numFmt w:val="bullet"/>
      <w:pStyle w:val="ListNumber3"/>
      <w:lvlText w:val=""/>
      <w:lvlJc w:val="left"/>
      <w:pPr>
        <w:tabs>
          <w:tab w:val="num" w:pos="1209"/>
        </w:tabs>
        <w:ind w:left="1209" w:hanging="360"/>
      </w:pPr>
      <w:rPr>
        <w:rFonts w:ascii="Symbol" w:hAnsi="Symbol" w:hint="default"/>
      </w:rPr>
    </w:lvl>
  </w:abstractNum>
  <w:abstractNum w:abstractNumId="6">
    <w:nsid w:val="FFFFFF82"/>
    <w:multiLevelType w:val="singleLevel"/>
    <w:tmpl w:val="C150CC0C"/>
    <w:lvl w:ilvl="0">
      <w:start w:val="1"/>
      <w:numFmt w:val="bullet"/>
      <w:pStyle w:val="ListNumber2"/>
      <w:lvlText w:val=""/>
      <w:lvlJc w:val="left"/>
      <w:pPr>
        <w:tabs>
          <w:tab w:val="num" w:pos="926"/>
        </w:tabs>
        <w:ind w:left="926" w:hanging="360"/>
      </w:pPr>
      <w:rPr>
        <w:rFonts w:ascii="Symbol" w:hAnsi="Symbol" w:hint="default"/>
      </w:rPr>
    </w:lvl>
  </w:abstractNum>
  <w:abstractNum w:abstractNumId="7">
    <w:nsid w:val="FFFFFF83"/>
    <w:multiLevelType w:val="singleLevel"/>
    <w:tmpl w:val="0C09000F"/>
    <w:lvl w:ilvl="0">
      <w:start w:val="1"/>
      <w:numFmt w:val="decimal"/>
      <w:lvlText w:val="%1."/>
      <w:lvlJc w:val="left"/>
      <w:pPr>
        <w:ind w:left="643" w:hanging="360"/>
      </w:pPr>
      <w:rPr>
        <w:rFonts w:hint="default"/>
      </w:rPr>
    </w:lvl>
  </w:abstractNum>
  <w:abstractNum w:abstractNumId="8">
    <w:nsid w:val="FFFFFF88"/>
    <w:multiLevelType w:val="singleLevel"/>
    <w:tmpl w:val="5A1A1F50"/>
    <w:lvl w:ilvl="0">
      <w:start w:val="1"/>
      <w:numFmt w:val="decimal"/>
      <w:pStyle w:val="ListNumber5"/>
      <w:lvlText w:val="%1."/>
      <w:lvlJc w:val="left"/>
      <w:pPr>
        <w:tabs>
          <w:tab w:val="num" w:pos="360"/>
        </w:tabs>
        <w:ind w:left="360" w:hanging="360"/>
      </w:pPr>
      <w:rPr>
        <w:rFonts w:cs="Times New Roman"/>
      </w:rPr>
    </w:lvl>
  </w:abstractNum>
  <w:abstractNum w:abstractNumId="9">
    <w:nsid w:val="FFFFFF89"/>
    <w:multiLevelType w:val="singleLevel"/>
    <w:tmpl w:val="0C09000F"/>
    <w:lvl w:ilvl="0">
      <w:start w:val="1"/>
      <w:numFmt w:val="decimal"/>
      <w:lvlText w:val="%1."/>
      <w:lvlJc w:val="left"/>
      <w:pPr>
        <w:ind w:left="720" w:hanging="360"/>
      </w:pPr>
      <w:rPr>
        <w:rFonts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hint="default"/>
      </w:rPr>
    </w:lvl>
    <w:lvl w:ilvl="1" w:tplc="0C090003" w:tentative="1">
      <w:start w:val="1"/>
      <w:numFmt w:val="bullet"/>
      <w:lvlText w:val="o"/>
      <w:lvlJc w:val="left"/>
      <w:pPr>
        <w:tabs>
          <w:tab w:val="num" w:pos="2880"/>
        </w:tabs>
        <w:ind w:left="2880" w:hanging="360"/>
      </w:pPr>
      <w:rPr>
        <w:rFonts w:ascii="Courier New" w:hAnsi="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0D3569FD"/>
    <w:multiLevelType w:val="hybridMultilevel"/>
    <w:tmpl w:val="73AC3100"/>
    <w:lvl w:ilvl="0" w:tplc="64488392">
      <w:start w:val="1"/>
      <w:numFmt w:val="lowerLetter"/>
      <w:lvlText w:val="%1."/>
      <w:lvlJc w:val="left"/>
      <w:pPr>
        <w:tabs>
          <w:tab w:val="num" w:pos="357"/>
        </w:tabs>
        <w:ind w:left="357" w:hanging="357"/>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nsid w:val="10EB39B4"/>
    <w:multiLevelType w:val="hybridMultilevel"/>
    <w:tmpl w:val="73AC3100"/>
    <w:lvl w:ilvl="0" w:tplc="64488392">
      <w:start w:val="1"/>
      <w:numFmt w:val="lowerLetter"/>
      <w:lvlText w:val="%1."/>
      <w:lvlJc w:val="left"/>
      <w:pPr>
        <w:tabs>
          <w:tab w:val="num" w:pos="357"/>
        </w:tabs>
        <w:ind w:left="357" w:hanging="357"/>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19CC6FE8"/>
    <w:multiLevelType w:val="singleLevel"/>
    <w:tmpl w:val="0C09000F"/>
    <w:lvl w:ilvl="0">
      <w:start w:val="1"/>
      <w:numFmt w:val="decimal"/>
      <w:lvlText w:val="%1."/>
      <w:lvlJc w:val="left"/>
      <w:pPr>
        <w:ind w:left="643" w:hanging="360"/>
      </w:pPr>
      <w:rPr>
        <w:rFonts w:hint="default"/>
      </w:rPr>
    </w:lvl>
  </w:abstractNum>
  <w:abstractNum w:abstractNumId="15">
    <w:nsid w:val="203F392A"/>
    <w:multiLevelType w:val="hybridMultilevel"/>
    <w:tmpl w:val="5734B94C"/>
    <w:lvl w:ilvl="0" w:tplc="72AA7BD4">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6">
    <w:nsid w:val="20406B23"/>
    <w:multiLevelType w:val="hybridMultilevel"/>
    <w:tmpl w:val="EAFC5224"/>
    <w:lvl w:ilvl="0" w:tplc="92C4E00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8">
    <w:nsid w:val="20632B26"/>
    <w:multiLevelType w:val="hybridMultilevel"/>
    <w:tmpl w:val="F2124E3E"/>
    <w:lvl w:ilvl="0" w:tplc="92C4E00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219A5451"/>
    <w:multiLevelType w:val="hybridMultilevel"/>
    <w:tmpl w:val="4E36D1A6"/>
    <w:lvl w:ilvl="0" w:tplc="64488392">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0">
    <w:nsid w:val="224E3BDC"/>
    <w:multiLevelType w:val="hybridMultilevel"/>
    <w:tmpl w:val="D2E66FFE"/>
    <w:lvl w:ilvl="0" w:tplc="0394C51C">
      <w:start w:val="1"/>
      <w:numFmt w:val="bullet"/>
      <w:pStyle w:val="BodyTextInden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nsid w:val="2BF87706"/>
    <w:multiLevelType w:val="hybridMultilevel"/>
    <w:tmpl w:val="EAD6A9D6"/>
    <w:lvl w:ilvl="0" w:tplc="FFFFFFFF">
      <w:start w:val="1"/>
      <w:numFmt w:val="decimal"/>
      <w:lvlText w:val="%1."/>
      <w:lvlJc w:val="left"/>
      <w:pPr>
        <w:tabs>
          <w:tab w:val="num" w:pos="357"/>
        </w:tabs>
        <w:ind w:left="357" w:hanging="3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2C8D52FC"/>
    <w:multiLevelType w:val="hybridMultilevel"/>
    <w:tmpl w:val="B8866A50"/>
    <w:lvl w:ilvl="0" w:tplc="DC38ED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BCE1549"/>
    <w:multiLevelType w:val="singleLevel"/>
    <w:tmpl w:val="8304C526"/>
    <w:lvl w:ilvl="0">
      <w:start w:val="1"/>
      <w:numFmt w:val="lowerLetter"/>
      <w:pStyle w:val="TableFootnoteText"/>
      <w:lvlText w:val="(%1)"/>
      <w:legacy w:legacy="1" w:legacySpace="0" w:legacyIndent="360"/>
      <w:lvlJc w:val="left"/>
      <w:pPr>
        <w:ind w:left="360" w:hanging="360"/>
      </w:pPr>
      <w:rPr>
        <w:rFonts w:cs="Times New Roman"/>
      </w:rPr>
    </w:lvl>
  </w:abstractNum>
  <w:abstractNum w:abstractNumId="24">
    <w:nsid w:val="3F50324D"/>
    <w:multiLevelType w:val="multilevel"/>
    <w:tmpl w:val="4BD6E9D6"/>
    <w:lvl w:ilvl="0">
      <w:start w:val="1"/>
      <w:numFmt w:val="decimal"/>
      <w:lvlText w:val="%1."/>
      <w:lvlJc w:val="left"/>
      <w:pPr>
        <w:tabs>
          <w:tab w:val="num" w:pos="357"/>
        </w:tabs>
        <w:ind w:left="357" w:hanging="35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EAA1946"/>
    <w:multiLevelType w:val="hybridMultilevel"/>
    <w:tmpl w:val="B44C51C0"/>
    <w:lvl w:ilvl="0" w:tplc="D48A37B6">
      <w:start w:val="1"/>
      <w:numFmt w:val="bullet"/>
      <w:lvlText w:val=""/>
      <w:lvlJc w:val="left"/>
      <w:pPr>
        <w:tabs>
          <w:tab w:val="num" w:pos="360"/>
        </w:tabs>
        <w:ind w:left="360" w:hanging="360"/>
      </w:pPr>
      <w:rPr>
        <w:rFonts w:ascii="Symbol" w:hAnsi="Symbol" w:hint="default"/>
        <w:sz w:val="16"/>
      </w:rPr>
    </w:lvl>
    <w:lvl w:ilvl="1" w:tplc="B406CE28">
      <w:start w:val="24"/>
      <w:numFmt w:val="decimal"/>
      <w:pStyle w:val="Numbering"/>
      <w:lvlText w:val="%2."/>
      <w:lvlJc w:val="left"/>
      <w:pPr>
        <w:tabs>
          <w:tab w:val="num" w:pos="1440"/>
        </w:tabs>
        <w:ind w:left="1440" w:hanging="360"/>
      </w:pPr>
      <w:rPr>
        <w:rFonts w:cs="Times New Roman" w:hint="default"/>
      </w:rPr>
    </w:lvl>
    <w:lvl w:ilvl="2" w:tplc="D5108008">
      <w:start w:val="10"/>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nsid w:val="64560CB7"/>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66C30881"/>
    <w:multiLevelType w:val="hybridMultilevel"/>
    <w:tmpl w:val="D4A6A616"/>
    <w:lvl w:ilvl="0" w:tplc="64488392">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9">
    <w:nsid w:val="71E768A1"/>
    <w:multiLevelType w:val="multilevel"/>
    <w:tmpl w:val="0C090023"/>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30">
    <w:nsid w:val="735141C2"/>
    <w:multiLevelType w:val="hybridMultilevel"/>
    <w:tmpl w:val="4BD6E9D6"/>
    <w:lvl w:ilvl="0" w:tplc="85BAA5A2">
      <w:start w:val="1"/>
      <w:numFmt w:val="decimal"/>
      <w:lvlText w:val="%1."/>
      <w:lvlJc w:val="left"/>
      <w:pPr>
        <w:tabs>
          <w:tab w:val="num" w:pos="357"/>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nsid w:val="77973333"/>
    <w:multiLevelType w:val="multilevel"/>
    <w:tmpl w:val="0C090023"/>
    <w:styleLink w:val="ArticleSection"/>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nsid w:val="7A1D033D"/>
    <w:multiLevelType w:val="singleLevel"/>
    <w:tmpl w:val="BEB47DD6"/>
    <w:lvl w:ilvl="0">
      <w:start w:val="2"/>
      <w:numFmt w:val="decimal"/>
      <w:pStyle w:val="Memopara"/>
      <w:lvlText w:val="%1."/>
      <w:legacy w:legacy="1" w:legacySpace="567" w:legacyIndent="0"/>
      <w:lvlJc w:val="left"/>
      <w:rPr>
        <w:rFonts w:cs="Times New Roman"/>
      </w:rPr>
    </w:lvl>
  </w:abstractNum>
  <w:abstractNum w:abstractNumId="33">
    <w:nsid w:val="7B3730AD"/>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7BE377CA"/>
    <w:multiLevelType w:val="hybridMultilevel"/>
    <w:tmpl w:val="DB20D7E2"/>
    <w:lvl w:ilvl="0" w:tplc="BA4ED440">
      <w:numFmt w:val="bullet"/>
      <w:pStyle w:val="Bodytextindent0"/>
      <w:lvlText w:val=""/>
      <w:lvlJc w:val="left"/>
      <w:pPr>
        <w:tabs>
          <w:tab w:val="num" w:pos="417"/>
        </w:tabs>
        <w:ind w:left="417" w:hanging="57"/>
      </w:pPr>
      <w:rPr>
        <w:rFonts w:ascii="Symbol" w:hAnsi="Symbol" w:hint="default"/>
        <w:b w:val="0"/>
        <w:i w:val="0"/>
      </w:rPr>
    </w:lvl>
    <w:lvl w:ilvl="1" w:tplc="11566EBC" w:tentative="1">
      <w:start w:val="1"/>
      <w:numFmt w:val="bullet"/>
      <w:lvlText w:val="o"/>
      <w:lvlJc w:val="left"/>
      <w:pPr>
        <w:tabs>
          <w:tab w:val="num" w:pos="1440"/>
        </w:tabs>
        <w:ind w:left="1440" w:hanging="360"/>
      </w:pPr>
      <w:rPr>
        <w:rFonts w:ascii="Courier New" w:hAnsi="Courier New" w:hint="default"/>
      </w:rPr>
    </w:lvl>
    <w:lvl w:ilvl="2" w:tplc="8C60C55A" w:tentative="1">
      <w:start w:val="1"/>
      <w:numFmt w:val="bullet"/>
      <w:lvlText w:val=""/>
      <w:lvlJc w:val="left"/>
      <w:pPr>
        <w:tabs>
          <w:tab w:val="num" w:pos="2160"/>
        </w:tabs>
        <w:ind w:left="2160" w:hanging="360"/>
      </w:pPr>
      <w:rPr>
        <w:rFonts w:ascii="Wingdings" w:hAnsi="Wingdings" w:hint="default"/>
      </w:rPr>
    </w:lvl>
    <w:lvl w:ilvl="3" w:tplc="ADE2350C">
      <w:start w:val="1"/>
      <w:numFmt w:val="bullet"/>
      <w:lvlText w:val=""/>
      <w:lvlJc w:val="left"/>
      <w:pPr>
        <w:tabs>
          <w:tab w:val="num" w:pos="2880"/>
        </w:tabs>
        <w:ind w:left="2880" w:hanging="360"/>
      </w:pPr>
      <w:rPr>
        <w:rFonts w:ascii="Symbol" w:hAnsi="Symbol" w:hint="default"/>
      </w:rPr>
    </w:lvl>
    <w:lvl w:ilvl="4" w:tplc="96689622" w:tentative="1">
      <w:start w:val="1"/>
      <w:numFmt w:val="bullet"/>
      <w:lvlText w:val="o"/>
      <w:lvlJc w:val="left"/>
      <w:pPr>
        <w:tabs>
          <w:tab w:val="num" w:pos="3600"/>
        </w:tabs>
        <w:ind w:left="3600" w:hanging="360"/>
      </w:pPr>
      <w:rPr>
        <w:rFonts w:ascii="Courier New" w:hAnsi="Courier New" w:hint="default"/>
      </w:rPr>
    </w:lvl>
    <w:lvl w:ilvl="5" w:tplc="232A478C" w:tentative="1">
      <w:start w:val="1"/>
      <w:numFmt w:val="bullet"/>
      <w:lvlText w:val=""/>
      <w:lvlJc w:val="left"/>
      <w:pPr>
        <w:tabs>
          <w:tab w:val="num" w:pos="4320"/>
        </w:tabs>
        <w:ind w:left="4320" w:hanging="360"/>
      </w:pPr>
      <w:rPr>
        <w:rFonts w:ascii="Wingdings" w:hAnsi="Wingdings" w:hint="default"/>
      </w:rPr>
    </w:lvl>
    <w:lvl w:ilvl="6" w:tplc="14D4763C" w:tentative="1">
      <w:start w:val="1"/>
      <w:numFmt w:val="bullet"/>
      <w:lvlText w:val=""/>
      <w:lvlJc w:val="left"/>
      <w:pPr>
        <w:tabs>
          <w:tab w:val="num" w:pos="5040"/>
        </w:tabs>
        <w:ind w:left="5040" w:hanging="360"/>
      </w:pPr>
      <w:rPr>
        <w:rFonts w:ascii="Symbol" w:hAnsi="Symbol" w:hint="default"/>
      </w:rPr>
    </w:lvl>
    <w:lvl w:ilvl="7" w:tplc="6A7EBE26" w:tentative="1">
      <w:start w:val="1"/>
      <w:numFmt w:val="bullet"/>
      <w:lvlText w:val="o"/>
      <w:lvlJc w:val="left"/>
      <w:pPr>
        <w:tabs>
          <w:tab w:val="num" w:pos="5760"/>
        </w:tabs>
        <w:ind w:left="5760" w:hanging="360"/>
      </w:pPr>
      <w:rPr>
        <w:rFonts w:ascii="Courier New" w:hAnsi="Courier New" w:hint="default"/>
      </w:rPr>
    </w:lvl>
    <w:lvl w:ilvl="8" w:tplc="582626FE" w:tentative="1">
      <w:start w:val="1"/>
      <w:numFmt w:val="bullet"/>
      <w:lvlText w:val=""/>
      <w:lvlJc w:val="left"/>
      <w:pPr>
        <w:tabs>
          <w:tab w:val="num" w:pos="6480"/>
        </w:tabs>
        <w:ind w:left="6480" w:hanging="360"/>
      </w:pPr>
      <w:rPr>
        <w:rFonts w:ascii="Wingdings" w:hAnsi="Wingdings" w:hint="default"/>
      </w:rPr>
    </w:lvl>
  </w:abstractNum>
  <w:abstractNum w:abstractNumId="35">
    <w:nsid w:val="7F1B0FA6"/>
    <w:multiLevelType w:val="hybridMultilevel"/>
    <w:tmpl w:val="85E05738"/>
    <w:lvl w:ilvl="0" w:tplc="6DC0F27A">
      <w:start w:val="1"/>
      <w:numFmt w:val="lowerLetter"/>
      <w:pStyle w:val="Tabletextindenta"/>
      <w:lvlText w:val="%1."/>
      <w:lvlJc w:val="left"/>
      <w:pPr>
        <w:tabs>
          <w:tab w:val="num" w:pos="360"/>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4"/>
  </w:num>
  <w:num w:numId="4">
    <w:abstractNumId w:val="8"/>
  </w:num>
  <w:num w:numId="5">
    <w:abstractNumId w:val="3"/>
  </w:num>
  <w:num w:numId="6">
    <w:abstractNumId w:val="2"/>
  </w:num>
  <w:num w:numId="7">
    <w:abstractNumId w:val="1"/>
  </w:num>
  <w:num w:numId="8">
    <w:abstractNumId w:val="0"/>
  </w:num>
  <w:num w:numId="9">
    <w:abstractNumId w:val="7"/>
  </w:num>
  <w:num w:numId="10">
    <w:abstractNumId w:val="5"/>
  </w:num>
  <w:num w:numId="11">
    <w:abstractNumId w:val="9"/>
  </w:num>
  <w:num w:numId="12">
    <w:abstractNumId w:val="23"/>
  </w:num>
  <w:num w:numId="13">
    <w:abstractNumId w:val="25"/>
  </w:num>
  <w:num w:numId="14">
    <w:abstractNumId w:val="16"/>
  </w:num>
  <w:num w:numId="15">
    <w:abstractNumId w:val="18"/>
  </w:num>
  <w:num w:numId="16">
    <w:abstractNumId w:val="32"/>
  </w:num>
  <w:num w:numId="17">
    <w:abstractNumId w:val="33"/>
  </w:num>
  <w:num w:numId="18">
    <w:abstractNumId w:val="27"/>
  </w:num>
  <w:num w:numId="19">
    <w:abstractNumId w:val="30"/>
  </w:num>
  <w:num w:numId="20">
    <w:abstractNumId w:val="31"/>
  </w:num>
  <w:num w:numId="21">
    <w:abstractNumId w:val="10"/>
  </w:num>
  <w:num w:numId="22">
    <w:abstractNumId w:val="17"/>
  </w:num>
  <w:num w:numId="23">
    <w:abstractNumId w:val="11"/>
  </w:num>
  <w:num w:numId="24">
    <w:abstractNumId w:val="29"/>
  </w:num>
  <w:num w:numId="25">
    <w:abstractNumId w:val="26"/>
  </w:num>
  <w:num w:numId="26">
    <w:abstractNumId w:val="35"/>
  </w:num>
  <w:num w:numId="27">
    <w:abstractNumId w:val="20"/>
  </w:num>
  <w:num w:numId="28">
    <w:abstractNumId w:val="30"/>
    <w:lvlOverride w:ilvl="0">
      <w:startOverride w:val="1"/>
    </w:lvlOverride>
  </w:num>
  <w:num w:numId="29">
    <w:abstractNumId w:val="15"/>
  </w:num>
  <w:num w:numId="30">
    <w:abstractNumId w:val="21"/>
  </w:num>
  <w:num w:numId="31">
    <w:abstractNumId w:val="12"/>
  </w:num>
  <w:num w:numId="32">
    <w:abstractNumId w:val="19"/>
  </w:num>
  <w:num w:numId="33">
    <w:abstractNumId w:val="28"/>
  </w:num>
  <w:num w:numId="34">
    <w:abstractNumId w:val="13"/>
  </w:num>
  <w:num w:numId="35">
    <w:abstractNumId w:val="30"/>
    <w:lvlOverride w:ilvl="0">
      <w:startOverride w:val="1"/>
    </w:lvlOverride>
  </w:num>
  <w:num w:numId="36">
    <w:abstractNumId w:val="30"/>
    <w:lvlOverride w:ilvl="0">
      <w:startOverride w:val="1"/>
    </w:lvlOverride>
  </w:num>
  <w:num w:numId="37">
    <w:abstractNumId w:val="30"/>
    <w:lvlOverride w:ilvl="0">
      <w:startOverride w:val="1"/>
    </w:lvlOverride>
  </w:num>
  <w:num w:numId="38">
    <w:abstractNumId w:val="34"/>
  </w:num>
  <w:num w:numId="39">
    <w:abstractNumId w:val="14"/>
  </w:num>
  <w:num w:numId="40">
    <w:abstractNumId w:val="22"/>
  </w:num>
  <w:num w:numId="41">
    <w:abstractNumId w:val="24"/>
  </w:num>
  <w:num w:numId="42">
    <w:abstractNumId w:val="20"/>
  </w:num>
  <w:num w:numId="43">
    <w:abstractNumId w:val="20"/>
  </w:num>
  <w:num w:numId="44">
    <w:abstractNumId w:val="2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7276D"/>
    <w:rsid w:val="00004E2B"/>
    <w:rsid w:val="00004F0C"/>
    <w:rsid w:val="00005EE2"/>
    <w:rsid w:val="00011B49"/>
    <w:rsid w:val="0002178A"/>
    <w:rsid w:val="00025087"/>
    <w:rsid w:val="00031C33"/>
    <w:rsid w:val="0003258A"/>
    <w:rsid w:val="0003549F"/>
    <w:rsid w:val="0004584F"/>
    <w:rsid w:val="00045E8D"/>
    <w:rsid w:val="000547D8"/>
    <w:rsid w:val="00054A91"/>
    <w:rsid w:val="00054D2D"/>
    <w:rsid w:val="0005683F"/>
    <w:rsid w:val="00057251"/>
    <w:rsid w:val="00061206"/>
    <w:rsid w:val="00062901"/>
    <w:rsid w:val="000638A4"/>
    <w:rsid w:val="0006539C"/>
    <w:rsid w:val="00067A81"/>
    <w:rsid w:val="0007276D"/>
    <w:rsid w:val="000860AF"/>
    <w:rsid w:val="00093E1F"/>
    <w:rsid w:val="000A0CBD"/>
    <w:rsid w:val="000A72A7"/>
    <w:rsid w:val="000B38E9"/>
    <w:rsid w:val="000B3AAB"/>
    <w:rsid w:val="000B6543"/>
    <w:rsid w:val="000B6889"/>
    <w:rsid w:val="000B7C32"/>
    <w:rsid w:val="000C1711"/>
    <w:rsid w:val="000C2C5A"/>
    <w:rsid w:val="000C586B"/>
    <w:rsid w:val="000D2382"/>
    <w:rsid w:val="000D3C50"/>
    <w:rsid w:val="000E1B2E"/>
    <w:rsid w:val="000E4AE3"/>
    <w:rsid w:val="000E4B86"/>
    <w:rsid w:val="000E510B"/>
    <w:rsid w:val="000F1B7A"/>
    <w:rsid w:val="00106AC8"/>
    <w:rsid w:val="00107B3B"/>
    <w:rsid w:val="00125F3D"/>
    <w:rsid w:val="0013331D"/>
    <w:rsid w:val="00137DCF"/>
    <w:rsid w:val="001419BF"/>
    <w:rsid w:val="00141A8F"/>
    <w:rsid w:val="001447A7"/>
    <w:rsid w:val="00146296"/>
    <w:rsid w:val="00152DCF"/>
    <w:rsid w:val="001531AC"/>
    <w:rsid w:val="00165D35"/>
    <w:rsid w:val="001671E4"/>
    <w:rsid w:val="00167536"/>
    <w:rsid w:val="00167EDE"/>
    <w:rsid w:val="001773A1"/>
    <w:rsid w:val="0018692E"/>
    <w:rsid w:val="00190D4A"/>
    <w:rsid w:val="001A2111"/>
    <w:rsid w:val="001A3742"/>
    <w:rsid w:val="001A44A5"/>
    <w:rsid w:val="001A4C64"/>
    <w:rsid w:val="001A6245"/>
    <w:rsid w:val="001B0D47"/>
    <w:rsid w:val="001B1A55"/>
    <w:rsid w:val="001B597D"/>
    <w:rsid w:val="001C2009"/>
    <w:rsid w:val="001C29E1"/>
    <w:rsid w:val="001C763B"/>
    <w:rsid w:val="001E3FA0"/>
    <w:rsid w:val="001E533F"/>
    <w:rsid w:val="001F11A9"/>
    <w:rsid w:val="001F141D"/>
    <w:rsid w:val="001F1835"/>
    <w:rsid w:val="001F7833"/>
    <w:rsid w:val="00207CCF"/>
    <w:rsid w:val="0021312F"/>
    <w:rsid w:val="002166D1"/>
    <w:rsid w:val="0021674C"/>
    <w:rsid w:val="00220677"/>
    <w:rsid w:val="00222BAD"/>
    <w:rsid w:val="00223A64"/>
    <w:rsid w:val="00223E2E"/>
    <w:rsid w:val="00224FF2"/>
    <w:rsid w:val="0022586C"/>
    <w:rsid w:val="00226D11"/>
    <w:rsid w:val="00227180"/>
    <w:rsid w:val="00230084"/>
    <w:rsid w:val="00232397"/>
    <w:rsid w:val="00234CE8"/>
    <w:rsid w:val="00245B13"/>
    <w:rsid w:val="00246C6F"/>
    <w:rsid w:val="00252174"/>
    <w:rsid w:val="002555E4"/>
    <w:rsid w:val="00256014"/>
    <w:rsid w:val="00257C5B"/>
    <w:rsid w:val="00266579"/>
    <w:rsid w:val="002669C1"/>
    <w:rsid w:val="00270A01"/>
    <w:rsid w:val="00274C5E"/>
    <w:rsid w:val="00275365"/>
    <w:rsid w:val="00280701"/>
    <w:rsid w:val="00280C03"/>
    <w:rsid w:val="00282D5B"/>
    <w:rsid w:val="002836AE"/>
    <w:rsid w:val="00284959"/>
    <w:rsid w:val="0029106C"/>
    <w:rsid w:val="00291DF4"/>
    <w:rsid w:val="002924F8"/>
    <w:rsid w:val="00295EC6"/>
    <w:rsid w:val="002964CF"/>
    <w:rsid w:val="002A17A7"/>
    <w:rsid w:val="002A18A7"/>
    <w:rsid w:val="002A6348"/>
    <w:rsid w:val="002B0471"/>
    <w:rsid w:val="002B2BAD"/>
    <w:rsid w:val="002B7195"/>
    <w:rsid w:val="002C1159"/>
    <w:rsid w:val="002D289C"/>
    <w:rsid w:val="002D40F9"/>
    <w:rsid w:val="002D4F2D"/>
    <w:rsid w:val="002D5DE0"/>
    <w:rsid w:val="002E65EE"/>
    <w:rsid w:val="002F34C2"/>
    <w:rsid w:val="002F3725"/>
    <w:rsid w:val="002F5BC0"/>
    <w:rsid w:val="002F6DCD"/>
    <w:rsid w:val="00307A20"/>
    <w:rsid w:val="00313EEF"/>
    <w:rsid w:val="003255C6"/>
    <w:rsid w:val="003304DE"/>
    <w:rsid w:val="00332111"/>
    <w:rsid w:val="003341EC"/>
    <w:rsid w:val="00340970"/>
    <w:rsid w:val="00343A86"/>
    <w:rsid w:val="003508AD"/>
    <w:rsid w:val="003509CD"/>
    <w:rsid w:val="00355F65"/>
    <w:rsid w:val="00364C90"/>
    <w:rsid w:val="00365174"/>
    <w:rsid w:val="003668A8"/>
    <w:rsid w:val="00367B84"/>
    <w:rsid w:val="0037088A"/>
    <w:rsid w:val="00370A9E"/>
    <w:rsid w:val="003746DE"/>
    <w:rsid w:val="00377CC3"/>
    <w:rsid w:val="003825EA"/>
    <w:rsid w:val="00390730"/>
    <w:rsid w:val="00390FD6"/>
    <w:rsid w:val="003932D0"/>
    <w:rsid w:val="00393E90"/>
    <w:rsid w:val="00394748"/>
    <w:rsid w:val="00395012"/>
    <w:rsid w:val="0039690A"/>
    <w:rsid w:val="003974E2"/>
    <w:rsid w:val="003A0A6F"/>
    <w:rsid w:val="003A1A1F"/>
    <w:rsid w:val="003A30A5"/>
    <w:rsid w:val="003A4D5E"/>
    <w:rsid w:val="003A660E"/>
    <w:rsid w:val="003B7D21"/>
    <w:rsid w:val="003C20EF"/>
    <w:rsid w:val="003D2996"/>
    <w:rsid w:val="003D4C91"/>
    <w:rsid w:val="003E07C5"/>
    <w:rsid w:val="003E1C03"/>
    <w:rsid w:val="003E1E4F"/>
    <w:rsid w:val="003E46EB"/>
    <w:rsid w:val="003E48C5"/>
    <w:rsid w:val="003E4A31"/>
    <w:rsid w:val="003E6F24"/>
    <w:rsid w:val="003E7166"/>
    <w:rsid w:val="003F09A7"/>
    <w:rsid w:val="003F127B"/>
    <w:rsid w:val="003F2E7D"/>
    <w:rsid w:val="003F540C"/>
    <w:rsid w:val="003F58BD"/>
    <w:rsid w:val="003F6EC8"/>
    <w:rsid w:val="004002BF"/>
    <w:rsid w:val="0041055E"/>
    <w:rsid w:val="0041095F"/>
    <w:rsid w:val="004215C7"/>
    <w:rsid w:val="00421F29"/>
    <w:rsid w:val="004407AE"/>
    <w:rsid w:val="00450982"/>
    <w:rsid w:val="004540BC"/>
    <w:rsid w:val="00462121"/>
    <w:rsid w:val="0046497D"/>
    <w:rsid w:val="0047604D"/>
    <w:rsid w:val="00480E5C"/>
    <w:rsid w:val="00482477"/>
    <w:rsid w:val="004927A7"/>
    <w:rsid w:val="004947C4"/>
    <w:rsid w:val="0049546F"/>
    <w:rsid w:val="0049714D"/>
    <w:rsid w:val="004A3293"/>
    <w:rsid w:val="004A3F1D"/>
    <w:rsid w:val="004B0F61"/>
    <w:rsid w:val="004B1829"/>
    <w:rsid w:val="004C53B3"/>
    <w:rsid w:val="004D69E6"/>
    <w:rsid w:val="004E2185"/>
    <w:rsid w:val="004E762C"/>
    <w:rsid w:val="004F4336"/>
    <w:rsid w:val="004F5F16"/>
    <w:rsid w:val="004F6976"/>
    <w:rsid w:val="00501E1B"/>
    <w:rsid w:val="00502B34"/>
    <w:rsid w:val="005142CF"/>
    <w:rsid w:val="00517834"/>
    <w:rsid w:val="005329B7"/>
    <w:rsid w:val="0055016D"/>
    <w:rsid w:val="005553F0"/>
    <w:rsid w:val="00555744"/>
    <w:rsid w:val="0056005E"/>
    <w:rsid w:val="00560D0B"/>
    <w:rsid w:val="00561B4D"/>
    <w:rsid w:val="00563ADF"/>
    <w:rsid w:val="00570969"/>
    <w:rsid w:val="00570E05"/>
    <w:rsid w:val="005714FC"/>
    <w:rsid w:val="00581276"/>
    <w:rsid w:val="00584CB1"/>
    <w:rsid w:val="005854C9"/>
    <w:rsid w:val="00591232"/>
    <w:rsid w:val="00593742"/>
    <w:rsid w:val="0059647A"/>
    <w:rsid w:val="005A2D37"/>
    <w:rsid w:val="005B127B"/>
    <w:rsid w:val="005C0974"/>
    <w:rsid w:val="005C0B0E"/>
    <w:rsid w:val="005C122D"/>
    <w:rsid w:val="005C1F36"/>
    <w:rsid w:val="005C2AD8"/>
    <w:rsid w:val="005C49A2"/>
    <w:rsid w:val="005C724B"/>
    <w:rsid w:val="005D1C62"/>
    <w:rsid w:val="005D28D8"/>
    <w:rsid w:val="005D68C2"/>
    <w:rsid w:val="005D6B94"/>
    <w:rsid w:val="005E0637"/>
    <w:rsid w:val="005E1428"/>
    <w:rsid w:val="005F05D2"/>
    <w:rsid w:val="005F1676"/>
    <w:rsid w:val="005F17C3"/>
    <w:rsid w:val="005F4346"/>
    <w:rsid w:val="005F63E0"/>
    <w:rsid w:val="0061312B"/>
    <w:rsid w:val="00615948"/>
    <w:rsid w:val="00616BAA"/>
    <w:rsid w:val="00617A2C"/>
    <w:rsid w:val="00621AD1"/>
    <w:rsid w:val="0062403E"/>
    <w:rsid w:val="0062658B"/>
    <w:rsid w:val="00627189"/>
    <w:rsid w:val="00634FBD"/>
    <w:rsid w:val="00635DBB"/>
    <w:rsid w:val="00637CF0"/>
    <w:rsid w:val="00640C44"/>
    <w:rsid w:val="00642107"/>
    <w:rsid w:val="0065301D"/>
    <w:rsid w:val="00653751"/>
    <w:rsid w:val="00654408"/>
    <w:rsid w:val="0066596D"/>
    <w:rsid w:val="006668A3"/>
    <w:rsid w:val="0067048C"/>
    <w:rsid w:val="00673A42"/>
    <w:rsid w:val="00673D73"/>
    <w:rsid w:val="00692D54"/>
    <w:rsid w:val="006952FC"/>
    <w:rsid w:val="006977FA"/>
    <w:rsid w:val="006A2852"/>
    <w:rsid w:val="006C1E8C"/>
    <w:rsid w:val="006D2083"/>
    <w:rsid w:val="006D366B"/>
    <w:rsid w:val="006D4742"/>
    <w:rsid w:val="006D6682"/>
    <w:rsid w:val="006E0447"/>
    <w:rsid w:val="006E0CDE"/>
    <w:rsid w:val="006E7E39"/>
    <w:rsid w:val="006F2ADF"/>
    <w:rsid w:val="00702197"/>
    <w:rsid w:val="00706619"/>
    <w:rsid w:val="00711B8B"/>
    <w:rsid w:val="0071532C"/>
    <w:rsid w:val="00715899"/>
    <w:rsid w:val="00730A13"/>
    <w:rsid w:val="007329DD"/>
    <w:rsid w:val="00735ABD"/>
    <w:rsid w:val="00737041"/>
    <w:rsid w:val="00740325"/>
    <w:rsid w:val="00745B74"/>
    <w:rsid w:val="007477C8"/>
    <w:rsid w:val="00752E2C"/>
    <w:rsid w:val="00764A13"/>
    <w:rsid w:val="007679C3"/>
    <w:rsid w:val="007864B8"/>
    <w:rsid w:val="00787AA8"/>
    <w:rsid w:val="0079258E"/>
    <w:rsid w:val="00793A7D"/>
    <w:rsid w:val="00795884"/>
    <w:rsid w:val="007A4340"/>
    <w:rsid w:val="007A657B"/>
    <w:rsid w:val="007B0F14"/>
    <w:rsid w:val="007B57D9"/>
    <w:rsid w:val="007B5983"/>
    <w:rsid w:val="007B6177"/>
    <w:rsid w:val="007B7C5B"/>
    <w:rsid w:val="007C77E1"/>
    <w:rsid w:val="007D069A"/>
    <w:rsid w:val="007D09B9"/>
    <w:rsid w:val="007D11F3"/>
    <w:rsid w:val="007D1966"/>
    <w:rsid w:val="007D6091"/>
    <w:rsid w:val="007E03C8"/>
    <w:rsid w:val="007E2725"/>
    <w:rsid w:val="007E491E"/>
    <w:rsid w:val="007E4A68"/>
    <w:rsid w:val="007E4C9D"/>
    <w:rsid w:val="007F1901"/>
    <w:rsid w:val="007F6A65"/>
    <w:rsid w:val="008076DF"/>
    <w:rsid w:val="00810894"/>
    <w:rsid w:val="008166E2"/>
    <w:rsid w:val="008302FB"/>
    <w:rsid w:val="008325A5"/>
    <w:rsid w:val="00836062"/>
    <w:rsid w:val="008364FF"/>
    <w:rsid w:val="008367FD"/>
    <w:rsid w:val="008406B6"/>
    <w:rsid w:val="008409A3"/>
    <w:rsid w:val="00840B91"/>
    <w:rsid w:val="00843177"/>
    <w:rsid w:val="008452F9"/>
    <w:rsid w:val="0084554D"/>
    <w:rsid w:val="0084720E"/>
    <w:rsid w:val="008631D0"/>
    <w:rsid w:val="00864F29"/>
    <w:rsid w:val="00870626"/>
    <w:rsid w:val="00873B20"/>
    <w:rsid w:val="0088143C"/>
    <w:rsid w:val="00881A27"/>
    <w:rsid w:val="0088636C"/>
    <w:rsid w:val="0089445D"/>
    <w:rsid w:val="008B0241"/>
    <w:rsid w:val="008B06AB"/>
    <w:rsid w:val="008B15D3"/>
    <w:rsid w:val="008B3C92"/>
    <w:rsid w:val="008B586C"/>
    <w:rsid w:val="008C1CAF"/>
    <w:rsid w:val="008D4998"/>
    <w:rsid w:val="008D6C40"/>
    <w:rsid w:val="008D794C"/>
    <w:rsid w:val="008E0F60"/>
    <w:rsid w:val="008E23E5"/>
    <w:rsid w:val="008E47C4"/>
    <w:rsid w:val="008E5761"/>
    <w:rsid w:val="008F5CF3"/>
    <w:rsid w:val="008F7469"/>
    <w:rsid w:val="008F78EC"/>
    <w:rsid w:val="0090286C"/>
    <w:rsid w:val="00904B69"/>
    <w:rsid w:val="00906FBF"/>
    <w:rsid w:val="00910686"/>
    <w:rsid w:val="00914269"/>
    <w:rsid w:val="00915508"/>
    <w:rsid w:val="009205DC"/>
    <w:rsid w:val="00935BD5"/>
    <w:rsid w:val="00941EF0"/>
    <w:rsid w:val="00943CC5"/>
    <w:rsid w:val="009456E3"/>
    <w:rsid w:val="0095308E"/>
    <w:rsid w:val="009542F3"/>
    <w:rsid w:val="0095516C"/>
    <w:rsid w:val="00962388"/>
    <w:rsid w:val="00967138"/>
    <w:rsid w:val="00971193"/>
    <w:rsid w:val="0097396B"/>
    <w:rsid w:val="009844DE"/>
    <w:rsid w:val="009852FC"/>
    <w:rsid w:val="00986BB0"/>
    <w:rsid w:val="009874F4"/>
    <w:rsid w:val="009907DF"/>
    <w:rsid w:val="00993398"/>
    <w:rsid w:val="00996CA3"/>
    <w:rsid w:val="009A4609"/>
    <w:rsid w:val="009B7391"/>
    <w:rsid w:val="009C23B6"/>
    <w:rsid w:val="009E175F"/>
    <w:rsid w:val="009E196C"/>
    <w:rsid w:val="009E2991"/>
    <w:rsid w:val="009E3104"/>
    <w:rsid w:val="009E3652"/>
    <w:rsid w:val="009E6C43"/>
    <w:rsid w:val="009E7DF4"/>
    <w:rsid w:val="009F2CB1"/>
    <w:rsid w:val="009F3414"/>
    <w:rsid w:val="009F4881"/>
    <w:rsid w:val="009F7160"/>
    <w:rsid w:val="009F7D46"/>
    <w:rsid w:val="00A03BA2"/>
    <w:rsid w:val="00A0511C"/>
    <w:rsid w:val="00A0766D"/>
    <w:rsid w:val="00A122CE"/>
    <w:rsid w:val="00A123F1"/>
    <w:rsid w:val="00A2297D"/>
    <w:rsid w:val="00A24EBB"/>
    <w:rsid w:val="00A25322"/>
    <w:rsid w:val="00A30D86"/>
    <w:rsid w:val="00A343E5"/>
    <w:rsid w:val="00A35829"/>
    <w:rsid w:val="00A3649B"/>
    <w:rsid w:val="00A4123E"/>
    <w:rsid w:val="00A422ED"/>
    <w:rsid w:val="00A54D1D"/>
    <w:rsid w:val="00A55BCE"/>
    <w:rsid w:val="00A56E2E"/>
    <w:rsid w:val="00A67072"/>
    <w:rsid w:val="00A70517"/>
    <w:rsid w:val="00A709C3"/>
    <w:rsid w:val="00A72468"/>
    <w:rsid w:val="00A76A85"/>
    <w:rsid w:val="00A7789C"/>
    <w:rsid w:val="00A80FE5"/>
    <w:rsid w:val="00AB1FEA"/>
    <w:rsid w:val="00AC0156"/>
    <w:rsid w:val="00AC109F"/>
    <w:rsid w:val="00AC29EE"/>
    <w:rsid w:val="00AC2B26"/>
    <w:rsid w:val="00AC2C1C"/>
    <w:rsid w:val="00AD0009"/>
    <w:rsid w:val="00AD00F2"/>
    <w:rsid w:val="00AD0D6F"/>
    <w:rsid w:val="00AD415A"/>
    <w:rsid w:val="00AD4672"/>
    <w:rsid w:val="00AE193F"/>
    <w:rsid w:val="00AE28B9"/>
    <w:rsid w:val="00AE4013"/>
    <w:rsid w:val="00AE44DE"/>
    <w:rsid w:val="00AE5A52"/>
    <w:rsid w:val="00AE68C8"/>
    <w:rsid w:val="00AF384A"/>
    <w:rsid w:val="00AF6093"/>
    <w:rsid w:val="00AF77F7"/>
    <w:rsid w:val="00B02CB8"/>
    <w:rsid w:val="00B05205"/>
    <w:rsid w:val="00B05A4A"/>
    <w:rsid w:val="00B06670"/>
    <w:rsid w:val="00B10686"/>
    <w:rsid w:val="00B10E46"/>
    <w:rsid w:val="00B11659"/>
    <w:rsid w:val="00B14315"/>
    <w:rsid w:val="00B146A9"/>
    <w:rsid w:val="00B21C59"/>
    <w:rsid w:val="00B228EC"/>
    <w:rsid w:val="00B27BA7"/>
    <w:rsid w:val="00B31DD9"/>
    <w:rsid w:val="00B33092"/>
    <w:rsid w:val="00B365AF"/>
    <w:rsid w:val="00B36F76"/>
    <w:rsid w:val="00B37DB0"/>
    <w:rsid w:val="00B4102A"/>
    <w:rsid w:val="00B43366"/>
    <w:rsid w:val="00B477A0"/>
    <w:rsid w:val="00B51A08"/>
    <w:rsid w:val="00B51FBD"/>
    <w:rsid w:val="00B52973"/>
    <w:rsid w:val="00B53E7D"/>
    <w:rsid w:val="00B53EC9"/>
    <w:rsid w:val="00B62C01"/>
    <w:rsid w:val="00B63C93"/>
    <w:rsid w:val="00B672E7"/>
    <w:rsid w:val="00B71780"/>
    <w:rsid w:val="00B74CA6"/>
    <w:rsid w:val="00B7604D"/>
    <w:rsid w:val="00B85226"/>
    <w:rsid w:val="00B8732E"/>
    <w:rsid w:val="00B874E3"/>
    <w:rsid w:val="00B8769E"/>
    <w:rsid w:val="00B90C20"/>
    <w:rsid w:val="00B923F2"/>
    <w:rsid w:val="00B9380E"/>
    <w:rsid w:val="00BA2A15"/>
    <w:rsid w:val="00BA4CDF"/>
    <w:rsid w:val="00BB21DC"/>
    <w:rsid w:val="00BB47C1"/>
    <w:rsid w:val="00BB66EF"/>
    <w:rsid w:val="00BC3A37"/>
    <w:rsid w:val="00BC5386"/>
    <w:rsid w:val="00BD2ED6"/>
    <w:rsid w:val="00BD3A73"/>
    <w:rsid w:val="00BD45C4"/>
    <w:rsid w:val="00BD51D1"/>
    <w:rsid w:val="00BE1AD4"/>
    <w:rsid w:val="00BE25CE"/>
    <w:rsid w:val="00BE26AB"/>
    <w:rsid w:val="00BE45ED"/>
    <w:rsid w:val="00BE54D2"/>
    <w:rsid w:val="00BF0427"/>
    <w:rsid w:val="00BF3E59"/>
    <w:rsid w:val="00BF6275"/>
    <w:rsid w:val="00C01DB9"/>
    <w:rsid w:val="00C0471E"/>
    <w:rsid w:val="00C1637E"/>
    <w:rsid w:val="00C17D95"/>
    <w:rsid w:val="00C22693"/>
    <w:rsid w:val="00C32A2B"/>
    <w:rsid w:val="00C33EC4"/>
    <w:rsid w:val="00C55219"/>
    <w:rsid w:val="00C555AC"/>
    <w:rsid w:val="00C55689"/>
    <w:rsid w:val="00C61470"/>
    <w:rsid w:val="00C67C12"/>
    <w:rsid w:val="00C70C65"/>
    <w:rsid w:val="00C73CE8"/>
    <w:rsid w:val="00C77705"/>
    <w:rsid w:val="00C84BA1"/>
    <w:rsid w:val="00C84D26"/>
    <w:rsid w:val="00C852C1"/>
    <w:rsid w:val="00C85821"/>
    <w:rsid w:val="00C9152A"/>
    <w:rsid w:val="00C931EA"/>
    <w:rsid w:val="00C93E96"/>
    <w:rsid w:val="00C96F89"/>
    <w:rsid w:val="00C9708F"/>
    <w:rsid w:val="00CB62B4"/>
    <w:rsid w:val="00CC0B3A"/>
    <w:rsid w:val="00CC2ADC"/>
    <w:rsid w:val="00CC7FBE"/>
    <w:rsid w:val="00CD1C68"/>
    <w:rsid w:val="00CD1F2B"/>
    <w:rsid w:val="00CD25D4"/>
    <w:rsid w:val="00CE16FD"/>
    <w:rsid w:val="00CE323E"/>
    <w:rsid w:val="00CE4791"/>
    <w:rsid w:val="00CE5011"/>
    <w:rsid w:val="00CE5A0F"/>
    <w:rsid w:val="00CE68D8"/>
    <w:rsid w:val="00CF1A8C"/>
    <w:rsid w:val="00CF6F54"/>
    <w:rsid w:val="00D00317"/>
    <w:rsid w:val="00D00CB0"/>
    <w:rsid w:val="00D05E19"/>
    <w:rsid w:val="00D15277"/>
    <w:rsid w:val="00D1571D"/>
    <w:rsid w:val="00D1648B"/>
    <w:rsid w:val="00D232C8"/>
    <w:rsid w:val="00D2677F"/>
    <w:rsid w:val="00D27383"/>
    <w:rsid w:val="00D31B7A"/>
    <w:rsid w:val="00D31F60"/>
    <w:rsid w:val="00D33309"/>
    <w:rsid w:val="00D34C02"/>
    <w:rsid w:val="00D34E1C"/>
    <w:rsid w:val="00D37BA4"/>
    <w:rsid w:val="00D44B9C"/>
    <w:rsid w:val="00D460B3"/>
    <w:rsid w:val="00D53415"/>
    <w:rsid w:val="00D550F9"/>
    <w:rsid w:val="00D56C01"/>
    <w:rsid w:val="00D57A06"/>
    <w:rsid w:val="00D84573"/>
    <w:rsid w:val="00D85A4E"/>
    <w:rsid w:val="00DA1866"/>
    <w:rsid w:val="00DA2F83"/>
    <w:rsid w:val="00DA4DBC"/>
    <w:rsid w:val="00DA4E58"/>
    <w:rsid w:val="00DA6101"/>
    <w:rsid w:val="00DB1652"/>
    <w:rsid w:val="00DB1F6E"/>
    <w:rsid w:val="00DB3CC3"/>
    <w:rsid w:val="00DC05FE"/>
    <w:rsid w:val="00DC5C5C"/>
    <w:rsid w:val="00DC6811"/>
    <w:rsid w:val="00DC7BC7"/>
    <w:rsid w:val="00DD3219"/>
    <w:rsid w:val="00DD3228"/>
    <w:rsid w:val="00DD3984"/>
    <w:rsid w:val="00DD6F45"/>
    <w:rsid w:val="00DD712E"/>
    <w:rsid w:val="00DE2B1A"/>
    <w:rsid w:val="00DE4A0B"/>
    <w:rsid w:val="00DE52CB"/>
    <w:rsid w:val="00DE6A93"/>
    <w:rsid w:val="00DF20F1"/>
    <w:rsid w:val="00DF5DAD"/>
    <w:rsid w:val="00E00D1B"/>
    <w:rsid w:val="00E01348"/>
    <w:rsid w:val="00E02CFC"/>
    <w:rsid w:val="00E0336F"/>
    <w:rsid w:val="00E05396"/>
    <w:rsid w:val="00E11D01"/>
    <w:rsid w:val="00E1256F"/>
    <w:rsid w:val="00E1385F"/>
    <w:rsid w:val="00E21B0B"/>
    <w:rsid w:val="00E24688"/>
    <w:rsid w:val="00E30272"/>
    <w:rsid w:val="00E34952"/>
    <w:rsid w:val="00E404F0"/>
    <w:rsid w:val="00E45D8D"/>
    <w:rsid w:val="00E51806"/>
    <w:rsid w:val="00E51BE5"/>
    <w:rsid w:val="00E57A3E"/>
    <w:rsid w:val="00E57E5B"/>
    <w:rsid w:val="00E62A5F"/>
    <w:rsid w:val="00E6463A"/>
    <w:rsid w:val="00E73C3F"/>
    <w:rsid w:val="00E77E75"/>
    <w:rsid w:val="00E8139B"/>
    <w:rsid w:val="00E84262"/>
    <w:rsid w:val="00E93BE6"/>
    <w:rsid w:val="00E95C73"/>
    <w:rsid w:val="00EA2BC1"/>
    <w:rsid w:val="00EA2CAE"/>
    <w:rsid w:val="00EB0057"/>
    <w:rsid w:val="00EB039B"/>
    <w:rsid w:val="00EB1E05"/>
    <w:rsid w:val="00EB4B40"/>
    <w:rsid w:val="00EB4C42"/>
    <w:rsid w:val="00EB5591"/>
    <w:rsid w:val="00EB6385"/>
    <w:rsid w:val="00EC2814"/>
    <w:rsid w:val="00EC5C7C"/>
    <w:rsid w:val="00EC6240"/>
    <w:rsid w:val="00EC7F23"/>
    <w:rsid w:val="00ED5B37"/>
    <w:rsid w:val="00EE003B"/>
    <w:rsid w:val="00EE1218"/>
    <w:rsid w:val="00EE19A7"/>
    <w:rsid w:val="00EF283F"/>
    <w:rsid w:val="00EF3398"/>
    <w:rsid w:val="00EF772A"/>
    <w:rsid w:val="00EF7A01"/>
    <w:rsid w:val="00F01F9D"/>
    <w:rsid w:val="00F05922"/>
    <w:rsid w:val="00F10C6E"/>
    <w:rsid w:val="00F11CDE"/>
    <w:rsid w:val="00F11D59"/>
    <w:rsid w:val="00F11F33"/>
    <w:rsid w:val="00F22E37"/>
    <w:rsid w:val="00F26062"/>
    <w:rsid w:val="00F347F5"/>
    <w:rsid w:val="00F367D8"/>
    <w:rsid w:val="00F37FE5"/>
    <w:rsid w:val="00F46370"/>
    <w:rsid w:val="00F52F42"/>
    <w:rsid w:val="00F55DFE"/>
    <w:rsid w:val="00F57BDE"/>
    <w:rsid w:val="00F628AF"/>
    <w:rsid w:val="00F66081"/>
    <w:rsid w:val="00F773A5"/>
    <w:rsid w:val="00F844C7"/>
    <w:rsid w:val="00F85B32"/>
    <w:rsid w:val="00F90B3A"/>
    <w:rsid w:val="00F95C48"/>
    <w:rsid w:val="00F96B62"/>
    <w:rsid w:val="00F9766E"/>
    <w:rsid w:val="00F97903"/>
    <w:rsid w:val="00FB2979"/>
    <w:rsid w:val="00FB7B6C"/>
    <w:rsid w:val="00FD32D8"/>
    <w:rsid w:val="00FD4DAB"/>
    <w:rsid w:val="00FD6DD7"/>
    <w:rsid w:val="00FE059F"/>
    <w:rsid w:val="00FE06E7"/>
    <w:rsid w:val="00FE1868"/>
    <w:rsid w:val="00FE18DA"/>
    <w:rsid w:val="00FE45F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macro"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48C5"/>
    <w:pPr>
      <w:spacing w:after="0" w:line="240" w:lineRule="auto"/>
    </w:pPr>
    <w:rPr>
      <w:rFonts w:ascii="Calibri" w:hAnsi="Calibri"/>
      <w:sz w:val="24"/>
      <w:szCs w:val="20"/>
      <w:lang w:eastAsia="en-US"/>
    </w:rPr>
  </w:style>
  <w:style w:type="paragraph" w:styleId="Heading1">
    <w:name w:val="heading 1"/>
    <w:basedOn w:val="Normal"/>
    <w:next w:val="BodyText"/>
    <w:link w:val="Heading1Char"/>
    <w:qFormat/>
    <w:rsid w:val="003E48C5"/>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3E48C5"/>
    <w:pPr>
      <w:keepNext/>
      <w:spacing w:before="60" w:after="60"/>
      <w:jc w:val="center"/>
      <w:outlineLvl w:val="1"/>
    </w:pPr>
    <w:rPr>
      <w:b/>
      <w:sz w:val="20"/>
    </w:rPr>
  </w:style>
  <w:style w:type="paragraph" w:styleId="Heading3">
    <w:name w:val="heading 3"/>
    <w:basedOn w:val="Normal"/>
    <w:next w:val="BodyText"/>
    <w:link w:val="Heading3Char"/>
    <w:qFormat/>
    <w:rsid w:val="003E48C5"/>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3E48C5"/>
    <w:pPr>
      <w:keepNext/>
      <w:keepLines/>
      <w:spacing w:before="240" w:after="120"/>
      <w:outlineLvl w:val="3"/>
    </w:pPr>
    <w:rPr>
      <w:i/>
    </w:rPr>
  </w:style>
  <w:style w:type="paragraph" w:styleId="Heading5">
    <w:name w:val="heading 5"/>
    <w:basedOn w:val="Normal"/>
    <w:next w:val="Normal"/>
    <w:link w:val="Heading5Char"/>
    <w:autoRedefine/>
    <w:qFormat/>
    <w:rsid w:val="003E48C5"/>
    <w:pPr>
      <w:keepNext/>
      <w:numPr>
        <w:ilvl w:val="4"/>
        <w:numId w:val="24"/>
      </w:numPr>
      <w:outlineLvl w:val="4"/>
    </w:pPr>
    <w:rPr>
      <w:b/>
      <w:i/>
      <w:sz w:val="20"/>
    </w:rPr>
  </w:style>
  <w:style w:type="paragraph" w:styleId="Heading6">
    <w:name w:val="heading 6"/>
    <w:basedOn w:val="Normal"/>
    <w:next w:val="Normal"/>
    <w:link w:val="Heading6Char"/>
    <w:qFormat/>
    <w:rsid w:val="003E48C5"/>
    <w:pPr>
      <w:keepNext/>
      <w:jc w:val="right"/>
      <w:outlineLvl w:val="5"/>
    </w:pPr>
    <w:rPr>
      <w:b/>
      <w:sz w:val="20"/>
    </w:rPr>
  </w:style>
  <w:style w:type="paragraph" w:styleId="Heading7">
    <w:name w:val="heading 7"/>
    <w:basedOn w:val="Normal"/>
    <w:next w:val="Normal"/>
    <w:link w:val="Heading7Char"/>
    <w:qFormat/>
    <w:rsid w:val="003E48C5"/>
    <w:pPr>
      <w:keepNext/>
      <w:ind w:left="159" w:hanging="159"/>
      <w:outlineLvl w:val="6"/>
    </w:pPr>
    <w:rPr>
      <w:b/>
      <w:sz w:val="20"/>
    </w:rPr>
  </w:style>
  <w:style w:type="paragraph" w:styleId="Heading8">
    <w:name w:val="heading 8"/>
    <w:basedOn w:val="Normal"/>
    <w:next w:val="Normal"/>
    <w:link w:val="Heading8Char"/>
    <w:qFormat/>
    <w:rsid w:val="003E48C5"/>
    <w:pPr>
      <w:keepNext/>
      <w:numPr>
        <w:ilvl w:val="7"/>
        <w:numId w:val="24"/>
      </w:numPr>
      <w:outlineLvl w:val="7"/>
    </w:pPr>
    <w:rPr>
      <w:rFonts w:ascii="Arial" w:hAnsi="Arial"/>
      <w:b/>
      <w:color w:val="000000"/>
      <w:sz w:val="20"/>
    </w:rPr>
  </w:style>
  <w:style w:type="paragraph" w:styleId="Heading9">
    <w:name w:val="heading 9"/>
    <w:basedOn w:val="Normal"/>
    <w:next w:val="Normal"/>
    <w:link w:val="Heading9Char"/>
    <w:qFormat/>
    <w:rsid w:val="003E48C5"/>
    <w:pPr>
      <w:keepNext/>
      <w:numPr>
        <w:ilvl w:val="8"/>
        <w:numId w:val="24"/>
      </w:numPr>
      <w:spacing w:after="120"/>
      <w:outlineLvl w:val="8"/>
    </w:pPr>
    <w:rPr>
      <w:rFonts w:ascii="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77CC3"/>
    <w:rPr>
      <w:rFonts w:ascii="Arial" w:hAnsi="Arial" w:cs="Times New Roman"/>
      <w:b/>
      <w:caps/>
      <w:kern w:val="28"/>
      <w:sz w:val="20"/>
      <w:szCs w:val="20"/>
      <w:lang w:eastAsia="en-US"/>
    </w:rPr>
  </w:style>
  <w:style w:type="character" w:customStyle="1" w:styleId="Heading2Char">
    <w:name w:val="Heading 2 Char"/>
    <w:basedOn w:val="DefaultParagraphFont"/>
    <w:link w:val="Heading2"/>
    <w:locked/>
    <w:rsid w:val="0003549F"/>
    <w:rPr>
      <w:rFonts w:ascii="Calibri" w:hAnsi="Calibri" w:cs="Times New Roman"/>
      <w:b/>
      <w:snapToGrid w:val="0"/>
      <w:sz w:val="20"/>
      <w:szCs w:val="20"/>
      <w:lang w:eastAsia="en-US"/>
    </w:rPr>
  </w:style>
  <w:style w:type="character" w:customStyle="1" w:styleId="Heading3Char">
    <w:name w:val="Heading 3 Char"/>
    <w:basedOn w:val="DefaultParagraphFont"/>
    <w:link w:val="Heading3"/>
    <w:locked/>
    <w:rsid w:val="00377CC3"/>
    <w:rPr>
      <w:rFonts w:ascii="Arial" w:hAnsi="Arial" w:cs="Arial"/>
      <w:b/>
      <w:bCs/>
      <w:sz w:val="26"/>
      <w:szCs w:val="26"/>
      <w:lang w:eastAsia="en-US"/>
    </w:rPr>
  </w:style>
  <w:style w:type="character" w:customStyle="1" w:styleId="Heading4Char">
    <w:name w:val="Heading 4 Char"/>
    <w:basedOn w:val="DefaultParagraphFont"/>
    <w:link w:val="Heading4"/>
    <w:locked/>
    <w:rsid w:val="00E73C3F"/>
    <w:rPr>
      <w:rFonts w:ascii="Calibri" w:hAnsi="Calibri" w:cs="Times New Roman"/>
      <w:i/>
      <w:sz w:val="20"/>
      <w:szCs w:val="20"/>
      <w:lang w:eastAsia="en-US"/>
    </w:rPr>
  </w:style>
  <w:style w:type="character" w:customStyle="1" w:styleId="Heading5Char">
    <w:name w:val="Heading 5 Char"/>
    <w:basedOn w:val="DefaultParagraphFont"/>
    <w:link w:val="Heading5"/>
    <w:locked/>
    <w:rsid w:val="00640C44"/>
    <w:rPr>
      <w:rFonts w:ascii="Calibri" w:hAnsi="Calibri"/>
      <w:b/>
      <w:i/>
      <w:sz w:val="20"/>
      <w:szCs w:val="20"/>
      <w:lang w:eastAsia="en-US"/>
    </w:rPr>
  </w:style>
  <w:style w:type="character" w:customStyle="1" w:styleId="Heading6Char">
    <w:name w:val="Heading 6 Char"/>
    <w:basedOn w:val="DefaultParagraphFont"/>
    <w:link w:val="Heading6"/>
    <w:locked/>
    <w:rsid w:val="0003549F"/>
    <w:rPr>
      <w:rFonts w:ascii="Calibri" w:hAnsi="Calibri" w:cs="Times New Roman"/>
      <w:b/>
      <w:sz w:val="20"/>
      <w:szCs w:val="20"/>
      <w:lang w:eastAsia="en-US"/>
    </w:rPr>
  </w:style>
  <w:style w:type="character" w:customStyle="1" w:styleId="Heading7Char">
    <w:name w:val="Heading 7 Char"/>
    <w:basedOn w:val="DefaultParagraphFont"/>
    <w:link w:val="Heading7"/>
    <w:locked/>
    <w:rsid w:val="00640C44"/>
    <w:rPr>
      <w:rFonts w:ascii="Calibri" w:hAnsi="Calibri" w:cs="Times New Roman"/>
      <w:b/>
      <w:sz w:val="20"/>
      <w:szCs w:val="20"/>
      <w:lang w:eastAsia="en-US"/>
    </w:rPr>
  </w:style>
  <w:style w:type="character" w:customStyle="1" w:styleId="Heading8Char">
    <w:name w:val="Heading 8 Char"/>
    <w:basedOn w:val="DefaultParagraphFont"/>
    <w:link w:val="Heading8"/>
    <w:locked/>
    <w:rsid w:val="00640C44"/>
    <w:rPr>
      <w:rFonts w:ascii="Arial" w:hAnsi="Arial"/>
      <w:b/>
      <w:color w:val="000000"/>
      <w:sz w:val="20"/>
      <w:szCs w:val="20"/>
      <w:lang w:eastAsia="en-US"/>
    </w:rPr>
  </w:style>
  <w:style w:type="character" w:customStyle="1" w:styleId="Heading9Char">
    <w:name w:val="Heading 9 Char"/>
    <w:basedOn w:val="DefaultParagraphFont"/>
    <w:link w:val="Heading9"/>
    <w:locked/>
    <w:rsid w:val="00640C44"/>
    <w:rPr>
      <w:rFonts w:ascii="Arial" w:hAnsi="Arial" w:cs="Arial"/>
      <w:b/>
      <w:color w:val="000000"/>
      <w:sz w:val="18"/>
      <w:szCs w:val="20"/>
      <w:lang w:eastAsia="en-US"/>
    </w:rPr>
  </w:style>
  <w:style w:type="paragraph" w:styleId="FootnoteText">
    <w:name w:val="footnote text"/>
    <w:basedOn w:val="Normal"/>
    <w:link w:val="FootnoteTextChar"/>
    <w:semiHidden/>
    <w:rsid w:val="003E48C5"/>
    <w:rPr>
      <w:sz w:val="20"/>
    </w:rPr>
  </w:style>
  <w:style w:type="character" w:customStyle="1" w:styleId="FootnoteTextChar">
    <w:name w:val="Footnote Text Char"/>
    <w:basedOn w:val="DefaultParagraphFont"/>
    <w:link w:val="FootnoteText"/>
    <w:semiHidden/>
    <w:locked/>
    <w:rsid w:val="00640C44"/>
    <w:rPr>
      <w:rFonts w:ascii="Calibri" w:hAnsi="Calibri" w:cs="Times New Roman"/>
      <w:sz w:val="20"/>
      <w:szCs w:val="20"/>
      <w:lang w:eastAsia="en-US"/>
    </w:rPr>
  </w:style>
  <w:style w:type="paragraph" w:styleId="Header">
    <w:name w:val="header"/>
    <w:basedOn w:val="Normal"/>
    <w:link w:val="HeaderChar"/>
    <w:rsid w:val="003E48C5"/>
    <w:pPr>
      <w:tabs>
        <w:tab w:val="center" w:pos="4153"/>
        <w:tab w:val="right" w:pos="8306"/>
      </w:tabs>
    </w:pPr>
  </w:style>
  <w:style w:type="character" w:customStyle="1" w:styleId="HeaderChar">
    <w:name w:val="Header Char"/>
    <w:basedOn w:val="DefaultParagraphFont"/>
    <w:link w:val="Header"/>
    <w:locked/>
    <w:rsid w:val="00640C44"/>
    <w:rPr>
      <w:rFonts w:ascii="Calibri" w:hAnsi="Calibri" w:cs="Times New Roman"/>
      <w:sz w:val="20"/>
      <w:szCs w:val="20"/>
      <w:lang w:eastAsia="en-US"/>
    </w:rPr>
  </w:style>
  <w:style w:type="paragraph" w:styleId="Footer">
    <w:name w:val="footer"/>
    <w:basedOn w:val="Normal"/>
    <w:link w:val="FooterChar"/>
    <w:rsid w:val="003E48C5"/>
    <w:pPr>
      <w:tabs>
        <w:tab w:val="center" w:pos="4153"/>
        <w:tab w:val="right" w:pos="8306"/>
      </w:tabs>
    </w:pPr>
  </w:style>
  <w:style w:type="character" w:customStyle="1" w:styleId="FooterChar">
    <w:name w:val="Footer Char"/>
    <w:basedOn w:val="DefaultParagraphFont"/>
    <w:link w:val="Footer"/>
    <w:locked/>
    <w:rsid w:val="00640C44"/>
    <w:rPr>
      <w:rFonts w:ascii="Calibri" w:hAnsi="Calibri" w:cs="Times New Roman"/>
      <w:sz w:val="20"/>
      <w:szCs w:val="20"/>
      <w:lang w:eastAsia="en-US"/>
    </w:rPr>
  </w:style>
  <w:style w:type="character" w:styleId="PageNumber">
    <w:name w:val="page number"/>
    <w:basedOn w:val="DefaultParagraphFont"/>
    <w:rsid w:val="003E48C5"/>
    <w:rPr>
      <w:rFonts w:cs="Times New Roman"/>
    </w:rPr>
  </w:style>
  <w:style w:type="paragraph" w:styleId="BodyTextIndent">
    <w:name w:val="Body Text Indent"/>
    <w:basedOn w:val="Normal"/>
    <w:next w:val="BodyText"/>
    <w:link w:val="BodyTextIndentChar"/>
    <w:rsid w:val="00AE68C8"/>
    <w:pPr>
      <w:keepNext/>
      <w:keepLines/>
      <w:numPr>
        <w:numId w:val="27"/>
      </w:numPr>
      <w:spacing w:after="120"/>
      <w:jc w:val="both"/>
    </w:pPr>
    <w:rPr>
      <w:szCs w:val="24"/>
    </w:rPr>
  </w:style>
  <w:style w:type="character" w:customStyle="1" w:styleId="BodyTextIndentChar">
    <w:name w:val="Body Text Indent Char"/>
    <w:basedOn w:val="DefaultParagraphFont"/>
    <w:link w:val="BodyTextIndent"/>
    <w:locked/>
    <w:rsid w:val="00AE68C8"/>
    <w:rPr>
      <w:rFonts w:ascii="Calibri" w:hAnsi="Calibri"/>
      <w:sz w:val="24"/>
      <w:szCs w:val="24"/>
      <w:lang w:eastAsia="en-US"/>
    </w:rPr>
  </w:style>
  <w:style w:type="paragraph" w:styleId="TOC1">
    <w:name w:val="toc 1"/>
    <w:basedOn w:val="Normal"/>
    <w:next w:val="Normal"/>
    <w:autoRedefine/>
    <w:rsid w:val="003E48C5"/>
  </w:style>
  <w:style w:type="paragraph" w:styleId="TOC2">
    <w:name w:val="toc 2"/>
    <w:basedOn w:val="Normal"/>
    <w:next w:val="Normal"/>
    <w:autoRedefine/>
    <w:rsid w:val="003E48C5"/>
    <w:pPr>
      <w:ind w:left="240"/>
    </w:pPr>
  </w:style>
  <w:style w:type="paragraph" w:styleId="TOC3">
    <w:name w:val="toc 3"/>
    <w:basedOn w:val="Normal"/>
    <w:next w:val="Normal"/>
    <w:autoRedefine/>
    <w:rsid w:val="003E48C5"/>
    <w:pPr>
      <w:ind w:left="480"/>
    </w:pPr>
  </w:style>
  <w:style w:type="paragraph" w:styleId="TOC4">
    <w:name w:val="toc 4"/>
    <w:basedOn w:val="Normal"/>
    <w:next w:val="Normal"/>
    <w:autoRedefine/>
    <w:rsid w:val="003E48C5"/>
    <w:pPr>
      <w:ind w:left="720"/>
    </w:pPr>
  </w:style>
  <w:style w:type="paragraph" w:styleId="TOC5">
    <w:name w:val="toc 5"/>
    <w:basedOn w:val="Normal"/>
    <w:next w:val="Normal"/>
    <w:autoRedefine/>
    <w:rsid w:val="003E48C5"/>
    <w:pPr>
      <w:ind w:left="960"/>
    </w:pPr>
  </w:style>
  <w:style w:type="paragraph" w:styleId="TOC6">
    <w:name w:val="toc 6"/>
    <w:basedOn w:val="Normal"/>
    <w:next w:val="Normal"/>
    <w:autoRedefine/>
    <w:rsid w:val="003E48C5"/>
    <w:pPr>
      <w:ind w:left="1200"/>
    </w:pPr>
  </w:style>
  <w:style w:type="paragraph" w:styleId="TOC7">
    <w:name w:val="toc 7"/>
    <w:basedOn w:val="Normal"/>
    <w:next w:val="Normal"/>
    <w:autoRedefine/>
    <w:rsid w:val="003E48C5"/>
    <w:pPr>
      <w:ind w:left="1440"/>
    </w:pPr>
  </w:style>
  <w:style w:type="paragraph" w:styleId="TOC8">
    <w:name w:val="toc 8"/>
    <w:basedOn w:val="Normal"/>
    <w:next w:val="Normal"/>
    <w:autoRedefine/>
    <w:rsid w:val="003E48C5"/>
    <w:pPr>
      <w:ind w:left="1680"/>
    </w:pPr>
  </w:style>
  <w:style w:type="paragraph" w:styleId="TOC9">
    <w:name w:val="toc 9"/>
    <w:basedOn w:val="Normal"/>
    <w:next w:val="Normal"/>
    <w:autoRedefine/>
    <w:rsid w:val="003E48C5"/>
    <w:pPr>
      <w:ind w:left="1920"/>
    </w:pPr>
  </w:style>
  <w:style w:type="character" w:styleId="Hyperlink">
    <w:name w:val="Hyperlink"/>
    <w:basedOn w:val="DefaultParagraphFont"/>
    <w:rsid w:val="003E48C5"/>
    <w:rPr>
      <w:rFonts w:cs="Times New Roman"/>
      <w:color w:val="0000FF"/>
      <w:u w:val="single"/>
    </w:rPr>
  </w:style>
  <w:style w:type="paragraph" w:customStyle="1" w:styleId="n">
    <w:name w:val="n"/>
    <w:basedOn w:val="Normal"/>
    <w:rsid w:val="003E48C5"/>
    <w:pPr>
      <w:jc w:val="both"/>
    </w:pPr>
    <w:rPr>
      <w:sz w:val="16"/>
      <w:szCs w:val="24"/>
    </w:rPr>
  </w:style>
  <w:style w:type="paragraph" w:customStyle="1" w:styleId="SinglePara">
    <w:name w:val="Single Para"/>
    <w:basedOn w:val="Normal"/>
    <w:rsid w:val="003E48C5"/>
  </w:style>
  <w:style w:type="paragraph" w:styleId="BodyText">
    <w:name w:val="Body Text"/>
    <w:basedOn w:val="Normal"/>
    <w:link w:val="BodyTextChar"/>
    <w:rsid w:val="00AE68C8"/>
    <w:pPr>
      <w:spacing w:before="120" w:after="120"/>
      <w:jc w:val="both"/>
    </w:pPr>
  </w:style>
  <w:style w:type="character" w:customStyle="1" w:styleId="BodyTextChar">
    <w:name w:val="Body Text Char"/>
    <w:basedOn w:val="DefaultParagraphFont"/>
    <w:link w:val="BodyText"/>
    <w:locked/>
    <w:rsid w:val="00AE68C8"/>
    <w:rPr>
      <w:rFonts w:ascii="Calibri" w:hAnsi="Calibri" w:cs="Times New Roman"/>
      <w:sz w:val="20"/>
      <w:szCs w:val="20"/>
      <w:lang w:eastAsia="en-US"/>
    </w:rPr>
  </w:style>
  <w:style w:type="paragraph" w:customStyle="1" w:styleId="PH4">
    <w:name w:val="PH4"/>
    <w:basedOn w:val="Normal"/>
    <w:rsid w:val="00054A91"/>
    <w:pPr>
      <w:spacing w:before="120"/>
    </w:pPr>
    <w:rPr>
      <w:b/>
      <w:sz w:val="20"/>
    </w:rPr>
  </w:style>
  <w:style w:type="paragraph" w:customStyle="1" w:styleId="MinorHeading">
    <w:name w:val="Minor Heading"/>
    <w:basedOn w:val="Normal"/>
    <w:rsid w:val="00054A91"/>
    <w:rPr>
      <w:rFonts w:ascii="Arial" w:hAnsi="Arial"/>
      <w:b/>
    </w:rPr>
  </w:style>
  <w:style w:type="paragraph" w:styleId="PlainText">
    <w:name w:val="Plain Text"/>
    <w:basedOn w:val="Normal"/>
    <w:link w:val="PlainTextChar"/>
    <w:rsid w:val="003E48C5"/>
    <w:rPr>
      <w:sz w:val="20"/>
      <w:lang w:val="en-US"/>
    </w:rPr>
  </w:style>
  <w:style w:type="character" w:customStyle="1" w:styleId="PlainTextChar">
    <w:name w:val="Plain Text Char"/>
    <w:basedOn w:val="DefaultParagraphFont"/>
    <w:link w:val="PlainText"/>
    <w:locked/>
    <w:rsid w:val="00640C44"/>
    <w:rPr>
      <w:rFonts w:ascii="Calibri" w:hAnsi="Calibri" w:cs="Times New Roman"/>
      <w:sz w:val="20"/>
      <w:szCs w:val="20"/>
      <w:lang w:val="en-US" w:eastAsia="en-US"/>
    </w:rPr>
  </w:style>
  <w:style w:type="paragraph" w:styleId="BodyTextIndent2">
    <w:name w:val="Body Text Indent 2"/>
    <w:basedOn w:val="Normal"/>
    <w:link w:val="BodyTextIndent2Char"/>
    <w:rsid w:val="003E48C5"/>
    <w:pPr>
      <w:keepNext/>
      <w:keepLines/>
      <w:numPr>
        <w:numId w:val="21"/>
      </w:numPr>
      <w:spacing w:after="120"/>
      <w:jc w:val="both"/>
    </w:pPr>
  </w:style>
  <w:style w:type="character" w:customStyle="1" w:styleId="BodyTextIndent2Char">
    <w:name w:val="Body Text Indent 2 Char"/>
    <w:basedOn w:val="DefaultParagraphFont"/>
    <w:link w:val="BodyTextIndent2"/>
    <w:locked/>
    <w:rsid w:val="00640C44"/>
    <w:rPr>
      <w:rFonts w:ascii="Calibri" w:hAnsi="Calibri"/>
      <w:sz w:val="24"/>
      <w:szCs w:val="20"/>
      <w:lang w:eastAsia="en-US"/>
    </w:rPr>
  </w:style>
  <w:style w:type="paragraph" w:styleId="BodyTextIndent3">
    <w:name w:val="Body Text Indent 3"/>
    <w:basedOn w:val="Normal"/>
    <w:link w:val="BodyTextIndent3Char"/>
    <w:rsid w:val="003E48C5"/>
    <w:pPr>
      <w:keepNext/>
      <w:keepLines/>
      <w:numPr>
        <w:numId w:val="22"/>
      </w:numPr>
      <w:tabs>
        <w:tab w:val="left" w:pos="1134"/>
      </w:tabs>
      <w:spacing w:after="120"/>
      <w:jc w:val="both"/>
    </w:pPr>
    <w:rPr>
      <w:szCs w:val="24"/>
    </w:rPr>
  </w:style>
  <w:style w:type="character" w:customStyle="1" w:styleId="BodyTextIndent3Char">
    <w:name w:val="Body Text Indent 3 Char"/>
    <w:basedOn w:val="DefaultParagraphFont"/>
    <w:link w:val="BodyTextIndent3"/>
    <w:locked/>
    <w:rsid w:val="00DE4A0B"/>
    <w:rPr>
      <w:rFonts w:ascii="Calibri" w:hAnsi="Calibri"/>
      <w:sz w:val="24"/>
      <w:szCs w:val="24"/>
      <w:lang w:eastAsia="en-US"/>
    </w:rPr>
  </w:style>
  <w:style w:type="paragraph" w:customStyle="1" w:styleId="TableFootnoteText">
    <w:name w:val="Table Footnote Text"/>
    <w:basedOn w:val="FootnoteText"/>
    <w:rsid w:val="00054A91"/>
    <w:pPr>
      <w:keepNext/>
      <w:numPr>
        <w:numId w:val="12"/>
      </w:numPr>
      <w:tabs>
        <w:tab w:val="left" w:pos="426"/>
      </w:tabs>
      <w:spacing w:after="120"/>
      <w:ind w:left="357" w:hanging="357"/>
      <w:jc w:val="both"/>
    </w:pPr>
    <w:rPr>
      <w:sz w:val="18"/>
      <w:lang w:val="en-US"/>
    </w:rPr>
  </w:style>
  <w:style w:type="paragraph" w:customStyle="1" w:styleId="PH3">
    <w:name w:val="PH3"/>
    <w:basedOn w:val="Normal"/>
    <w:rsid w:val="00054A91"/>
    <w:pPr>
      <w:keepNext/>
      <w:outlineLvl w:val="0"/>
    </w:pPr>
    <w:rPr>
      <w:rFonts w:ascii="Arial" w:hAnsi="Arial"/>
      <w:b/>
      <w:kern w:val="28"/>
      <w:lang w:val="en-GB"/>
    </w:rPr>
  </w:style>
  <w:style w:type="paragraph" w:styleId="BodyText2">
    <w:name w:val="Body Text 2"/>
    <w:basedOn w:val="Normal"/>
    <w:link w:val="BodyText2Char"/>
    <w:rsid w:val="003E48C5"/>
    <w:pPr>
      <w:spacing w:after="120" w:line="480" w:lineRule="auto"/>
    </w:pPr>
  </w:style>
  <w:style w:type="character" w:customStyle="1" w:styleId="BodyText2Char">
    <w:name w:val="Body Text 2 Char"/>
    <w:basedOn w:val="DefaultParagraphFont"/>
    <w:link w:val="BodyText2"/>
    <w:locked/>
    <w:rsid w:val="00640C44"/>
    <w:rPr>
      <w:rFonts w:ascii="Calibri" w:hAnsi="Calibri" w:cs="Times New Roman"/>
      <w:sz w:val="20"/>
      <w:szCs w:val="20"/>
      <w:lang w:eastAsia="en-US"/>
    </w:rPr>
  </w:style>
  <w:style w:type="paragraph" w:customStyle="1" w:styleId="Notes">
    <w:name w:val="Notes"/>
    <w:basedOn w:val="Normal"/>
    <w:rsid w:val="003E48C5"/>
    <w:pPr>
      <w:spacing w:before="120"/>
      <w:ind w:left="28"/>
    </w:pPr>
    <w:rPr>
      <w:b/>
      <w:sz w:val="20"/>
      <w:szCs w:val="24"/>
    </w:rPr>
  </w:style>
  <w:style w:type="character" w:styleId="FootnoteReference">
    <w:name w:val="footnote reference"/>
    <w:basedOn w:val="DefaultParagraphFont"/>
    <w:rsid w:val="003E48C5"/>
    <w:rPr>
      <w:rFonts w:ascii="Calibri" w:hAnsi="Calibri" w:cs="Times New Roman"/>
      <w:vertAlign w:val="superscript"/>
    </w:rPr>
  </w:style>
  <w:style w:type="character" w:styleId="FollowedHyperlink">
    <w:name w:val="FollowedHyperlink"/>
    <w:basedOn w:val="DefaultParagraphFont"/>
    <w:rsid w:val="003E48C5"/>
    <w:rPr>
      <w:rFonts w:cs="Times New Roman"/>
      <w:color w:val="800080"/>
      <w:u w:val="single"/>
    </w:rPr>
  </w:style>
  <w:style w:type="paragraph" w:styleId="BodyText3">
    <w:name w:val="Body Text 3"/>
    <w:basedOn w:val="Normal"/>
    <w:link w:val="BodyText3Char"/>
    <w:rsid w:val="003E48C5"/>
    <w:pPr>
      <w:spacing w:after="120"/>
    </w:pPr>
    <w:rPr>
      <w:sz w:val="16"/>
      <w:szCs w:val="16"/>
    </w:rPr>
  </w:style>
  <w:style w:type="character" w:customStyle="1" w:styleId="BodyText3Char">
    <w:name w:val="Body Text 3 Char"/>
    <w:basedOn w:val="DefaultParagraphFont"/>
    <w:link w:val="BodyText3"/>
    <w:locked/>
    <w:rsid w:val="00640C44"/>
    <w:rPr>
      <w:rFonts w:ascii="Calibri" w:hAnsi="Calibri" w:cs="Times New Roman"/>
      <w:sz w:val="16"/>
      <w:szCs w:val="16"/>
      <w:lang w:eastAsia="en-US"/>
    </w:rPr>
  </w:style>
  <w:style w:type="paragraph" w:customStyle="1" w:styleId="Numbering">
    <w:name w:val="Numbering"/>
    <w:basedOn w:val="Normal"/>
    <w:rsid w:val="00054A91"/>
    <w:pPr>
      <w:numPr>
        <w:ilvl w:val="1"/>
        <w:numId w:val="13"/>
      </w:numPr>
      <w:spacing w:before="120" w:after="120"/>
      <w:jc w:val="both"/>
    </w:pPr>
    <w:rPr>
      <w:lang w:val="en-US"/>
    </w:rPr>
  </w:style>
  <w:style w:type="paragraph" w:customStyle="1" w:styleId="AITableText">
    <w:name w:val="AI Table Text"/>
    <w:basedOn w:val="Normal"/>
    <w:link w:val="AITableTextChar"/>
    <w:rsid w:val="003E48C5"/>
    <w:pPr>
      <w:jc w:val="right"/>
    </w:pPr>
    <w:rPr>
      <w:sz w:val="20"/>
      <w:szCs w:val="24"/>
    </w:rPr>
  </w:style>
  <w:style w:type="paragraph" w:customStyle="1" w:styleId="AIIndent">
    <w:name w:val="AI Indent"/>
    <w:basedOn w:val="Normal"/>
    <w:rsid w:val="003E48C5"/>
    <w:pPr>
      <w:tabs>
        <w:tab w:val="num" w:pos="360"/>
      </w:tabs>
      <w:ind w:left="357" w:hanging="357"/>
    </w:pPr>
    <w:rPr>
      <w:sz w:val="20"/>
    </w:rPr>
  </w:style>
  <w:style w:type="paragraph" w:customStyle="1" w:styleId="AINotes">
    <w:name w:val="AI Notes"/>
    <w:basedOn w:val="Normal"/>
    <w:rsid w:val="003E48C5"/>
    <w:pPr>
      <w:jc w:val="both"/>
    </w:pPr>
    <w:rPr>
      <w:sz w:val="16"/>
    </w:rPr>
  </w:style>
  <w:style w:type="paragraph" w:customStyle="1" w:styleId="SIHeading1">
    <w:name w:val="SI Heading 1"/>
    <w:basedOn w:val="Normal"/>
    <w:next w:val="BodyText"/>
    <w:rsid w:val="003E48C5"/>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3E48C5"/>
    <w:pPr>
      <w:keepNext/>
      <w:keepLines/>
      <w:spacing w:after="240"/>
      <w:jc w:val="center"/>
      <w:outlineLvl w:val="0"/>
    </w:pPr>
    <w:rPr>
      <w:rFonts w:ascii="Arial" w:hAnsi="Arial"/>
      <w:kern w:val="28"/>
      <w:sz w:val="20"/>
    </w:rPr>
  </w:style>
  <w:style w:type="paragraph" w:customStyle="1" w:styleId="AIBlurb">
    <w:name w:val="AI Blurb"/>
    <w:basedOn w:val="Normal"/>
    <w:rsid w:val="00054A91"/>
    <w:pPr>
      <w:spacing w:before="120" w:after="240"/>
      <w:jc w:val="both"/>
    </w:pPr>
    <w:rPr>
      <w:rFonts w:ascii="Times New (W1)" w:hAnsi="Times New (W1)"/>
      <w:sz w:val="20"/>
    </w:rPr>
  </w:style>
  <w:style w:type="paragraph" w:customStyle="1" w:styleId="BodyText1">
    <w:name w:val="Body Text 1"/>
    <w:basedOn w:val="Normal"/>
    <w:uiPriority w:val="99"/>
    <w:rsid w:val="00054A91"/>
    <w:pPr>
      <w:jc w:val="both"/>
    </w:pPr>
  </w:style>
  <w:style w:type="paragraph" w:customStyle="1" w:styleId="xl25">
    <w:name w:val="xl25"/>
    <w:basedOn w:val="Normal"/>
    <w:rsid w:val="003E48C5"/>
    <w:pPr>
      <w:spacing w:before="100" w:beforeAutospacing="1" w:after="100" w:afterAutospacing="1"/>
    </w:pPr>
    <w:rPr>
      <w:rFonts w:eastAsia="Arial Unicode MS"/>
      <w:sz w:val="18"/>
      <w:szCs w:val="18"/>
    </w:rPr>
  </w:style>
  <w:style w:type="paragraph" w:customStyle="1" w:styleId="PH1">
    <w:name w:val="PH1"/>
    <w:basedOn w:val="Heading1"/>
    <w:rsid w:val="00054A91"/>
    <w:pPr>
      <w:jc w:val="center"/>
    </w:pPr>
    <w:rPr>
      <w:bCs/>
      <w:lang w:val="en-GB"/>
    </w:rPr>
  </w:style>
  <w:style w:type="paragraph" w:customStyle="1" w:styleId="PH2">
    <w:name w:val="PH2"/>
    <w:basedOn w:val="PH1"/>
    <w:rsid w:val="00054A91"/>
    <w:rPr>
      <w:b w:val="0"/>
      <w:sz w:val="24"/>
    </w:rPr>
  </w:style>
  <w:style w:type="paragraph" w:customStyle="1" w:styleId="PText">
    <w:name w:val="PText"/>
    <w:basedOn w:val="Normal"/>
    <w:rsid w:val="00054A91"/>
    <w:rPr>
      <w:sz w:val="20"/>
    </w:rPr>
  </w:style>
  <w:style w:type="paragraph" w:customStyle="1" w:styleId="MajorHeading">
    <w:name w:val="Major Heading"/>
    <w:basedOn w:val="Normal"/>
    <w:rsid w:val="00054A91"/>
    <w:pPr>
      <w:pBdr>
        <w:bottom w:val="single" w:sz="18" w:space="1" w:color="auto"/>
      </w:pBdr>
      <w:tabs>
        <w:tab w:val="right" w:pos="9072"/>
      </w:tabs>
      <w:spacing w:before="240" w:after="240"/>
    </w:pPr>
    <w:rPr>
      <w:rFonts w:ascii="Arial" w:hAnsi="Arial"/>
      <w:b/>
      <w:caps/>
      <w:sz w:val="28"/>
      <w:lang w:val="en-GB"/>
    </w:rPr>
  </w:style>
  <w:style w:type="paragraph" w:customStyle="1" w:styleId="MajorHeading2">
    <w:name w:val="Major Heading 2"/>
    <w:basedOn w:val="MajorHeading1"/>
    <w:rsid w:val="00054A91"/>
    <w:pPr>
      <w:pBdr>
        <w:bottom w:val="none" w:sz="0" w:space="0" w:color="auto"/>
      </w:pBdr>
    </w:pPr>
  </w:style>
  <w:style w:type="paragraph" w:customStyle="1" w:styleId="MajorHeading1">
    <w:name w:val="Major Heading 1"/>
    <w:basedOn w:val="Normal"/>
    <w:rsid w:val="00054A91"/>
    <w:pPr>
      <w:pBdr>
        <w:bottom w:val="single" w:sz="18" w:space="1" w:color="auto"/>
      </w:pBdr>
      <w:tabs>
        <w:tab w:val="right" w:pos="9072"/>
      </w:tabs>
      <w:spacing w:before="240" w:after="240"/>
    </w:pPr>
    <w:rPr>
      <w:rFonts w:ascii="Arial" w:hAnsi="Arial"/>
      <w:b/>
      <w:caps/>
      <w:sz w:val="28"/>
      <w:lang w:val="en-GB"/>
    </w:rPr>
  </w:style>
  <w:style w:type="paragraph" w:customStyle="1" w:styleId="Sub-Heading">
    <w:name w:val="Sub-Heading"/>
    <w:basedOn w:val="Normal"/>
    <w:next w:val="BodyText"/>
    <w:rsid w:val="003E48C5"/>
    <w:pPr>
      <w:keepNext/>
      <w:spacing w:before="240" w:after="120"/>
      <w:outlineLvl w:val="0"/>
    </w:pPr>
    <w:rPr>
      <w:rFonts w:ascii="Arial" w:hAnsi="Arial"/>
      <w:i/>
    </w:rPr>
  </w:style>
  <w:style w:type="paragraph" w:customStyle="1" w:styleId="Sub-Heading2">
    <w:name w:val="Sub-Heading 2"/>
    <w:basedOn w:val="BodyText"/>
    <w:rsid w:val="003E48C5"/>
    <w:rPr>
      <w:i/>
    </w:rPr>
  </w:style>
  <w:style w:type="paragraph" w:customStyle="1" w:styleId="Sub-Heading3">
    <w:name w:val="Sub-Heading 3"/>
    <w:basedOn w:val="Sub-Heading2"/>
    <w:rsid w:val="00054A91"/>
  </w:style>
  <w:style w:type="paragraph" w:customStyle="1" w:styleId="Tableformat">
    <w:name w:val="Table format"/>
    <w:basedOn w:val="BodyText"/>
    <w:rsid w:val="00054A91"/>
    <w:pPr>
      <w:spacing w:before="100" w:beforeAutospacing="1" w:afterAutospacing="1"/>
    </w:pPr>
    <w:rPr>
      <w:b/>
      <w:sz w:val="20"/>
    </w:rPr>
  </w:style>
  <w:style w:type="paragraph" w:customStyle="1" w:styleId="TableName">
    <w:name w:val="Table Name"/>
    <w:basedOn w:val="Normal"/>
    <w:rsid w:val="003E48C5"/>
    <w:pPr>
      <w:keepNext/>
      <w:keepLines/>
      <w:spacing w:after="120"/>
      <w:jc w:val="center"/>
    </w:pPr>
    <w:rPr>
      <w:rFonts w:ascii="Arial" w:hAnsi="Arial"/>
      <w:b/>
      <w:sz w:val="20"/>
    </w:rPr>
  </w:style>
  <w:style w:type="paragraph" w:customStyle="1" w:styleId="TableNumber">
    <w:name w:val="Table Number"/>
    <w:basedOn w:val="TableName"/>
    <w:next w:val="TableName"/>
    <w:rsid w:val="003E48C5"/>
    <w:pPr>
      <w:spacing w:before="60" w:after="0"/>
    </w:pPr>
  </w:style>
  <w:style w:type="paragraph" w:customStyle="1" w:styleId="TableGraphic">
    <w:name w:val="TableGraphic"/>
    <w:basedOn w:val="Normal"/>
    <w:next w:val="Normal"/>
    <w:rsid w:val="00054A91"/>
    <w:pPr>
      <w:keepNext/>
      <w:spacing w:after="20"/>
      <w:ind w:right="-113"/>
    </w:pPr>
    <w:rPr>
      <w:rFonts w:ascii="Tahoma" w:hAnsi="Tahoma"/>
      <w:b/>
      <w:color w:val="000000"/>
      <w:sz w:val="20"/>
    </w:rPr>
  </w:style>
  <w:style w:type="paragraph" w:customStyle="1" w:styleId="Text">
    <w:name w:val="Text"/>
    <w:basedOn w:val="Normal"/>
    <w:rsid w:val="00054A91"/>
    <w:pPr>
      <w:jc w:val="both"/>
    </w:pPr>
  </w:style>
  <w:style w:type="paragraph" w:customStyle="1" w:styleId="Text1">
    <w:name w:val="Text 1"/>
    <w:basedOn w:val="Normal"/>
    <w:rsid w:val="00054A91"/>
    <w:pPr>
      <w:jc w:val="both"/>
    </w:pPr>
    <w:rPr>
      <w:rFonts w:ascii="Arial" w:hAnsi="Arial"/>
    </w:rPr>
  </w:style>
  <w:style w:type="character" w:customStyle="1" w:styleId="EmailStyle881">
    <w:name w:val="EmailStyle88"/>
    <w:aliases w:val="EmailStyle88"/>
    <w:basedOn w:val="DefaultParagraphFont"/>
    <w:uiPriority w:val="99"/>
    <w:personal/>
    <w:rsid w:val="00054A91"/>
    <w:rPr>
      <w:rFonts w:ascii="Arial" w:hAnsi="Arial" w:cs="Arial"/>
      <w:color w:val="000080"/>
      <w:sz w:val="20"/>
    </w:rPr>
  </w:style>
  <w:style w:type="character" w:customStyle="1" w:styleId="EmailStyle891">
    <w:name w:val="EmailStyle89"/>
    <w:aliases w:val="EmailStyle89"/>
    <w:basedOn w:val="DefaultParagraphFont"/>
    <w:uiPriority w:val="99"/>
    <w:personal/>
    <w:rsid w:val="00054A91"/>
    <w:rPr>
      <w:rFonts w:ascii="Arial" w:hAnsi="Arial" w:cs="Arial"/>
      <w:color w:val="auto"/>
      <w:sz w:val="20"/>
    </w:rPr>
  </w:style>
  <w:style w:type="character" w:customStyle="1" w:styleId="EmailStyle901">
    <w:name w:val="EmailStyle90"/>
    <w:aliases w:val="EmailStyle90"/>
    <w:basedOn w:val="DefaultParagraphFont"/>
    <w:uiPriority w:val="99"/>
    <w:personal/>
    <w:rsid w:val="00054A91"/>
    <w:rPr>
      <w:rFonts w:ascii="Arial" w:hAnsi="Arial" w:cs="Arial"/>
      <w:color w:val="auto"/>
      <w:sz w:val="20"/>
    </w:rPr>
  </w:style>
  <w:style w:type="paragraph" w:customStyle="1" w:styleId="Output1">
    <w:name w:val="Output 1"/>
    <w:basedOn w:val="Normal"/>
    <w:autoRedefine/>
    <w:rsid w:val="00054A91"/>
    <w:pPr>
      <w:keepNext/>
      <w:keepLines/>
      <w:spacing w:before="100" w:beforeAutospacing="1" w:after="100" w:afterAutospacing="1"/>
      <w:ind w:left="425"/>
      <w:jc w:val="both"/>
    </w:pPr>
    <w:rPr>
      <w:rFonts w:ascii="Times New (W1)" w:hAnsi="Times New (W1)"/>
    </w:rPr>
  </w:style>
  <w:style w:type="paragraph" w:customStyle="1" w:styleId="Output2">
    <w:name w:val="Output 2"/>
    <w:basedOn w:val="Output1"/>
    <w:autoRedefine/>
    <w:rsid w:val="00054A91"/>
    <w:pPr>
      <w:ind w:left="709"/>
    </w:pPr>
    <w:rPr>
      <w:i/>
    </w:rPr>
  </w:style>
  <w:style w:type="paragraph" w:customStyle="1" w:styleId="Output2Indent">
    <w:name w:val="Output 2 Indent"/>
    <w:basedOn w:val="Output2"/>
    <w:autoRedefine/>
    <w:rsid w:val="00054A91"/>
    <w:pPr>
      <w:keepNext w:val="0"/>
      <w:tabs>
        <w:tab w:val="num" w:pos="1429"/>
      </w:tabs>
      <w:spacing w:before="0" w:beforeAutospacing="0"/>
      <w:ind w:left="1429" w:hanging="360"/>
    </w:pPr>
  </w:style>
  <w:style w:type="paragraph" w:styleId="BalloonText">
    <w:name w:val="Balloon Text"/>
    <w:basedOn w:val="Normal"/>
    <w:link w:val="BalloonTextChar"/>
    <w:semiHidden/>
    <w:rsid w:val="003E48C5"/>
    <w:rPr>
      <w:rFonts w:ascii="Tahoma" w:hAnsi="Tahoma" w:cs="Tahoma"/>
      <w:sz w:val="16"/>
      <w:szCs w:val="16"/>
    </w:rPr>
  </w:style>
  <w:style w:type="character" w:customStyle="1" w:styleId="BalloonTextChar">
    <w:name w:val="Balloon Text Char"/>
    <w:basedOn w:val="DefaultParagraphFont"/>
    <w:link w:val="BalloonText"/>
    <w:semiHidden/>
    <w:locked/>
    <w:rsid w:val="00640C44"/>
    <w:rPr>
      <w:rFonts w:ascii="Tahoma" w:hAnsi="Tahoma" w:cs="Tahoma"/>
      <w:sz w:val="16"/>
      <w:szCs w:val="16"/>
      <w:lang w:eastAsia="en-US"/>
    </w:rPr>
  </w:style>
  <w:style w:type="paragraph" w:customStyle="1" w:styleId="Bullet">
    <w:name w:val="Bullet"/>
    <w:basedOn w:val="Normal"/>
    <w:rsid w:val="00054A91"/>
    <w:pPr>
      <w:tabs>
        <w:tab w:val="num" w:pos="360"/>
      </w:tabs>
      <w:ind w:left="360" w:hanging="360"/>
    </w:pPr>
  </w:style>
  <w:style w:type="paragraph" w:customStyle="1" w:styleId="bullet2">
    <w:name w:val="bullet 2"/>
    <w:basedOn w:val="Normal"/>
    <w:rsid w:val="00054A91"/>
    <w:pPr>
      <w:tabs>
        <w:tab w:val="left" w:pos="360"/>
        <w:tab w:val="left" w:pos="454"/>
      </w:tabs>
      <w:spacing w:after="120"/>
      <w:ind w:left="454" w:hanging="454"/>
      <w:jc w:val="both"/>
    </w:pPr>
    <w:rPr>
      <w:color w:val="000000"/>
    </w:rPr>
  </w:style>
  <w:style w:type="paragraph" w:customStyle="1" w:styleId="GalText">
    <w:name w:val="GalText"/>
    <w:basedOn w:val="Normal"/>
    <w:rsid w:val="00054A91"/>
    <w:pPr>
      <w:spacing w:before="60" w:after="60"/>
    </w:pPr>
    <w:rPr>
      <w:rFonts w:ascii="Arial Narrow" w:hAnsi="Arial Narrow"/>
    </w:rPr>
  </w:style>
  <w:style w:type="paragraph" w:customStyle="1" w:styleId="NumberedNotes">
    <w:name w:val="Numbered Notes"/>
    <w:basedOn w:val="FootnoteText"/>
    <w:rsid w:val="00054A91"/>
    <w:pPr>
      <w:spacing w:after="60"/>
      <w:ind w:left="357" w:hanging="357"/>
      <w:jc w:val="both"/>
    </w:pPr>
    <w:rPr>
      <w:sz w:val="16"/>
    </w:rPr>
  </w:style>
  <w:style w:type="paragraph" w:customStyle="1" w:styleId="PI1">
    <w:name w:val="PI 1"/>
    <w:basedOn w:val="Normal"/>
    <w:rsid w:val="00054A91"/>
    <w:pPr>
      <w:spacing w:before="240"/>
    </w:pPr>
    <w:rPr>
      <w:rFonts w:ascii="Times New (W1)" w:hAnsi="Times New (W1)"/>
    </w:rPr>
  </w:style>
  <w:style w:type="paragraph" w:customStyle="1" w:styleId="PI2">
    <w:name w:val="PI 2"/>
    <w:basedOn w:val="PI1"/>
    <w:rsid w:val="00054A91"/>
    <w:pPr>
      <w:spacing w:after="240"/>
    </w:pPr>
    <w:rPr>
      <w:i/>
    </w:rPr>
  </w:style>
  <w:style w:type="paragraph" w:customStyle="1" w:styleId="PI2Indent">
    <w:name w:val="PI 2  Indent"/>
    <w:basedOn w:val="Normal"/>
    <w:rsid w:val="00054A91"/>
    <w:pPr>
      <w:ind w:left="357" w:hanging="357"/>
    </w:pPr>
  </w:style>
  <w:style w:type="paragraph" w:customStyle="1" w:styleId="Style1">
    <w:name w:val="Style1"/>
    <w:basedOn w:val="AITableText"/>
    <w:rsid w:val="00054A91"/>
    <w:pPr>
      <w:spacing w:before="120" w:after="240"/>
      <w:ind w:left="714" w:hanging="357"/>
    </w:pPr>
  </w:style>
  <w:style w:type="paragraph" w:customStyle="1" w:styleId="Style1Indent">
    <w:name w:val="Style1 Indent"/>
    <w:basedOn w:val="Normal"/>
    <w:rsid w:val="00054A91"/>
    <w:pPr>
      <w:tabs>
        <w:tab w:val="num" w:pos="1440"/>
      </w:tabs>
      <w:ind w:left="1440" w:hanging="360"/>
    </w:pPr>
    <w:rPr>
      <w:sz w:val="20"/>
    </w:rPr>
  </w:style>
  <w:style w:type="paragraph" w:customStyle="1" w:styleId="Sub-Heading1">
    <w:name w:val="Sub-Heading 1"/>
    <w:basedOn w:val="Normal"/>
    <w:next w:val="Normal"/>
    <w:autoRedefine/>
    <w:rsid w:val="00054A91"/>
    <w:pPr>
      <w:keepNext/>
      <w:spacing w:before="240" w:after="240"/>
      <w:outlineLvl w:val="0"/>
    </w:pPr>
    <w:rPr>
      <w:rFonts w:ascii="Arial" w:hAnsi="Arial"/>
      <w:i/>
    </w:rPr>
  </w:style>
  <w:style w:type="paragraph" w:customStyle="1" w:styleId="Sub-Headings">
    <w:name w:val="Sub-Headings"/>
    <w:basedOn w:val="MinorHeading"/>
    <w:rsid w:val="00054A91"/>
    <w:pPr>
      <w:keepNext/>
      <w:spacing w:before="240" w:after="120"/>
      <w:outlineLvl w:val="0"/>
    </w:pPr>
    <w:rPr>
      <w:rFonts w:cs="Arial"/>
      <w:b w:val="0"/>
      <w:bCs/>
      <w:i/>
      <w:szCs w:val="24"/>
    </w:rPr>
  </w:style>
  <w:style w:type="paragraph" w:customStyle="1" w:styleId="TableText">
    <w:name w:val="TableText"/>
    <w:basedOn w:val="BodyText"/>
    <w:rsid w:val="00054A91"/>
    <w:pPr>
      <w:spacing w:before="100" w:beforeAutospacing="1" w:afterAutospacing="1"/>
      <w:jc w:val="left"/>
    </w:pPr>
    <w:rPr>
      <w:rFonts w:ascii="Arial" w:hAnsi="Arial"/>
      <w:kern w:val="28"/>
      <w:sz w:val="22"/>
    </w:rPr>
  </w:style>
  <w:style w:type="paragraph" w:customStyle="1" w:styleId="dot">
    <w:name w:val="dot"/>
    <w:basedOn w:val="Normal"/>
    <w:rsid w:val="00054A91"/>
    <w:pPr>
      <w:tabs>
        <w:tab w:val="num" w:pos="360"/>
      </w:tabs>
      <w:ind w:left="360" w:hanging="360"/>
    </w:pPr>
  </w:style>
  <w:style w:type="paragraph" w:customStyle="1" w:styleId="xl30">
    <w:name w:val="xl30"/>
    <w:basedOn w:val="Normal"/>
    <w:rsid w:val="00054A91"/>
    <w:pPr>
      <w:spacing w:before="100" w:beforeAutospacing="1" w:after="100" w:afterAutospacing="1"/>
    </w:pPr>
    <w:rPr>
      <w:rFonts w:eastAsia="Arial Unicode MS"/>
      <w:b/>
      <w:bCs/>
      <w:sz w:val="18"/>
      <w:szCs w:val="18"/>
    </w:rPr>
  </w:style>
  <w:style w:type="paragraph" w:customStyle="1" w:styleId="Memopara">
    <w:name w:val="Memo para"/>
    <w:basedOn w:val="Numbering"/>
    <w:rsid w:val="00054A91"/>
    <w:pPr>
      <w:numPr>
        <w:ilvl w:val="0"/>
        <w:numId w:val="16"/>
      </w:numPr>
      <w:tabs>
        <w:tab w:val="num" w:pos="643"/>
        <w:tab w:val="num" w:pos="926"/>
        <w:tab w:val="num" w:pos="1209"/>
        <w:tab w:val="num" w:pos="1492"/>
      </w:tabs>
      <w:ind w:left="0" w:firstLine="0"/>
    </w:pPr>
    <w:rPr>
      <w:szCs w:val="24"/>
    </w:rPr>
  </w:style>
  <w:style w:type="paragraph" w:customStyle="1" w:styleId="para">
    <w:name w:val="para"/>
    <w:basedOn w:val="Normal"/>
    <w:rsid w:val="00054A91"/>
  </w:style>
  <w:style w:type="paragraph" w:customStyle="1" w:styleId="1n">
    <w:name w:val="1. n"/>
    <w:basedOn w:val="n"/>
    <w:rsid w:val="003E48C5"/>
    <w:rPr>
      <w:iCs/>
      <w:szCs w:val="20"/>
    </w:rPr>
  </w:style>
  <w:style w:type="paragraph" w:customStyle="1" w:styleId="an">
    <w:name w:val="a. n"/>
    <w:basedOn w:val="n"/>
    <w:rsid w:val="003E48C5"/>
    <w:rPr>
      <w:iCs/>
      <w:szCs w:val="20"/>
    </w:rPr>
  </w:style>
  <w:style w:type="paragraph" w:customStyle="1" w:styleId="AIblurb0">
    <w:name w:val="AI blurb"/>
    <w:basedOn w:val="Normal"/>
    <w:rsid w:val="003E48C5"/>
    <w:pPr>
      <w:spacing w:before="120" w:after="240"/>
      <w:ind w:left="380"/>
      <w:jc w:val="both"/>
    </w:pPr>
    <w:rPr>
      <w:sz w:val="20"/>
    </w:rPr>
  </w:style>
  <w:style w:type="paragraph" w:styleId="BlockText">
    <w:name w:val="Block Text"/>
    <w:basedOn w:val="Normal"/>
    <w:semiHidden/>
    <w:locked/>
    <w:rsid w:val="003E48C5"/>
    <w:pPr>
      <w:spacing w:after="120"/>
      <w:ind w:left="1440" w:right="1440"/>
    </w:pPr>
  </w:style>
  <w:style w:type="paragraph" w:styleId="BodyTextFirstIndent">
    <w:name w:val="Body Text First Indent"/>
    <w:basedOn w:val="BodyText"/>
    <w:link w:val="BodyTextFirstIndentChar"/>
    <w:semiHidden/>
    <w:locked/>
    <w:rsid w:val="003E48C5"/>
    <w:pPr>
      <w:spacing w:before="0"/>
      <w:ind w:firstLine="210"/>
      <w:jc w:val="left"/>
    </w:pPr>
  </w:style>
  <w:style w:type="character" w:customStyle="1" w:styleId="BodyTextFirstIndentChar">
    <w:name w:val="Body Text First Indent Char"/>
    <w:basedOn w:val="BodyTextChar"/>
    <w:link w:val="BodyTextFirstIndent"/>
    <w:semiHidden/>
    <w:locked/>
    <w:rsid w:val="00F37FE5"/>
  </w:style>
  <w:style w:type="paragraph" w:styleId="BodyTextFirstIndent2">
    <w:name w:val="Body Text First Indent 2"/>
    <w:basedOn w:val="BodyTextIndent"/>
    <w:link w:val="BodyTextFirstIndent2Char"/>
    <w:semiHidden/>
    <w:locked/>
    <w:rsid w:val="003E48C5"/>
    <w:pPr>
      <w:numPr>
        <w:numId w:val="0"/>
      </w:numPr>
      <w:ind w:left="283" w:firstLine="210"/>
      <w:jc w:val="left"/>
    </w:pPr>
  </w:style>
  <w:style w:type="character" w:customStyle="1" w:styleId="BodyTextFirstIndent2Char">
    <w:name w:val="Body Text First Indent 2 Char"/>
    <w:basedOn w:val="BodyTextIndentChar"/>
    <w:link w:val="BodyTextFirstIndent2"/>
    <w:semiHidden/>
    <w:locked/>
    <w:rsid w:val="00F37FE5"/>
  </w:style>
  <w:style w:type="paragraph" w:customStyle="1" w:styleId="BodyTextIndent4">
    <w:name w:val="Body Text Indent 4"/>
    <w:basedOn w:val="BodyText"/>
    <w:next w:val="BodyText"/>
    <w:rsid w:val="003E48C5"/>
    <w:pPr>
      <w:numPr>
        <w:numId w:val="23"/>
      </w:numPr>
      <w:spacing w:before="0"/>
    </w:pPr>
  </w:style>
  <w:style w:type="character" w:customStyle="1" w:styleId="CharChar">
    <w:name w:val="Char Char"/>
    <w:basedOn w:val="DefaultParagraphFont"/>
    <w:rsid w:val="003E48C5"/>
    <w:rPr>
      <w:rFonts w:ascii="Calibri" w:hAnsi="Calibri" w:cs="Times New Roman"/>
      <w:sz w:val="24"/>
      <w:lang w:val="en-AU" w:eastAsia="en-US" w:bidi="ar-SA"/>
    </w:rPr>
  </w:style>
  <w:style w:type="character" w:customStyle="1" w:styleId="CharChar1">
    <w:name w:val="Char Char1"/>
    <w:basedOn w:val="DefaultParagraphFont"/>
    <w:rsid w:val="003E48C5"/>
    <w:rPr>
      <w:rFonts w:ascii="Arial" w:hAnsi="Arial" w:cs="Arial"/>
      <w:b/>
      <w:bCs/>
      <w:sz w:val="26"/>
      <w:szCs w:val="26"/>
      <w:lang w:val="en-AU" w:eastAsia="en-US" w:bidi="ar-SA"/>
    </w:rPr>
  </w:style>
  <w:style w:type="paragraph" w:styleId="Closing">
    <w:name w:val="Closing"/>
    <w:basedOn w:val="Normal"/>
    <w:link w:val="ClosingChar"/>
    <w:semiHidden/>
    <w:locked/>
    <w:rsid w:val="003E48C5"/>
    <w:pPr>
      <w:ind w:left="4252"/>
    </w:pPr>
  </w:style>
  <w:style w:type="character" w:customStyle="1" w:styleId="ClosingChar">
    <w:name w:val="Closing Char"/>
    <w:basedOn w:val="DefaultParagraphFont"/>
    <w:link w:val="Closing"/>
    <w:semiHidden/>
    <w:locked/>
    <w:rsid w:val="00F37FE5"/>
    <w:rPr>
      <w:rFonts w:ascii="Calibri" w:hAnsi="Calibri" w:cs="Times New Roman"/>
      <w:sz w:val="20"/>
      <w:szCs w:val="20"/>
      <w:lang w:eastAsia="en-US"/>
    </w:rPr>
  </w:style>
  <w:style w:type="table" w:styleId="ColorfulGrid-Accent2">
    <w:name w:val="Colorful Grid Accent 2"/>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73"/>
    <w:rsid w:val="003E48C5"/>
    <w:pPr>
      <w:spacing w:after="0" w:line="240" w:lineRule="auto"/>
    </w:pPr>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styleId="CommentReference">
    <w:name w:val="annotation reference"/>
    <w:basedOn w:val="DefaultParagraphFont"/>
    <w:locked/>
    <w:rsid w:val="003E48C5"/>
    <w:rPr>
      <w:rFonts w:ascii="Calibri" w:hAnsi="Calibri" w:cs="Times New Roman"/>
      <w:sz w:val="16"/>
      <w:szCs w:val="16"/>
    </w:rPr>
  </w:style>
  <w:style w:type="paragraph" w:styleId="CommentText">
    <w:name w:val="annotation text"/>
    <w:basedOn w:val="Normal"/>
    <w:link w:val="CommentTextChar"/>
    <w:locked/>
    <w:rsid w:val="003E48C5"/>
    <w:rPr>
      <w:sz w:val="20"/>
    </w:rPr>
  </w:style>
  <w:style w:type="character" w:customStyle="1" w:styleId="CommentTextChar">
    <w:name w:val="Comment Text Char"/>
    <w:basedOn w:val="DefaultParagraphFont"/>
    <w:link w:val="CommentText"/>
    <w:locked/>
    <w:rsid w:val="00F37FE5"/>
    <w:rPr>
      <w:rFonts w:ascii="Calibri" w:hAnsi="Calibri" w:cs="Times New Roman"/>
      <w:sz w:val="20"/>
      <w:szCs w:val="20"/>
      <w:lang w:eastAsia="en-US"/>
    </w:rPr>
  </w:style>
  <w:style w:type="paragraph" w:styleId="CommentSubject">
    <w:name w:val="annotation subject"/>
    <w:basedOn w:val="CommentText"/>
    <w:next w:val="CommentText"/>
    <w:link w:val="CommentSubjectChar"/>
    <w:locked/>
    <w:rsid w:val="003E48C5"/>
    <w:rPr>
      <w:b/>
      <w:bCs/>
    </w:rPr>
  </w:style>
  <w:style w:type="character" w:customStyle="1" w:styleId="CommentSubjectChar">
    <w:name w:val="Comment Subject Char"/>
    <w:basedOn w:val="CommentTextChar"/>
    <w:link w:val="CommentSubject"/>
    <w:locked/>
    <w:rsid w:val="00F37FE5"/>
    <w:rPr>
      <w:b/>
      <w:bCs/>
    </w:rPr>
  </w:style>
  <w:style w:type="paragraph" w:styleId="Date">
    <w:name w:val="Date"/>
    <w:basedOn w:val="Normal"/>
    <w:next w:val="Normal"/>
    <w:link w:val="DateChar"/>
    <w:semiHidden/>
    <w:locked/>
    <w:rsid w:val="003E48C5"/>
  </w:style>
  <w:style w:type="character" w:customStyle="1" w:styleId="DateChar">
    <w:name w:val="Date Char"/>
    <w:basedOn w:val="DefaultParagraphFont"/>
    <w:link w:val="Date"/>
    <w:semiHidden/>
    <w:locked/>
    <w:rsid w:val="00F37FE5"/>
    <w:rPr>
      <w:rFonts w:ascii="Calibri" w:hAnsi="Calibri" w:cs="Times New Roman"/>
      <w:sz w:val="20"/>
      <w:szCs w:val="20"/>
      <w:lang w:eastAsia="en-US"/>
    </w:rPr>
  </w:style>
  <w:style w:type="paragraph" w:styleId="E-mailSignature">
    <w:name w:val="E-mail Signature"/>
    <w:basedOn w:val="Normal"/>
    <w:link w:val="E-mailSignatureChar"/>
    <w:semiHidden/>
    <w:locked/>
    <w:rsid w:val="003E48C5"/>
  </w:style>
  <w:style w:type="character" w:customStyle="1" w:styleId="E-mailSignatureChar">
    <w:name w:val="E-mail Signature Char"/>
    <w:basedOn w:val="DefaultParagraphFont"/>
    <w:link w:val="E-mailSignature"/>
    <w:semiHidden/>
    <w:locked/>
    <w:rsid w:val="00F37FE5"/>
    <w:rPr>
      <w:rFonts w:ascii="Calibri" w:hAnsi="Calibri" w:cs="Times New Roman"/>
      <w:sz w:val="20"/>
      <w:szCs w:val="20"/>
      <w:lang w:eastAsia="en-US"/>
    </w:rPr>
  </w:style>
  <w:style w:type="character" w:styleId="Emphasis">
    <w:name w:val="Emphasis"/>
    <w:basedOn w:val="DefaultParagraphFont"/>
    <w:qFormat/>
    <w:locked/>
    <w:rsid w:val="003E48C5"/>
    <w:rPr>
      <w:rFonts w:ascii="Calibri" w:hAnsi="Calibri" w:cs="Times New Roman"/>
      <w:i/>
      <w:iCs/>
    </w:rPr>
  </w:style>
  <w:style w:type="character" w:styleId="EndnoteReference">
    <w:name w:val="endnote reference"/>
    <w:basedOn w:val="DefaultParagraphFont"/>
    <w:locked/>
    <w:rsid w:val="003E48C5"/>
    <w:rPr>
      <w:rFonts w:ascii="Calibri" w:hAnsi="Calibri" w:cs="Times New Roman"/>
      <w:vertAlign w:val="superscript"/>
    </w:rPr>
  </w:style>
  <w:style w:type="paragraph" w:styleId="EndnoteText">
    <w:name w:val="endnote text"/>
    <w:basedOn w:val="Normal"/>
    <w:link w:val="EndnoteTextChar"/>
    <w:locked/>
    <w:rsid w:val="003E48C5"/>
    <w:rPr>
      <w:sz w:val="20"/>
    </w:rPr>
  </w:style>
  <w:style w:type="character" w:customStyle="1" w:styleId="EndnoteTextChar">
    <w:name w:val="Endnote Text Char"/>
    <w:basedOn w:val="DefaultParagraphFont"/>
    <w:link w:val="EndnoteText"/>
    <w:locked/>
    <w:rsid w:val="00F37FE5"/>
    <w:rPr>
      <w:rFonts w:ascii="Calibri" w:hAnsi="Calibri" w:cs="Times New Roman"/>
      <w:sz w:val="20"/>
      <w:szCs w:val="20"/>
      <w:lang w:eastAsia="en-US"/>
    </w:rPr>
  </w:style>
  <w:style w:type="paragraph" w:styleId="EnvelopeAddress">
    <w:name w:val="envelope address"/>
    <w:basedOn w:val="Normal"/>
    <w:semiHidden/>
    <w:locked/>
    <w:rsid w:val="003E48C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locked/>
    <w:rsid w:val="003E48C5"/>
    <w:rPr>
      <w:rFonts w:ascii="Arial" w:hAnsi="Arial" w:cs="Arial"/>
      <w:sz w:val="20"/>
    </w:rPr>
  </w:style>
  <w:style w:type="paragraph" w:customStyle="1" w:styleId="FooterBP">
    <w:name w:val="Footer BP"/>
    <w:basedOn w:val="Normal"/>
    <w:next w:val="Normal"/>
    <w:rsid w:val="003E48C5"/>
    <w:pPr>
      <w:pBdr>
        <w:top w:val="single" w:sz="4" w:space="1" w:color="auto"/>
      </w:pBdr>
      <w:tabs>
        <w:tab w:val="center" w:pos="4536"/>
        <w:tab w:val="right" w:pos="9356"/>
      </w:tabs>
      <w:ind w:left="-284" w:right="-329"/>
    </w:pPr>
    <w:rPr>
      <w:i/>
      <w:sz w:val="20"/>
    </w:rPr>
  </w:style>
  <w:style w:type="paragraph" w:customStyle="1" w:styleId="Heading3Centred">
    <w:name w:val="Heading 3 Centred"/>
    <w:basedOn w:val="Heading3"/>
    <w:next w:val="BodyText"/>
    <w:rsid w:val="003E48C5"/>
    <w:pPr>
      <w:spacing w:before="0"/>
      <w:jc w:val="center"/>
    </w:pPr>
    <w:rPr>
      <w:rFonts w:cs="Times New Roman"/>
      <w:lang w:eastAsia="en-AU"/>
    </w:rPr>
  </w:style>
  <w:style w:type="paragraph" w:customStyle="1" w:styleId="Heading3TopofPage">
    <w:name w:val="Heading 3 Top of Page"/>
    <w:basedOn w:val="Heading3"/>
    <w:next w:val="BodyText"/>
    <w:link w:val="Heading3TopofPageChar"/>
    <w:rsid w:val="003E48C5"/>
    <w:pPr>
      <w:spacing w:before="0"/>
    </w:pPr>
    <w:rPr>
      <w:rFonts w:cs="Times New Roman"/>
      <w:lang w:eastAsia="en-AU"/>
    </w:rPr>
  </w:style>
  <w:style w:type="character" w:styleId="HTMLAcronym">
    <w:name w:val="HTML Acronym"/>
    <w:basedOn w:val="DefaultParagraphFont"/>
    <w:semiHidden/>
    <w:locked/>
    <w:rsid w:val="003E48C5"/>
    <w:rPr>
      <w:rFonts w:cs="Times New Roman"/>
    </w:rPr>
  </w:style>
  <w:style w:type="paragraph" w:styleId="HTMLAddress">
    <w:name w:val="HTML Address"/>
    <w:basedOn w:val="Normal"/>
    <w:link w:val="HTMLAddressChar"/>
    <w:semiHidden/>
    <w:locked/>
    <w:rsid w:val="003E48C5"/>
    <w:rPr>
      <w:i/>
      <w:iCs/>
    </w:rPr>
  </w:style>
  <w:style w:type="character" w:customStyle="1" w:styleId="HTMLAddressChar">
    <w:name w:val="HTML Address Char"/>
    <w:basedOn w:val="DefaultParagraphFont"/>
    <w:link w:val="HTMLAddress"/>
    <w:semiHidden/>
    <w:locked/>
    <w:rsid w:val="00F37FE5"/>
    <w:rPr>
      <w:rFonts w:ascii="Calibri" w:hAnsi="Calibri" w:cs="Times New Roman"/>
      <w:i/>
      <w:iCs/>
      <w:sz w:val="20"/>
      <w:szCs w:val="20"/>
      <w:lang w:eastAsia="en-US"/>
    </w:rPr>
  </w:style>
  <w:style w:type="character" w:styleId="HTMLCite">
    <w:name w:val="HTML Cite"/>
    <w:basedOn w:val="DefaultParagraphFont"/>
    <w:semiHidden/>
    <w:locked/>
    <w:rsid w:val="003E48C5"/>
    <w:rPr>
      <w:rFonts w:cs="Times New Roman"/>
      <w:i/>
      <w:iCs/>
    </w:rPr>
  </w:style>
  <w:style w:type="character" w:styleId="HTMLCode">
    <w:name w:val="HTML Code"/>
    <w:basedOn w:val="DefaultParagraphFont"/>
    <w:semiHidden/>
    <w:locked/>
    <w:rsid w:val="003E48C5"/>
    <w:rPr>
      <w:rFonts w:ascii="Courier New" w:hAnsi="Courier New" w:cs="Courier New"/>
      <w:sz w:val="20"/>
      <w:szCs w:val="20"/>
    </w:rPr>
  </w:style>
  <w:style w:type="character" w:styleId="HTMLDefinition">
    <w:name w:val="HTML Definition"/>
    <w:basedOn w:val="DefaultParagraphFont"/>
    <w:semiHidden/>
    <w:locked/>
    <w:rsid w:val="003E48C5"/>
    <w:rPr>
      <w:rFonts w:cs="Times New Roman"/>
      <w:i/>
      <w:iCs/>
    </w:rPr>
  </w:style>
  <w:style w:type="character" w:styleId="HTMLKeyboard">
    <w:name w:val="HTML Keyboard"/>
    <w:basedOn w:val="DefaultParagraphFont"/>
    <w:semiHidden/>
    <w:locked/>
    <w:rsid w:val="003E48C5"/>
    <w:rPr>
      <w:rFonts w:ascii="Courier New" w:hAnsi="Courier New" w:cs="Courier New"/>
      <w:sz w:val="20"/>
      <w:szCs w:val="20"/>
    </w:rPr>
  </w:style>
  <w:style w:type="paragraph" w:styleId="HTMLPreformatted">
    <w:name w:val="HTML Preformatted"/>
    <w:basedOn w:val="Normal"/>
    <w:link w:val="HTMLPreformattedChar"/>
    <w:semiHidden/>
    <w:locked/>
    <w:rsid w:val="003E48C5"/>
    <w:rPr>
      <w:rFonts w:ascii="Courier New" w:hAnsi="Courier New" w:cs="Courier New"/>
      <w:sz w:val="20"/>
    </w:rPr>
  </w:style>
  <w:style w:type="character" w:customStyle="1" w:styleId="HTMLPreformattedChar">
    <w:name w:val="HTML Preformatted Char"/>
    <w:basedOn w:val="DefaultParagraphFont"/>
    <w:link w:val="HTMLPreformatted"/>
    <w:semiHidden/>
    <w:locked/>
    <w:rsid w:val="00F37FE5"/>
    <w:rPr>
      <w:rFonts w:ascii="Courier New" w:hAnsi="Courier New" w:cs="Courier New"/>
      <w:sz w:val="20"/>
      <w:szCs w:val="20"/>
      <w:lang w:eastAsia="en-US"/>
    </w:rPr>
  </w:style>
  <w:style w:type="character" w:styleId="HTMLSample">
    <w:name w:val="HTML Sample"/>
    <w:basedOn w:val="DefaultParagraphFont"/>
    <w:semiHidden/>
    <w:locked/>
    <w:rsid w:val="003E48C5"/>
    <w:rPr>
      <w:rFonts w:ascii="Courier New" w:hAnsi="Courier New" w:cs="Courier New"/>
    </w:rPr>
  </w:style>
  <w:style w:type="character" w:styleId="HTMLTypewriter">
    <w:name w:val="HTML Typewriter"/>
    <w:basedOn w:val="DefaultParagraphFont"/>
    <w:semiHidden/>
    <w:locked/>
    <w:rsid w:val="003E48C5"/>
    <w:rPr>
      <w:rFonts w:ascii="Courier New" w:hAnsi="Courier New" w:cs="Courier New"/>
      <w:sz w:val="20"/>
      <w:szCs w:val="20"/>
    </w:rPr>
  </w:style>
  <w:style w:type="character" w:styleId="HTMLVariable">
    <w:name w:val="HTML Variable"/>
    <w:basedOn w:val="DefaultParagraphFont"/>
    <w:semiHidden/>
    <w:locked/>
    <w:rsid w:val="003E48C5"/>
    <w:rPr>
      <w:rFonts w:cs="Times New Roman"/>
      <w:i/>
      <w:iCs/>
    </w:rPr>
  </w:style>
  <w:style w:type="paragraph" w:styleId="Index1">
    <w:name w:val="index 1"/>
    <w:basedOn w:val="Normal"/>
    <w:next w:val="Normal"/>
    <w:autoRedefine/>
    <w:locked/>
    <w:rsid w:val="003E48C5"/>
    <w:pPr>
      <w:ind w:left="240" w:hanging="240"/>
    </w:pPr>
  </w:style>
  <w:style w:type="paragraph" w:styleId="Index2">
    <w:name w:val="index 2"/>
    <w:basedOn w:val="Normal"/>
    <w:next w:val="Normal"/>
    <w:autoRedefine/>
    <w:locked/>
    <w:rsid w:val="003E48C5"/>
    <w:pPr>
      <w:ind w:left="480" w:hanging="240"/>
    </w:pPr>
  </w:style>
  <w:style w:type="paragraph" w:styleId="Index3">
    <w:name w:val="index 3"/>
    <w:basedOn w:val="Normal"/>
    <w:next w:val="Normal"/>
    <w:autoRedefine/>
    <w:locked/>
    <w:rsid w:val="003E48C5"/>
    <w:pPr>
      <w:ind w:left="720" w:hanging="240"/>
    </w:pPr>
  </w:style>
  <w:style w:type="paragraph" w:styleId="Index4">
    <w:name w:val="index 4"/>
    <w:basedOn w:val="Normal"/>
    <w:next w:val="Normal"/>
    <w:autoRedefine/>
    <w:locked/>
    <w:rsid w:val="003E48C5"/>
    <w:pPr>
      <w:ind w:left="960" w:hanging="240"/>
    </w:pPr>
  </w:style>
  <w:style w:type="paragraph" w:styleId="Index5">
    <w:name w:val="index 5"/>
    <w:basedOn w:val="Normal"/>
    <w:next w:val="Normal"/>
    <w:autoRedefine/>
    <w:locked/>
    <w:rsid w:val="003E48C5"/>
    <w:pPr>
      <w:ind w:left="1200" w:hanging="240"/>
    </w:pPr>
  </w:style>
  <w:style w:type="paragraph" w:styleId="Index6">
    <w:name w:val="index 6"/>
    <w:basedOn w:val="Normal"/>
    <w:next w:val="Normal"/>
    <w:autoRedefine/>
    <w:locked/>
    <w:rsid w:val="003E48C5"/>
    <w:pPr>
      <w:ind w:left="1440" w:hanging="240"/>
    </w:pPr>
  </w:style>
  <w:style w:type="paragraph" w:styleId="Index7">
    <w:name w:val="index 7"/>
    <w:basedOn w:val="Normal"/>
    <w:next w:val="Normal"/>
    <w:autoRedefine/>
    <w:locked/>
    <w:rsid w:val="003E48C5"/>
    <w:pPr>
      <w:ind w:left="1680" w:hanging="240"/>
    </w:pPr>
  </w:style>
  <w:style w:type="paragraph" w:styleId="Index8">
    <w:name w:val="index 8"/>
    <w:basedOn w:val="Normal"/>
    <w:next w:val="Normal"/>
    <w:autoRedefine/>
    <w:locked/>
    <w:rsid w:val="003E48C5"/>
    <w:pPr>
      <w:ind w:left="1920" w:hanging="240"/>
    </w:pPr>
  </w:style>
  <w:style w:type="paragraph" w:styleId="Index9">
    <w:name w:val="index 9"/>
    <w:basedOn w:val="Normal"/>
    <w:next w:val="Normal"/>
    <w:autoRedefine/>
    <w:locked/>
    <w:rsid w:val="003E48C5"/>
    <w:pPr>
      <w:ind w:left="2160" w:hanging="240"/>
    </w:pPr>
  </w:style>
  <w:style w:type="paragraph" w:styleId="IndexHeading">
    <w:name w:val="index heading"/>
    <w:basedOn w:val="Normal"/>
    <w:next w:val="Index1"/>
    <w:locked/>
    <w:rsid w:val="003E48C5"/>
    <w:rPr>
      <w:b/>
      <w:bCs/>
    </w:rPr>
  </w:style>
  <w:style w:type="character" w:styleId="LineNumber">
    <w:name w:val="line number"/>
    <w:basedOn w:val="DefaultParagraphFont"/>
    <w:semiHidden/>
    <w:locked/>
    <w:rsid w:val="003E48C5"/>
    <w:rPr>
      <w:rFonts w:cs="Times New Roman"/>
    </w:rPr>
  </w:style>
  <w:style w:type="paragraph" w:styleId="List">
    <w:name w:val="List"/>
    <w:basedOn w:val="Normal"/>
    <w:semiHidden/>
    <w:locked/>
    <w:rsid w:val="003E48C5"/>
    <w:pPr>
      <w:ind w:left="283" w:hanging="283"/>
    </w:pPr>
  </w:style>
  <w:style w:type="paragraph" w:styleId="List2">
    <w:name w:val="List 2"/>
    <w:basedOn w:val="Normal"/>
    <w:semiHidden/>
    <w:locked/>
    <w:rsid w:val="003E48C5"/>
    <w:pPr>
      <w:ind w:left="566" w:hanging="283"/>
    </w:pPr>
  </w:style>
  <w:style w:type="paragraph" w:styleId="List3">
    <w:name w:val="List 3"/>
    <w:basedOn w:val="Normal"/>
    <w:semiHidden/>
    <w:locked/>
    <w:rsid w:val="003E48C5"/>
    <w:pPr>
      <w:ind w:left="849" w:hanging="283"/>
    </w:pPr>
  </w:style>
  <w:style w:type="paragraph" w:styleId="List4">
    <w:name w:val="List 4"/>
    <w:basedOn w:val="Normal"/>
    <w:semiHidden/>
    <w:locked/>
    <w:rsid w:val="003E48C5"/>
    <w:pPr>
      <w:ind w:left="1132" w:hanging="283"/>
    </w:pPr>
  </w:style>
  <w:style w:type="paragraph" w:styleId="List5">
    <w:name w:val="List 5"/>
    <w:basedOn w:val="Normal"/>
    <w:semiHidden/>
    <w:locked/>
    <w:rsid w:val="003E48C5"/>
    <w:pPr>
      <w:ind w:left="1415" w:hanging="283"/>
    </w:pPr>
  </w:style>
  <w:style w:type="paragraph" w:styleId="ListBullet">
    <w:name w:val="List Bullet"/>
    <w:basedOn w:val="Normal"/>
    <w:semiHidden/>
    <w:locked/>
    <w:rsid w:val="003E48C5"/>
    <w:pPr>
      <w:numPr>
        <w:numId w:val="6"/>
      </w:numPr>
      <w:tabs>
        <w:tab w:val="clear" w:pos="926"/>
        <w:tab w:val="num" w:pos="360"/>
      </w:tabs>
      <w:ind w:left="360"/>
    </w:pPr>
  </w:style>
  <w:style w:type="paragraph" w:styleId="ListBullet2">
    <w:name w:val="List Bullet 2"/>
    <w:basedOn w:val="Normal"/>
    <w:semiHidden/>
    <w:locked/>
    <w:rsid w:val="003E48C5"/>
    <w:pPr>
      <w:numPr>
        <w:numId w:val="7"/>
      </w:numPr>
      <w:tabs>
        <w:tab w:val="clear" w:pos="1209"/>
        <w:tab w:val="num" w:pos="643"/>
      </w:tabs>
      <w:ind w:left="643"/>
    </w:pPr>
  </w:style>
  <w:style w:type="paragraph" w:styleId="ListBullet3">
    <w:name w:val="List Bullet 3"/>
    <w:basedOn w:val="Normal"/>
    <w:semiHidden/>
    <w:locked/>
    <w:rsid w:val="003E48C5"/>
    <w:pPr>
      <w:numPr>
        <w:numId w:val="8"/>
      </w:numPr>
      <w:tabs>
        <w:tab w:val="clear" w:pos="1492"/>
        <w:tab w:val="num" w:pos="926"/>
      </w:tabs>
      <w:ind w:left="926"/>
    </w:pPr>
  </w:style>
  <w:style w:type="paragraph" w:styleId="ListBullet4">
    <w:name w:val="List Bullet 4"/>
    <w:basedOn w:val="Normal"/>
    <w:semiHidden/>
    <w:locked/>
    <w:rsid w:val="003E48C5"/>
  </w:style>
  <w:style w:type="paragraph" w:styleId="ListBullet5">
    <w:name w:val="List Bullet 5"/>
    <w:basedOn w:val="Normal"/>
    <w:semiHidden/>
    <w:locked/>
    <w:rsid w:val="003E48C5"/>
    <w:pPr>
      <w:tabs>
        <w:tab w:val="num" w:pos="1492"/>
      </w:tabs>
      <w:ind w:left="1492" w:hanging="360"/>
    </w:pPr>
  </w:style>
  <w:style w:type="paragraph" w:styleId="ListContinue">
    <w:name w:val="List Continue"/>
    <w:basedOn w:val="Normal"/>
    <w:semiHidden/>
    <w:locked/>
    <w:rsid w:val="003E48C5"/>
    <w:pPr>
      <w:spacing w:after="120"/>
      <w:ind w:left="283"/>
    </w:pPr>
  </w:style>
  <w:style w:type="paragraph" w:styleId="ListContinue2">
    <w:name w:val="List Continue 2"/>
    <w:basedOn w:val="Normal"/>
    <w:semiHidden/>
    <w:locked/>
    <w:rsid w:val="003E48C5"/>
    <w:pPr>
      <w:spacing w:after="120"/>
      <w:ind w:left="566"/>
    </w:pPr>
  </w:style>
  <w:style w:type="paragraph" w:styleId="ListContinue3">
    <w:name w:val="List Continue 3"/>
    <w:basedOn w:val="Normal"/>
    <w:semiHidden/>
    <w:locked/>
    <w:rsid w:val="003E48C5"/>
    <w:pPr>
      <w:spacing w:after="120"/>
      <w:ind w:left="849"/>
    </w:pPr>
  </w:style>
  <w:style w:type="paragraph" w:styleId="ListContinue4">
    <w:name w:val="List Continue 4"/>
    <w:basedOn w:val="Normal"/>
    <w:semiHidden/>
    <w:locked/>
    <w:rsid w:val="003E48C5"/>
    <w:pPr>
      <w:spacing w:after="120"/>
      <w:ind w:left="1132"/>
    </w:pPr>
  </w:style>
  <w:style w:type="paragraph" w:styleId="ListContinue5">
    <w:name w:val="List Continue 5"/>
    <w:basedOn w:val="Normal"/>
    <w:semiHidden/>
    <w:locked/>
    <w:rsid w:val="003E48C5"/>
    <w:pPr>
      <w:spacing w:after="120"/>
      <w:ind w:left="1415"/>
    </w:pPr>
  </w:style>
  <w:style w:type="paragraph" w:styleId="ListNumber">
    <w:name w:val="List Number"/>
    <w:basedOn w:val="Normal"/>
    <w:semiHidden/>
    <w:locked/>
    <w:rsid w:val="003E48C5"/>
    <w:pPr>
      <w:tabs>
        <w:tab w:val="num" w:pos="360"/>
      </w:tabs>
      <w:ind w:left="360" w:hanging="360"/>
    </w:pPr>
  </w:style>
  <w:style w:type="paragraph" w:styleId="ListNumber2">
    <w:name w:val="List Number 2"/>
    <w:basedOn w:val="Normal"/>
    <w:semiHidden/>
    <w:locked/>
    <w:rsid w:val="003E48C5"/>
    <w:pPr>
      <w:numPr>
        <w:numId w:val="1"/>
      </w:numPr>
      <w:tabs>
        <w:tab w:val="clear" w:pos="926"/>
        <w:tab w:val="num" w:pos="643"/>
      </w:tabs>
      <w:ind w:left="643"/>
    </w:pPr>
  </w:style>
  <w:style w:type="paragraph" w:styleId="ListNumber3">
    <w:name w:val="List Number 3"/>
    <w:basedOn w:val="Normal"/>
    <w:semiHidden/>
    <w:locked/>
    <w:rsid w:val="003E48C5"/>
    <w:pPr>
      <w:numPr>
        <w:numId w:val="2"/>
      </w:numPr>
      <w:tabs>
        <w:tab w:val="clear" w:pos="1209"/>
        <w:tab w:val="num" w:pos="926"/>
      </w:tabs>
      <w:ind w:left="926"/>
    </w:pPr>
  </w:style>
  <w:style w:type="paragraph" w:styleId="ListNumber4">
    <w:name w:val="List Number 4"/>
    <w:basedOn w:val="Normal"/>
    <w:semiHidden/>
    <w:locked/>
    <w:rsid w:val="003E48C5"/>
    <w:pPr>
      <w:numPr>
        <w:numId w:val="3"/>
      </w:numPr>
      <w:tabs>
        <w:tab w:val="clear" w:pos="1492"/>
        <w:tab w:val="num" w:pos="1209"/>
      </w:tabs>
      <w:ind w:left="1209"/>
    </w:pPr>
  </w:style>
  <w:style w:type="paragraph" w:styleId="ListNumber5">
    <w:name w:val="List Number 5"/>
    <w:basedOn w:val="Normal"/>
    <w:semiHidden/>
    <w:locked/>
    <w:rsid w:val="003E48C5"/>
    <w:pPr>
      <w:numPr>
        <w:numId w:val="4"/>
      </w:numPr>
      <w:tabs>
        <w:tab w:val="clear" w:pos="360"/>
        <w:tab w:val="num" w:pos="1492"/>
      </w:tabs>
      <w:ind w:left="1492"/>
    </w:pPr>
  </w:style>
  <w:style w:type="paragraph" w:styleId="ListParagraph">
    <w:name w:val="List Paragraph"/>
    <w:basedOn w:val="Normal"/>
    <w:qFormat/>
    <w:rsid w:val="003E48C5"/>
    <w:pPr>
      <w:ind w:left="720"/>
    </w:pPr>
    <w:rPr>
      <w:szCs w:val="24"/>
    </w:rPr>
  </w:style>
  <w:style w:type="paragraph" w:styleId="MessageHeader">
    <w:name w:val="Message Header"/>
    <w:basedOn w:val="Normal"/>
    <w:link w:val="MessageHeaderChar"/>
    <w:semiHidden/>
    <w:locked/>
    <w:rsid w:val="003E48C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semiHidden/>
    <w:locked/>
    <w:rsid w:val="00F37FE5"/>
    <w:rPr>
      <w:rFonts w:ascii="Arial" w:hAnsi="Arial" w:cs="Arial"/>
      <w:sz w:val="24"/>
      <w:szCs w:val="24"/>
      <w:shd w:val="pct20" w:color="auto" w:fill="auto"/>
      <w:lang w:eastAsia="en-US"/>
    </w:rPr>
  </w:style>
  <w:style w:type="paragraph" w:styleId="NormalWeb">
    <w:name w:val="Normal (Web)"/>
    <w:basedOn w:val="Normal"/>
    <w:semiHidden/>
    <w:locked/>
    <w:rsid w:val="003E48C5"/>
    <w:rPr>
      <w:szCs w:val="24"/>
    </w:rPr>
  </w:style>
  <w:style w:type="paragraph" w:styleId="NormalIndent">
    <w:name w:val="Normal Indent"/>
    <w:basedOn w:val="Normal"/>
    <w:semiHidden/>
    <w:locked/>
    <w:rsid w:val="003E48C5"/>
    <w:pPr>
      <w:ind w:left="720"/>
    </w:pPr>
  </w:style>
  <w:style w:type="paragraph" w:customStyle="1" w:styleId="Noteheading">
    <w:name w:val="Note heading"/>
    <w:basedOn w:val="Normal"/>
    <w:autoRedefine/>
    <w:rsid w:val="003E48C5"/>
    <w:pPr>
      <w:spacing w:before="120"/>
      <w:ind w:left="28"/>
    </w:pPr>
    <w:rPr>
      <w:b/>
      <w:bCs/>
      <w:sz w:val="20"/>
    </w:rPr>
  </w:style>
  <w:style w:type="paragraph" w:styleId="NoteHeading0">
    <w:name w:val="Note Heading"/>
    <w:basedOn w:val="Normal"/>
    <w:next w:val="Normal"/>
    <w:link w:val="NoteHeadingChar"/>
    <w:locked/>
    <w:rsid w:val="003E48C5"/>
    <w:pPr>
      <w:spacing w:before="120"/>
    </w:pPr>
    <w:rPr>
      <w:b/>
      <w:sz w:val="16"/>
    </w:rPr>
  </w:style>
  <w:style w:type="character" w:customStyle="1" w:styleId="NoteHeadingChar">
    <w:name w:val="Note Heading Char"/>
    <w:basedOn w:val="DefaultParagraphFont"/>
    <w:link w:val="NoteHeading0"/>
    <w:locked/>
    <w:rsid w:val="00F37FE5"/>
    <w:rPr>
      <w:rFonts w:ascii="Calibri" w:hAnsi="Calibri" w:cs="Times New Roman"/>
      <w:b/>
      <w:sz w:val="20"/>
      <w:szCs w:val="20"/>
      <w:lang w:eastAsia="en-US"/>
    </w:rPr>
  </w:style>
  <w:style w:type="paragraph" w:customStyle="1" w:styleId="NoteText">
    <w:name w:val="Note Text"/>
    <w:basedOn w:val="Normal"/>
    <w:rsid w:val="003E48C5"/>
    <w:pPr>
      <w:jc w:val="both"/>
    </w:pPr>
    <w:rPr>
      <w:iCs/>
      <w:sz w:val="16"/>
    </w:rPr>
  </w:style>
  <w:style w:type="paragraph" w:styleId="Salutation">
    <w:name w:val="Salutation"/>
    <w:basedOn w:val="Normal"/>
    <w:next w:val="Normal"/>
    <w:link w:val="SalutationChar"/>
    <w:semiHidden/>
    <w:locked/>
    <w:rsid w:val="003E48C5"/>
  </w:style>
  <w:style w:type="character" w:customStyle="1" w:styleId="SalutationChar">
    <w:name w:val="Salutation Char"/>
    <w:basedOn w:val="DefaultParagraphFont"/>
    <w:link w:val="Salutation"/>
    <w:semiHidden/>
    <w:locked/>
    <w:rsid w:val="00F37FE5"/>
    <w:rPr>
      <w:rFonts w:ascii="Calibri" w:hAnsi="Calibri" w:cs="Times New Roman"/>
      <w:sz w:val="20"/>
      <w:szCs w:val="20"/>
      <w:lang w:eastAsia="en-US"/>
    </w:rPr>
  </w:style>
  <w:style w:type="paragraph" w:styleId="Signature">
    <w:name w:val="Signature"/>
    <w:basedOn w:val="Normal"/>
    <w:link w:val="SignatureChar"/>
    <w:semiHidden/>
    <w:locked/>
    <w:rsid w:val="003E48C5"/>
    <w:pPr>
      <w:ind w:left="4252"/>
    </w:pPr>
  </w:style>
  <w:style w:type="character" w:customStyle="1" w:styleId="SignatureChar">
    <w:name w:val="Signature Char"/>
    <w:basedOn w:val="DefaultParagraphFont"/>
    <w:link w:val="Signature"/>
    <w:semiHidden/>
    <w:locked/>
    <w:rsid w:val="00F37FE5"/>
    <w:rPr>
      <w:rFonts w:ascii="Calibri" w:hAnsi="Calibri" w:cs="Times New Roman"/>
      <w:sz w:val="20"/>
      <w:szCs w:val="20"/>
      <w:lang w:eastAsia="en-US"/>
    </w:rPr>
  </w:style>
  <w:style w:type="character" w:styleId="Strong">
    <w:name w:val="Strong"/>
    <w:basedOn w:val="DefaultParagraphFont"/>
    <w:qFormat/>
    <w:locked/>
    <w:rsid w:val="003E48C5"/>
    <w:rPr>
      <w:rFonts w:cs="Times New Roman"/>
      <w:b/>
      <w:bCs/>
    </w:rPr>
  </w:style>
  <w:style w:type="paragraph" w:styleId="Subtitle">
    <w:name w:val="Subtitle"/>
    <w:basedOn w:val="Normal"/>
    <w:link w:val="SubtitleChar"/>
    <w:qFormat/>
    <w:locked/>
    <w:rsid w:val="003E48C5"/>
    <w:pPr>
      <w:spacing w:after="60"/>
      <w:jc w:val="center"/>
      <w:outlineLvl w:val="1"/>
    </w:pPr>
    <w:rPr>
      <w:rFonts w:ascii="Arial" w:hAnsi="Arial" w:cs="Arial"/>
      <w:szCs w:val="24"/>
    </w:rPr>
  </w:style>
  <w:style w:type="character" w:customStyle="1" w:styleId="SubtitleChar">
    <w:name w:val="Subtitle Char"/>
    <w:basedOn w:val="DefaultParagraphFont"/>
    <w:link w:val="Subtitle"/>
    <w:locked/>
    <w:rsid w:val="00F37FE5"/>
    <w:rPr>
      <w:rFonts w:ascii="Arial" w:hAnsi="Arial" w:cs="Arial"/>
      <w:sz w:val="24"/>
      <w:szCs w:val="24"/>
      <w:lang w:eastAsia="en-US"/>
    </w:rPr>
  </w:style>
  <w:style w:type="table" w:styleId="Table3Deffects1">
    <w:name w:val="Table 3D effects 1"/>
    <w:basedOn w:val="TableNormal"/>
    <w:semiHidden/>
    <w:locked/>
    <w:rsid w:val="003E48C5"/>
    <w:pPr>
      <w:spacing w:after="0" w:line="240" w:lineRule="auto"/>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3E48C5"/>
    <w:pPr>
      <w:spacing w:after="0" w:line="240" w:lineRule="auto"/>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3E48C5"/>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locked/>
    <w:rsid w:val="003E48C5"/>
    <w:pPr>
      <w:spacing w:after="0" w:line="240" w:lineRule="auto"/>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locked/>
    <w:rsid w:val="003E48C5"/>
    <w:pPr>
      <w:spacing w:after="0" w:line="240" w:lineRule="auto"/>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3E48C5"/>
    <w:pPr>
      <w:spacing w:after="0" w:line="240" w:lineRule="auto"/>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3E48C5"/>
    <w:pPr>
      <w:spacing w:after="0" w:line="240"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3E48C5"/>
    <w:pPr>
      <w:spacing w:after="0" w:line="240" w:lineRule="auto"/>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3E48C5"/>
    <w:pPr>
      <w:spacing w:after="0" w:line="240" w:lineRule="auto"/>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3E48C5"/>
    <w:pPr>
      <w:spacing w:after="0" w:line="240" w:lineRule="auto"/>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3E48C5"/>
    <w:pPr>
      <w:spacing w:after="0" w:line="240" w:lineRule="auto"/>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locked/>
    <w:rsid w:val="003E48C5"/>
    <w:pPr>
      <w:spacing w:after="0" w:line="240" w:lineRule="auto"/>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locked/>
    <w:rsid w:val="003E48C5"/>
    <w:pPr>
      <w:spacing w:after="0" w:line="240" w:lineRule="auto"/>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locked/>
    <w:rsid w:val="003E48C5"/>
    <w:pPr>
      <w:spacing w:after="0" w:line="240" w:lineRule="auto"/>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locked/>
    <w:rsid w:val="003E48C5"/>
    <w:pPr>
      <w:spacing w:after="0" w:line="240" w:lineRule="auto"/>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locked/>
    <w:rsid w:val="003E48C5"/>
    <w:pPr>
      <w:spacing w:after="0" w:line="240" w:lineRule="auto"/>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3E48C5"/>
    <w:pPr>
      <w:spacing w:after="0" w:line="240" w:lineRule="auto"/>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locked/>
    <w:rsid w:val="003E48C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locked/>
    <w:rsid w:val="003E48C5"/>
    <w:pPr>
      <w:spacing w:after="0" w:line="240" w:lineRule="auto"/>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locked/>
    <w:rsid w:val="003E48C5"/>
    <w:pPr>
      <w:spacing w:after="0" w:line="240" w:lineRule="auto"/>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locked/>
    <w:rsid w:val="003E48C5"/>
    <w:pPr>
      <w:spacing w:after="0" w:line="240" w:lineRule="auto"/>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locked/>
    <w:rsid w:val="003E48C5"/>
    <w:pPr>
      <w:spacing w:after="0" w:line="240" w:lineRule="auto"/>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locked/>
    <w:rsid w:val="003E48C5"/>
    <w:pPr>
      <w:spacing w:after="0" w:line="240" w:lineRule="auto"/>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3E48C5"/>
    <w:pPr>
      <w:keepNext/>
      <w:jc w:val="center"/>
    </w:pPr>
    <w:rPr>
      <w:b/>
      <w:sz w:val="20"/>
    </w:rPr>
  </w:style>
  <w:style w:type="paragraph" w:customStyle="1" w:styleId="TableHeadingCentre-BP4">
    <w:name w:val="Table Heading Centre - BP4"/>
    <w:basedOn w:val="Normal"/>
    <w:rsid w:val="003E48C5"/>
    <w:pPr>
      <w:keepNext/>
      <w:jc w:val="center"/>
    </w:pPr>
    <w:rPr>
      <w:b/>
      <w:sz w:val="18"/>
    </w:rPr>
  </w:style>
  <w:style w:type="paragraph" w:customStyle="1" w:styleId="TableHeadingCentre-BP3">
    <w:name w:val="Table Heading Centre - BP3"/>
    <w:basedOn w:val="TableHeadingCentre-BP4"/>
    <w:rsid w:val="003E48C5"/>
    <w:rPr>
      <w:sz w:val="20"/>
    </w:rPr>
  </w:style>
  <w:style w:type="paragraph" w:customStyle="1" w:styleId="TableHeadingCentre-BP410pt">
    <w:name w:val="Table Heading Centre - BP4 10pt"/>
    <w:basedOn w:val="TableHeadingCentre-BP4"/>
    <w:rsid w:val="003E48C5"/>
    <w:rPr>
      <w:sz w:val="20"/>
    </w:rPr>
  </w:style>
  <w:style w:type="paragraph" w:customStyle="1" w:styleId="TableHeadingLeft">
    <w:name w:val="Table Heading Left"/>
    <w:basedOn w:val="Normal"/>
    <w:link w:val="TableHeadingLeftChar"/>
    <w:rsid w:val="003E48C5"/>
    <w:pPr>
      <w:keepNext/>
    </w:pPr>
    <w:rPr>
      <w:b/>
      <w:sz w:val="20"/>
      <w:lang w:eastAsia="en-AU"/>
    </w:rPr>
  </w:style>
  <w:style w:type="paragraph" w:customStyle="1" w:styleId="TableHeadingLeft-BP4">
    <w:name w:val="Table Heading Left - BP4"/>
    <w:basedOn w:val="Normal"/>
    <w:link w:val="TableHeadingLeft-BP4CharChar"/>
    <w:rsid w:val="003E48C5"/>
    <w:pPr>
      <w:keepNext/>
    </w:pPr>
    <w:rPr>
      <w:b/>
      <w:sz w:val="18"/>
      <w:lang w:eastAsia="en-AU"/>
    </w:rPr>
  </w:style>
  <w:style w:type="paragraph" w:customStyle="1" w:styleId="TableHeadingLeft-BP3">
    <w:name w:val="Table Heading Left - BP3"/>
    <w:basedOn w:val="TableHeadingLeft-BP4"/>
    <w:rsid w:val="003E48C5"/>
    <w:rPr>
      <w:sz w:val="20"/>
    </w:rPr>
  </w:style>
  <w:style w:type="paragraph" w:customStyle="1" w:styleId="TableHeadingLeft-BP410pt">
    <w:name w:val="Table Heading Left - BP4 10pt"/>
    <w:basedOn w:val="TableHeadingLeft-BP4"/>
    <w:rsid w:val="003E48C5"/>
    <w:rPr>
      <w:sz w:val="20"/>
    </w:rPr>
  </w:style>
  <w:style w:type="paragraph" w:customStyle="1" w:styleId="TableHeadingRight">
    <w:name w:val="Table Heading Right"/>
    <w:basedOn w:val="Normal"/>
    <w:rsid w:val="003E48C5"/>
    <w:pPr>
      <w:keepNext/>
      <w:jc w:val="right"/>
    </w:pPr>
    <w:rPr>
      <w:b/>
      <w:sz w:val="20"/>
      <w:szCs w:val="24"/>
    </w:rPr>
  </w:style>
  <w:style w:type="paragraph" w:customStyle="1" w:styleId="TableHeadingRight-BP4">
    <w:name w:val="Table Heading Right - BP4"/>
    <w:basedOn w:val="Normal"/>
    <w:rsid w:val="003E48C5"/>
    <w:pPr>
      <w:keepNext/>
      <w:jc w:val="right"/>
    </w:pPr>
    <w:rPr>
      <w:b/>
      <w:sz w:val="18"/>
      <w:szCs w:val="24"/>
    </w:rPr>
  </w:style>
  <w:style w:type="paragraph" w:customStyle="1" w:styleId="TableHeadingRight-BP3">
    <w:name w:val="Table Heading Right - BP3"/>
    <w:basedOn w:val="TableHeadingRight-BP4"/>
    <w:rsid w:val="003E48C5"/>
    <w:rPr>
      <w:sz w:val="20"/>
    </w:rPr>
  </w:style>
  <w:style w:type="paragraph" w:customStyle="1" w:styleId="TableHeadingRight-BP410pt">
    <w:name w:val="Table Heading Right - BP4 10pt"/>
    <w:basedOn w:val="TableHeadingRight-BP4"/>
    <w:rsid w:val="003E48C5"/>
    <w:rPr>
      <w:sz w:val="20"/>
    </w:rPr>
  </w:style>
  <w:style w:type="table" w:styleId="TableList1">
    <w:name w:val="Table List 1"/>
    <w:basedOn w:val="TableNormal"/>
    <w:semiHidden/>
    <w:locked/>
    <w:rsid w:val="003E48C5"/>
    <w:pPr>
      <w:spacing w:after="0" w:line="240" w:lineRule="auto"/>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locked/>
    <w:rsid w:val="003E48C5"/>
    <w:pPr>
      <w:spacing w:after="0" w:line="240" w:lineRule="auto"/>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locked/>
    <w:rsid w:val="003E48C5"/>
    <w:pPr>
      <w:spacing w:after="0" w:line="240" w:lineRule="auto"/>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locked/>
    <w:rsid w:val="003E48C5"/>
    <w:pPr>
      <w:spacing w:after="0" w:line="240" w:lineRule="auto"/>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3E48C5"/>
    <w:pPr>
      <w:spacing w:after="0" w:line="240" w:lineRule="auto"/>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3E48C5"/>
    <w:pPr>
      <w:spacing w:after="0" w:line="240" w:lineRule="auto"/>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NumbersRight">
    <w:name w:val="Table Numbers Right"/>
    <w:basedOn w:val="TableHeadingRight"/>
    <w:rsid w:val="003E48C5"/>
    <w:rPr>
      <w:b w:val="0"/>
    </w:rPr>
  </w:style>
  <w:style w:type="paragraph" w:customStyle="1" w:styleId="TableNumbersRight-BP4">
    <w:name w:val="Table Numbers Right - BP4"/>
    <w:basedOn w:val="Normal"/>
    <w:rsid w:val="003E48C5"/>
    <w:pPr>
      <w:jc w:val="right"/>
    </w:pPr>
    <w:rPr>
      <w:sz w:val="18"/>
    </w:rPr>
  </w:style>
  <w:style w:type="paragraph" w:customStyle="1" w:styleId="TableNumbersRight-BP3">
    <w:name w:val="Table Numbers Right - BP3"/>
    <w:basedOn w:val="TableNumbersRight-BP4"/>
    <w:rsid w:val="003E48C5"/>
    <w:rPr>
      <w:sz w:val="20"/>
    </w:rPr>
  </w:style>
  <w:style w:type="paragraph" w:styleId="TableofAuthorities">
    <w:name w:val="table of authorities"/>
    <w:basedOn w:val="Normal"/>
    <w:next w:val="Normal"/>
    <w:locked/>
    <w:rsid w:val="003E48C5"/>
    <w:pPr>
      <w:ind w:left="240" w:hanging="240"/>
    </w:pPr>
  </w:style>
  <w:style w:type="paragraph" w:styleId="TableofFigures">
    <w:name w:val="table of figures"/>
    <w:basedOn w:val="Normal"/>
    <w:next w:val="Normal"/>
    <w:locked/>
    <w:rsid w:val="003E48C5"/>
  </w:style>
  <w:style w:type="table" w:styleId="TableProfessional">
    <w:name w:val="Table Professional"/>
    <w:basedOn w:val="TableNormal"/>
    <w:semiHidden/>
    <w:locked/>
    <w:rsid w:val="003E48C5"/>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3E48C5"/>
    <w:pPr>
      <w:spacing w:after="0" w:line="240"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3E48C5"/>
    <w:pPr>
      <w:spacing w:after="0" w:line="240" w:lineRule="auto"/>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3E48C5"/>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3E48C5"/>
    <w:pPr>
      <w:spacing w:after="0" w:line="240" w:lineRule="auto"/>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locked/>
    <w:rsid w:val="003E48C5"/>
    <w:pPr>
      <w:spacing w:after="0" w:line="240" w:lineRule="auto"/>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Indent">
    <w:name w:val="Table Text Indent"/>
    <w:rsid w:val="003E48C5"/>
    <w:pPr>
      <w:numPr>
        <w:numId w:val="25"/>
      </w:numPr>
      <w:spacing w:before="60" w:after="0" w:line="240" w:lineRule="auto"/>
    </w:pPr>
    <w:rPr>
      <w:rFonts w:ascii="Calibri" w:hAnsi="Calibri"/>
      <w:sz w:val="20"/>
      <w:szCs w:val="24"/>
      <w:lang w:eastAsia="en-US"/>
    </w:rPr>
  </w:style>
  <w:style w:type="paragraph" w:customStyle="1" w:styleId="Tabletextindenta">
    <w:name w:val="Table text indent a"/>
    <w:aliases w:val="b,c...,c... BP3"/>
    <w:basedOn w:val="Normal"/>
    <w:autoRedefine/>
    <w:rsid w:val="003E48C5"/>
    <w:pPr>
      <w:numPr>
        <w:numId w:val="26"/>
      </w:numPr>
      <w:spacing w:before="60"/>
    </w:pPr>
    <w:rPr>
      <w:kern w:val="16"/>
      <w:sz w:val="20"/>
      <w:szCs w:val="24"/>
    </w:rPr>
  </w:style>
  <w:style w:type="paragraph" w:customStyle="1" w:styleId="TableTextLeft">
    <w:name w:val="Table Text Left"/>
    <w:basedOn w:val="Normal"/>
    <w:rsid w:val="003E48C5"/>
    <w:pPr>
      <w:ind w:left="357" w:hanging="357"/>
    </w:pPr>
    <w:rPr>
      <w:sz w:val="20"/>
      <w:szCs w:val="18"/>
    </w:rPr>
  </w:style>
  <w:style w:type="paragraph" w:customStyle="1" w:styleId="TableTextLeft-BP4">
    <w:name w:val="Table Text Left - BP4"/>
    <w:basedOn w:val="Normal"/>
    <w:rsid w:val="003E48C5"/>
    <w:pPr>
      <w:ind w:left="142" w:hanging="142"/>
    </w:pPr>
    <w:rPr>
      <w:sz w:val="18"/>
      <w:szCs w:val="18"/>
    </w:rPr>
  </w:style>
  <w:style w:type="paragraph" w:customStyle="1" w:styleId="TableTextLeft-BP3">
    <w:name w:val="Table Text Left - BP3"/>
    <w:basedOn w:val="TableTextLeft-BP4"/>
    <w:rsid w:val="003E48C5"/>
    <w:rPr>
      <w:sz w:val="20"/>
    </w:rPr>
  </w:style>
  <w:style w:type="paragraph" w:customStyle="1" w:styleId="TableTextLeft-BP410pt">
    <w:name w:val="Table Text Left - BP4 10pt"/>
    <w:basedOn w:val="TableTextLeft-BP4"/>
    <w:rsid w:val="003E48C5"/>
    <w:rPr>
      <w:sz w:val="20"/>
    </w:rPr>
  </w:style>
  <w:style w:type="paragraph" w:customStyle="1" w:styleId="TableTextLeft-BP4FS">
    <w:name w:val="Table Text Left - BP4 FS"/>
    <w:basedOn w:val="TableTextLeft-BP4"/>
    <w:rsid w:val="003E48C5"/>
    <w:pPr>
      <w:ind w:left="227"/>
    </w:pPr>
  </w:style>
  <w:style w:type="paragraph" w:customStyle="1" w:styleId="TableTextLeftBold">
    <w:name w:val="Table Text Left Bold"/>
    <w:basedOn w:val="Normal"/>
    <w:link w:val="TableTextLeftBoldChar"/>
    <w:rsid w:val="003E48C5"/>
    <w:pPr>
      <w:ind w:left="357" w:hanging="357"/>
    </w:pPr>
    <w:rPr>
      <w:b/>
      <w:sz w:val="20"/>
    </w:rPr>
  </w:style>
  <w:style w:type="paragraph" w:customStyle="1" w:styleId="TableTextLeftBold-BP4">
    <w:name w:val="Table Text Left Bold - BP4"/>
    <w:basedOn w:val="Normal"/>
    <w:link w:val="TableTextLeftBold-BP4CharChar"/>
    <w:rsid w:val="003E48C5"/>
    <w:pPr>
      <w:ind w:left="142" w:hanging="142"/>
    </w:pPr>
    <w:rPr>
      <w:b/>
      <w:sz w:val="18"/>
    </w:rPr>
  </w:style>
  <w:style w:type="paragraph" w:customStyle="1" w:styleId="TableTextLeftBold-BP3">
    <w:name w:val="Table Text Left Bold - BP3"/>
    <w:basedOn w:val="TableTextLeftBold-BP4"/>
    <w:rsid w:val="003E48C5"/>
    <w:rPr>
      <w:sz w:val="20"/>
    </w:rPr>
  </w:style>
  <w:style w:type="paragraph" w:customStyle="1" w:styleId="TableTextLeftBold-BP410pt">
    <w:name w:val="Table Text Left Bold - BP4 10pt"/>
    <w:basedOn w:val="TableTextLeftBold-BP4"/>
    <w:rsid w:val="003E48C5"/>
    <w:rPr>
      <w:sz w:val="20"/>
    </w:rPr>
  </w:style>
  <w:style w:type="paragraph" w:customStyle="1" w:styleId="TableTextRight">
    <w:name w:val="Table Text Right"/>
    <w:basedOn w:val="Normal"/>
    <w:rsid w:val="003E48C5"/>
    <w:pPr>
      <w:ind w:left="357" w:hanging="357"/>
      <w:jc w:val="right"/>
    </w:pPr>
    <w:rPr>
      <w:sz w:val="20"/>
    </w:rPr>
  </w:style>
  <w:style w:type="paragraph" w:customStyle="1" w:styleId="TableTextRight-BP4">
    <w:name w:val="Table Text Right - BP4"/>
    <w:basedOn w:val="Normal"/>
    <w:rsid w:val="003E48C5"/>
    <w:pPr>
      <w:jc w:val="right"/>
    </w:pPr>
    <w:rPr>
      <w:sz w:val="18"/>
    </w:rPr>
  </w:style>
  <w:style w:type="paragraph" w:customStyle="1" w:styleId="TableTextRight-BP3">
    <w:name w:val="Table Text Right - BP3"/>
    <w:basedOn w:val="TableTextRight-BP4"/>
    <w:rsid w:val="003E48C5"/>
    <w:rPr>
      <w:sz w:val="20"/>
    </w:rPr>
  </w:style>
  <w:style w:type="paragraph" w:customStyle="1" w:styleId="TableTextRight-BP410pt">
    <w:name w:val="Table Text Right - BP4 10pt"/>
    <w:basedOn w:val="TableTextRight-BP4"/>
    <w:rsid w:val="003E48C5"/>
    <w:rPr>
      <w:sz w:val="20"/>
    </w:rPr>
  </w:style>
  <w:style w:type="paragraph" w:customStyle="1" w:styleId="TableTextRightBold">
    <w:name w:val="Table Text Right Bold"/>
    <w:basedOn w:val="Normal"/>
    <w:rsid w:val="003E48C5"/>
    <w:pPr>
      <w:ind w:left="357" w:hanging="357"/>
      <w:jc w:val="right"/>
    </w:pPr>
    <w:rPr>
      <w:b/>
      <w:sz w:val="20"/>
    </w:rPr>
  </w:style>
  <w:style w:type="paragraph" w:customStyle="1" w:styleId="TableTextRightBold-BP4">
    <w:name w:val="Table Text Right Bold - BP4"/>
    <w:basedOn w:val="Normal"/>
    <w:rsid w:val="003E48C5"/>
    <w:pPr>
      <w:jc w:val="right"/>
    </w:pPr>
    <w:rPr>
      <w:b/>
      <w:sz w:val="18"/>
    </w:rPr>
  </w:style>
  <w:style w:type="paragraph" w:customStyle="1" w:styleId="TableTextRightBold-BP3">
    <w:name w:val="Table Text Right Bold - BP3"/>
    <w:basedOn w:val="TableTextRightBold-BP4"/>
    <w:rsid w:val="003E48C5"/>
  </w:style>
  <w:style w:type="paragraph" w:customStyle="1" w:styleId="TableTextRightBold-BP410pt">
    <w:name w:val="Table Text Right Bold - BP4 10pt"/>
    <w:basedOn w:val="TableTextRightBold-BP4"/>
    <w:rsid w:val="003E48C5"/>
    <w:rPr>
      <w:sz w:val="20"/>
    </w:rPr>
  </w:style>
  <w:style w:type="table" w:styleId="TableTheme">
    <w:name w:val="Table Theme"/>
    <w:basedOn w:val="TableNormal"/>
    <w:semiHidden/>
    <w:locked/>
    <w:rsid w:val="003E48C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3E48C5"/>
    <w:pPr>
      <w:spacing w:after="0" w:line="240" w:lineRule="auto"/>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locked/>
    <w:rsid w:val="003E48C5"/>
    <w:pPr>
      <w:spacing w:after="0" w:line="240" w:lineRule="auto"/>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locked/>
    <w:rsid w:val="003E48C5"/>
    <w:pPr>
      <w:spacing w:after="0" w:line="240" w:lineRule="auto"/>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3E48C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locked/>
    <w:rsid w:val="00F37FE5"/>
    <w:rPr>
      <w:rFonts w:ascii="Arial" w:hAnsi="Arial" w:cs="Arial"/>
      <w:b/>
      <w:bCs/>
      <w:kern w:val="28"/>
      <w:sz w:val="32"/>
      <w:szCs w:val="32"/>
      <w:lang w:eastAsia="en-US"/>
    </w:rPr>
  </w:style>
  <w:style w:type="paragraph" w:styleId="TOAHeading">
    <w:name w:val="toa heading"/>
    <w:basedOn w:val="Normal"/>
    <w:next w:val="Normal"/>
    <w:locked/>
    <w:rsid w:val="003E48C5"/>
    <w:pPr>
      <w:spacing w:before="120"/>
    </w:pPr>
    <w:rPr>
      <w:b/>
      <w:bCs/>
      <w:szCs w:val="24"/>
    </w:rPr>
  </w:style>
  <w:style w:type="character" w:customStyle="1" w:styleId="Heading3TopofPageChar">
    <w:name w:val="Heading 3 Top of Page Char"/>
    <w:basedOn w:val="Heading3Char"/>
    <w:link w:val="Heading3TopofPage"/>
    <w:locked/>
    <w:rsid w:val="001A44A5"/>
  </w:style>
  <w:style w:type="paragraph" w:customStyle="1" w:styleId="Paragraph2-Bullets">
    <w:name w:val="Paragraph 2 - Bullets"/>
    <w:basedOn w:val="Normal"/>
    <w:rsid w:val="001A44A5"/>
    <w:pPr>
      <w:numPr>
        <w:numId w:val="5"/>
      </w:numPr>
      <w:tabs>
        <w:tab w:val="clear" w:pos="643"/>
        <w:tab w:val="num" w:pos="567"/>
      </w:tabs>
      <w:ind w:left="567" w:hanging="567"/>
    </w:pPr>
    <w:rPr>
      <w:rFonts w:ascii="Times New Roman" w:hAnsi="Times New Roman"/>
    </w:rPr>
  </w:style>
  <w:style w:type="paragraph" w:styleId="Revision">
    <w:name w:val="Revision"/>
    <w:hidden/>
    <w:uiPriority w:val="99"/>
    <w:semiHidden/>
    <w:rsid w:val="0088143C"/>
    <w:pPr>
      <w:spacing w:after="0" w:line="240" w:lineRule="auto"/>
    </w:pPr>
    <w:rPr>
      <w:rFonts w:ascii="Calibri" w:hAnsi="Calibri"/>
      <w:sz w:val="24"/>
      <w:szCs w:val="20"/>
      <w:lang w:eastAsia="en-US"/>
    </w:rPr>
  </w:style>
  <w:style w:type="character" w:customStyle="1" w:styleId="AITableTextChar">
    <w:name w:val="AI Table Text Char"/>
    <w:basedOn w:val="DefaultParagraphFont"/>
    <w:link w:val="AITableText"/>
    <w:locked/>
    <w:rsid w:val="00B8732E"/>
    <w:rPr>
      <w:rFonts w:ascii="Calibri" w:hAnsi="Calibri" w:cs="Times New Roman"/>
      <w:sz w:val="24"/>
      <w:szCs w:val="24"/>
      <w:lang w:eastAsia="en-US"/>
    </w:rPr>
  </w:style>
  <w:style w:type="numbering" w:styleId="1ai">
    <w:name w:val="Outline List 1"/>
    <w:basedOn w:val="NoList"/>
    <w:semiHidden/>
    <w:unhideWhenUsed/>
    <w:rsid w:val="00B27BA7"/>
    <w:pPr>
      <w:numPr>
        <w:numId w:val="18"/>
      </w:numPr>
    </w:pPr>
  </w:style>
  <w:style w:type="numbering" w:styleId="ArticleSection">
    <w:name w:val="Outline List 3"/>
    <w:basedOn w:val="NoList"/>
    <w:semiHidden/>
    <w:unhideWhenUsed/>
    <w:rsid w:val="00B27BA7"/>
    <w:pPr>
      <w:numPr>
        <w:numId w:val="20"/>
      </w:numPr>
    </w:pPr>
  </w:style>
  <w:style w:type="numbering" w:styleId="111111">
    <w:name w:val="Outline List 2"/>
    <w:basedOn w:val="NoList"/>
    <w:semiHidden/>
    <w:unhideWhenUsed/>
    <w:rsid w:val="00B27BA7"/>
    <w:pPr>
      <w:numPr>
        <w:numId w:val="17"/>
      </w:numPr>
    </w:pPr>
  </w:style>
  <w:style w:type="character" w:customStyle="1" w:styleId="Heading3Char1">
    <w:name w:val="Heading 3 Char1"/>
    <w:basedOn w:val="DefaultParagraphFont"/>
    <w:uiPriority w:val="9"/>
    <w:rsid w:val="00D232C8"/>
    <w:rPr>
      <w:rFonts w:ascii="Arial" w:hAnsi="Arial" w:cs="Arial"/>
      <w:b/>
      <w:bCs/>
      <w:sz w:val="24"/>
      <w:szCs w:val="26"/>
      <w:lang w:val="en-AU" w:eastAsia="en-US" w:bidi="ar-SA"/>
    </w:rPr>
  </w:style>
  <w:style w:type="paragraph" w:customStyle="1" w:styleId="NoteHeading1">
    <w:name w:val="Note Heading1"/>
    <w:basedOn w:val="Normal"/>
    <w:autoRedefine/>
    <w:rsid w:val="00D232C8"/>
    <w:pPr>
      <w:spacing w:before="120"/>
      <w:ind w:left="28"/>
    </w:pPr>
    <w:rPr>
      <w:b/>
      <w:bCs/>
      <w:sz w:val="20"/>
    </w:rPr>
  </w:style>
  <w:style w:type="character" w:customStyle="1" w:styleId="BodyTextIndentChar1">
    <w:name w:val="Body Text Indent Char1"/>
    <w:basedOn w:val="DefaultParagraphFont"/>
    <w:uiPriority w:val="99"/>
    <w:rsid w:val="00D232C8"/>
    <w:rPr>
      <w:sz w:val="24"/>
      <w:szCs w:val="24"/>
      <w:lang w:val="en-AU" w:eastAsia="en-US" w:bidi="ar-SA"/>
    </w:rPr>
  </w:style>
  <w:style w:type="character" w:customStyle="1" w:styleId="TableHeadingLeftChar">
    <w:name w:val="Table Heading Left Char"/>
    <w:basedOn w:val="DefaultParagraphFont"/>
    <w:link w:val="TableHeadingLeft"/>
    <w:rsid w:val="00D232C8"/>
    <w:rPr>
      <w:rFonts w:ascii="Calibri" w:hAnsi="Calibri"/>
      <w:b/>
      <w:sz w:val="20"/>
      <w:szCs w:val="20"/>
    </w:rPr>
  </w:style>
  <w:style w:type="character" w:customStyle="1" w:styleId="TableTextLeftBoldChar">
    <w:name w:val="Table Text Left Bold Char"/>
    <w:basedOn w:val="DefaultParagraphFont"/>
    <w:link w:val="TableTextLeftBold"/>
    <w:rsid w:val="00D232C8"/>
    <w:rPr>
      <w:rFonts w:ascii="Calibri" w:hAnsi="Calibri"/>
      <w:b/>
      <w:sz w:val="20"/>
      <w:szCs w:val="20"/>
      <w:lang w:eastAsia="en-US"/>
    </w:rPr>
  </w:style>
  <w:style w:type="character" w:customStyle="1" w:styleId="TableHeadingLeft-BP4CharChar">
    <w:name w:val="Table Heading Left - BP4 Char Char"/>
    <w:basedOn w:val="DefaultParagraphFont"/>
    <w:link w:val="TableHeadingLeft-BP4"/>
    <w:locked/>
    <w:rsid w:val="00D232C8"/>
    <w:rPr>
      <w:rFonts w:ascii="Calibri" w:hAnsi="Calibri"/>
      <w:b/>
      <w:sz w:val="18"/>
      <w:szCs w:val="20"/>
    </w:rPr>
  </w:style>
  <w:style w:type="character" w:customStyle="1" w:styleId="TableTextLeftBold-BP4CharChar">
    <w:name w:val="Table Text Left Bold - BP4 Char Char"/>
    <w:basedOn w:val="DefaultParagraphFont"/>
    <w:link w:val="TableTextLeftBold-BP4"/>
    <w:locked/>
    <w:rsid w:val="00D232C8"/>
    <w:rPr>
      <w:rFonts w:ascii="Calibri" w:hAnsi="Calibri"/>
      <w:b/>
      <w:sz w:val="18"/>
      <w:szCs w:val="20"/>
      <w:lang w:eastAsia="en-US"/>
    </w:rPr>
  </w:style>
  <w:style w:type="paragraph" w:customStyle="1" w:styleId="Bodytextindent0">
    <w:name w:val="Bodytext indent"/>
    <w:basedOn w:val="Normal"/>
    <w:rsid w:val="00D232C8"/>
    <w:pPr>
      <w:numPr>
        <w:numId w:val="38"/>
      </w:numPr>
      <w:spacing w:after="120"/>
    </w:pPr>
    <w:rPr>
      <w:bCs/>
      <w:lang w:eastAsia="en-AU"/>
    </w:rPr>
  </w:style>
  <w:style w:type="paragraph" w:customStyle="1" w:styleId="Default">
    <w:name w:val="Default"/>
    <w:uiPriority w:val="99"/>
    <w:rsid w:val="00D232C8"/>
    <w:pPr>
      <w:autoSpaceDE w:val="0"/>
      <w:autoSpaceDN w:val="0"/>
      <w:adjustRightInd w:val="0"/>
      <w:spacing w:after="0" w:line="240" w:lineRule="auto"/>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2774161">
      <w:bodyDiv w:val="1"/>
      <w:marLeft w:val="0"/>
      <w:marRight w:val="0"/>
      <w:marTop w:val="0"/>
      <w:marBottom w:val="0"/>
      <w:divBdr>
        <w:top w:val="none" w:sz="0" w:space="0" w:color="auto"/>
        <w:left w:val="none" w:sz="0" w:space="0" w:color="auto"/>
        <w:bottom w:val="none" w:sz="0" w:space="0" w:color="auto"/>
        <w:right w:val="none" w:sz="0" w:space="0" w:color="auto"/>
      </w:divBdr>
    </w:div>
    <w:div w:id="157891224">
      <w:bodyDiv w:val="1"/>
      <w:marLeft w:val="0"/>
      <w:marRight w:val="0"/>
      <w:marTop w:val="0"/>
      <w:marBottom w:val="0"/>
      <w:divBdr>
        <w:top w:val="none" w:sz="0" w:space="0" w:color="auto"/>
        <w:left w:val="none" w:sz="0" w:space="0" w:color="auto"/>
        <w:bottom w:val="none" w:sz="0" w:space="0" w:color="auto"/>
        <w:right w:val="none" w:sz="0" w:space="0" w:color="auto"/>
      </w:divBdr>
    </w:div>
    <w:div w:id="292909157">
      <w:bodyDiv w:val="1"/>
      <w:marLeft w:val="0"/>
      <w:marRight w:val="0"/>
      <w:marTop w:val="0"/>
      <w:marBottom w:val="0"/>
      <w:divBdr>
        <w:top w:val="none" w:sz="0" w:space="0" w:color="auto"/>
        <w:left w:val="none" w:sz="0" w:space="0" w:color="auto"/>
        <w:bottom w:val="none" w:sz="0" w:space="0" w:color="auto"/>
        <w:right w:val="none" w:sz="0" w:space="0" w:color="auto"/>
      </w:divBdr>
    </w:div>
    <w:div w:id="338822108">
      <w:bodyDiv w:val="1"/>
      <w:marLeft w:val="0"/>
      <w:marRight w:val="0"/>
      <w:marTop w:val="0"/>
      <w:marBottom w:val="0"/>
      <w:divBdr>
        <w:top w:val="none" w:sz="0" w:space="0" w:color="auto"/>
        <w:left w:val="none" w:sz="0" w:space="0" w:color="auto"/>
        <w:bottom w:val="none" w:sz="0" w:space="0" w:color="auto"/>
        <w:right w:val="none" w:sz="0" w:space="0" w:color="auto"/>
      </w:divBdr>
    </w:div>
    <w:div w:id="522597498">
      <w:bodyDiv w:val="1"/>
      <w:marLeft w:val="0"/>
      <w:marRight w:val="0"/>
      <w:marTop w:val="0"/>
      <w:marBottom w:val="0"/>
      <w:divBdr>
        <w:top w:val="none" w:sz="0" w:space="0" w:color="auto"/>
        <w:left w:val="none" w:sz="0" w:space="0" w:color="auto"/>
        <w:bottom w:val="none" w:sz="0" w:space="0" w:color="auto"/>
        <w:right w:val="none" w:sz="0" w:space="0" w:color="auto"/>
      </w:divBdr>
    </w:div>
    <w:div w:id="619609991">
      <w:bodyDiv w:val="1"/>
      <w:marLeft w:val="0"/>
      <w:marRight w:val="0"/>
      <w:marTop w:val="0"/>
      <w:marBottom w:val="0"/>
      <w:divBdr>
        <w:top w:val="none" w:sz="0" w:space="0" w:color="auto"/>
        <w:left w:val="none" w:sz="0" w:space="0" w:color="auto"/>
        <w:bottom w:val="none" w:sz="0" w:space="0" w:color="auto"/>
        <w:right w:val="none" w:sz="0" w:space="0" w:color="auto"/>
      </w:divBdr>
    </w:div>
    <w:div w:id="635260483">
      <w:bodyDiv w:val="1"/>
      <w:marLeft w:val="0"/>
      <w:marRight w:val="0"/>
      <w:marTop w:val="0"/>
      <w:marBottom w:val="0"/>
      <w:divBdr>
        <w:top w:val="none" w:sz="0" w:space="0" w:color="auto"/>
        <w:left w:val="none" w:sz="0" w:space="0" w:color="auto"/>
        <w:bottom w:val="none" w:sz="0" w:space="0" w:color="auto"/>
        <w:right w:val="none" w:sz="0" w:space="0" w:color="auto"/>
      </w:divBdr>
    </w:div>
    <w:div w:id="924849138">
      <w:bodyDiv w:val="1"/>
      <w:marLeft w:val="0"/>
      <w:marRight w:val="0"/>
      <w:marTop w:val="0"/>
      <w:marBottom w:val="0"/>
      <w:divBdr>
        <w:top w:val="none" w:sz="0" w:space="0" w:color="auto"/>
        <w:left w:val="none" w:sz="0" w:space="0" w:color="auto"/>
        <w:bottom w:val="none" w:sz="0" w:space="0" w:color="auto"/>
        <w:right w:val="none" w:sz="0" w:space="0" w:color="auto"/>
      </w:divBdr>
    </w:div>
    <w:div w:id="935139156">
      <w:bodyDiv w:val="1"/>
      <w:marLeft w:val="0"/>
      <w:marRight w:val="0"/>
      <w:marTop w:val="0"/>
      <w:marBottom w:val="0"/>
      <w:divBdr>
        <w:top w:val="none" w:sz="0" w:space="0" w:color="auto"/>
        <w:left w:val="none" w:sz="0" w:space="0" w:color="auto"/>
        <w:bottom w:val="none" w:sz="0" w:space="0" w:color="auto"/>
        <w:right w:val="none" w:sz="0" w:space="0" w:color="auto"/>
      </w:divBdr>
    </w:div>
    <w:div w:id="1040397604">
      <w:bodyDiv w:val="1"/>
      <w:marLeft w:val="0"/>
      <w:marRight w:val="0"/>
      <w:marTop w:val="0"/>
      <w:marBottom w:val="0"/>
      <w:divBdr>
        <w:top w:val="none" w:sz="0" w:space="0" w:color="auto"/>
        <w:left w:val="none" w:sz="0" w:space="0" w:color="auto"/>
        <w:bottom w:val="none" w:sz="0" w:space="0" w:color="auto"/>
        <w:right w:val="none" w:sz="0" w:space="0" w:color="auto"/>
      </w:divBdr>
    </w:div>
    <w:div w:id="1257246881">
      <w:bodyDiv w:val="1"/>
      <w:marLeft w:val="0"/>
      <w:marRight w:val="0"/>
      <w:marTop w:val="0"/>
      <w:marBottom w:val="0"/>
      <w:divBdr>
        <w:top w:val="none" w:sz="0" w:space="0" w:color="auto"/>
        <w:left w:val="none" w:sz="0" w:space="0" w:color="auto"/>
        <w:bottom w:val="none" w:sz="0" w:space="0" w:color="auto"/>
        <w:right w:val="none" w:sz="0" w:space="0" w:color="auto"/>
      </w:divBdr>
    </w:div>
    <w:div w:id="1594508544">
      <w:bodyDiv w:val="1"/>
      <w:marLeft w:val="0"/>
      <w:marRight w:val="0"/>
      <w:marTop w:val="0"/>
      <w:marBottom w:val="0"/>
      <w:divBdr>
        <w:top w:val="none" w:sz="0" w:space="0" w:color="auto"/>
        <w:left w:val="none" w:sz="0" w:space="0" w:color="auto"/>
        <w:bottom w:val="none" w:sz="0" w:space="0" w:color="auto"/>
        <w:right w:val="none" w:sz="0" w:space="0" w:color="auto"/>
      </w:divBdr>
    </w:div>
    <w:div w:id="1950115972">
      <w:bodyDiv w:val="1"/>
      <w:marLeft w:val="0"/>
      <w:marRight w:val="0"/>
      <w:marTop w:val="0"/>
      <w:marBottom w:val="0"/>
      <w:divBdr>
        <w:top w:val="none" w:sz="0" w:space="0" w:color="auto"/>
        <w:left w:val="none" w:sz="0" w:space="0" w:color="auto"/>
        <w:bottom w:val="none" w:sz="0" w:space="0" w:color="auto"/>
        <w:right w:val="none" w:sz="0" w:space="0" w:color="auto"/>
      </w:divBdr>
    </w:div>
    <w:div w:id="202273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6B99B-5E5A-4571-926A-1B901131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9582</Words>
  <Characters>52465</Characters>
  <Application>Microsoft Office Word</Application>
  <DocSecurity>2</DocSecurity>
  <Lines>4166</Lines>
  <Paragraphs>2412</Paragraphs>
  <ScaleCrop>false</ScaleCrop>
  <HeadingPairs>
    <vt:vector size="2" baseType="variant">
      <vt:variant>
        <vt:lpstr>Title</vt:lpstr>
      </vt:variant>
      <vt:variant>
        <vt:i4>1</vt:i4>
      </vt:variant>
    </vt:vector>
  </HeadingPairs>
  <TitlesOfParts>
    <vt:vector size="1" baseType="lpstr">
      <vt:lpstr>Background</vt:lpstr>
    </vt:vector>
  </TitlesOfParts>
  <Company>ACT Government</Company>
  <LinksUpToDate>false</LinksUpToDate>
  <CharactersWithSpaces>61531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Chief Minister and Treasury Directorate</dc:title>
  <dc:subject>Chief Minister and Treasury Directorate</dc:subject>
  <dc:creator>Chief Minister and Treasury Directorate</dc:creator>
  <cp:lastModifiedBy>Keaton Paterson</cp:lastModifiedBy>
  <cp:revision>3</cp:revision>
  <cp:lastPrinted>2013-05-28T03:19:00Z</cp:lastPrinted>
  <dcterms:created xsi:type="dcterms:W3CDTF">2013-05-28T07:46:00Z</dcterms:created>
  <dcterms:modified xsi:type="dcterms:W3CDTF">2013-05-30T02:41:00Z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