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B5065" w14:textId="6B3F337D" w:rsidR="00D7044F" w:rsidRDefault="008A5F15" w:rsidP="00351F1B">
      <w:r>
        <w:rPr>
          <w:noProof/>
        </w:rPr>
        <w:drawing>
          <wp:anchor distT="0" distB="0" distL="114300" distR="114300" simplePos="0" relativeHeight="251658240" behindDoc="1" locked="0" layoutInCell="1" allowOverlap="1" wp14:anchorId="7B7FB24D" wp14:editId="7BD89166">
            <wp:simplePos x="0" y="0"/>
            <wp:positionH relativeFrom="column">
              <wp:posOffset>-382282</wp:posOffset>
            </wp:positionH>
            <wp:positionV relativeFrom="paragraph">
              <wp:posOffset>-214630</wp:posOffset>
            </wp:positionV>
            <wp:extent cx="6545242" cy="9163050"/>
            <wp:effectExtent l="0" t="0" r="8255" b="0"/>
            <wp:wrapNone/>
            <wp:docPr id="10304901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0153"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552579" cy="9173322"/>
                    </a:xfrm>
                    <a:prstGeom prst="rect">
                      <a:avLst/>
                    </a:prstGeom>
                  </pic:spPr>
                </pic:pic>
              </a:graphicData>
            </a:graphic>
            <wp14:sizeRelH relativeFrom="page">
              <wp14:pctWidth>0</wp14:pctWidth>
            </wp14:sizeRelH>
            <wp14:sizeRelV relativeFrom="page">
              <wp14:pctHeight>0</wp14:pctHeight>
            </wp14:sizeRelV>
          </wp:anchor>
        </w:drawing>
      </w:r>
    </w:p>
    <w:p w14:paraId="3799590A" w14:textId="77777777" w:rsidR="00181BA5" w:rsidRDefault="00181BA5" w:rsidP="00351F1B"/>
    <w:p w14:paraId="561464B7" w14:textId="77777777" w:rsidR="00181BA5" w:rsidRDefault="00181BA5" w:rsidP="00351F1B"/>
    <w:p w14:paraId="326B13AB" w14:textId="77777777" w:rsidR="00181BA5" w:rsidRDefault="00181BA5" w:rsidP="00351F1B"/>
    <w:p w14:paraId="7F0F4577" w14:textId="77777777" w:rsidR="00181BA5" w:rsidRDefault="00181BA5" w:rsidP="00351F1B"/>
    <w:p w14:paraId="5DD3DFD7" w14:textId="77777777" w:rsidR="00181BA5" w:rsidRDefault="00181BA5" w:rsidP="00351F1B"/>
    <w:p w14:paraId="26DEEDE0" w14:textId="77777777" w:rsidR="00181BA5" w:rsidRDefault="00181BA5" w:rsidP="00351F1B"/>
    <w:p w14:paraId="6B8E021C" w14:textId="77777777" w:rsidR="008A5F15" w:rsidRDefault="008A5F15" w:rsidP="00351F1B"/>
    <w:p w14:paraId="43B7A81B" w14:textId="77777777" w:rsidR="008A5F15" w:rsidRDefault="008A5F15" w:rsidP="00351F1B"/>
    <w:p w14:paraId="0B53F88F" w14:textId="77777777" w:rsidR="008A5F15" w:rsidRDefault="008A5F15" w:rsidP="00351F1B"/>
    <w:p w14:paraId="73FB8A6B" w14:textId="77777777" w:rsidR="008A5F15" w:rsidRDefault="008A5F15" w:rsidP="00351F1B"/>
    <w:p w14:paraId="49FD98DD" w14:textId="77777777" w:rsidR="00181BA5" w:rsidRDefault="00181BA5" w:rsidP="00351F1B"/>
    <w:p w14:paraId="04A4676D" w14:textId="77777777" w:rsidR="00181BA5" w:rsidRDefault="00181BA5" w:rsidP="00351F1B"/>
    <w:p w14:paraId="2045E345" w14:textId="77777777" w:rsidR="00181BA5" w:rsidRDefault="00181BA5" w:rsidP="00351F1B"/>
    <w:p w14:paraId="0D167F7D" w14:textId="77777777" w:rsidR="00181BA5" w:rsidRDefault="00181BA5" w:rsidP="00351F1B"/>
    <w:p w14:paraId="437A21B7" w14:textId="77777777" w:rsidR="00181BA5" w:rsidRDefault="00181BA5" w:rsidP="00351F1B"/>
    <w:p w14:paraId="3642DF44" w14:textId="77777777" w:rsidR="00181BA5" w:rsidRDefault="00181BA5" w:rsidP="00351F1B"/>
    <w:p w14:paraId="35F59821" w14:textId="77777777" w:rsidR="00181BA5" w:rsidRDefault="00181BA5" w:rsidP="00351F1B"/>
    <w:p w14:paraId="2A36A02F" w14:textId="77777777" w:rsidR="00181BA5" w:rsidRDefault="00181BA5" w:rsidP="00351F1B"/>
    <w:p w14:paraId="3A8821BF" w14:textId="77777777" w:rsidR="00181BA5" w:rsidRDefault="00181BA5" w:rsidP="00351F1B"/>
    <w:p w14:paraId="33F9D0A6" w14:textId="77777777" w:rsidR="00181BA5" w:rsidRDefault="00181BA5" w:rsidP="00351F1B"/>
    <w:p w14:paraId="003F51CC" w14:textId="77777777" w:rsidR="00181BA5" w:rsidRDefault="00181BA5" w:rsidP="00351F1B"/>
    <w:p w14:paraId="452CDB36" w14:textId="77777777" w:rsidR="00181BA5" w:rsidRDefault="00181BA5" w:rsidP="00351F1B"/>
    <w:p w14:paraId="1C6B177C" w14:textId="640C503B" w:rsidR="00E8115C" w:rsidRDefault="00E8115C" w:rsidP="00351F1B"/>
    <w:p w14:paraId="5370B0EF" w14:textId="64BE152C" w:rsidR="00E8115C" w:rsidRDefault="00E8115C" w:rsidP="00351F1B">
      <w:pPr>
        <w:sectPr w:rsidR="00E8115C" w:rsidSect="009B6CCF">
          <w:footerReference w:type="even" r:id="rId13"/>
          <w:footerReference w:type="default" r:id="rId14"/>
          <w:footerReference w:type="first" r:id="rId15"/>
          <w:type w:val="continuous"/>
          <w:pgSz w:w="11907" w:h="16840" w:code="9"/>
          <w:pgMar w:top="1418" w:right="1418" w:bottom="1701" w:left="1418" w:header="567" w:footer="255" w:gutter="0"/>
          <w:pgNumType w:fmt="lowerRoman"/>
          <w:cols w:space="720"/>
          <w:titlePg/>
          <w:docGrid w:linePitch="326"/>
        </w:sectPr>
      </w:pPr>
      <w:bookmarkStart w:id="0" w:name="OLE_LINK2"/>
      <w:bookmarkEnd w:id="0"/>
    </w:p>
    <w:p w14:paraId="112AE9AD" w14:textId="6C2CEF14" w:rsidR="00351F1B" w:rsidRPr="00351F1B" w:rsidRDefault="00C871D7" w:rsidP="00763B59">
      <w:pPr>
        <w:pStyle w:val="Infobody"/>
      </w:pPr>
      <w:r w:rsidRPr="00BA283F">
        <w:lastRenderedPageBreak/>
        <w:t xml:space="preserve">The </w:t>
      </w:r>
      <w:r w:rsidR="007E58A6" w:rsidRPr="007E58A6">
        <w:t xml:space="preserve">ACT Insurance Authority </w:t>
      </w:r>
      <w:r w:rsidR="00351F1B" w:rsidRPr="00351F1B">
        <w:t>acknowledges the Ngunnawal people as traditional custodians of the ACT and recognise any other people or families with connection to the lands of the ACT and region.</w:t>
      </w:r>
    </w:p>
    <w:p w14:paraId="3C34E984" w14:textId="157D6CF4" w:rsidR="00C871D7" w:rsidRDefault="00C871D7" w:rsidP="00763B59">
      <w:pPr>
        <w:pStyle w:val="Infobody"/>
      </w:pPr>
      <w:r w:rsidRPr="00351F1B">
        <w:t>We respect</w:t>
      </w:r>
      <w:r w:rsidRPr="00BA283F">
        <w:t xml:space="preserve"> the Aboriginal and Torres Strait Islander people, particularly our Aboriginal</w:t>
      </w:r>
      <w:r w:rsidR="00717EBB">
        <w:t xml:space="preserve"> staff</w:t>
      </w:r>
      <w:r w:rsidR="007937ED">
        <w:t>,</w:t>
      </w:r>
      <w:r w:rsidRPr="00BA283F">
        <w:t xml:space="preserve"> and their continuing culture and contribution they make to the Canberra region and the life of our city. </w:t>
      </w:r>
    </w:p>
    <w:p w14:paraId="54EF3183" w14:textId="44796867" w:rsidR="00C871D7" w:rsidRPr="009B6CCF" w:rsidRDefault="00C871D7" w:rsidP="009B6CCF">
      <w:pPr>
        <w:pStyle w:val="Infoheader"/>
      </w:pPr>
      <w:bookmarkStart w:id="1" w:name="_Toc78885904"/>
      <w:bookmarkStart w:id="2" w:name="_Toc78892587"/>
      <w:bookmarkStart w:id="3" w:name="_Toc140231110"/>
      <w:bookmarkStart w:id="4" w:name="_Toc140231586"/>
      <w:bookmarkStart w:id="5" w:name="_Toc140231658"/>
      <w:bookmarkStart w:id="6" w:name="_Toc140232113"/>
      <w:r w:rsidRPr="009B6CCF">
        <w:t>Contact for this report</w:t>
      </w:r>
      <w:bookmarkEnd w:id="1"/>
      <w:bookmarkEnd w:id="2"/>
      <w:bookmarkEnd w:id="3"/>
      <w:bookmarkEnd w:id="4"/>
      <w:bookmarkEnd w:id="5"/>
      <w:bookmarkEnd w:id="6"/>
    </w:p>
    <w:p w14:paraId="774B5025" w14:textId="77777777" w:rsidR="00C871D7" w:rsidRDefault="00C871D7" w:rsidP="00AF6D3A">
      <w:pPr>
        <w:pStyle w:val="Infobody"/>
      </w:pPr>
      <w:r w:rsidRPr="00BA283F">
        <w:t xml:space="preserve">General enquiries about this report should be directed to: </w:t>
      </w:r>
    </w:p>
    <w:p w14:paraId="734C93AD" w14:textId="1871CE99" w:rsidR="00DF0A22" w:rsidRDefault="00DF0A22" w:rsidP="00AF6D3A">
      <w:pPr>
        <w:pStyle w:val="Infobody"/>
      </w:pPr>
      <w:r>
        <w:t>GPO Box 158</w:t>
      </w:r>
      <w:r w:rsidR="00583CA5">
        <w:br/>
      </w:r>
      <w:r>
        <w:t>Canberra City ACT 2601</w:t>
      </w:r>
    </w:p>
    <w:p w14:paraId="5BCA449D" w14:textId="77777777" w:rsidR="00DF0A22" w:rsidRDefault="00DF0A22" w:rsidP="00AF6D3A">
      <w:pPr>
        <w:pStyle w:val="Infobody"/>
      </w:pPr>
      <w:r>
        <w:t>Further information is available from:</w:t>
      </w:r>
    </w:p>
    <w:p w14:paraId="5C5FE7F9" w14:textId="2BF52B41" w:rsidR="00DF0A22" w:rsidRDefault="00DF0A22" w:rsidP="00AF6D3A">
      <w:pPr>
        <w:pStyle w:val="Infobody"/>
      </w:pPr>
      <w:r>
        <w:t>Penny Shields</w:t>
      </w:r>
      <w:r w:rsidR="00583CA5">
        <w:br/>
      </w:r>
      <w:r>
        <w:t>General Manager</w:t>
      </w:r>
      <w:r w:rsidR="00583CA5">
        <w:br/>
      </w:r>
      <w:r>
        <w:t>ACT Insurance Authority</w:t>
      </w:r>
    </w:p>
    <w:p w14:paraId="66532A80" w14:textId="77777777" w:rsidR="00DF0A22" w:rsidRDefault="00DF0A22" w:rsidP="00AF6D3A">
      <w:pPr>
        <w:pStyle w:val="Infobody"/>
      </w:pPr>
      <w:r>
        <w:t>Phone: (02) 6207 0268</w:t>
      </w:r>
    </w:p>
    <w:p w14:paraId="1F4E8851" w14:textId="1CCC6331" w:rsidR="005E3A21" w:rsidRDefault="00DF0A22" w:rsidP="00DF0A22">
      <w:r>
        <w:t xml:space="preserve">E-mail: </w:t>
      </w:r>
      <w:hyperlink r:id="rId16" w:history="1">
        <w:r w:rsidR="00583CA5" w:rsidRPr="00FC420C">
          <w:rPr>
            <w:rStyle w:val="Hyperlink"/>
          </w:rPr>
          <w:t>ACTInsuranceAuthority@act.gov.au</w:t>
        </w:r>
      </w:hyperlink>
      <w:r w:rsidR="00583CA5">
        <w:t xml:space="preserve"> </w:t>
      </w:r>
      <w:r w:rsidR="00583CA5">
        <w:br/>
      </w:r>
      <w:r>
        <w:t xml:space="preserve">Website: </w:t>
      </w:r>
      <w:hyperlink r:id="rId17" w:history="1">
        <w:r w:rsidR="0019725B">
          <w:rPr>
            <w:rStyle w:val="Hyperlink"/>
          </w:rPr>
          <w:t>www.treasury.act.gov.au/insurance-and-risk-management</w:t>
        </w:r>
      </w:hyperlink>
    </w:p>
    <w:p w14:paraId="22D03C0E" w14:textId="4A6B604E" w:rsidR="00C871D7" w:rsidRPr="009B6CCF" w:rsidRDefault="00C871D7" w:rsidP="009B6CCF">
      <w:pPr>
        <w:pStyle w:val="Infoheader"/>
      </w:pPr>
      <w:bookmarkStart w:id="7" w:name="_Toc78885905"/>
      <w:bookmarkStart w:id="8" w:name="_Toc78892588"/>
      <w:bookmarkStart w:id="9" w:name="_Toc140231111"/>
      <w:bookmarkStart w:id="10" w:name="_Toc140231587"/>
      <w:bookmarkStart w:id="11" w:name="_Toc140231659"/>
      <w:bookmarkStart w:id="12" w:name="_Toc140232114"/>
      <w:r w:rsidRPr="009B6CCF">
        <w:t>Freedom of Information</w:t>
      </w:r>
      <w:bookmarkEnd w:id="7"/>
      <w:bookmarkEnd w:id="8"/>
      <w:bookmarkEnd w:id="9"/>
      <w:bookmarkEnd w:id="10"/>
      <w:bookmarkEnd w:id="11"/>
      <w:bookmarkEnd w:id="12"/>
      <w:r w:rsidRPr="009B6CCF">
        <w:t xml:space="preserve"> </w:t>
      </w:r>
    </w:p>
    <w:p w14:paraId="299CBA82" w14:textId="442F5435" w:rsidR="00BD000D" w:rsidRDefault="00C871D7" w:rsidP="00AF6D3A">
      <w:pPr>
        <w:pStyle w:val="Infobody"/>
      </w:pPr>
      <w:r w:rsidRPr="00BA283F">
        <w:t xml:space="preserve">Freedom of information requests can be made </w:t>
      </w:r>
      <w:r w:rsidR="0089125C" w:rsidRPr="0089125C">
        <w:t xml:space="preserve">through CMTEDD’s </w:t>
      </w:r>
      <w:hyperlink r:id="rId18" w:history="1">
        <w:r w:rsidR="0089125C" w:rsidRPr="009B6CCF">
          <w:t>Freedom of Information webpage</w:t>
        </w:r>
      </w:hyperlink>
      <w:r w:rsidR="0089125C">
        <w:t>.</w:t>
      </w:r>
    </w:p>
    <w:p w14:paraId="7CABC365" w14:textId="77777777" w:rsidR="00C871D7" w:rsidRPr="009B6CCF" w:rsidRDefault="00C871D7" w:rsidP="009B6CCF">
      <w:pPr>
        <w:pStyle w:val="Infoheader"/>
      </w:pPr>
      <w:bookmarkStart w:id="13" w:name="_Toc78885906"/>
      <w:bookmarkStart w:id="14" w:name="_Toc78892589"/>
      <w:bookmarkStart w:id="15" w:name="_Toc140231112"/>
      <w:bookmarkStart w:id="16" w:name="_Toc140231588"/>
      <w:bookmarkStart w:id="17" w:name="_Toc140231660"/>
      <w:bookmarkStart w:id="18" w:name="_Toc140232115"/>
      <w:r w:rsidRPr="009B6CCF">
        <w:t>Accessibility</w:t>
      </w:r>
      <w:bookmarkEnd w:id="13"/>
      <w:bookmarkEnd w:id="14"/>
      <w:bookmarkEnd w:id="15"/>
      <w:bookmarkEnd w:id="16"/>
      <w:bookmarkEnd w:id="17"/>
      <w:bookmarkEnd w:id="18"/>
      <w:r w:rsidRPr="009B6CCF">
        <w:t xml:space="preserve"> </w:t>
      </w:r>
    </w:p>
    <w:p w14:paraId="64740668" w14:textId="77777777" w:rsidR="00C871D7" w:rsidRDefault="00C871D7" w:rsidP="00AF6D3A">
      <w:pPr>
        <w:pStyle w:val="Infobody"/>
      </w:pPr>
      <w:r w:rsidRPr="00BA283F">
        <w:t xml:space="preserve">The ACT Government is committed to making its information, services, </w:t>
      </w:r>
      <w:proofErr w:type="gramStart"/>
      <w:r w:rsidRPr="00BA283F">
        <w:t>events</w:t>
      </w:r>
      <w:proofErr w:type="gramEnd"/>
      <w:r w:rsidRPr="00BA283F">
        <w:t xml:space="preserve"> and venues accessible to as many people as possible. </w:t>
      </w:r>
    </w:p>
    <w:p w14:paraId="0CC37DB9" w14:textId="77777777" w:rsidR="00CC4F01" w:rsidRDefault="00C871D7" w:rsidP="00AF6D3A">
      <w:pPr>
        <w:pStyle w:val="Infobody"/>
      </w:pPr>
      <w:r w:rsidRPr="00BA283F">
        <w:t>If you are deaf, or have a hearing or speech impairment, and need the telephone typewriter (TTY) service, please phone 13 36 77 and ask for 1</w:t>
      </w:r>
      <w:r w:rsidR="00ED0757">
        <w:t>3</w:t>
      </w:r>
      <w:r w:rsidRPr="00BA283F">
        <w:t xml:space="preserve"> </w:t>
      </w:r>
      <w:r w:rsidR="00ED0757">
        <w:t>22</w:t>
      </w:r>
      <w:r w:rsidRPr="00BA283F">
        <w:t xml:space="preserve"> </w:t>
      </w:r>
      <w:r w:rsidR="00ED0757">
        <w:t>81</w:t>
      </w:r>
      <w:r w:rsidRPr="00BA283F">
        <w:t xml:space="preserve">. </w:t>
      </w:r>
    </w:p>
    <w:p w14:paraId="26A4BC04" w14:textId="77777777" w:rsidR="00CC4F01" w:rsidRDefault="00C871D7" w:rsidP="00AF6D3A">
      <w:pPr>
        <w:pStyle w:val="Infobody"/>
      </w:pPr>
      <w:r w:rsidRPr="00BA283F">
        <w:t>For speak and listen users, please phone 1300 555 727</w:t>
      </w:r>
      <w:r w:rsidR="00CC4F01">
        <w:t>.</w:t>
      </w:r>
      <w:r w:rsidRPr="00BA283F">
        <w:t xml:space="preserve"> </w:t>
      </w:r>
    </w:p>
    <w:p w14:paraId="5226A26A" w14:textId="5B10BDE9" w:rsidR="00C871D7" w:rsidRDefault="00C871D7" w:rsidP="00AF6D3A">
      <w:pPr>
        <w:pStyle w:val="Infobody"/>
      </w:pPr>
      <w:r w:rsidRPr="00BA283F">
        <w:t xml:space="preserve">For more information on these services, contact us through the National Relay Service: </w:t>
      </w:r>
      <w:hyperlink r:id="rId19" w:history="1">
        <w:r w:rsidR="00B745F6" w:rsidRPr="00420CE5">
          <w:rPr>
            <w:rStyle w:val="Hyperlink"/>
          </w:rPr>
          <w:t>www.accesshub.gov.au</w:t>
        </w:r>
      </w:hyperlink>
      <w:r w:rsidRPr="00BA283F">
        <w:t xml:space="preserve"> </w:t>
      </w:r>
    </w:p>
    <w:p w14:paraId="2F31A628" w14:textId="77777777" w:rsidR="00C871D7" w:rsidRPr="00AF6D3A" w:rsidRDefault="00C871D7" w:rsidP="00AF6D3A">
      <w:pPr>
        <w:pStyle w:val="Infobody"/>
      </w:pPr>
      <w:r w:rsidRPr="00AF6D3A">
        <w:t>If English is not your first language and you require a translating and interpreting service, please telephone Access Canberra on 13 22 81.</w:t>
      </w:r>
    </w:p>
    <w:p w14:paraId="1EC02AB8" w14:textId="266ABB1B" w:rsidR="00BD000D" w:rsidRDefault="0081579D" w:rsidP="00AF6D3A">
      <w:pPr>
        <w:pStyle w:val="Infobody"/>
      </w:pPr>
      <w:r w:rsidRPr="00AF6D3A">
        <w:t>IS</w:t>
      </w:r>
      <w:r w:rsidR="00E028EB" w:rsidRPr="00AF6D3A">
        <w:t>B</w:t>
      </w:r>
      <w:r w:rsidRPr="00AF6D3A">
        <w:t xml:space="preserve">N: </w:t>
      </w:r>
      <w:r w:rsidR="002939A9" w:rsidRPr="00AF6D3A">
        <w:t>978-0-642-60906-9</w:t>
      </w:r>
    </w:p>
    <w:p w14:paraId="152B015E" w14:textId="34F76938" w:rsidR="00F54135" w:rsidRDefault="009238CF" w:rsidP="009238CF">
      <w:r w:rsidRPr="00200ACD">
        <w:t>© Australian Capital Territory</w:t>
      </w:r>
    </w:p>
    <w:p w14:paraId="2EB77465" w14:textId="77777777" w:rsidR="00F54135" w:rsidRDefault="00F54135" w:rsidP="009238CF"/>
    <w:p w14:paraId="12542B24" w14:textId="2D865300" w:rsidR="009238CF" w:rsidRPr="00200ACD" w:rsidRDefault="00F54135" w:rsidP="009238CF">
      <w:r w:rsidRPr="00200ACD">
        <w:rPr>
          <w:noProof/>
        </w:rPr>
        <w:drawing>
          <wp:anchor distT="0" distB="0" distL="114300" distR="114300" simplePos="0" relativeHeight="251658247" behindDoc="0" locked="0" layoutInCell="1" allowOverlap="1" wp14:anchorId="06243706" wp14:editId="3E4EF642">
            <wp:simplePos x="0" y="0"/>
            <wp:positionH relativeFrom="column">
              <wp:posOffset>-317</wp:posOffset>
            </wp:positionH>
            <wp:positionV relativeFrom="paragraph">
              <wp:posOffset>-282892</wp:posOffset>
            </wp:positionV>
            <wp:extent cx="1226127" cy="437903"/>
            <wp:effectExtent l="0" t="0" r="0" b="635"/>
            <wp:wrapSquare wrapText="bothSides"/>
            <wp:docPr id="11254615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567"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6127" cy="437903"/>
                    </a:xfrm>
                    <a:prstGeom prst="rect">
                      <a:avLst/>
                    </a:prstGeom>
                  </pic:spPr>
                </pic:pic>
              </a:graphicData>
            </a:graphic>
            <wp14:sizeRelH relativeFrom="page">
              <wp14:pctWidth>0</wp14:pctWidth>
            </wp14:sizeRelH>
            <wp14:sizeRelV relativeFrom="page">
              <wp14:pctHeight>0</wp14:pctHeight>
            </wp14:sizeRelV>
          </wp:anchor>
        </w:drawing>
      </w:r>
    </w:p>
    <w:p w14:paraId="4207C950" w14:textId="7115C9E5" w:rsidR="009238CF" w:rsidRDefault="009238CF" w:rsidP="009238CF">
      <w:pPr>
        <w:pStyle w:val="Infobody"/>
      </w:pPr>
      <w:r w:rsidRPr="00003B2F">
        <w:t>This work,</w:t>
      </w:r>
      <w:r w:rsidR="00F54135">
        <w:t xml:space="preserve"> </w:t>
      </w:r>
      <w:r w:rsidR="0058712E">
        <w:t>the 2023-24 Annual Report of the ACT Insurance Authority</w:t>
      </w:r>
      <w:r w:rsidRPr="0058712E">
        <w:t>,</w:t>
      </w:r>
      <w:r w:rsidRPr="00003B2F">
        <w:t xml:space="preserve"> is licensed under a </w:t>
      </w:r>
      <w:hyperlink r:id="rId21" w:tooltip="https://creativecommons.org/licenses/by/4.0/" w:history="1">
        <w:r w:rsidRPr="00971549">
          <w:rPr>
            <w:u w:val="single"/>
          </w:rPr>
          <w:t>Creative Commons Attribution 4.0 licenc</w:t>
        </w:r>
        <w:r w:rsidRPr="00003B2F">
          <w:t>e</w:t>
        </w:r>
      </w:hyperlink>
      <w:r w:rsidRPr="00003B2F">
        <w:t xml:space="preserve">. You are free to re-use the work under that </w:t>
      </w:r>
      <w:r w:rsidRPr="00003B2F">
        <w:lastRenderedPageBreak/>
        <w:t>licence, on the condition that you credit the Australian Capital Territory Government as author, indicate if changes were made and comply with the other licence terms.</w:t>
      </w:r>
    </w:p>
    <w:p w14:paraId="3FC2D59C" w14:textId="344FE079" w:rsidR="009238CF" w:rsidRPr="005574B1" w:rsidRDefault="009238CF" w:rsidP="009238CF">
      <w:pPr>
        <w:pStyle w:val="Infobody"/>
      </w:pPr>
      <w:r w:rsidRPr="005574B1">
        <w:rPr>
          <w:rFonts w:ascii="Calibri" w:hAnsi="Calibri" w:cs="Calibri"/>
          <w:color w:val="212121"/>
        </w:rPr>
        <w:t>The licence does not apply to the ACT Coat of Arms, the</w:t>
      </w:r>
      <w:r w:rsidR="0058712E">
        <w:rPr>
          <w:rFonts w:ascii="Calibri" w:hAnsi="Calibri" w:cs="Calibri"/>
          <w:color w:val="212121"/>
        </w:rPr>
        <w:t xml:space="preserve"> ACT Insurance Authority</w:t>
      </w:r>
      <w:r w:rsidRPr="005574B1">
        <w:rPr>
          <w:rFonts w:ascii="Calibri" w:hAnsi="Calibri" w:cs="Calibri"/>
          <w:color w:val="212121"/>
        </w:rPr>
        <w:t xml:space="preserve"> logo and branding, images, artwork,</w:t>
      </w:r>
      <w:r w:rsidRPr="005574B1">
        <w:rPr>
          <w:rStyle w:val="apple-converted-space"/>
          <w:rFonts w:ascii="Calibri" w:hAnsi="Calibri" w:cs="Calibri"/>
          <w:color w:val="212121"/>
        </w:rPr>
        <w:t> </w:t>
      </w:r>
      <w:proofErr w:type="gramStart"/>
      <w:r w:rsidRPr="005574B1">
        <w:rPr>
          <w:rStyle w:val="grame"/>
          <w:rFonts w:ascii="Calibri" w:hAnsi="Calibri" w:cs="Calibri"/>
          <w:color w:val="212121"/>
        </w:rPr>
        <w:t>photographs</w:t>
      </w:r>
      <w:proofErr w:type="gramEnd"/>
      <w:r>
        <w:rPr>
          <w:rStyle w:val="grame"/>
          <w:rFonts w:ascii="Calibri" w:hAnsi="Calibri" w:cs="Calibri"/>
          <w:color w:val="212121"/>
        </w:rPr>
        <w:t xml:space="preserve"> </w:t>
      </w:r>
      <w:r w:rsidRPr="005574B1">
        <w:rPr>
          <w:rFonts w:ascii="Calibri" w:hAnsi="Calibri" w:cs="Calibri"/>
          <w:color w:val="212121"/>
        </w:rPr>
        <w:t>and any material protected by trademark.</w:t>
      </w:r>
    </w:p>
    <w:p w14:paraId="30898974" w14:textId="45B1C6F8" w:rsidR="009238CF" w:rsidRPr="00D90420" w:rsidRDefault="009238CF" w:rsidP="009238CF">
      <w:pPr>
        <w:rPr>
          <w:rFonts w:ascii="Aptos" w:hAnsi="Aptos" w:cs="Aptos"/>
          <w:lang w:eastAsia="en-GB"/>
        </w:rPr>
      </w:pPr>
      <w:r w:rsidRPr="00D90420">
        <w:rPr>
          <w:rFonts w:ascii="Calibri" w:hAnsi="Calibri" w:cs="Calibri"/>
        </w:rPr>
        <w:t xml:space="preserve">Photo credits: </w:t>
      </w:r>
      <w:r w:rsidR="007D34B0">
        <w:rPr>
          <w:rFonts w:ascii="Calibri" w:hAnsi="Calibri" w:cs="Calibri"/>
        </w:rPr>
        <w:t>ACT Government</w:t>
      </w:r>
      <w:r w:rsidR="00393015">
        <w:rPr>
          <w:rFonts w:ascii="Calibri" w:hAnsi="Calibri" w:cs="Calibri"/>
        </w:rPr>
        <w:t>.</w:t>
      </w:r>
    </w:p>
    <w:p w14:paraId="05E0851A" w14:textId="077F027B" w:rsidR="003659AD" w:rsidRDefault="00C871D7" w:rsidP="007644C2">
      <w:pPr>
        <w:pStyle w:val="Infobody"/>
      </w:pPr>
      <w:r w:rsidRPr="00AF6D3A">
        <w:t>Information about the directorate and an electronic version of this annual report can be found on the website</w:t>
      </w:r>
      <w:r w:rsidR="00C800AE" w:rsidRPr="00AF6D3A">
        <w:t>:</w:t>
      </w:r>
      <w:r w:rsidR="00C800AE">
        <w:t xml:space="preserve"> </w:t>
      </w:r>
      <w:hyperlink r:id="rId22" w:history="1">
        <w:r w:rsidR="003659AD" w:rsidRPr="00DF671F">
          <w:rPr>
            <w:rStyle w:val="Hyperlink"/>
          </w:rPr>
          <w:t>https://www.treasury.act.gov.au/insurance-and-risk-management</w:t>
        </w:r>
      </w:hyperlink>
    </w:p>
    <w:p w14:paraId="617F5F37" w14:textId="77777777" w:rsidR="007C1E6A" w:rsidRDefault="007C1E6A" w:rsidP="009B6CCF">
      <w:pPr>
        <w:spacing w:after="120" w:line="260" w:lineRule="exact"/>
        <w:sectPr w:rsidR="007C1E6A" w:rsidSect="008F1426">
          <w:headerReference w:type="first" r:id="rId23"/>
          <w:footerReference w:type="first" r:id="rId24"/>
          <w:pgSz w:w="11907" w:h="16840" w:code="9"/>
          <w:pgMar w:top="1418" w:right="1417" w:bottom="1701" w:left="1418" w:header="567" w:footer="255" w:gutter="0"/>
          <w:cols w:space="720"/>
          <w:docGrid w:linePitch="326"/>
        </w:sectPr>
      </w:pPr>
    </w:p>
    <w:p w14:paraId="6E74A6A8" w14:textId="314B9A3A" w:rsidR="00E66B31" w:rsidRPr="0054704A" w:rsidRDefault="00E66B31" w:rsidP="00351F1B">
      <w:r>
        <w:br w:type="page"/>
      </w:r>
    </w:p>
    <w:p w14:paraId="0C2A6788" w14:textId="228F212A" w:rsidR="00AC2A04" w:rsidRDefault="00C871D7" w:rsidP="00FD77E7">
      <w:pPr>
        <w:pStyle w:val="TOCHeading"/>
        <w:pBdr>
          <w:bottom w:val="single" w:sz="12" w:space="1" w:color="492581" w:themeColor="accent1"/>
        </w:pBdr>
        <w:spacing w:after="240" w:line="360" w:lineRule="auto"/>
      </w:pPr>
      <w:bookmarkStart w:id="19" w:name="_Toc78885907"/>
      <w:bookmarkStart w:id="20" w:name="_Toc78892590"/>
      <w:bookmarkStart w:id="21" w:name="_Toc140231113"/>
      <w:bookmarkStart w:id="22" w:name="_Toc140231589"/>
      <w:bookmarkStart w:id="23" w:name="_Toc140231661"/>
      <w:bookmarkStart w:id="24" w:name="_Toc140232116"/>
      <w:r w:rsidRPr="009B6CCF">
        <w:lastRenderedPageBreak/>
        <w:t>Contents</w:t>
      </w:r>
      <w:bookmarkEnd w:id="19"/>
      <w:bookmarkEnd w:id="20"/>
      <w:bookmarkEnd w:id="21"/>
      <w:bookmarkEnd w:id="22"/>
      <w:bookmarkEnd w:id="23"/>
      <w:bookmarkEnd w:id="24"/>
    </w:p>
    <w:p w14:paraId="43F4688F" w14:textId="6B4C6885" w:rsidR="00A51AFC" w:rsidRPr="002E1B5C" w:rsidRDefault="009A5CD8" w:rsidP="00347A31">
      <w:pPr>
        <w:pStyle w:val="Heading2"/>
        <w:spacing w:before="240"/>
      </w:pPr>
      <w:r w:rsidRPr="002E1B5C">
        <w:t>Part A</w:t>
      </w:r>
    </w:p>
    <w:p w14:paraId="50731544" w14:textId="4EF37644" w:rsidR="00F72C98" w:rsidRPr="002E1B5C" w:rsidRDefault="00F72C98" w:rsidP="00F72C98">
      <w:pPr>
        <w:pStyle w:val="Heading3"/>
        <w:pBdr>
          <w:bottom w:val="single" w:sz="12" w:space="1" w:color="492581" w:themeColor="accent1"/>
        </w:pBdr>
        <w:rPr>
          <w:sz w:val="28"/>
          <w:szCs w:val="28"/>
        </w:rPr>
      </w:pPr>
      <w:r w:rsidRPr="002E1B5C">
        <w:rPr>
          <w:sz w:val="28"/>
          <w:szCs w:val="28"/>
        </w:rPr>
        <w:t>Transmittal Certificate and Compliance</w:t>
      </w:r>
    </w:p>
    <w:p w14:paraId="786DB3F1" w14:textId="67852DAB" w:rsidR="00916470" w:rsidRPr="00B93868" w:rsidRDefault="00564509" w:rsidP="00E217F8">
      <w:pPr>
        <w:tabs>
          <w:tab w:val="right" w:pos="8505"/>
        </w:tabs>
        <w:spacing w:after="0"/>
      </w:pPr>
      <w:r w:rsidRPr="00B93868">
        <w:t>Transmittal Certificate</w:t>
      </w:r>
      <w:r w:rsidR="000B51CC" w:rsidRPr="00B93868">
        <w:tab/>
      </w:r>
      <w:r w:rsidR="008348DB" w:rsidRPr="00B93868">
        <w:t>6</w:t>
      </w:r>
    </w:p>
    <w:p w14:paraId="0F976502" w14:textId="1982EA93" w:rsidR="00A96CBD" w:rsidRPr="00B93868" w:rsidRDefault="00A96CBD" w:rsidP="0057231B">
      <w:pPr>
        <w:tabs>
          <w:tab w:val="left" w:pos="8327"/>
          <w:tab w:val="right" w:pos="8505"/>
        </w:tabs>
        <w:spacing w:after="0"/>
      </w:pPr>
      <w:r w:rsidRPr="00B93868">
        <w:t xml:space="preserve">Compliance </w:t>
      </w:r>
      <w:r w:rsidR="00BB08C8" w:rsidRPr="00B93868">
        <w:t>Statement</w:t>
      </w:r>
      <w:r w:rsidR="00BB08C8" w:rsidRPr="00B93868">
        <w:tab/>
      </w:r>
      <w:r w:rsidR="0057231B" w:rsidRPr="00B93868">
        <w:tab/>
        <w:t>7</w:t>
      </w:r>
    </w:p>
    <w:p w14:paraId="51156C91" w14:textId="0542873C" w:rsidR="000C6258" w:rsidRPr="00B93868" w:rsidRDefault="000C6258" w:rsidP="00E217F8">
      <w:pPr>
        <w:tabs>
          <w:tab w:val="right" w:pos="8505"/>
        </w:tabs>
        <w:spacing w:after="0"/>
      </w:pPr>
      <w:r w:rsidRPr="00B93868">
        <w:t>PART 1 Directions Overview</w:t>
      </w:r>
      <w:r w:rsidRPr="00B93868">
        <w:tab/>
      </w:r>
      <w:r w:rsidR="0057231B" w:rsidRPr="00B93868">
        <w:t>7</w:t>
      </w:r>
    </w:p>
    <w:p w14:paraId="736BBB82" w14:textId="24A3BE65" w:rsidR="000C6258" w:rsidRPr="00B93868" w:rsidRDefault="00AF45CB" w:rsidP="00E217F8">
      <w:pPr>
        <w:tabs>
          <w:tab w:val="right" w:pos="8505"/>
        </w:tabs>
        <w:spacing w:after="0"/>
      </w:pPr>
      <w:r w:rsidRPr="00B93868">
        <w:t>PART 2 Reporting Entity Annual Report Requirements</w:t>
      </w:r>
      <w:r w:rsidRPr="00B93868">
        <w:tab/>
      </w:r>
      <w:r w:rsidR="0057231B" w:rsidRPr="00B93868">
        <w:t>7</w:t>
      </w:r>
    </w:p>
    <w:p w14:paraId="5B7F32D3" w14:textId="009925FC" w:rsidR="00AF45CB" w:rsidRPr="00B93868" w:rsidRDefault="00AF45CB" w:rsidP="00E217F8">
      <w:pPr>
        <w:tabs>
          <w:tab w:val="right" w:pos="8505"/>
        </w:tabs>
        <w:spacing w:after="0"/>
      </w:pPr>
      <w:r w:rsidRPr="00B93868">
        <w:t>PART 3 Reporting by Exception</w:t>
      </w:r>
      <w:r w:rsidRPr="00B93868">
        <w:tab/>
      </w:r>
      <w:r w:rsidR="0057231B" w:rsidRPr="00B93868">
        <w:t>7</w:t>
      </w:r>
    </w:p>
    <w:p w14:paraId="09D4B918" w14:textId="695B12AB" w:rsidR="00AF45CB" w:rsidRPr="00B93868" w:rsidRDefault="00AF45CB" w:rsidP="00E217F8">
      <w:pPr>
        <w:tabs>
          <w:tab w:val="right" w:pos="8505"/>
        </w:tabs>
        <w:spacing w:after="0"/>
      </w:pPr>
      <w:r w:rsidRPr="00B93868">
        <w:t>PART 4 Specific Reporting Entities Annual Report Requirements</w:t>
      </w:r>
      <w:r w:rsidRPr="00B93868">
        <w:tab/>
      </w:r>
      <w:r w:rsidR="0057231B" w:rsidRPr="00B93868">
        <w:t>7</w:t>
      </w:r>
    </w:p>
    <w:p w14:paraId="1271A04A" w14:textId="4D879C29" w:rsidR="00AF45CB" w:rsidRPr="002E1B5C" w:rsidRDefault="00AF45CB" w:rsidP="00E217F8">
      <w:pPr>
        <w:tabs>
          <w:tab w:val="right" w:pos="8505"/>
        </w:tabs>
        <w:spacing w:after="0"/>
      </w:pPr>
      <w:r w:rsidRPr="00B93868">
        <w:t>PART 5 Whole of Government Annual Reporting</w:t>
      </w:r>
      <w:r w:rsidRPr="00B93868">
        <w:tab/>
      </w:r>
      <w:r w:rsidR="00B93868" w:rsidRPr="00B93868">
        <w:t>8</w:t>
      </w:r>
    </w:p>
    <w:p w14:paraId="16004F43" w14:textId="6C5AA1AE" w:rsidR="00581662" w:rsidRPr="002E1B5C" w:rsidRDefault="00581662" w:rsidP="00347A31">
      <w:pPr>
        <w:pStyle w:val="Heading2"/>
        <w:spacing w:before="240"/>
      </w:pPr>
      <w:r w:rsidRPr="002E1B5C">
        <w:t>Part B</w:t>
      </w:r>
    </w:p>
    <w:p w14:paraId="13A286A0" w14:textId="3324425D" w:rsidR="00EE0E25" w:rsidRPr="002E1B5C" w:rsidRDefault="00C7362E" w:rsidP="00C96492">
      <w:pPr>
        <w:pStyle w:val="Heading3"/>
        <w:pBdr>
          <w:bottom w:val="single" w:sz="12" w:space="1" w:color="492581" w:themeColor="accent1"/>
        </w:pBdr>
        <w:rPr>
          <w:sz w:val="28"/>
          <w:szCs w:val="28"/>
        </w:rPr>
      </w:pPr>
      <w:r w:rsidRPr="002E1B5C">
        <w:rPr>
          <w:sz w:val="28"/>
          <w:szCs w:val="28"/>
        </w:rPr>
        <w:t>Organisational Overview and Performance</w:t>
      </w:r>
    </w:p>
    <w:p w14:paraId="6452EA34" w14:textId="5273F179" w:rsidR="00C7362E" w:rsidRPr="00BA55CF" w:rsidRDefault="001E4253" w:rsidP="00E217F8">
      <w:pPr>
        <w:tabs>
          <w:tab w:val="right" w:pos="8505"/>
        </w:tabs>
        <w:spacing w:after="0"/>
      </w:pPr>
      <w:r w:rsidRPr="00BA55CF">
        <w:t>B.1 Organisational Overview</w:t>
      </w:r>
      <w:r w:rsidR="00C7362E" w:rsidRPr="00BA55CF">
        <w:tab/>
      </w:r>
      <w:r w:rsidR="00B93868" w:rsidRPr="00BA55CF">
        <w:t>10</w:t>
      </w:r>
    </w:p>
    <w:p w14:paraId="200777A3" w14:textId="2AF58761" w:rsidR="007A2726" w:rsidRPr="00BA55CF" w:rsidRDefault="00CF6983" w:rsidP="00E217F8">
      <w:pPr>
        <w:tabs>
          <w:tab w:val="right" w:pos="8505"/>
        </w:tabs>
        <w:spacing w:after="0"/>
      </w:pPr>
      <w:r w:rsidRPr="00BA55CF">
        <w:t>B.2 Performance Analysis</w:t>
      </w:r>
      <w:r w:rsidRPr="00BA55CF">
        <w:tab/>
      </w:r>
      <w:r w:rsidR="0006663D" w:rsidRPr="00BA55CF">
        <w:t>1</w:t>
      </w:r>
      <w:r w:rsidR="009759C9" w:rsidRPr="00BA55CF">
        <w:t>9</w:t>
      </w:r>
    </w:p>
    <w:p w14:paraId="524B0412" w14:textId="320A379B" w:rsidR="00CF3B1E" w:rsidRPr="00BA55CF" w:rsidRDefault="00CF3B1E" w:rsidP="00E217F8">
      <w:pPr>
        <w:tabs>
          <w:tab w:val="right" w:pos="8505"/>
        </w:tabs>
        <w:spacing w:after="0"/>
      </w:pPr>
      <w:r w:rsidRPr="00BA55CF">
        <w:t>B.3 Scrutiny</w:t>
      </w:r>
      <w:r w:rsidRPr="00BA55CF">
        <w:tab/>
      </w:r>
      <w:r w:rsidR="005A3748" w:rsidRPr="00BA55CF">
        <w:t>2</w:t>
      </w:r>
      <w:r w:rsidR="00103161">
        <w:t>3</w:t>
      </w:r>
    </w:p>
    <w:p w14:paraId="76F317E1" w14:textId="28508565" w:rsidR="00CF3B1E" w:rsidRPr="00BA55CF" w:rsidRDefault="00CF3B1E" w:rsidP="00E217F8">
      <w:pPr>
        <w:tabs>
          <w:tab w:val="right" w:pos="8505"/>
        </w:tabs>
        <w:spacing w:after="0"/>
      </w:pPr>
      <w:r w:rsidRPr="00BA55CF">
        <w:t>B.4 Risk Management</w:t>
      </w:r>
      <w:r w:rsidRPr="00BA55CF">
        <w:tab/>
      </w:r>
      <w:r w:rsidR="005A3748" w:rsidRPr="00BA55CF">
        <w:t>2</w:t>
      </w:r>
      <w:r w:rsidR="009759C9" w:rsidRPr="00BA55CF">
        <w:t>3</w:t>
      </w:r>
    </w:p>
    <w:p w14:paraId="7989261A" w14:textId="6DC1873C" w:rsidR="00CF3B1E" w:rsidRPr="00BA55CF" w:rsidRDefault="00CF3B1E" w:rsidP="00E217F8">
      <w:pPr>
        <w:tabs>
          <w:tab w:val="right" w:pos="8505"/>
        </w:tabs>
        <w:spacing w:after="0"/>
      </w:pPr>
      <w:r w:rsidRPr="00BA55CF">
        <w:t>B.5 Internal Audit</w:t>
      </w:r>
      <w:r w:rsidRPr="00BA55CF">
        <w:tab/>
      </w:r>
      <w:r w:rsidR="00FE0CE7" w:rsidRPr="00BA55CF">
        <w:t>2</w:t>
      </w:r>
      <w:r w:rsidR="009759C9" w:rsidRPr="00BA55CF">
        <w:t>3</w:t>
      </w:r>
    </w:p>
    <w:p w14:paraId="3980199E" w14:textId="2874C57E" w:rsidR="00CF3B1E" w:rsidRPr="00BA55CF" w:rsidRDefault="00FF06E2" w:rsidP="00E217F8">
      <w:pPr>
        <w:tabs>
          <w:tab w:val="right" w:pos="8505"/>
        </w:tabs>
        <w:spacing w:after="0"/>
      </w:pPr>
      <w:r w:rsidRPr="00BA55CF">
        <w:t>B.6 Fraud Prevention</w:t>
      </w:r>
      <w:r w:rsidRPr="00BA55CF">
        <w:tab/>
      </w:r>
      <w:r w:rsidR="00C4796F" w:rsidRPr="00BA55CF">
        <w:t>2</w:t>
      </w:r>
      <w:r w:rsidR="00D05F3D" w:rsidRPr="00BA55CF">
        <w:t>5</w:t>
      </w:r>
    </w:p>
    <w:p w14:paraId="71CDF329" w14:textId="1AA1ED5B" w:rsidR="00FF06E2" w:rsidRPr="00BA55CF" w:rsidRDefault="00FF06E2" w:rsidP="00E217F8">
      <w:pPr>
        <w:tabs>
          <w:tab w:val="right" w:pos="8505"/>
        </w:tabs>
        <w:spacing w:after="0"/>
      </w:pPr>
      <w:r w:rsidRPr="00BA55CF">
        <w:t>B.7 Freedom of Information</w:t>
      </w:r>
      <w:r w:rsidRPr="00BA55CF">
        <w:tab/>
      </w:r>
      <w:r w:rsidR="007B4F04" w:rsidRPr="00BA55CF">
        <w:t>2</w:t>
      </w:r>
      <w:r w:rsidR="00D05F3D" w:rsidRPr="00BA55CF">
        <w:t>5</w:t>
      </w:r>
    </w:p>
    <w:p w14:paraId="3935A2EB" w14:textId="24CC29DB" w:rsidR="00FF06E2" w:rsidRPr="00BA55CF" w:rsidRDefault="00FF06E2" w:rsidP="00E217F8">
      <w:pPr>
        <w:tabs>
          <w:tab w:val="right" w:pos="8505"/>
        </w:tabs>
        <w:spacing w:after="0"/>
      </w:pPr>
      <w:r w:rsidRPr="00BA55CF">
        <w:t>B.8 Community Engagement and Support</w:t>
      </w:r>
      <w:r w:rsidRPr="00BA55CF">
        <w:tab/>
      </w:r>
      <w:r w:rsidR="00B16C7C" w:rsidRPr="00BA55CF">
        <w:t>2</w:t>
      </w:r>
      <w:r w:rsidR="00D05F3D" w:rsidRPr="00BA55CF">
        <w:t>6</w:t>
      </w:r>
    </w:p>
    <w:p w14:paraId="72346376" w14:textId="76BAB554" w:rsidR="00FF06E2" w:rsidRPr="00BA55CF" w:rsidRDefault="008D45AC" w:rsidP="00E217F8">
      <w:pPr>
        <w:tabs>
          <w:tab w:val="right" w:pos="8505"/>
        </w:tabs>
        <w:spacing w:after="0"/>
      </w:pPr>
      <w:r w:rsidRPr="00BA55CF">
        <w:t>B.9 Aboriginal and Torres Strait Islander Reporting</w:t>
      </w:r>
      <w:r w:rsidRPr="00BA55CF">
        <w:tab/>
      </w:r>
      <w:r w:rsidR="00B16C7C" w:rsidRPr="00BA55CF">
        <w:t>2</w:t>
      </w:r>
      <w:r w:rsidR="00D05F3D" w:rsidRPr="00BA55CF">
        <w:t>6</w:t>
      </w:r>
    </w:p>
    <w:p w14:paraId="277B08AD" w14:textId="6D5FC778" w:rsidR="00166E60" w:rsidRPr="00BA55CF" w:rsidRDefault="00166E60" w:rsidP="00166E60">
      <w:pPr>
        <w:tabs>
          <w:tab w:val="right" w:pos="8505"/>
        </w:tabs>
        <w:spacing w:after="0"/>
      </w:pPr>
      <w:r w:rsidRPr="00BA55CF">
        <w:t>B.10 Multicult</w:t>
      </w:r>
      <w:r w:rsidR="009975C1" w:rsidRPr="00BA55CF">
        <w:t>uralism Act 2023 Reporting</w:t>
      </w:r>
      <w:r w:rsidRPr="00BA55CF">
        <w:tab/>
        <w:t>2</w:t>
      </w:r>
      <w:r w:rsidR="00BA55CF" w:rsidRPr="00BA55CF">
        <w:t>6</w:t>
      </w:r>
    </w:p>
    <w:p w14:paraId="3FF17E6B" w14:textId="19FE5DA0" w:rsidR="008D45AC" w:rsidRPr="00BA55CF" w:rsidRDefault="008D45AC" w:rsidP="00E217F8">
      <w:pPr>
        <w:tabs>
          <w:tab w:val="right" w:pos="8505"/>
        </w:tabs>
        <w:spacing w:after="0"/>
      </w:pPr>
      <w:r w:rsidRPr="00BA55CF">
        <w:t>B.1</w:t>
      </w:r>
      <w:r w:rsidR="009975C1" w:rsidRPr="00BA55CF">
        <w:t>1</w:t>
      </w:r>
      <w:r w:rsidRPr="00BA55CF">
        <w:t xml:space="preserve"> Work Health and Safety</w:t>
      </w:r>
      <w:r w:rsidRPr="00BA55CF">
        <w:tab/>
      </w:r>
      <w:r w:rsidR="0049443B" w:rsidRPr="00BA55CF">
        <w:t>2</w:t>
      </w:r>
      <w:r w:rsidR="00BA55CF" w:rsidRPr="00BA55CF">
        <w:t>6</w:t>
      </w:r>
    </w:p>
    <w:p w14:paraId="2A5CB387" w14:textId="01D7C8DA" w:rsidR="008D45AC" w:rsidRPr="00BA55CF" w:rsidRDefault="008D45AC" w:rsidP="00E217F8">
      <w:pPr>
        <w:tabs>
          <w:tab w:val="right" w:pos="8505"/>
        </w:tabs>
        <w:spacing w:after="0"/>
      </w:pPr>
      <w:r w:rsidRPr="00BA55CF">
        <w:t>B.1</w:t>
      </w:r>
      <w:r w:rsidR="009975C1" w:rsidRPr="00BA55CF">
        <w:t>2</w:t>
      </w:r>
      <w:r w:rsidRPr="00BA55CF">
        <w:t xml:space="preserve"> Human Resources Management</w:t>
      </w:r>
      <w:r w:rsidRPr="00BA55CF">
        <w:tab/>
      </w:r>
      <w:r w:rsidR="0049443B" w:rsidRPr="00BA55CF">
        <w:t>2</w:t>
      </w:r>
      <w:r w:rsidR="00BA55CF" w:rsidRPr="00BA55CF">
        <w:t>7</w:t>
      </w:r>
    </w:p>
    <w:p w14:paraId="41EF2786" w14:textId="1B036B82" w:rsidR="00CF3B1E" w:rsidRPr="002E1B5C" w:rsidRDefault="008D45AC" w:rsidP="00E217F8">
      <w:pPr>
        <w:tabs>
          <w:tab w:val="right" w:pos="8505"/>
        </w:tabs>
        <w:spacing w:after="0"/>
      </w:pPr>
      <w:r w:rsidRPr="00BA55CF">
        <w:t>B.1</w:t>
      </w:r>
      <w:r w:rsidR="009975C1" w:rsidRPr="00BA55CF">
        <w:t>3</w:t>
      </w:r>
      <w:r w:rsidRPr="00BA55CF">
        <w:t xml:space="preserve"> Ecological Sustainability Reporting</w:t>
      </w:r>
      <w:r w:rsidRPr="00BA55CF">
        <w:tab/>
      </w:r>
      <w:r w:rsidR="00BA55CF" w:rsidRPr="00BA55CF">
        <w:t>30</w:t>
      </w:r>
    </w:p>
    <w:p w14:paraId="10107670" w14:textId="786A8B2E" w:rsidR="00A64C16" w:rsidRPr="002E1B5C" w:rsidRDefault="00A64C16" w:rsidP="00347A31">
      <w:pPr>
        <w:pStyle w:val="Heading2"/>
        <w:spacing w:before="240"/>
      </w:pPr>
      <w:r w:rsidRPr="002E1B5C">
        <w:t>Part</w:t>
      </w:r>
      <w:r w:rsidR="00EE4D32" w:rsidRPr="002E1B5C">
        <w:t xml:space="preserve"> C</w:t>
      </w:r>
    </w:p>
    <w:p w14:paraId="629C5488" w14:textId="537A43EF" w:rsidR="00A64C16" w:rsidRPr="002E1B5C" w:rsidRDefault="00EE4D32" w:rsidP="00A64C16">
      <w:pPr>
        <w:pStyle w:val="Heading3"/>
        <w:pBdr>
          <w:bottom w:val="single" w:sz="12" w:space="1" w:color="492581" w:themeColor="accent1"/>
        </w:pBdr>
        <w:rPr>
          <w:sz w:val="28"/>
          <w:szCs w:val="28"/>
        </w:rPr>
      </w:pPr>
      <w:r w:rsidRPr="002E1B5C">
        <w:rPr>
          <w:sz w:val="28"/>
          <w:szCs w:val="28"/>
        </w:rPr>
        <w:t>Financial Management Reporting</w:t>
      </w:r>
    </w:p>
    <w:p w14:paraId="2263DCA8" w14:textId="60C79B76" w:rsidR="00A64C16" w:rsidRPr="00C04137" w:rsidRDefault="00AD7DA9" w:rsidP="00E217F8">
      <w:pPr>
        <w:tabs>
          <w:tab w:val="right" w:pos="8505"/>
        </w:tabs>
        <w:spacing w:after="0"/>
      </w:pPr>
      <w:r w:rsidRPr="00C04137">
        <w:t>C.1 Financial Management Analysis</w:t>
      </w:r>
      <w:r w:rsidR="00A64C16" w:rsidRPr="00C04137">
        <w:tab/>
      </w:r>
      <w:r w:rsidR="00B56780" w:rsidRPr="00C04137">
        <w:t>3</w:t>
      </w:r>
      <w:r w:rsidR="00387E0E" w:rsidRPr="00C04137">
        <w:t>3</w:t>
      </w:r>
    </w:p>
    <w:p w14:paraId="6C14E2C2" w14:textId="013FF6C2" w:rsidR="00A64C16" w:rsidRPr="00C04137" w:rsidRDefault="00426E8F" w:rsidP="00E217F8">
      <w:pPr>
        <w:tabs>
          <w:tab w:val="right" w:pos="8505"/>
        </w:tabs>
        <w:spacing w:after="0"/>
      </w:pPr>
      <w:r w:rsidRPr="00C04137">
        <w:t>C.2 Financial Statements</w:t>
      </w:r>
      <w:r w:rsidR="00A64C16" w:rsidRPr="00C04137">
        <w:tab/>
      </w:r>
      <w:r w:rsidR="006A104E" w:rsidRPr="00C04137">
        <w:t>4</w:t>
      </w:r>
      <w:r w:rsidR="00387E0E" w:rsidRPr="00C04137">
        <w:t>4</w:t>
      </w:r>
    </w:p>
    <w:p w14:paraId="6D0834E1" w14:textId="61464772" w:rsidR="003D4B0E" w:rsidRPr="00C04137" w:rsidRDefault="003D4B0E" w:rsidP="00E217F8">
      <w:pPr>
        <w:tabs>
          <w:tab w:val="right" w:pos="8505"/>
        </w:tabs>
        <w:spacing w:after="0"/>
      </w:pPr>
      <w:r w:rsidRPr="00C04137">
        <w:t>C.3 Capital Works</w:t>
      </w:r>
      <w:r w:rsidRPr="00C04137">
        <w:tab/>
      </w:r>
      <w:r w:rsidR="00EC6DEC" w:rsidRPr="00C04137">
        <w:t>9</w:t>
      </w:r>
      <w:r w:rsidR="00617476" w:rsidRPr="00C04137">
        <w:t>6</w:t>
      </w:r>
    </w:p>
    <w:p w14:paraId="16DF5344" w14:textId="233EEE3B" w:rsidR="003D4B0E" w:rsidRPr="00C04137" w:rsidRDefault="003D4B0E" w:rsidP="00E217F8">
      <w:pPr>
        <w:tabs>
          <w:tab w:val="right" w:pos="8505"/>
        </w:tabs>
        <w:spacing w:after="0"/>
      </w:pPr>
      <w:r w:rsidRPr="00C04137">
        <w:t>C.4 Asset Management</w:t>
      </w:r>
      <w:r w:rsidRPr="00C04137">
        <w:tab/>
      </w:r>
      <w:r w:rsidR="00EC6DEC" w:rsidRPr="00C04137">
        <w:t>9</w:t>
      </w:r>
      <w:r w:rsidR="00C04137" w:rsidRPr="00C04137">
        <w:t>6</w:t>
      </w:r>
    </w:p>
    <w:p w14:paraId="2663E872" w14:textId="59D9EE17" w:rsidR="003D4B0E" w:rsidRPr="00C04137" w:rsidRDefault="003D4B0E" w:rsidP="00E217F8">
      <w:pPr>
        <w:tabs>
          <w:tab w:val="right" w:pos="8505"/>
        </w:tabs>
        <w:spacing w:after="0"/>
      </w:pPr>
      <w:r w:rsidRPr="00C04137">
        <w:t>C.5 Government Contracting</w:t>
      </w:r>
      <w:r w:rsidRPr="00C04137">
        <w:tab/>
      </w:r>
      <w:r w:rsidR="00EC6DEC" w:rsidRPr="00C04137">
        <w:t>9</w:t>
      </w:r>
      <w:r w:rsidR="00C04137" w:rsidRPr="00C04137">
        <w:t>6</w:t>
      </w:r>
    </w:p>
    <w:p w14:paraId="53C02734" w14:textId="6B111CAD" w:rsidR="003D4B0E" w:rsidRPr="00C04137" w:rsidRDefault="003D4B0E" w:rsidP="00E217F8">
      <w:pPr>
        <w:tabs>
          <w:tab w:val="right" w:pos="8505"/>
        </w:tabs>
        <w:spacing w:after="0"/>
      </w:pPr>
      <w:r w:rsidRPr="00C04137">
        <w:t>C.6 Statement of Performance</w:t>
      </w:r>
      <w:r w:rsidRPr="00C04137">
        <w:tab/>
      </w:r>
      <w:r w:rsidR="00EC6DEC" w:rsidRPr="00C04137">
        <w:t>97</w:t>
      </w:r>
    </w:p>
    <w:p w14:paraId="5E472804" w14:textId="77777777" w:rsidR="00347A31" w:rsidRPr="00C04137" w:rsidRDefault="00347A31" w:rsidP="00E217F8">
      <w:pPr>
        <w:tabs>
          <w:tab w:val="right" w:pos="8505"/>
        </w:tabs>
        <w:spacing w:after="0"/>
      </w:pPr>
    </w:p>
    <w:p w14:paraId="35A3E207" w14:textId="738FA3D2" w:rsidR="00CF3B1E" w:rsidRDefault="00EF44DC" w:rsidP="00E217F8">
      <w:pPr>
        <w:tabs>
          <w:tab w:val="right" w:pos="8505"/>
        </w:tabs>
        <w:spacing w:after="0"/>
      </w:pPr>
      <w:r w:rsidRPr="00C04137">
        <w:t xml:space="preserve">Glossary </w:t>
      </w:r>
      <w:r w:rsidR="00036716" w:rsidRPr="00C04137">
        <w:t>Of Technical Terms</w:t>
      </w:r>
      <w:r w:rsidR="00036716" w:rsidRPr="00C04137">
        <w:tab/>
      </w:r>
      <w:r w:rsidR="00EC6DEC" w:rsidRPr="00C04137">
        <w:t>107</w:t>
      </w:r>
    </w:p>
    <w:p w14:paraId="301DB018" w14:textId="5985771D" w:rsidR="007A2726" w:rsidRDefault="007A2726" w:rsidP="00E217F8">
      <w:pPr>
        <w:tabs>
          <w:tab w:val="right" w:pos="8505"/>
        </w:tabs>
        <w:spacing w:after="0"/>
        <w:sectPr w:rsidR="007A2726" w:rsidSect="0006413E">
          <w:headerReference w:type="first" r:id="rId25"/>
          <w:footerReference w:type="first" r:id="rId26"/>
          <w:type w:val="continuous"/>
          <w:pgSz w:w="11907" w:h="16840" w:code="9"/>
          <w:pgMar w:top="1418" w:right="1417" w:bottom="1701" w:left="1418" w:header="567" w:footer="255" w:gutter="0"/>
          <w:cols w:space="720"/>
          <w:titlePg/>
          <w:docGrid w:linePitch="299"/>
        </w:sectPr>
      </w:pPr>
    </w:p>
    <w:p w14:paraId="6F32C22C" w14:textId="550DCDAB" w:rsidR="00ED38C9" w:rsidRDefault="00FE5296" w:rsidP="00351F1B">
      <w:r>
        <w:rPr>
          <w:noProof/>
        </w:rPr>
        <w:lastRenderedPageBreak/>
        <w:drawing>
          <wp:anchor distT="0" distB="0" distL="114300" distR="114300" simplePos="0" relativeHeight="251658241" behindDoc="1" locked="0" layoutInCell="1" allowOverlap="1" wp14:anchorId="3D1E9C0F" wp14:editId="09653009">
            <wp:simplePos x="0" y="0"/>
            <wp:positionH relativeFrom="page">
              <wp:align>right</wp:align>
            </wp:positionH>
            <wp:positionV relativeFrom="paragraph">
              <wp:posOffset>-899795</wp:posOffset>
            </wp:positionV>
            <wp:extent cx="7551420" cy="9982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1420" cy="9982200"/>
                    </a:xfrm>
                    <a:prstGeom prst="rect">
                      <a:avLst/>
                    </a:prstGeom>
                  </pic:spPr>
                </pic:pic>
              </a:graphicData>
            </a:graphic>
            <wp14:sizeRelH relativeFrom="margin">
              <wp14:pctWidth>0</wp14:pctWidth>
            </wp14:sizeRelH>
            <wp14:sizeRelV relativeFrom="margin">
              <wp14:pctHeight>0</wp14:pctHeight>
            </wp14:sizeRelV>
          </wp:anchor>
        </w:drawing>
      </w:r>
    </w:p>
    <w:p w14:paraId="0950120A" w14:textId="0D980B17" w:rsidR="00ED38C9" w:rsidRDefault="00DD39B6" w:rsidP="00351F1B">
      <w:pPr>
        <w:rPr>
          <w:rFonts w:eastAsiaTheme="majorEastAsia" w:cstheme="majorBidi"/>
          <w:b/>
          <w:color w:val="361B60" w:themeColor="accent1" w:themeShade="BF"/>
          <w:sz w:val="32"/>
          <w:szCs w:val="32"/>
        </w:rPr>
      </w:pPr>
      <w:r>
        <w:rPr>
          <w:noProof/>
        </w:rPr>
        <mc:AlternateContent>
          <mc:Choice Requires="wps">
            <w:drawing>
              <wp:anchor distT="0" distB="0" distL="114300" distR="114300" simplePos="0" relativeHeight="251658242" behindDoc="0" locked="0" layoutInCell="1" allowOverlap="1" wp14:anchorId="6E9C21CF" wp14:editId="09F07615">
                <wp:simplePos x="0" y="0"/>
                <wp:positionH relativeFrom="margin">
                  <wp:posOffset>32084</wp:posOffset>
                </wp:positionH>
                <wp:positionV relativeFrom="paragraph">
                  <wp:posOffset>880244</wp:posOffset>
                </wp:positionV>
                <wp:extent cx="3723640" cy="1249680"/>
                <wp:effectExtent l="0" t="0" r="0" b="762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640" cy="1249680"/>
                        </a:xfrm>
                        <a:prstGeom prst="rect">
                          <a:avLst/>
                        </a:prstGeom>
                        <a:noFill/>
                        <a:ln w="6350">
                          <a:noFill/>
                        </a:ln>
                      </wps:spPr>
                      <wps:txbx>
                        <w:txbxContent>
                          <w:p w14:paraId="59E58AFA" w14:textId="4BE36409" w:rsidR="00DD39B6" w:rsidRPr="00DD39B6" w:rsidRDefault="00DD39B6" w:rsidP="00DD39B6">
                            <w:pPr>
                              <w:pStyle w:val="Chapterdivider-Parttext"/>
                              <w:rPr>
                                <w:b/>
                              </w:rPr>
                            </w:pPr>
                            <w:r>
                              <w:rPr>
                                <w:b/>
                              </w:rPr>
                              <w:t>Section</w:t>
                            </w:r>
                            <w:r w:rsidRPr="001E74B3">
                              <w:rPr>
                                <w:b/>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9C21CF" id="_x0000_t202" coordsize="21600,21600" o:spt="202" path="m,l,21600r21600,l21600,xe">
                <v:stroke joinstyle="miter"/>
                <v:path gradientshapeok="t" o:connecttype="rect"/>
              </v:shapetype>
              <v:shape id="Text Box 4" o:spid="_x0000_s1026" type="#_x0000_t202" alt="&quot;&quot;" style="position:absolute;margin-left:2.55pt;margin-top:69.3pt;width:293.2pt;height:98.4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" filled="f" stroked="f" strokeweight=".5pt">
                <v:textbox>
                  <w:txbxContent>
                    <w:p w14:paraId="59E58AFA" w14:textId="4BE36409" w:rsidR="00DD39B6" w:rsidRPr="00DD39B6" w:rsidRDefault="00DD39B6" w:rsidP="00DD39B6">
                      <w:pPr>
                        <w:pStyle w:val="Chapterdivider-Parttext"/>
                        <w:rPr>
                          <w:b/>
                        </w:rPr>
                      </w:pPr>
                      <w:r>
                        <w:rPr>
                          <w:b/>
                        </w:rPr>
                        <w:t>Section</w:t>
                      </w:r>
                      <w:r w:rsidRPr="001E74B3">
                        <w:rPr>
                          <w:b/>
                        </w:rPr>
                        <w:t xml:space="preserve"> A</w:t>
                      </w:r>
                    </w:p>
                  </w:txbxContent>
                </v:textbox>
                <w10:wrap anchorx="margin"/>
              </v:shape>
            </w:pict>
          </mc:Fallback>
        </mc:AlternateContent>
      </w:r>
      <w:r w:rsidR="00ED38C9">
        <w:br w:type="page"/>
      </w:r>
    </w:p>
    <w:p w14:paraId="5FD0CD71" w14:textId="5F863AB2" w:rsidR="009266DD" w:rsidRPr="009B6CCF" w:rsidRDefault="00D275B3" w:rsidP="009B6CCF">
      <w:pPr>
        <w:pStyle w:val="Heading1"/>
        <w:rPr>
          <w:noProof/>
        </w:rPr>
      </w:pPr>
      <w:r>
        <w:rPr>
          <w:noProof/>
        </w:rPr>
        <w:lastRenderedPageBreak/>
        <w:drawing>
          <wp:anchor distT="0" distB="0" distL="114300" distR="114300" simplePos="0" relativeHeight="251659776" behindDoc="0" locked="0" layoutInCell="1" allowOverlap="1" wp14:anchorId="3E0752B0" wp14:editId="764A13B8">
            <wp:simplePos x="0" y="0"/>
            <wp:positionH relativeFrom="column">
              <wp:posOffset>185420</wp:posOffset>
            </wp:positionH>
            <wp:positionV relativeFrom="paragraph">
              <wp:posOffset>572770</wp:posOffset>
            </wp:positionV>
            <wp:extent cx="5303520" cy="6987540"/>
            <wp:effectExtent l="0" t="0" r="0" b="3810"/>
            <wp:wrapNone/>
            <wp:docPr id="50934841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48411" name="Picture 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303520" cy="6987540"/>
                    </a:xfrm>
                    <a:prstGeom prst="rect">
                      <a:avLst/>
                    </a:prstGeom>
                  </pic:spPr>
                </pic:pic>
              </a:graphicData>
            </a:graphic>
            <wp14:sizeRelH relativeFrom="page">
              <wp14:pctWidth>0</wp14:pctWidth>
            </wp14:sizeRelH>
            <wp14:sizeRelV relativeFrom="page">
              <wp14:pctHeight>0</wp14:pctHeight>
            </wp14:sizeRelV>
          </wp:anchor>
        </w:drawing>
      </w:r>
      <w:r w:rsidR="008C798C" w:rsidRPr="00861DAE">
        <w:t>A. Transmittal Certificate</w:t>
      </w:r>
      <w:r w:rsidR="008C798C">
        <w:t xml:space="preserve"> </w:t>
      </w:r>
    </w:p>
    <w:p w14:paraId="25AA2075" w14:textId="6FA229E3" w:rsidR="0000018C" w:rsidRDefault="0000018C">
      <w:pPr>
        <w:spacing w:after="0"/>
      </w:pPr>
    </w:p>
    <w:p w14:paraId="034508C1" w14:textId="1AA8F9DC" w:rsidR="009934F8" w:rsidRDefault="009934F8">
      <w:pPr>
        <w:spacing w:after="0"/>
      </w:pPr>
      <w:r>
        <w:br w:type="page"/>
      </w:r>
    </w:p>
    <w:p w14:paraId="302C904C" w14:textId="6084EACB" w:rsidR="009934F8" w:rsidRPr="00B511DC" w:rsidRDefault="009934F8" w:rsidP="009934F8">
      <w:pPr>
        <w:pStyle w:val="Heading1"/>
      </w:pPr>
      <w:bookmarkStart w:id="25" w:name="_Toc141174701"/>
      <w:r w:rsidRPr="00B511DC">
        <w:lastRenderedPageBreak/>
        <w:t>Compliance Statement</w:t>
      </w:r>
      <w:bookmarkEnd w:id="25"/>
    </w:p>
    <w:p w14:paraId="03C80147" w14:textId="1C7CD574" w:rsidR="00A73CA8" w:rsidRPr="00A118C5" w:rsidRDefault="00A73CA8" w:rsidP="00A73CA8">
      <w:r w:rsidRPr="00A118C5">
        <w:t xml:space="preserve">The </w:t>
      </w:r>
      <w:r w:rsidR="00323290" w:rsidRPr="00A118C5">
        <w:rPr>
          <w:b/>
          <w:bCs/>
        </w:rPr>
        <w:t>2023-24</w:t>
      </w:r>
      <w:r w:rsidRPr="00A118C5">
        <w:rPr>
          <w:b/>
          <w:bCs/>
        </w:rPr>
        <w:t xml:space="preserve"> ACT Insurance Authority Annual Report</w:t>
      </w:r>
      <w:r w:rsidRPr="00A118C5">
        <w:t xml:space="preserve"> must comply with the </w:t>
      </w:r>
      <w:r w:rsidRPr="00A118C5">
        <w:rPr>
          <w:i/>
          <w:iCs/>
        </w:rPr>
        <w:t>Annual Reports (Government Agencies) Directions 202</w:t>
      </w:r>
      <w:r w:rsidR="00323290" w:rsidRPr="00A118C5">
        <w:rPr>
          <w:i/>
          <w:iCs/>
        </w:rPr>
        <w:t>4</w:t>
      </w:r>
      <w:r w:rsidRPr="00A118C5">
        <w:t xml:space="preserve"> (the Directions) made under section 8 of the </w:t>
      </w:r>
      <w:r w:rsidRPr="00A118C5">
        <w:rPr>
          <w:i/>
          <w:iCs/>
        </w:rPr>
        <w:t>Annual Reports (Government Agencies) 2004 Act</w:t>
      </w:r>
      <w:r w:rsidRPr="00A118C5">
        <w:t xml:space="preserve">. The Directions are found at the ACT Legislation Register: </w:t>
      </w:r>
      <w:hyperlink r:id="rId29" w:history="1">
        <w:r w:rsidR="00883B89">
          <w:rPr>
            <w:rStyle w:val="Hyperlink"/>
          </w:rPr>
          <w:t>www.legislation.act.gov.au</w:t>
        </w:r>
      </w:hyperlink>
      <w:r w:rsidRPr="00A118C5">
        <w:t>.</w:t>
      </w:r>
    </w:p>
    <w:p w14:paraId="24905935" w14:textId="2AE5C4D4" w:rsidR="009934F8" w:rsidRPr="00A118C5" w:rsidRDefault="00A73CA8" w:rsidP="00A73CA8">
      <w:r w:rsidRPr="00A118C5">
        <w:t>The Compliance Statement indicates the subsections under Parts 1 to 5 of the Directions that are applicable to the Authority and the location of information that satisfies these requirements.</w:t>
      </w:r>
    </w:p>
    <w:p w14:paraId="686650A6" w14:textId="786E159B" w:rsidR="009266DD" w:rsidRPr="00E2214F" w:rsidRDefault="008C3CF8" w:rsidP="00351F1B">
      <w:pPr>
        <w:pStyle w:val="Heading2"/>
      </w:pPr>
      <w:bookmarkStart w:id="26" w:name="_Toc78885911"/>
      <w:bookmarkStart w:id="27" w:name="_Toc141174702"/>
      <w:r w:rsidRPr="00E2214F">
        <w:t xml:space="preserve">PART 1 </w:t>
      </w:r>
      <w:r w:rsidR="000C2791" w:rsidRPr="00E2214F">
        <w:t>Directions Overview</w:t>
      </w:r>
      <w:bookmarkEnd w:id="26"/>
      <w:bookmarkEnd w:id="27"/>
    </w:p>
    <w:p w14:paraId="0AA8FC4F" w14:textId="2513A19C" w:rsidR="00B77BEC" w:rsidRPr="00E2214F" w:rsidRDefault="00B77BEC" w:rsidP="009B6CCF">
      <w:r w:rsidRPr="00E2214F">
        <w:t>The requirements under Part 1 of the Directions relate to the purpose, timing and distribution, and record</w:t>
      </w:r>
      <w:r w:rsidR="00474645">
        <w:t>s</w:t>
      </w:r>
      <w:r w:rsidRPr="00E2214F">
        <w:t xml:space="preserve"> keeping of annual reports. The </w:t>
      </w:r>
      <w:r w:rsidR="00323290" w:rsidRPr="00E2214F">
        <w:rPr>
          <w:b/>
          <w:i/>
        </w:rPr>
        <w:t>2023-24</w:t>
      </w:r>
      <w:r w:rsidRPr="00E2214F">
        <w:rPr>
          <w:b/>
          <w:i/>
        </w:rPr>
        <w:t xml:space="preserve"> ACT Insurance Authority Annual Report</w:t>
      </w:r>
      <w:r w:rsidRPr="00E2214F">
        <w:t xml:space="preserve"> complies with all subsections of Part 1 under the Directions.</w:t>
      </w:r>
    </w:p>
    <w:p w14:paraId="0FE40F96" w14:textId="2CCF1148" w:rsidR="00B77BEC" w:rsidRPr="00E2214F" w:rsidRDefault="00B77BEC" w:rsidP="009B6CCF">
      <w:r w:rsidRPr="00E2214F">
        <w:t xml:space="preserve">To meet Section 15 Feedback, Part 1 of the Directions, contact details for the Authority are provided within the </w:t>
      </w:r>
      <w:r w:rsidR="00323290" w:rsidRPr="00E2214F">
        <w:rPr>
          <w:b/>
          <w:i/>
        </w:rPr>
        <w:t>2023-24</w:t>
      </w:r>
      <w:r w:rsidRPr="00E2214F">
        <w:rPr>
          <w:b/>
          <w:i/>
        </w:rPr>
        <w:t xml:space="preserve"> ACT Insurance Authority Annual Report</w:t>
      </w:r>
      <w:r w:rsidRPr="00E2214F">
        <w:t xml:space="preserve"> to provide readers with the opportunity to communicate feedback.</w:t>
      </w:r>
    </w:p>
    <w:p w14:paraId="52554C6D" w14:textId="1611CB31" w:rsidR="00B77BEC" w:rsidRPr="005C1FF7" w:rsidRDefault="00B77BEC" w:rsidP="00B77BEC">
      <w:pPr>
        <w:pStyle w:val="Heading2"/>
      </w:pPr>
      <w:bookmarkStart w:id="28" w:name="_Toc141174703"/>
      <w:r w:rsidRPr="005C1FF7">
        <w:t xml:space="preserve">PART 2 </w:t>
      </w:r>
      <w:r w:rsidR="00E25E50" w:rsidRPr="005C1FF7">
        <w:t>Reporting Entity Annual Report Requirements</w:t>
      </w:r>
      <w:bookmarkEnd w:id="28"/>
    </w:p>
    <w:p w14:paraId="35D67D3C" w14:textId="76101A67" w:rsidR="006B64F1" w:rsidRPr="005C1FF7" w:rsidRDefault="006B64F1" w:rsidP="008C574A">
      <w:pPr>
        <w:pStyle w:val="Bulletintropara"/>
      </w:pPr>
      <w:r w:rsidRPr="005C1FF7">
        <w:t xml:space="preserve">The requirements within Part 2 of the Directions are mandatory for all reporting entities and the Authority complies with all subsections. The information that satisfies the requirements of Part 2 is found in the </w:t>
      </w:r>
      <w:r w:rsidR="00323290" w:rsidRPr="008C574A">
        <w:rPr>
          <w:b/>
          <w:bCs w:val="0"/>
          <w:i/>
          <w:iCs w:val="0"/>
        </w:rPr>
        <w:t>2023-24</w:t>
      </w:r>
      <w:r w:rsidRPr="008C574A">
        <w:rPr>
          <w:b/>
          <w:bCs w:val="0"/>
          <w:i/>
          <w:iCs w:val="0"/>
        </w:rPr>
        <w:t xml:space="preserve"> ACT Insurance Authority Annual Report</w:t>
      </w:r>
      <w:r w:rsidRPr="005C1FF7">
        <w:t xml:space="preserve"> as follows: </w:t>
      </w:r>
    </w:p>
    <w:p w14:paraId="008F3A45" w14:textId="5BD32630" w:rsidR="006B64F1" w:rsidRPr="00A504C5" w:rsidRDefault="006B64F1" w:rsidP="00A36E9A">
      <w:pPr>
        <w:pStyle w:val="Bullet1"/>
        <w:numPr>
          <w:ilvl w:val="0"/>
          <w:numId w:val="13"/>
        </w:numPr>
        <w:tabs>
          <w:tab w:val="left" w:pos="284"/>
        </w:tabs>
        <w:ind w:left="284" w:hanging="284"/>
        <w:rPr>
          <w:rFonts w:eastAsia="Times New Roman" w:cs="Arial"/>
          <w:bCs/>
          <w:iCs/>
        </w:rPr>
      </w:pPr>
      <w:r w:rsidRPr="00A504C5">
        <w:rPr>
          <w:rFonts w:eastAsia="Times New Roman" w:cs="Arial"/>
          <w:bCs/>
          <w:iCs/>
        </w:rPr>
        <w:t xml:space="preserve">A. Transmittal Certificate, see </w:t>
      </w:r>
      <w:r w:rsidRPr="00CC436C">
        <w:rPr>
          <w:rFonts w:eastAsia="Times New Roman" w:cs="Arial"/>
        </w:rPr>
        <w:t xml:space="preserve">page </w:t>
      </w:r>
      <w:r w:rsidR="00CC436C" w:rsidRPr="00CC436C">
        <w:rPr>
          <w:rFonts w:eastAsia="Times New Roman" w:cs="Arial"/>
          <w:bCs/>
          <w:iCs/>
        </w:rPr>
        <w:t>6</w:t>
      </w:r>
      <w:r w:rsidRPr="00A504C5">
        <w:rPr>
          <w:rFonts w:eastAsia="Times New Roman" w:cs="Arial"/>
          <w:bCs/>
          <w:iCs/>
        </w:rPr>
        <w:t>.</w:t>
      </w:r>
    </w:p>
    <w:p w14:paraId="6CDFE644" w14:textId="690201EA" w:rsidR="00972BB8" w:rsidRDefault="006B64F1" w:rsidP="00972BB8">
      <w:pPr>
        <w:pStyle w:val="Bullet1"/>
        <w:numPr>
          <w:ilvl w:val="0"/>
          <w:numId w:val="13"/>
        </w:numPr>
        <w:tabs>
          <w:tab w:val="left" w:pos="284"/>
        </w:tabs>
        <w:spacing w:after="0"/>
        <w:ind w:left="284" w:hanging="284"/>
        <w:rPr>
          <w:rFonts w:eastAsia="Times New Roman" w:cs="Arial"/>
          <w:bCs/>
          <w:iCs/>
        </w:rPr>
      </w:pPr>
      <w:r w:rsidRPr="00A504C5">
        <w:rPr>
          <w:rFonts w:eastAsia="Times New Roman" w:cs="Arial"/>
          <w:bCs/>
          <w:iCs/>
        </w:rPr>
        <w:t>B. Organisational Overview and Performance, inclusive of all subsections, see</w:t>
      </w:r>
    </w:p>
    <w:p w14:paraId="11BB29E2" w14:textId="71B2A138" w:rsidR="006B64F1" w:rsidRPr="00A504C5" w:rsidRDefault="006B64F1" w:rsidP="00972BB8">
      <w:pPr>
        <w:pStyle w:val="Bullet1"/>
        <w:spacing w:before="0"/>
        <w:ind w:left="567"/>
        <w:rPr>
          <w:rFonts w:eastAsia="Times New Roman" w:cs="Arial"/>
          <w:bCs/>
          <w:iCs/>
        </w:rPr>
      </w:pPr>
      <w:r w:rsidRPr="00972BB8">
        <w:rPr>
          <w:rFonts w:eastAsia="Times New Roman" w:cs="Arial"/>
          <w:bCs/>
          <w:iCs/>
        </w:rPr>
        <w:t>pages</w:t>
      </w:r>
      <w:r w:rsidR="00972BB8" w:rsidRPr="00972BB8">
        <w:rPr>
          <w:rFonts w:eastAsia="Times New Roman" w:cs="Arial"/>
          <w:bCs/>
          <w:iCs/>
        </w:rPr>
        <w:t> </w:t>
      </w:r>
      <w:r w:rsidR="00291054" w:rsidRPr="00972BB8">
        <w:rPr>
          <w:rFonts w:eastAsia="Times New Roman" w:cs="Arial"/>
          <w:bCs/>
          <w:iCs/>
        </w:rPr>
        <w:t>10</w:t>
      </w:r>
      <w:r w:rsidRPr="00972BB8">
        <w:rPr>
          <w:rFonts w:eastAsia="Times New Roman" w:cs="Arial"/>
          <w:bCs/>
          <w:iCs/>
        </w:rPr>
        <w:t>-</w:t>
      </w:r>
      <w:r w:rsidR="00972BB8" w:rsidRPr="00972BB8">
        <w:rPr>
          <w:rFonts w:eastAsia="Times New Roman" w:cs="Arial"/>
          <w:bCs/>
          <w:iCs/>
        </w:rPr>
        <w:t>31</w:t>
      </w:r>
      <w:r w:rsidRPr="00972BB8">
        <w:rPr>
          <w:rFonts w:eastAsia="Times New Roman" w:cs="Arial"/>
          <w:bCs/>
          <w:iCs/>
        </w:rPr>
        <w:t>.</w:t>
      </w:r>
    </w:p>
    <w:p w14:paraId="54427B26" w14:textId="724FE4F6" w:rsidR="006B64F1" w:rsidRPr="001056F7" w:rsidRDefault="006B64F1" w:rsidP="00A36E9A">
      <w:pPr>
        <w:pStyle w:val="Bullet1"/>
        <w:numPr>
          <w:ilvl w:val="0"/>
          <w:numId w:val="13"/>
        </w:numPr>
        <w:tabs>
          <w:tab w:val="left" w:pos="284"/>
        </w:tabs>
        <w:ind w:left="284" w:hanging="284"/>
        <w:rPr>
          <w:rFonts w:eastAsia="Times New Roman" w:cs="Arial"/>
          <w:bCs/>
          <w:iCs/>
        </w:rPr>
      </w:pPr>
      <w:r w:rsidRPr="001056F7">
        <w:rPr>
          <w:rFonts w:eastAsia="Times New Roman" w:cs="Arial"/>
          <w:bCs/>
          <w:iCs/>
        </w:rPr>
        <w:t xml:space="preserve">C. Financial Management Reporting, inclusive of all subsections, see pages </w:t>
      </w:r>
      <w:r w:rsidR="001056F7" w:rsidRPr="001056F7">
        <w:rPr>
          <w:rFonts w:eastAsia="Times New Roman" w:cs="Arial"/>
          <w:bCs/>
          <w:iCs/>
        </w:rPr>
        <w:t>33</w:t>
      </w:r>
      <w:r w:rsidRPr="001056F7">
        <w:rPr>
          <w:rFonts w:eastAsia="Times New Roman" w:cs="Arial"/>
          <w:bCs/>
          <w:iCs/>
        </w:rPr>
        <w:t>-</w:t>
      </w:r>
      <w:r w:rsidR="001056F7" w:rsidRPr="001056F7">
        <w:rPr>
          <w:rFonts w:eastAsia="Times New Roman" w:cs="Arial"/>
          <w:bCs/>
          <w:iCs/>
        </w:rPr>
        <w:t>10</w:t>
      </w:r>
      <w:r w:rsidR="002753C9">
        <w:rPr>
          <w:rFonts w:eastAsia="Times New Roman" w:cs="Arial"/>
          <w:bCs/>
          <w:iCs/>
        </w:rPr>
        <w:t>6</w:t>
      </w:r>
      <w:r w:rsidRPr="001056F7">
        <w:rPr>
          <w:rFonts w:eastAsia="Times New Roman" w:cs="Arial"/>
          <w:bCs/>
          <w:iCs/>
        </w:rPr>
        <w:t>.</w:t>
      </w:r>
    </w:p>
    <w:p w14:paraId="35F2ACB5" w14:textId="35238E35" w:rsidR="000E210E" w:rsidRPr="005C1FF7" w:rsidRDefault="000E210E" w:rsidP="000E210E">
      <w:pPr>
        <w:pStyle w:val="Heading2"/>
      </w:pPr>
      <w:bookmarkStart w:id="29" w:name="_Toc141174704"/>
      <w:r w:rsidRPr="005C1FF7">
        <w:t xml:space="preserve">PART 3 </w:t>
      </w:r>
      <w:r w:rsidR="00C10E6A" w:rsidRPr="005C1FF7">
        <w:t xml:space="preserve">Reporting </w:t>
      </w:r>
      <w:r w:rsidR="00286101" w:rsidRPr="005C1FF7">
        <w:t>by</w:t>
      </w:r>
      <w:r w:rsidR="00C10E6A" w:rsidRPr="005C1FF7">
        <w:t xml:space="preserve"> Exception</w:t>
      </w:r>
      <w:bookmarkEnd w:id="29"/>
    </w:p>
    <w:p w14:paraId="57F3FE9E" w14:textId="69F62F79" w:rsidR="00C10E6A" w:rsidRPr="005C1FF7" w:rsidRDefault="00C10E6A" w:rsidP="009B6CCF">
      <w:r w:rsidRPr="005C1FF7">
        <w:t xml:space="preserve">The Authority has nil information to report by exception under Part 3 of the Directions for the </w:t>
      </w:r>
      <w:r w:rsidR="00323290" w:rsidRPr="005C1FF7">
        <w:t>2023-24</w:t>
      </w:r>
      <w:r w:rsidRPr="005C1FF7">
        <w:t xml:space="preserve"> reporting year.</w:t>
      </w:r>
    </w:p>
    <w:p w14:paraId="1989361D" w14:textId="34CD574D" w:rsidR="00E66427" w:rsidRPr="00D57077" w:rsidRDefault="00C528F0" w:rsidP="00E66427">
      <w:pPr>
        <w:pStyle w:val="Heading2"/>
      </w:pPr>
      <w:bookmarkStart w:id="30" w:name="_Toc141174705"/>
      <w:r w:rsidRPr="00D57077">
        <w:t>PART 4 Specific Reporting Entities Annual Report Requirements</w:t>
      </w:r>
      <w:bookmarkEnd w:id="30"/>
    </w:p>
    <w:p w14:paraId="3413B083" w14:textId="78DDA634" w:rsidR="00323930" w:rsidRPr="00323290" w:rsidRDefault="00323930" w:rsidP="00BE6983">
      <w:pPr>
        <w:rPr>
          <w:highlight w:val="yellow"/>
        </w:rPr>
      </w:pPr>
      <w:r w:rsidRPr="00D57077">
        <w:t>Part 4 of the Directions is not applicable to the Authority.</w:t>
      </w:r>
      <w:r w:rsidRPr="00323290">
        <w:rPr>
          <w:highlight w:val="yellow"/>
        </w:rPr>
        <w:br w:type="page"/>
      </w:r>
    </w:p>
    <w:p w14:paraId="20984397" w14:textId="635C9A2C" w:rsidR="002440FA" w:rsidRPr="0059729D" w:rsidRDefault="002440FA" w:rsidP="002440FA">
      <w:pPr>
        <w:pStyle w:val="Heading2"/>
      </w:pPr>
      <w:bookmarkStart w:id="31" w:name="_Toc141174706"/>
      <w:r w:rsidRPr="0059729D">
        <w:lastRenderedPageBreak/>
        <w:t xml:space="preserve">PART 5 Whole </w:t>
      </w:r>
      <w:r w:rsidR="0008328B" w:rsidRPr="0059729D">
        <w:t>of</w:t>
      </w:r>
      <w:r w:rsidRPr="0059729D">
        <w:t xml:space="preserve"> Government Annual Reporting</w:t>
      </w:r>
      <w:bookmarkEnd w:id="31"/>
    </w:p>
    <w:p w14:paraId="22918B2E" w14:textId="20118CEC" w:rsidR="009A0DD4" w:rsidRPr="00D26B9E" w:rsidRDefault="009A0DD4" w:rsidP="00D26B9E">
      <w:pPr>
        <w:pStyle w:val="Bulletintropara"/>
      </w:pPr>
      <w:r w:rsidRPr="00D26B9E">
        <w:t>All subsections of Part 5 of the Directions apply to the Authority.</w:t>
      </w:r>
      <w:r w:rsidR="005B2A43" w:rsidRPr="00D26B9E">
        <w:t xml:space="preserve"> </w:t>
      </w:r>
      <w:r w:rsidRPr="00D26B9E">
        <w:t>Consistent with the Directions, the information satisfying these requirements is reported in the one place for all ACT Public Service directorates, as follows:</w:t>
      </w:r>
    </w:p>
    <w:p w14:paraId="4495317D" w14:textId="77777777" w:rsidR="009A0DD4" w:rsidRPr="0067071F" w:rsidRDefault="009A0DD4" w:rsidP="00A36E9A">
      <w:pPr>
        <w:pStyle w:val="Bullet1"/>
        <w:numPr>
          <w:ilvl w:val="0"/>
          <w:numId w:val="13"/>
        </w:numPr>
        <w:tabs>
          <w:tab w:val="left" w:pos="284"/>
        </w:tabs>
        <w:ind w:left="284" w:hanging="284"/>
        <w:rPr>
          <w:rFonts w:eastAsia="Times New Roman" w:cs="Arial"/>
          <w:bCs/>
          <w:iCs/>
        </w:rPr>
      </w:pPr>
      <w:r w:rsidRPr="0067071F">
        <w:rPr>
          <w:rFonts w:eastAsia="Times New Roman" w:cs="Arial"/>
          <w:bCs/>
          <w:iCs/>
        </w:rPr>
        <w:t xml:space="preserve">Bushfire Risk Management, see the annual report of the Justice and Community Safety Directorate; </w:t>
      </w:r>
    </w:p>
    <w:p w14:paraId="2A9850B8" w14:textId="77777777" w:rsidR="009A0DD4" w:rsidRPr="0067071F" w:rsidRDefault="009A0DD4" w:rsidP="00A36E9A">
      <w:pPr>
        <w:pStyle w:val="Bullet1"/>
        <w:numPr>
          <w:ilvl w:val="0"/>
          <w:numId w:val="13"/>
        </w:numPr>
        <w:tabs>
          <w:tab w:val="left" w:pos="284"/>
        </w:tabs>
        <w:ind w:left="284" w:hanging="284"/>
        <w:rPr>
          <w:rFonts w:eastAsia="Times New Roman" w:cs="Arial"/>
          <w:bCs/>
          <w:iCs/>
        </w:rPr>
      </w:pPr>
      <w:r w:rsidRPr="0067071F">
        <w:rPr>
          <w:rFonts w:eastAsia="Times New Roman" w:cs="Arial"/>
          <w:bCs/>
          <w:iCs/>
        </w:rPr>
        <w:t>Human Rights, see the annual report of the Justice and Community Safety Directorate;</w:t>
      </w:r>
    </w:p>
    <w:p w14:paraId="66768D1C" w14:textId="77777777" w:rsidR="002C0027" w:rsidRPr="0067071F" w:rsidRDefault="009A0DD4" w:rsidP="00A36E9A">
      <w:pPr>
        <w:pStyle w:val="Bullet1"/>
        <w:numPr>
          <w:ilvl w:val="0"/>
          <w:numId w:val="13"/>
        </w:numPr>
        <w:tabs>
          <w:tab w:val="left" w:pos="284"/>
        </w:tabs>
        <w:ind w:left="284" w:hanging="284"/>
        <w:rPr>
          <w:rFonts w:eastAsia="Times New Roman" w:cs="Arial"/>
          <w:bCs/>
          <w:iCs/>
        </w:rPr>
      </w:pPr>
      <w:r w:rsidRPr="0067071F">
        <w:rPr>
          <w:rFonts w:eastAsia="Times New Roman" w:cs="Arial"/>
          <w:bCs/>
          <w:iCs/>
        </w:rPr>
        <w:t>Legal Services Directions, see the annual report of the Justice and Community Safety Directorate;</w:t>
      </w:r>
    </w:p>
    <w:p w14:paraId="305D612F" w14:textId="62CFB5B0" w:rsidR="009A0DD4" w:rsidRPr="0067071F" w:rsidRDefault="002C0027" w:rsidP="00A36E9A">
      <w:pPr>
        <w:pStyle w:val="Bullet1"/>
        <w:numPr>
          <w:ilvl w:val="0"/>
          <w:numId w:val="13"/>
        </w:numPr>
        <w:tabs>
          <w:tab w:val="left" w:pos="284"/>
        </w:tabs>
        <w:ind w:left="284" w:hanging="284"/>
        <w:rPr>
          <w:rFonts w:eastAsia="Times New Roman" w:cs="Arial"/>
          <w:bCs/>
          <w:iCs/>
        </w:rPr>
      </w:pPr>
      <w:r w:rsidRPr="0067071F">
        <w:rPr>
          <w:rFonts w:eastAsia="Times New Roman" w:cs="Arial"/>
          <w:bCs/>
          <w:iCs/>
        </w:rPr>
        <w:t>Public Sector Standards and Workforce Profile</w:t>
      </w:r>
      <w:r w:rsidR="00A11945" w:rsidRPr="0067071F">
        <w:rPr>
          <w:rFonts w:eastAsia="Times New Roman" w:cs="Arial"/>
          <w:bCs/>
          <w:iCs/>
        </w:rPr>
        <w:t xml:space="preserve">, see the annual State of the Service Report; </w:t>
      </w:r>
      <w:r w:rsidR="009A0DD4" w:rsidRPr="0067071F">
        <w:rPr>
          <w:rFonts w:eastAsia="Times New Roman" w:cs="Arial"/>
          <w:bCs/>
          <w:iCs/>
        </w:rPr>
        <w:t>and</w:t>
      </w:r>
    </w:p>
    <w:p w14:paraId="096626B6" w14:textId="0FB3CE9A" w:rsidR="009A0DD4" w:rsidRPr="0067071F" w:rsidRDefault="009A0DD4" w:rsidP="00A36E9A">
      <w:pPr>
        <w:pStyle w:val="Bullet1"/>
        <w:numPr>
          <w:ilvl w:val="0"/>
          <w:numId w:val="13"/>
        </w:numPr>
        <w:tabs>
          <w:tab w:val="left" w:pos="284"/>
        </w:tabs>
        <w:ind w:left="284" w:hanging="284"/>
        <w:rPr>
          <w:rFonts w:eastAsia="Times New Roman" w:cs="Arial"/>
          <w:bCs/>
          <w:iCs/>
        </w:rPr>
      </w:pPr>
      <w:r w:rsidRPr="0067071F">
        <w:rPr>
          <w:rFonts w:eastAsia="Times New Roman" w:cs="Arial"/>
          <w:bCs/>
          <w:iCs/>
        </w:rPr>
        <w:t>Territory Records</w:t>
      </w:r>
      <w:r w:rsidR="00494FD5">
        <w:rPr>
          <w:rFonts w:eastAsia="Times New Roman" w:cs="Arial"/>
          <w:bCs/>
          <w:iCs/>
        </w:rPr>
        <w:t>,</w:t>
      </w:r>
      <w:r w:rsidRPr="0067071F">
        <w:rPr>
          <w:rFonts w:eastAsia="Times New Roman" w:cs="Arial"/>
          <w:bCs/>
          <w:iCs/>
        </w:rPr>
        <w:t xml:space="preserve"> see the annual report of the Chief Minister, Treasury and Economic Development Directorate (CMTEDD).</w:t>
      </w:r>
    </w:p>
    <w:p w14:paraId="2EE7D767" w14:textId="5EABA7D0" w:rsidR="009A0DD4" w:rsidRDefault="009A0DD4" w:rsidP="009B6CCF">
      <w:r w:rsidRPr="0059729D">
        <w:t xml:space="preserve">ACT Public Service Directorate annual reports are found at the following web address: </w:t>
      </w:r>
      <w:hyperlink r:id="rId30" w:history="1">
        <w:r w:rsidRPr="0059729D">
          <w:rPr>
            <w:rStyle w:val="Hyperlink"/>
            <w:szCs w:val="22"/>
          </w:rPr>
          <w:t>www.cmd.act.gov.au/open_government/report/annual_reports</w:t>
        </w:r>
      </w:hyperlink>
    </w:p>
    <w:p w14:paraId="0123B899" w14:textId="039921EE" w:rsidR="008F144D" w:rsidRDefault="008F144D">
      <w:pPr>
        <w:spacing w:after="0"/>
      </w:pPr>
      <w:r>
        <w:br w:type="page"/>
      </w:r>
    </w:p>
    <w:p w14:paraId="541E836F" w14:textId="77777777" w:rsidR="008F144D" w:rsidRDefault="008F144D" w:rsidP="008F144D">
      <w:pPr>
        <w:sectPr w:rsidR="008F144D" w:rsidSect="00847A59">
          <w:headerReference w:type="first" r:id="rId31"/>
          <w:footerReference w:type="first" r:id="rId32"/>
          <w:pgSz w:w="11907" w:h="16840" w:code="9"/>
          <w:pgMar w:top="1418" w:right="1417" w:bottom="1701" w:left="1418" w:header="567" w:footer="255" w:gutter="0"/>
          <w:cols w:space="720"/>
          <w:docGrid w:linePitch="326"/>
        </w:sectPr>
      </w:pPr>
    </w:p>
    <w:p w14:paraId="31A52A2B" w14:textId="70586916" w:rsidR="008F144D" w:rsidRDefault="00946CEA" w:rsidP="008F144D">
      <w:r>
        <w:rPr>
          <w:noProof/>
        </w:rPr>
        <w:lastRenderedPageBreak/>
        <w:drawing>
          <wp:anchor distT="0" distB="0" distL="114300" distR="114300" simplePos="0" relativeHeight="251658243" behindDoc="1" locked="0" layoutInCell="1" allowOverlap="1" wp14:anchorId="6CB05AAB" wp14:editId="68EEA891">
            <wp:simplePos x="0" y="0"/>
            <wp:positionH relativeFrom="page">
              <wp:posOffset>16510</wp:posOffset>
            </wp:positionH>
            <wp:positionV relativeFrom="paragraph">
              <wp:posOffset>-892175</wp:posOffset>
            </wp:positionV>
            <wp:extent cx="7551420" cy="9982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1420" cy="9982200"/>
                    </a:xfrm>
                    <a:prstGeom prst="rect">
                      <a:avLst/>
                    </a:prstGeom>
                  </pic:spPr>
                </pic:pic>
              </a:graphicData>
            </a:graphic>
            <wp14:sizeRelH relativeFrom="margin">
              <wp14:pctWidth>0</wp14:pctWidth>
            </wp14:sizeRelH>
            <wp14:sizeRelV relativeFrom="margin">
              <wp14:pctHeight>0</wp14:pctHeight>
            </wp14:sizeRelV>
          </wp:anchor>
        </w:drawing>
      </w:r>
    </w:p>
    <w:p w14:paraId="076E8E3F" w14:textId="417191F2" w:rsidR="009D2C6D" w:rsidRDefault="009D2C6D" w:rsidP="009D2C6D"/>
    <w:p w14:paraId="3753CAC6" w14:textId="0AC4644F" w:rsidR="009D2C6D" w:rsidRDefault="00946CEA" w:rsidP="009D2C6D">
      <w:pPr>
        <w:rPr>
          <w:rFonts w:eastAsiaTheme="majorEastAsia" w:cstheme="majorBidi"/>
          <w:b/>
          <w:color w:val="361B60" w:themeColor="accent1" w:themeShade="BF"/>
          <w:sz w:val="32"/>
          <w:szCs w:val="32"/>
        </w:rPr>
      </w:pPr>
      <w:r>
        <w:rPr>
          <w:noProof/>
        </w:rPr>
        <mc:AlternateContent>
          <mc:Choice Requires="wps">
            <w:drawing>
              <wp:anchor distT="0" distB="0" distL="114300" distR="114300" simplePos="0" relativeHeight="251658244" behindDoc="0" locked="0" layoutInCell="1" allowOverlap="1" wp14:anchorId="49DCCBED" wp14:editId="26C5B192">
                <wp:simplePos x="0" y="0"/>
                <wp:positionH relativeFrom="margin">
                  <wp:align>left</wp:align>
                </wp:positionH>
                <wp:positionV relativeFrom="paragraph">
                  <wp:posOffset>676910</wp:posOffset>
                </wp:positionV>
                <wp:extent cx="3723640" cy="1249680"/>
                <wp:effectExtent l="0" t="0" r="0" b="762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640" cy="1249680"/>
                        </a:xfrm>
                        <a:prstGeom prst="rect">
                          <a:avLst/>
                        </a:prstGeom>
                        <a:noFill/>
                        <a:ln w="6350">
                          <a:noFill/>
                        </a:ln>
                      </wps:spPr>
                      <wps:txbx>
                        <w:txbxContent>
                          <w:p w14:paraId="02C993AB" w14:textId="471A2AD0" w:rsidR="00946CEA" w:rsidRPr="00DD39B6" w:rsidRDefault="00946CEA" w:rsidP="00946CEA">
                            <w:pPr>
                              <w:pStyle w:val="Chapterdivider-Parttext"/>
                              <w:rPr>
                                <w:b/>
                              </w:rPr>
                            </w:pPr>
                            <w:r>
                              <w:rPr>
                                <w:b/>
                              </w:rPr>
                              <w:t>Section</w:t>
                            </w:r>
                            <w:r w:rsidRPr="001E74B3">
                              <w:rPr>
                                <w:b/>
                              </w:rPr>
                              <w:t xml:space="preserve"> </w:t>
                            </w:r>
                            <w:r w:rsidR="001E3927">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CCBED" id="Text Box 6" o:spid="_x0000_s1027" type="#_x0000_t202" alt="&quot;&quot;" style="position:absolute;margin-left:0;margin-top:53.3pt;width:293.2pt;height:98.4pt;z-index:2516582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" filled="f" stroked="f" strokeweight=".5pt">
                <v:textbox>
                  <w:txbxContent>
                    <w:p w14:paraId="02C993AB" w14:textId="471A2AD0" w:rsidR="00946CEA" w:rsidRPr="00DD39B6" w:rsidRDefault="00946CEA" w:rsidP="00946CEA">
                      <w:pPr>
                        <w:pStyle w:val="Chapterdivider-Parttext"/>
                        <w:rPr>
                          <w:b/>
                        </w:rPr>
                      </w:pPr>
                      <w:r>
                        <w:rPr>
                          <w:b/>
                        </w:rPr>
                        <w:t>Section</w:t>
                      </w:r>
                      <w:r w:rsidRPr="001E74B3">
                        <w:rPr>
                          <w:b/>
                        </w:rPr>
                        <w:t xml:space="preserve"> </w:t>
                      </w:r>
                      <w:r w:rsidR="001E3927">
                        <w:rPr>
                          <w:b/>
                        </w:rPr>
                        <w:t>B</w:t>
                      </w:r>
                    </w:p>
                  </w:txbxContent>
                </v:textbox>
                <w10:wrap anchorx="margin"/>
              </v:shape>
            </w:pict>
          </mc:Fallback>
        </mc:AlternateContent>
      </w:r>
      <w:r w:rsidR="009D2C6D">
        <w:br w:type="page"/>
      </w:r>
    </w:p>
    <w:p w14:paraId="30BEB1BB" w14:textId="0C9B7E75" w:rsidR="00CE4B79" w:rsidRPr="00A82F72" w:rsidRDefault="00757E1C" w:rsidP="009B6CCF">
      <w:pPr>
        <w:pStyle w:val="Heading1"/>
      </w:pPr>
      <w:r>
        <w:lastRenderedPageBreak/>
        <w:t xml:space="preserve">B. </w:t>
      </w:r>
      <w:r w:rsidR="00EA244E" w:rsidRPr="00A82F72">
        <w:t>Organisational Overview and Performance</w:t>
      </w:r>
    </w:p>
    <w:p w14:paraId="4C89EA7A" w14:textId="67269D11" w:rsidR="00CE4B79" w:rsidRPr="00E462C7" w:rsidRDefault="002D6D1E" w:rsidP="00E462C7">
      <w:pPr>
        <w:pStyle w:val="Heading2"/>
      </w:pPr>
      <w:bookmarkStart w:id="32" w:name="_Toc141174708"/>
      <w:r w:rsidRPr="00E462C7">
        <w:t>B.1 Organisational Overview</w:t>
      </w:r>
      <w:bookmarkEnd w:id="32"/>
    </w:p>
    <w:p w14:paraId="3093DD95" w14:textId="5CEE1D59" w:rsidR="00F23BB5" w:rsidRPr="009B6CCF" w:rsidRDefault="00F23BB5"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B.1.1 Who we are</w:t>
      </w:r>
    </w:p>
    <w:p w14:paraId="34FFCF46" w14:textId="5C749ACB" w:rsidR="007E6E33" w:rsidRPr="0025003E" w:rsidRDefault="007E6E33" w:rsidP="009B6CCF">
      <w:r w:rsidRPr="0025003E">
        <w:t xml:space="preserve">The ACT Insurance Authority (the Authority) is established under the </w:t>
      </w:r>
      <w:r w:rsidRPr="0025003E">
        <w:rPr>
          <w:i/>
        </w:rPr>
        <w:t xml:space="preserve">ACT Insurance Authority Act 2005 </w:t>
      </w:r>
      <w:r w:rsidRPr="0025003E">
        <w:t>(the Act).</w:t>
      </w:r>
    </w:p>
    <w:p w14:paraId="54BF8C37" w14:textId="5F7AA5CC" w:rsidR="007E6E33" w:rsidRPr="0025003E" w:rsidRDefault="007E6E33" w:rsidP="009B6CCF">
      <w:r w:rsidRPr="0025003E">
        <w:t xml:space="preserve">The Authority works to protect the assets and services of the Territory by providing risk management support and insurance services to all ACT Government directorates and statutory authorities. 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rsidRPr="0025003E">
        <w:t>as a result of</w:t>
      </w:r>
      <w:proofErr w:type="gramEnd"/>
      <w:r w:rsidRPr="0025003E">
        <w:t xml:space="preserve"> the activities of Government.</w:t>
      </w:r>
    </w:p>
    <w:p w14:paraId="53730760" w14:textId="6B624CBD" w:rsidR="007E6E33" w:rsidRPr="0025003E" w:rsidRDefault="007E6E33" w:rsidP="009B6CCF">
      <w:r w:rsidRPr="0025003E">
        <w:t xml:space="preserve">The Authority meets the insurable claims and losses of the ACT Government through its </w:t>
      </w:r>
      <w:r w:rsidR="007C2C89" w:rsidRPr="0025003E">
        <w:t>self-insurance</w:t>
      </w:r>
      <w:r w:rsidRPr="0025003E">
        <w:t xml:space="preserve"> and reinsurance arrangements and operates on a cost recovery basis by collecting premiums from directorates and statutory authorities to meet the anticipated costs of claims.</w:t>
      </w:r>
    </w:p>
    <w:p w14:paraId="7EEECF34" w14:textId="6EEC93BC" w:rsidR="007E6E33" w:rsidRPr="000000DA" w:rsidRDefault="007E6E33" w:rsidP="009B6CCF">
      <w:r w:rsidRPr="00502821">
        <w:t xml:space="preserve">In </w:t>
      </w:r>
      <w:r w:rsidR="00323290" w:rsidRPr="00502821">
        <w:t>2023-24</w:t>
      </w:r>
      <w:r w:rsidRPr="00502821">
        <w:t>, the Authority insured Territory assets to the value of $</w:t>
      </w:r>
      <w:r w:rsidR="530B9E6F" w:rsidRPr="00502821">
        <w:t>3</w:t>
      </w:r>
      <w:r w:rsidR="00CC436C" w:rsidRPr="00502821">
        <w:t>3.97</w:t>
      </w:r>
      <w:r w:rsidRPr="00502821">
        <w:t> billion, collected $</w:t>
      </w:r>
      <w:r w:rsidR="00CC436C" w:rsidRPr="00502821">
        <w:t>85.2</w:t>
      </w:r>
      <w:r w:rsidRPr="00502821">
        <w:t> million in annual premium revenue, held $</w:t>
      </w:r>
      <w:r w:rsidR="00B5710E" w:rsidRPr="00502821">
        <w:t>3</w:t>
      </w:r>
      <w:r w:rsidR="007127D6" w:rsidRPr="00502821">
        <w:t>41</w:t>
      </w:r>
      <w:r w:rsidR="00FC2EAB" w:rsidRPr="00502821">
        <w:t>.</w:t>
      </w:r>
      <w:r w:rsidR="007127D6" w:rsidRPr="00502821">
        <w:t>5</w:t>
      </w:r>
      <w:r w:rsidRPr="00502821">
        <w:t> million in investments and other assets, with total liabilities of $</w:t>
      </w:r>
      <w:r w:rsidR="007127D6" w:rsidRPr="00502821">
        <w:t>426.6</w:t>
      </w:r>
      <w:r w:rsidRPr="00502821">
        <w:t> million.</w:t>
      </w:r>
    </w:p>
    <w:p w14:paraId="2A8FFC39" w14:textId="77777777" w:rsidR="007E6E33" w:rsidRPr="0025003E" w:rsidRDefault="007E6E33" w:rsidP="009B6CCF">
      <w:r w:rsidRPr="0025003E">
        <w:t>The Authority reports to the Special Minister of State through the Under Treasurer, Chief Minister, Treasury and Economic Development Directorate (CMTEDD).</w:t>
      </w:r>
    </w:p>
    <w:p w14:paraId="6FD1DBCA" w14:textId="79576864" w:rsidR="00A5457C" w:rsidRPr="009B6CCF" w:rsidRDefault="00A5457C"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 xml:space="preserve">B.1.2 </w:t>
      </w:r>
      <w:r w:rsidR="008418BF" w:rsidRPr="009B6CCF">
        <w:rPr>
          <w:rFonts w:eastAsia="Times New Roman"/>
          <w:iCs/>
          <w:color w:val="492581" w:themeColor="accent1"/>
          <w:sz w:val="32"/>
          <w:szCs w:val="32"/>
        </w:rPr>
        <w:t>What we do</w:t>
      </w:r>
    </w:p>
    <w:p w14:paraId="01930D03" w14:textId="77777777" w:rsidR="00957B09" w:rsidRDefault="00957B09" w:rsidP="00050DD5">
      <w:r>
        <w:t>The Authority provides insurance, claims, and risk management services to ACT Government directorates and statutory authorities.</w:t>
      </w:r>
    </w:p>
    <w:p w14:paraId="0166EF28" w14:textId="77777777" w:rsidR="00957B09" w:rsidRDefault="00957B09" w:rsidP="000B6B72">
      <w:pPr>
        <w:pStyle w:val="Bulletintropara"/>
        <w:rPr>
          <w:rFonts w:ascii="Calibri" w:hAnsi="Calibri"/>
          <w:sz w:val="22"/>
        </w:rPr>
      </w:pPr>
      <w:r>
        <w:t>The Authority’s functions are to:</w:t>
      </w:r>
    </w:p>
    <w:p w14:paraId="64F17472" w14:textId="77777777" w:rsidR="00957B09" w:rsidRDefault="00957B09" w:rsidP="00A36E9A">
      <w:pPr>
        <w:pStyle w:val="Bullet1"/>
        <w:numPr>
          <w:ilvl w:val="0"/>
          <w:numId w:val="13"/>
        </w:numPr>
        <w:tabs>
          <w:tab w:val="left" w:pos="284"/>
        </w:tabs>
        <w:ind w:left="284" w:hanging="284"/>
      </w:pPr>
      <w:r>
        <w:t>carry on the business of insurer of Territory risks;</w:t>
      </w:r>
    </w:p>
    <w:p w14:paraId="1E0D377B" w14:textId="77777777" w:rsidR="00957B09" w:rsidRDefault="00957B09" w:rsidP="00A36E9A">
      <w:pPr>
        <w:pStyle w:val="Bullet1"/>
        <w:numPr>
          <w:ilvl w:val="0"/>
          <w:numId w:val="13"/>
        </w:numPr>
        <w:tabs>
          <w:tab w:val="left" w:pos="284"/>
        </w:tabs>
        <w:ind w:left="284" w:hanging="284"/>
      </w:pPr>
      <w:r>
        <w:t>take out insurance of Territory risks with other entities;</w:t>
      </w:r>
    </w:p>
    <w:p w14:paraId="7C1630CA" w14:textId="77777777" w:rsidR="00957B09" w:rsidRDefault="00957B09" w:rsidP="00A36E9A">
      <w:pPr>
        <w:pStyle w:val="Bullet1"/>
        <w:numPr>
          <w:ilvl w:val="0"/>
          <w:numId w:val="13"/>
        </w:numPr>
        <w:tabs>
          <w:tab w:val="left" w:pos="284"/>
        </w:tabs>
        <w:ind w:left="284" w:hanging="284"/>
      </w:pPr>
      <w:r>
        <w:t xml:space="preserve">manage and </w:t>
      </w:r>
      <w:r w:rsidRPr="00495015">
        <w:t>settle</w:t>
      </w:r>
      <w:r>
        <w:t xml:space="preserve"> claims in relation to Territory risks;</w:t>
      </w:r>
    </w:p>
    <w:p w14:paraId="7A5A9DAE" w14:textId="77777777" w:rsidR="00957B09" w:rsidRDefault="00957B09" w:rsidP="00A36E9A">
      <w:pPr>
        <w:pStyle w:val="Bullet1"/>
        <w:numPr>
          <w:ilvl w:val="0"/>
          <w:numId w:val="13"/>
        </w:numPr>
        <w:tabs>
          <w:tab w:val="left" w:pos="284"/>
        </w:tabs>
        <w:ind w:left="284" w:hanging="284"/>
      </w:pPr>
      <w:r>
        <w:t>develop and promote good practices for the management of Territory risks; and</w:t>
      </w:r>
    </w:p>
    <w:p w14:paraId="0160166C" w14:textId="77777777" w:rsidR="00957B09" w:rsidRPr="001D786F" w:rsidRDefault="00957B09" w:rsidP="00A36E9A">
      <w:pPr>
        <w:pStyle w:val="Bullet1"/>
        <w:numPr>
          <w:ilvl w:val="0"/>
          <w:numId w:val="13"/>
        </w:numPr>
        <w:tabs>
          <w:tab w:val="left" w:pos="284"/>
        </w:tabs>
        <w:ind w:left="284" w:hanging="284"/>
      </w:pPr>
      <w:r w:rsidRPr="001D786F">
        <w:t>give advice to the Minister about insurance and the management of Territory risks.</w:t>
      </w:r>
    </w:p>
    <w:p w14:paraId="61F51EEA" w14:textId="274CBE57" w:rsidR="00957B09" w:rsidRDefault="00957B09">
      <w:pPr>
        <w:spacing w:after="0"/>
        <w:rPr>
          <w:szCs w:val="22"/>
        </w:rPr>
      </w:pPr>
    </w:p>
    <w:p w14:paraId="62088C77" w14:textId="68A9DCA0" w:rsidR="002203CB" w:rsidRPr="002203CB" w:rsidRDefault="002203CB" w:rsidP="001D786F">
      <w:pPr>
        <w:pStyle w:val="Bulletintropara"/>
      </w:pPr>
      <w:r w:rsidRPr="002203CB">
        <w:lastRenderedPageBreak/>
        <w:t>The insurance coverage is provided to directorates and statutory authorities by statements of insurance. The Authority’s insurance program is broad form cover that includes:</w:t>
      </w:r>
    </w:p>
    <w:p w14:paraId="7D018BF7" w14:textId="77777777" w:rsidR="002203CB" w:rsidRPr="002203CB" w:rsidRDefault="002203CB" w:rsidP="00A36E9A">
      <w:pPr>
        <w:pStyle w:val="Bullet1"/>
        <w:numPr>
          <w:ilvl w:val="0"/>
          <w:numId w:val="13"/>
        </w:numPr>
        <w:tabs>
          <w:tab w:val="left" w:pos="284"/>
        </w:tabs>
        <w:ind w:left="284" w:hanging="284"/>
      </w:pPr>
      <w:r w:rsidRPr="002203CB">
        <w:t>public liability;</w:t>
      </w:r>
    </w:p>
    <w:p w14:paraId="3F6381A9" w14:textId="77777777" w:rsidR="002203CB" w:rsidRPr="002203CB" w:rsidRDefault="002203CB" w:rsidP="00A36E9A">
      <w:pPr>
        <w:pStyle w:val="Bullet1"/>
        <w:numPr>
          <w:ilvl w:val="0"/>
          <w:numId w:val="13"/>
        </w:numPr>
        <w:tabs>
          <w:tab w:val="left" w:pos="284"/>
        </w:tabs>
        <w:ind w:left="284" w:hanging="284"/>
      </w:pPr>
      <w:r w:rsidRPr="002203CB">
        <w:t>medical malpractice;</w:t>
      </w:r>
    </w:p>
    <w:p w14:paraId="6771FED8" w14:textId="77777777" w:rsidR="002203CB" w:rsidRPr="002203CB" w:rsidRDefault="002203CB" w:rsidP="00A36E9A">
      <w:pPr>
        <w:pStyle w:val="Bullet1"/>
        <w:numPr>
          <w:ilvl w:val="0"/>
          <w:numId w:val="13"/>
        </w:numPr>
        <w:tabs>
          <w:tab w:val="left" w:pos="284"/>
        </w:tabs>
        <w:ind w:left="284" w:hanging="284"/>
      </w:pPr>
      <w:r w:rsidRPr="002203CB">
        <w:t>professional indemnity;</w:t>
      </w:r>
    </w:p>
    <w:p w14:paraId="1B4A8521" w14:textId="77777777" w:rsidR="002203CB" w:rsidRPr="002203CB" w:rsidRDefault="002203CB" w:rsidP="00A36E9A">
      <w:pPr>
        <w:pStyle w:val="Bullet1"/>
        <w:numPr>
          <w:ilvl w:val="0"/>
          <w:numId w:val="13"/>
        </w:numPr>
        <w:tabs>
          <w:tab w:val="left" w:pos="284"/>
        </w:tabs>
        <w:ind w:left="284" w:hanging="284"/>
      </w:pPr>
      <w:r w:rsidRPr="002203CB">
        <w:t>property damage;</w:t>
      </w:r>
    </w:p>
    <w:p w14:paraId="14E2029B" w14:textId="77777777" w:rsidR="002203CB" w:rsidRPr="002203CB" w:rsidRDefault="002203CB" w:rsidP="00A36E9A">
      <w:pPr>
        <w:pStyle w:val="Bullet1"/>
        <w:numPr>
          <w:ilvl w:val="0"/>
          <w:numId w:val="13"/>
        </w:numPr>
        <w:tabs>
          <w:tab w:val="left" w:pos="284"/>
        </w:tabs>
        <w:ind w:left="284" w:hanging="284"/>
      </w:pPr>
      <w:r w:rsidRPr="002203CB">
        <w:t>directors and officers liability; and</w:t>
      </w:r>
    </w:p>
    <w:p w14:paraId="3D8AAFF4" w14:textId="77777777" w:rsidR="002203CB" w:rsidRPr="002203CB" w:rsidRDefault="002203CB" w:rsidP="00A36E9A">
      <w:pPr>
        <w:pStyle w:val="Bullet1"/>
        <w:numPr>
          <w:ilvl w:val="0"/>
          <w:numId w:val="13"/>
        </w:numPr>
        <w:tabs>
          <w:tab w:val="left" w:pos="284"/>
        </w:tabs>
        <w:ind w:left="284" w:hanging="284"/>
      </w:pPr>
      <w:r w:rsidRPr="002203CB">
        <w:t>financial crime.</w:t>
      </w:r>
    </w:p>
    <w:p w14:paraId="0C8CED99" w14:textId="7824B4CF" w:rsidR="002203CB" w:rsidRDefault="002203CB" w:rsidP="009B6CCF">
      <w:r w:rsidRPr="002203CB">
        <w:t xml:space="preserve">The Authority arranges external insurance policies on behalf of the ACT Government to cover contract works, travel, </w:t>
      </w:r>
      <w:r w:rsidR="00354F24">
        <w:t>art</w:t>
      </w:r>
      <w:r w:rsidR="00FB45D4">
        <w:t xml:space="preserve"> and galleries</w:t>
      </w:r>
      <w:r w:rsidR="00354F24">
        <w:t xml:space="preserve">, </w:t>
      </w:r>
      <w:proofErr w:type="gramStart"/>
      <w:r w:rsidRPr="002203CB">
        <w:t>aviation</w:t>
      </w:r>
      <w:proofErr w:type="gramEnd"/>
      <w:r w:rsidRPr="002203CB">
        <w:t xml:space="preserve"> and personal accident cover for both aero retrieval and volunteer workers. The Authority bears no risk on these policies.</w:t>
      </w:r>
    </w:p>
    <w:p w14:paraId="49F0A265" w14:textId="3ABE9B10" w:rsidR="008128A0" w:rsidRPr="008128A0" w:rsidRDefault="008128A0" w:rsidP="009B6CCF">
      <w:r w:rsidRPr="008128A0">
        <w:t xml:space="preserve">Commencing 12 March 2020, the Territory entered into </w:t>
      </w:r>
      <w:r w:rsidR="00C20BFF">
        <w:t>an</w:t>
      </w:r>
      <w:r w:rsidR="002D21D5">
        <w:t xml:space="preserve"> indemnity</w:t>
      </w:r>
      <w:r w:rsidRPr="008128A0">
        <w:t xml:space="preserve"> agreement with QBE to continue providing </w:t>
      </w:r>
      <w:r w:rsidR="00C20BFF">
        <w:t xml:space="preserve">Residential </w:t>
      </w:r>
      <w:r w:rsidRPr="008128A0">
        <w:t>Builders Warranty Insurance (BWI) to ACT builders</w:t>
      </w:r>
      <w:r w:rsidR="002D21D5">
        <w:t>,</w:t>
      </w:r>
      <w:r w:rsidRPr="008128A0">
        <w:t xml:space="preserve"> with the Territory indemnifying QBE in respect of any claim losses. The QBE indemnity agreement has been renewed for another </w:t>
      </w:r>
      <w:r w:rsidR="00BE3B31" w:rsidRPr="008128A0">
        <w:t>3-year</w:t>
      </w:r>
      <w:r w:rsidRPr="008128A0">
        <w:t xml:space="preserve"> term</w:t>
      </w:r>
      <w:r w:rsidR="002D21D5">
        <w:t xml:space="preserve"> </w:t>
      </w:r>
      <w:r w:rsidRPr="008128A0">
        <w:t>from 1 July 2022.</w:t>
      </w:r>
    </w:p>
    <w:p w14:paraId="08AF4B65" w14:textId="6493A6B5" w:rsidR="004962A9" w:rsidRPr="002203CB" w:rsidRDefault="008128A0" w:rsidP="009B6CCF">
      <w:r w:rsidRPr="008128A0">
        <w:t xml:space="preserve">Commencing 1 April 2023, ACTIA established a scheme to underwrite Physical and Sexual Abuse liability (PSA) for out of home care service providers in the ACT in coordination with </w:t>
      </w:r>
      <w:r w:rsidR="00813193">
        <w:t xml:space="preserve">the </w:t>
      </w:r>
      <w:r w:rsidRPr="008128A0">
        <w:t>Community Services Directorate.</w:t>
      </w:r>
    </w:p>
    <w:p w14:paraId="3024DC04" w14:textId="10F5EDE5" w:rsidR="002203CB" w:rsidRPr="002203CB" w:rsidRDefault="002203CB" w:rsidP="009B6CCF">
      <w:r w:rsidRPr="002203CB">
        <w:t xml:space="preserve">The Authority also administers the Office of the Nominal Defendant of the ACT, for default claims under the ACT Motor Accident Injuries Scheme and the Default Insurance Fund, </w:t>
      </w:r>
      <w:r w:rsidR="00B8491A">
        <w:t xml:space="preserve">and </w:t>
      </w:r>
      <w:r w:rsidRPr="002203CB">
        <w:t>for default claims under the ACT Private Workers’ Compensation Scheme.</w:t>
      </w:r>
      <w:r w:rsidR="00323290">
        <w:t xml:space="preserve"> </w:t>
      </w:r>
      <w:r w:rsidRPr="002203CB">
        <w:t xml:space="preserve">The activities of these entities are reported separately and appear in reports annexed to the </w:t>
      </w:r>
      <w:r w:rsidR="00A811DB">
        <w:br/>
      </w:r>
      <w:r w:rsidR="00323290">
        <w:t>2023-</w:t>
      </w:r>
      <w:r w:rsidR="00323290" w:rsidRPr="003F1091">
        <w:t>24</w:t>
      </w:r>
      <w:r w:rsidR="006E7E2B">
        <w:t> </w:t>
      </w:r>
      <w:r w:rsidRPr="003F1091">
        <w:t>CMTEDD</w:t>
      </w:r>
      <w:r w:rsidRPr="002203CB">
        <w:t xml:space="preserve"> Annual Report.</w:t>
      </w:r>
    </w:p>
    <w:p w14:paraId="344A6858" w14:textId="05C3D038" w:rsidR="00AD79C0" w:rsidRPr="009B6CCF" w:rsidRDefault="00AD79C0"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B.1.3 Our Approach</w:t>
      </w:r>
    </w:p>
    <w:p w14:paraId="67593D96" w14:textId="0D7FF16E" w:rsidR="007753FB" w:rsidRDefault="007753FB" w:rsidP="009B6CCF">
      <w:r>
        <w:t xml:space="preserve">Throughout </w:t>
      </w:r>
      <w:r w:rsidR="00323290">
        <w:t>2023-24</w:t>
      </w:r>
      <w:r>
        <w:t>, the Authority was a part of the Economic, Revenue, and Insurance (ERI) division within CMTEDD.</w:t>
      </w:r>
    </w:p>
    <w:p w14:paraId="659C97EE" w14:textId="77777777" w:rsidR="007753FB" w:rsidRDefault="007753FB" w:rsidP="00BE3B31">
      <w:pPr>
        <w:pStyle w:val="Bulletintropara"/>
        <w:rPr>
          <w:szCs w:val="20"/>
        </w:rPr>
      </w:pPr>
      <w:r>
        <w:t xml:space="preserve">Mission: We engage to provide high quality enabling services and solutions in collaboration with our directorate partners.  We strive to ensure: </w:t>
      </w:r>
    </w:p>
    <w:p w14:paraId="437D69A4" w14:textId="77777777" w:rsidR="007753FB" w:rsidRDefault="007753FB" w:rsidP="00A36E9A">
      <w:pPr>
        <w:pStyle w:val="Bullet1"/>
        <w:numPr>
          <w:ilvl w:val="0"/>
          <w:numId w:val="13"/>
        </w:numPr>
        <w:tabs>
          <w:tab w:val="left" w:pos="284"/>
        </w:tabs>
        <w:ind w:left="284" w:hanging="284"/>
      </w:pPr>
      <w:r>
        <w:t>our understanding of directorate needs;</w:t>
      </w:r>
    </w:p>
    <w:p w14:paraId="3D4A8CCC" w14:textId="77777777" w:rsidR="007753FB" w:rsidRDefault="007753FB" w:rsidP="00A36E9A">
      <w:pPr>
        <w:pStyle w:val="Bullet1"/>
        <w:numPr>
          <w:ilvl w:val="0"/>
          <w:numId w:val="13"/>
        </w:numPr>
        <w:tabs>
          <w:tab w:val="left" w:pos="284"/>
        </w:tabs>
        <w:ind w:left="284" w:hanging="284"/>
      </w:pPr>
      <w:r>
        <w:t>cost effectiveness;</w:t>
      </w:r>
    </w:p>
    <w:p w14:paraId="70084E3D" w14:textId="77777777" w:rsidR="007753FB" w:rsidRDefault="007753FB" w:rsidP="00A36E9A">
      <w:pPr>
        <w:pStyle w:val="Bullet1"/>
        <w:numPr>
          <w:ilvl w:val="0"/>
          <w:numId w:val="13"/>
        </w:numPr>
        <w:tabs>
          <w:tab w:val="left" w:pos="284"/>
        </w:tabs>
        <w:ind w:left="284" w:hanging="284"/>
      </w:pPr>
      <w:r>
        <w:t>timeliness;</w:t>
      </w:r>
    </w:p>
    <w:p w14:paraId="09AE7C17" w14:textId="77777777" w:rsidR="007753FB" w:rsidRDefault="007753FB" w:rsidP="00A36E9A">
      <w:pPr>
        <w:pStyle w:val="Bullet1"/>
        <w:numPr>
          <w:ilvl w:val="0"/>
          <w:numId w:val="13"/>
        </w:numPr>
        <w:tabs>
          <w:tab w:val="left" w:pos="284"/>
        </w:tabs>
        <w:ind w:left="284" w:hanging="284"/>
      </w:pPr>
      <w:r>
        <w:t>governance and integrity; and</w:t>
      </w:r>
    </w:p>
    <w:p w14:paraId="05DB30A3" w14:textId="77777777" w:rsidR="007753FB" w:rsidRDefault="007753FB" w:rsidP="00A36E9A">
      <w:pPr>
        <w:pStyle w:val="Bullet1"/>
        <w:numPr>
          <w:ilvl w:val="0"/>
          <w:numId w:val="13"/>
        </w:numPr>
        <w:tabs>
          <w:tab w:val="left" w:pos="284"/>
        </w:tabs>
        <w:ind w:left="284" w:hanging="284"/>
      </w:pPr>
      <w:r>
        <w:t>assurance.</w:t>
      </w:r>
    </w:p>
    <w:p w14:paraId="44E58C1F" w14:textId="77777777" w:rsidR="007753FB" w:rsidRDefault="007753FB" w:rsidP="00A432B7">
      <w:pPr>
        <w:pStyle w:val="Bulletintropara"/>
      </w:pPr>
      <w:r>
        <w:t>Values: In all that we do, we hold ourselves accountable for demonstrating our values:</w:t>
      </w:r>
    </w:p>
    <w:p w14:paraId="353D4FDD" w14:textId="77777777" w:rsidR="007753FB" w:rsidRDefault="007753FB" w:rsidP="00A36E9A">
      <w:pPr>
        <w:pStyle w:val="Bullet1"/>
        <w:numPr>
          <w:ilvl w:val="0"/>
          <w:numId w:val="13"/>
        </w:numPr>
        <w:tabs>
          <w:tab w:val="left" w:pos="284"/>
        </w:tabs>
        <w:ind w:left="284" w:hanging="284"/>
      </w:pPr>
      <w:r>
        <w:t>Integrity</w:t>
      </w:r>
    </w:p>
    <w:p w14:paraId="0C2D9985" w14:textId="77777777" w:rsidR="007753FB" w:rsidRDefault="007753FB" w:rsidP="00A36E9A">
      <w:pPr>
        <w:pStyle w:val="Bullet1"/>
        <w:numPr>
          <w:ilvl w:val="0"/>
          <w:numId w:val="13"/>
        </w:numPr>
        <w:tabs>
          <w:tab w:val="left" w:pos="284"/>
        </w:tabs>
        <w:ind w:left="284" w:hanging="284"/>
      </w:pPr>
      <w:r>
        <w:lastRenderedPageBreak/>
        <w:t>Respect</w:t>
      </w:r>
    </w:p>
    <w:p w14:paraId="4C673AB0" w14:textId="77777777" w:rsidR="007753FB" w:rsidRDefault="007753FB" w:rsidP="00A36E9A">
      <w:pPr>
        <w:pStyle w:val="Bullet1"/>
        <w:numPr>
          <w:ilvl w:val="0"/>
          <w:numId w:val="13"/>
        </w:numPr>
        <w:tabs>
          <w:tab w:val="left" w:pos="284"/>
        </w:tabs>
        <w:ind w:left="284" w:hanging="284"/>
      </w:pPr>
      <w:r>
        <w:t>Collaboration</w:t>
      </w:r>
    </w:p>
    <w:p w14:paraId="527F9A1D" w14:textId="34A20911" w:rsidR="009B3443" w:rsidRDefault="007753FB" w:rsidP="00A36E9A">
      <w:pPr>
        <w:pStyle w:val="Bullet1"/>
        <w:numPr>
          <w:ilvl w:val="0"/>
          <w:numId w:val="13"/>
        </w:numPr>
        <w:tabs>
          <w:tab w:val="left" w:pos="284"/>
        </w:tabs>
        <w:ind w:left="284" w:hanging="284"/>
      </w:pPr>
      <w:r>
        <w:t xml:space="preserve">Innovation </w:t>
      </w:r>
    </w:p>
    <w:p w14:paraId="44A33610" w14:textId="2DB72B33" w:rsidR="009B3443" w:rsidRPr="009B6CCF" w:rsidRDefault="009B3443"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B.1.4</w:t>
      </w:r>
      <w:r w:rsidR="00790FEC" w:rsidRPr="009B6CCF">
        <w:rPr>
          <w:rFonts w:eastAsia="Times New Roman"/>
          <w:iCs/>
          <w:color w:val="492581" w:themeColor="accent1"/>
          <w:sz w:val="32"/>
          <w:szCs w:val="32"/>
        </w:rPr>
        <w:t xml:space="preserve"> </w:t>
      </w:r>
      <w:r w:rsidRPr="009B6CCF">
        <w:rPr>
          <w:rFonts w:eastAsia="Times New Roman"/>
          <w:iCs/>
          <w:color w:val="492581" w:themeColor="accent1"/>
          <w:sz w:val="32"/>
          <w:szCs w:val="32"/>
        </w:rPr>
        <w:t>O</w:t>
      </w:r>
      <w:r w:rsidR="00790FEC" w:rsidRPr="009B6CCF">
        <w:rPr>
          <w:rFonts w:eastAsia="Times New Roman"/>
          <w:iCs/>
          <w:color w:val="492581" w:themeColor="accent1"/>
          <w:sz w:val="32"/>
          <w:szCs w:val="32"/>
        </w:rPr>
        <w:t>rganisational Structure</w:t>
      </w:r>
    </w:p>
    <w:p w14:paraId="61EBE0EB" w14:textId="3BB7929C" w:rsidR="00F86082" w:rsidRDefault="00F86082" w:rsidP="009B6CCF">
      <w:r>
        <w:t xml:space="preserve">Under the </w:t>
      </w:r>
      <w:r>
        <w:rPr>
          <w:i/>
        </w:rPr>
        <w:t>Financial Management Act 1996</w:t>
      </w:r>
      <w:r>
        <w:t xml:space="preserve"> the Authority is responsible to the Special Minister of State through the Chief Executive Officer</w:t>
      </w:r>
      <w:r w:rsidR="00803ED5">
        <w:t>,</w:t>
      </w:r>
      <w:r>
        <w:t xml:space="preserve"> for the efficient and effective financial management of resources. The delegate for the Chief Executive Officer is the Under Treasurer and the Authority operates under CMTEDD.</w:t>
      </w:r>
    </w:p>
    <w:p w14:paraId="312071F6" w14:textId="70359362" w:rsidR="00F86082" w:rsidRDefault="00F86082" w:rsidP="009B6CCF">
      <w:r>
        <w:t>The Authority is supported by an Insurance Advisory Board (the Board) appointed under the Authority’s enabling legislation.</w:t>
      </w:r>
      <w:r w:rsidR="00A432B7">
        <w:t xml:space="preserve"> </w:t>
      </w:r>
      <w:r>
        <w:t xml:space="preserve">The Board members during </w:t>
      </w:r>
      <w:r w:rsidR="00323290">
        <w:t>2023-24</w:t>
      </w:r>
      <w:r>
        <w:t xml:space="preserve"> were Mr Ian Faragher (Chair) and </w:t>
      </w:r>
      <w:r>
        <w:rPr>
          <w:lang w:eastAsia="en-AU"/>
        </w:rPr>
        <w:t>Ms Robyn Bateup</w:t>
      </w:r>
      <w:r>
        <w:t xml:space="preserve"> (member).</w:t>
      </w:r>
    </w:p>
    <w:p w14:paraId="44C0B4FF" w14:textId="4812E276" w:rsidR="00F86082" w:rsidRDefault="00F86082" w:rsidP="009B6CCF">
      <w:r>
        <w:t xml:space="preserve">The Board provides important and valuable support to the Authority, particularly in relation to its reinsurance program, the identification of emerging risks, and improvements to risk and claims management services.  Details of the Board members’ qualifications and experience appear in section B.1.7 Internal Accountability under sub-heading </w:t>
      </w:r>
      <w:r w:rsidR="00D36BB8">
        <w:t>‘</w:t>
      </w:r>
      <w:r>
        <w:t>Insurance Advisory Board</w:t>
      </w:r>
      <w:r w:rsidR="00D36BB8">
        <w:t>’</w:t>
      </w:r>
      <w:r>
        <w:t>.</w:t>
      </w:r>
    </w:p>
    <w:p w14:paraId="2FEC712E" w14:textId="77777777" w:rsidR="00F86082" w:rsidRDefault="00F86082" w:rsidP="00A432B7">
      <w:pPr>
        <w:pStyle w:val="Bulletintropara"/>
      </w:pPr>
      <w:r>
        <w:t>The Authority delivers services through the following streams:</w:t>
      </w:r>
    </w:p>
    <w:p w14:paraId="1CBEC3AF" w14:textId="77777777" w:rsidR="00F86082" w:rsidRDefault="00F86082" w:rsidP="00A36E9A">
      <w:pPr>
        <w:pStyle w:val="Bullet1"/>
        <w:numPr>
          <w:ilvl w:val="0"/>
          <w:numId w:val="13"/>
        </w:numPr>
        <w:tabs>
          <w:tab w:val="left" w:pos="284"/>
        </w:tabs>
        <w:ind w:left="284" w:hanging="284"/>
      </w:pPr>
      <w:r>
        <w:t>Risk, Insurance and Governance;</w:t>
      </w:r>
    </w:p>
    <w:p w14:paraId="5D65DF79" w14:textId="77777777" w:rsidR="00F86082" w:rsidRDefault="00F86082" w:rsidP="00A36E9A">
      <w:pPr>
        <w:pStyle w:val="Bullet1"/>
        <w:numPr>
          <w:ilvl w:val="0"/>
          <w:numId w:val="13"/>
        </w:numPr>
        <w:tabs>
          <w:tab w:val="left" w:pos="284"/>
        </w:tabs>
        <w:ind w:left="284" w:hanging="284"/>
      </w:pPr>
      <w:r>
        <w:t>Claims Services; and</w:t>
      </w:r>
    </w:p>
    <w:p w14:paraId="52AEE819" w14:textId="59105209" w:rsidR="005E2CCB" w:rsidRDefault="00F86082" w:rsidP="00A36E9A">
      <w:pPr>
        <w:pStyle w:val="Bullet1"/>
        <w:numPr>
          <w:ilvl w:val="0"/>
          <w:numId w:val="13"/>
        </w:numPr>
        <w:tabs>
          <w:tab w:val="left" w:pos="284"/>
        </w:tabs>
        <w:ind w:left="284" w:hanging="284"/>
        <w:sectPr w:rsidR="005E2CCB" w:rsidSect="009D2C6D">
          <w:headerReference w:type="first" r:id="rId33"/>
          <w:footerReference w:type="first" r:id="rId34"/>
          <w:pgSz w:w="11907" w:h="16840" w:code="9"/>
          <w:pgMar w:top="1418" w:right="1417" w:bottom="1701" w:left="1418" w:header="567" w:footer="255" w:gutter="0"/>
          <w:cols w:space="720"/>
          <w:docGrid w:linePitch="326"/>
        </w:sectPr>
      </w:pPr>
      <w:r>
        <w:t>Financial Services.</w:t>
      </w:r>
      <w:r w:rsidR="00FF74E1">
        <w:br w:type="page"/>
      </w:r>
    </w:p>
    <w:p w14:paraId="2C426A62" w14:textId="57E66DB3" w:rsidR="000C37B0" w:rsidRDefault="00927611" w:rsidP="00E51F79">
      <w:pPr>
        <w:spacing w:after="0" w:line="240" w:lineRule="auto"/>
        <w:ind w:left="284" w:firstLine="709"/>
      </w:pPr>
      <w:r w:rsidRPr="00927611">
        <w:lastRenderedPageBreak/>
        <w:t xml:space="preserve"> </w:t>
      </w:r>
      <w:r w:rsidR="005B1F31">
        <w:rPr>
          <w:noProof/>
        </w:rPr>
        <w:drawing>
          <wp:inline distT="0" distB="0" distL="0" distR="0" wp14:anchorId="3E0B5920" wp14:editId="087B9E5B">
            <wp:extent cx="7771772" cy="5750859"/>
            <wp:effectExtent l="0" t="0" r="635" b="2540"/>
            <wp:docPr id="2072004266" name="Picture 1" descr="Organisation chart of ACTIA showing employee structure and streams of operations in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04266" name="Picture 1" descr="Organisation chart of ACTIA showing employee structure and streams of operations in ACTIA."/>
                    <pic:cNvPicPr/>
                  </pic:nvPicPr>
                  <pic:blipFill>
                    <a:blip r:embed="rId35"/>
                    <a:stretch>
                      <a:fillRect/>
                    </a:stretch>
                  </pic:blipFill>
                  <pic:spPr>
                    <a:xfrm>
                      <a:off x="0" y="0"/>
                      <a:ext cx="7796541" cy="5769187"/>
                    </a:xfrm>
                    <a:prstGeom prst="rect">
                      <a:avLst/>
                    </a:prstGeom>
                  </pic:spPr>
                </pic:pic>
              </a:graphicData>
            </a:graphic>
          </wp:inline>
        </w:drawing>
      </w:r>
      <w:r w:rsidR="000C37B0">
        <w:br w:type="page"/>
      </w:r>
    </w:p>
    <w:p w14:paraId="451B1865" w14:textId="77777777" w:rsidR="000655EA" w:rsidRDefault="000655EA">
      <w:pPr>
        <w:spacing w:after="0"/>
        <w:sectPr w:rsidR="000655EA" w:rsidSect="00A805D5">
          <w:footerReference w:type="default" r:id="rId36"/>
          <w:headerReference w:type="first" r:id="rId37"/>
          <w:pgSz w:w="16840" w:h="11907" w:orient="landscape" w:code="9"/>
          <w:pgMar w:top="1418" w:right="1418" w:bottom="1417" w:left="1701" w:header="567" w:footer="255" w:gutter="0"/>
          <w:cols w:space="720"/>
          <w:docGrid w:linePitch="326"/>
        </w:sectPr>
      </w:pPr>
    </w:p>
    <w:p w14:paraId="7F2B7A85" w14:textId="6F0BBFA9" w:rsidR="0095020E" w:rsidRPr="009B6CCF" w:rsidRDefault="0095020E"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lastRenderedPageBreak/>
        <w:t>B.1.5 Year in Review</w:t>
      </w:r>
    </w:p>
    <w:p w14:paraId="70AC640C" w14:textId="2EAED899" w:rsidR="004E2234" w:rsidRDefault="004E2234" w:rsidP="009B6CCF">
      <w:r>
        <w:t xml:space="preserve">The Authority’s key achievements during the </w:t>
      </w:r>
      <w:r w:rsidR="00323290">
        <w:t>2023-24</w:t>
      </w:r>
      <w:r>
        <w:t xml:space="preserve"> year were:</w:t>
      </w:r>
    </w:p>
    <w:p w14:paraId="208713E7" w14:textId="77777777" w:rsidR="004E2234" w:rsidRPr="005A4264" w:rsidRDefault="004E2234" w:rsidP="005A4264">
      <w:pPr>
        <w:pStyle w:val="Heading5"/>
      </w:pPr>
      <w:r w:rsidRPr="005A4264">
        <w:t>Risk Management Support</w:t>
      </w:r>
    </w:p>
    <w:p w14:paraId="79133BFD" w14:textId="0826C858" w:rsidR="004E2234" w:rsidRPr="009B6CCF" w:rsidRDefault="2C29C063" w:rsidP="00AD126A">
      <w:pPr>
        <w:ind w:right="566"/>
      </w:pPr>
      <w:r w:rsidRPr="006401EB">
        <w:t xml:space="preserve">In </w:t>
      </w:r>
      <w:r w:rsidR="2AC48AF5" w:rsidRPr="006401EB">
        <w:t>2023-24</w:t>
      </w:r>
      <w:r w:rsidR="796EBC84" w:rsidRPr="006401EB">
        <w:t xml:space="preserve"> t</w:t>
      </w:r>
      <w:r w:rsidRPr="006401EB">
        <w:t xml:space="preserve">he </w:t>
      </w:r>
      <w:r w:rsidR="29F861C9" w:rsidRPr="006401EB">
        <w:t xml:space="preserve">Risk </w:t>
      </w:r>
      <w:r w:rsidR="0D43451A" w:rsidRPr="006401EB">
        <w:t xml:space="preserve">Management </w:t>
      </w:r>
      <w:r w:rsidR="29F861C9" w:rsidRPr="006401EB">
        <w:t xml:space="preserve">team </w:t>
      </w:r>
      <w:r w:rsidR="3368D22F" w:rsidRPr="006401EB">
        <w:t>re</w:t>
      </w:r>
      <w:r w:rsidR="29F861C9" w:rsidRPr="006401EB">
        <w:t>structure</w:t>
      </w:r>
      <w:r w:rsidR="4CBDF4E4" w:rsidRPr="006401EB">
        <w:t xml:space="preserve"> </w:t>
      </w:r>
      <w:r w:rsidR="00665ED9">
        <w:t xml:space="preserve">that was </w:t>
      </w:r>
      <w:r w:rsidR="719ED0E4" w:rsidRPr="006401EB">
        <w:t>comp</w:t>
      </w:r>
      <w:r w:rsidR="1C30DD7E" w:rsidRPr="006401EB">
        <w:t xml:space="preserve">leted in 2022-23 generated </w:t>
      </w:r>
      <w:r w:rsidR="00B852D7">
        <w:t>positive</w:t>
      </w:r>
      <w:r w:rsidR="1C30DD7E" w:rsidRPr="006401EB">
        <w:t xml:space="preserve"> results</w:t>
      </w:r>
      <w:r w:rsidR="29F861C9" w:rsidRPr="006401EB">
        <w:t>,</w:t>
      </w:r>
      <w:r w:rsidR="301F9164" w:rsidRPr="006401EB">
        <w:t xml:space="preserve"> </w:t>
      </w:r>
      <w:r w:rsidR="146BB90A" w:rsidRPr="006401EB">
        <w:t xml:space="preserve">with </w:t>
      </w:r>
      <w:r w:rsidR="1A8784EC" w:rsidRPr="006401EB">
        <w:t xml:space="preserve">a significant increase in </w:t>
      </w:r>
      <w:r w:rsidR="301F9164" w:rsidRPr="006401EB">
        <w:t xml:space="preserve">provision of in-house </w:t>
      </w:r>
      <w:r w:rsidR="42B5B2A1" w:rsidRPr="006401EB">
        <w:t>risk services</w:t>
      </w:r>
      <w:r w:rsidR="1C5B8542" w:rsidRPr="006401EB">
        <w:t xml:space="preserve"> to ACT Government directorates and agencies</w:t>
      </w:r>
      <w:r w:rsidR="5524A82E" w:rsidRPr="006401EB">
        <w:t>, from 36 in 2022-23 to 59 in 2023-24</w:t>
      </w:r>
      <w:r w:rsidR="4105E7F3" w:rsidRPr="006401EB">
        <w:t>.</w:t>
      </w:r>
      <w:r w:rsidR="00A432B7">
        <w:t xml:space="preserve"> </w:t>
      </w:r>
      <w:r w:rsidR="374EFE28" w:rsidRPr="006401EB">
        <w:t>These risk services</w:t>
      </w:r>
      <w:r w:rsidR="00866B7F" w:rsidRPr="006401EB">
        <w:t xml:space="preserve"> promote best practice risk management across the Territory</w:t>
      </w:r>
      <w:r w:rsidR="66E8B430" w:rsidRPr="006401EB">
        <w:t>,</w:t>
      </w:r>
      <w:r w:rsidR="00866B7F" w:rsidRPr="006401EB">
        <w:t xml:space="preserve"> support directorates and statutory authorities with implementation of the </w:t>
      </w:r>
      <w:r w:rsidR="77D1CE52" w:rsidRPr="006401EB">
        <w:t xml:space="preserve">ACT Government Risk </w:t>
      </w:r>
      <w:r w:rsidR="37ACCDDF" w:rsidRPr="006401EB">
        <w:t>Policy</w:t>
      </w:r>
      <w:r w:rsidR="70890FA2" w:rsidRPr="006401EB">
        <w:t>,</w:t>
      </w:r>
      <w:r w:rsidR="37ACCDDF" w:rsidRPr="006401EB">
        <w:t xml:space="preserve"> and assist with their risk maturity and risk management capability.</w:t>
      </w:r>
      <w:r w:rsidR="63FED179">
        <w:t xml:space="preserve"> </w:t>
      </w:r>
      <w:r w:rsidR="4AE4FACF">
        <w:t xml:space="preserve">  </w:t>
      </w:r>
    </w:p>
    <w:p w14:paraId="0D300720" w14:textId="77777777" w:rsidR="004E2234" w:rsidRPr="009B6CCF" w:rsidRDefault="004E2234" w:rsidP="00A432B7">
      <w:pPr>
        <w:pStyle w:val="Bulletintropara"/>
      </w:pPr>
      <w:r w:rsidRPr="009B6CCF">
        <w:t>The Authority’s Risk Management team provides the following support through its scope of services:</w:t>
      </w:r>
    </w:p>
    <w:p w14:paraId="068E1186" w14:textId="77777777" w:rsidR="004E2234" w:rsidRPr="009B6CCF" w:rsidRDefault="004E2234" w:rsidP="00A36E9A">
      <w:pPr>
        <w:pStyle w:val="Bullet1"/>
        <w:numPr>
          <w:ilvl w:val="0"/>
          <w:numId w:val="13"/>
        </w:numPr>
        <w:tabs>
          <w:tab w:val="left" w:pos="284"/>
        </w:tabs>
        <w:ind w:left="284" w:hanging="284"/>
      </w:pPr>
      <w:r w:rsidRPr="009B6CCF">
        <w:t>policy and guidance material development and review;</w:t>
      </w:r>
    </w:p>
    <w:p w14:paraId="1342EC51" w14:textId="77777777" w:rsidR="004E2234" w:rsidRPr="009B6CCF" w:rsidRDefault="004E2234" w:rsidP="00A36E9A">
      <w:pPr>
        <w:pStyle w:val="Bullet1"/>
        <w:numPr>
          <w:ilvl w:val="0"/>
          <w:numId w:val="13"/>
        </w:numPr>
        <w:tabs>
          <w:tab w:val="left" w:pos="284"/>
        </w:tabs>
        <w:ind w:left="284" w:hanging="284"/>
      </w:pPr>
      <w:r w:rsidRPr="009B6CCF">
        <w:t>risk management tools and templates;</w:t>
      </w:r>
    </w:p>
    <w:p w14:paraId="0970A078" w14:textId="77777777" w:rsidR="004E2234" w:rsidRPr="009B6CCF" w:rsidRDefault="004E2234" w:rsidP="00A36E9A">
      <w:pPr>
        <w:pStyle w:val="Bullet1"/>
        <w:numPr>
          <w:ilvl w:val="0"/>
          <w:numId w:val="13"/>
        </w:numPr>
        <w:tabs>
          <w:tab w:val="left" w:pos="284"/>
        </w:tabs>
        <w:ind w:left="284" w:hanging="284"/>
      </w:pPr>
      <w:r w:rsidRPr="009B6CCF">
        <w:t>risk maturity assessments;</w:t>
      </w:r>
    </w:p>
    <w:p w14:paraId="40C8C22F" w14:textId="77777777" w:rsidR="004E2234" w:rsidRPr="009B6CCF" w:rsidRDefault="004E2234" w:rsidP="00A36E9A">
      <w:pPr>
        <w:pStyle w:val="Bullet1"/>
        <w:numPr>
          <w:ilvl w:val="0"/>
          <w:numId w:val="13"/>
        </w:numPr>
        <w:tabs>
          <w:tab w:val="left" w:pos="284"/>
        </w:tabs>
        <w:ind w:left="284" w:hanging="284"/>
      </w:pPr>
      <w:r w:rsidRPr="009B6CCF">
        <w:t>risk management representation on various whole of government initiatives and committees;</w:t>
      </w:r>
    </w:p>
    <w:p w14:paraId="70CE4D74" w14:textId="77777777" w:rsidR="004E2234" w:rsidRPr="009B6CCF" w:rsidRDefault="004E2234" w:rsidP="00A36E9A">
      <w:pPr>
        <w:pStyle w:val="Bullet1"/>
        <w:numPr>
          <w:ilvl w:val="0"/>
          <w:numId w:val="13"/>
        </w:numPr>
        <w:tabs>
          <w:tab w:val="left" w:pos="284"/>
        </w:tabs>
        <w:ind w:left="284" w:hanging="284"/>
      </w:pPr>
      <w:r w:rsidRPr="009B6CCF">
        <w:t>learning forums;</w:t>
      </w:r>
    </w:p>
    <w:p w14:paraId="357E46D0" w14:textId="77777777" w:rsidR="004E2234" w:rsidRPr="009B6CCF" w:rsidRDefault="004E2234" w:rsidP="00A36E9A">
      <w:pPr>
        <w:pStyle w:val="Bullet1"/>
        <w:numPr>
          <w:ilvl w:val="0"/>
          <w:numId w:val="13"/>
        </w:numPr>
        <w:tabs>
          <w:tab w:val="left" w:pos="284"/>
        </w:tabs>
        <w:ind w:left="284" w:hanging="284"/>
      </w:pPr>
      <w:r w:rsidRPr="009B6CCF">
        <w:t xml:space="preserve">presentations to senior management teams and/or directorate interest groups; </w:t>
      </w:r>
    </w:p>
    <w:p w14:paraId="486F7427" w14:textId="77777777" w:rsidR="004E2234" w:rsidRPr="009B6CCF" w:rsidRDefault="004E2234" w:rsidP="00A36E9A">
      <w:pPr>
        <w:pStyle w:val="Bullet1"/>
        <w:numPr>
          <w:ilvl w:val="0"/>
          <w:numId w:val="13"/>
        </w:numPr>
        <w:tabs>
          <w:tab w:val="left" w:pos="284"/>
        </w:tabs>
        <w:ind w:left="284" w:hanging="284"/>
      </w:pPr>
      <w:r w:rsidRPr="009B6CCF">
        <w:t>risk management consultancy;</w:t>
      </w:r>
    </w:p>
    <w:p w14:paraId="76C7C6CB" w14:textId="46440450" w:rsidR="004E2234" w:rsidRPr="009B6CCF" w:rsidRDefault="004E2234" w:rsidP="00A36E9A">
      <w:pPr>
        <w:pStyle w:val="Bullet1"/>
        <w:numPr>
          <w:ilvl w:val="0"/>
          <w:numId w:val="13"/>
        </w:numPr>
        <w:tabs>
          <w:tab w:val="left" w:pos="284"/>
        </w:tabs>
        <w:ind w:left="284" w:hanging="284"/>
      </w:pPr>
      <w:r w:rsidRPr="009B6CCF">
        <w:t>risk management training</w:t>
      </w:r>
      <w:r w:rsidR="05851670" w:rsidRPr="009B6CCF">
        <w:t>;</w:t>
      </w:r>
      <w:r w:rsidRPr="009B6CCF">
        <w:t xml:space="preserve"> </w:t>
      </w:r>
    </w:p>
    <w:p w14:paraId="50DC4548" w14:textId="4FF19266" w:rsidR="004E2234" w:rsidRPr="009B6CCF" w:rsidRDefault="004E2234" w:rsidP="00A36E9A">
      <w:pPr>
        <w:pStyle w:val="Bullet1"/>
        <w:numPr>
          <w:ilvl w:val="0"/>
          <w:numId w:val="13"/>
        </w:numPr>
        <w:tabs>
          <w:tab w:val="left" w:pos="284"/>
        </w:tabs>
        <w:ind w:left="284" w:hanging="284"/>
      </w:pPr>
      <w:r w:rsidRPr="009B6CCF">
        <w:t>face-to-face risk assessments and workshops</w:t>
      </w:r>
      <w:r w:rsidR="6D84597B" w:rsidRPr="009B6CCF">
        <w:t>; and</w:t>
      </w:r>
    </w:p>
    <w:p w14:paraId="692256A6" w14:textId="6D903524" w:rsidR="004E2234" w:rsidRPr="00A432B7" w:rsidRDefault="001C78E2" w:rsidP="00A36E9A">
      <w:pPr>
        <w:pStyle w:val="Bullet1"/>
        <w:numPr>
          <w:ilvl w:val="0"/>
          <w:numId w:val="13"/>
        </w:numPr>
        <w:tabs>
          <w:tab w:val="left" w:pos="284"/>
        </w:tabs>
        <w:ind w:left="284" w:hanging="284"/>
      </w:pPr>
      <w:r w:rsidRPr="00A432B7">
        <w:t>r</w:t>
      </w:r>
      <w:r w:rsidR="6D84597B" w:rsidRPr="00A432B7">
        <w:t>isk reporting</w:t>
      </w:r>
      <w:r w:rsidR="004E2234" w:rsidRPr="00A432B7">
        <w:t>.</w:t>
      </w:r>
    </w:p>
    <w:p w14:paraId="3D3576F9" w14:textId="2080424C" w:rsidR="3874D1BB" w:rsidRPr="004012C6" w:rsidRDefault="798AB6A7" w:rsidP="00AD126A">
      <w:pPr>
        <w:tabs>
          <w:tab w:val="left" w:pos="9072"/>
        </w:tabs>
      </w:pPr>
      <w:r w:rsidRPr="004012C6">
        <w:t xml:space="preserve">The Authority </w:t>
      </w:r>
      <w:r w:rsidR="72F9E2B4" w:rsidRPr="004012C6">
        <w:t>delivered</w:t>
      </w:r>
      <w:r w:rsidRPr="004012C6">
        <w:t xml:space="preserve"> </w:t>
      </w:r>
      <w:r w:rsidR="600439E9" w:rsidRPr="004012C6">
        <w:t xml:space="preserve">a program of </w:t>
      </w:r>
      <w:r w:rsidRPr="004012C6">
        <w:t xml:space="preserve">training activities in </w:t>
      </w:r>
      <w:r w:rsidR="2AC48AF5" w:rsidRPr="004012C6">
        <w:t>2023-24</w:t>
      </w:r>
      <w:r w:rsidR="7341BAC5" w:rsidRPr="004012C6">
        <w:t xml:space="preserve"> in accordance with its </w:t>
      </w:r>
      <w:r w:rsidR="79BC94E7" w:rsidRPr="004012C6">
        <w:t xml:space="preserve">tiered </w:t>
      </w:r>
      <w:r w:rsidR="7341BAC5" w:rsidRPr="004012C6">
        <w:t>Risk Training Plan</w:t>
      </w:r>
      <w:r w:rsidR="0FD77685" w:rsidRPr="004012C6">
        <w:t>,</w:t>
      </w:r>
      <w:r w:rsidRPr="004012C6">
        <w:t xml:space="preserve"> </w:t>
      </w:r>
      <w:r w:rsidR="579AC5F9" w:rsidRPr="004012C6">
        <w:t>completing</w:t>
      </w:r>
      <w:r w:rsidR="096A1D0A" w:rsidRPr="004012C6">
        <w:t xml:space="preserve"> engagements </w:t>
      </w:r>
      <w:r w:rsidR="37DC2406" w:rsidRPr="004012C6">
        <w:t xml:space="preserve">with a total of 294 participants </w:t>
      </w:r>
      <w:r w:rsidR="096A1D0A" w:rsidRPr="004012C6">
        <w:t xml:space="preserve">across every </w:t>
      </w:r>
      <w:r w:rsidR="13EEB5CC" w:rsidRPr="004012C6">
        <w:t xml:space="preserve">ACT Government </w:t>
      </w:r>
      <w:r w:rsidR="096A1D0A" w:rsidRPr="004012C6">
        <w:t>Directorate</w:t>
      </w:r>
      <w:r w:rsidR="30DC9AD6" w:rsidRPr="004012C6">
        <w:t xml:space="preserve">. </w:t>
      </w:r>
      <w:r w:rsidR="0373C9B3" w:rsidRPr="004012C6">
        <w:t>A total of 37 introductory level, 16 more advanced ‘risk practitioner’ level and 6 executive level activities were conducted</w:t>
      </w:r>
      <w:r w:rsidR="0547E1B3" w:rsidRPr="004012C6">
        <w:t>,</w:t>
      </w:r>
      <w:r w:rsidRPr="004012C6">
        <w:t xml:space="preserve"> to embed risk management skills </w:t>
      </w:r>
      <w:r w:rsidR="5B6A4162" w:rsidRPr="004012C6">
        <w:t>broadly</w:t>
      </w:r>
      <w:r w:rsidRPr="004012C6">
        <w:t xml:space="preserve"> across the ACT Public Service. The </w:t>
      </w:r>
      <w:r w:rsidR="5BFFECAC" w:rsidRPr="004012C6">
        <w:t xml:space="preserve">face-to-face </w:t>
      </w:r>
      <w:r w:rsidRPr="004012C6">
        <w:t>program complements the two e-learning offerings now widely utilised in directorate and agency induction programs</w:t>
      </w:r>
      <w:r w:rsidR="377A48EF" w:rsidRPr="004012C6">
        <w:t>, completed by 890 individuals</w:t>
      </w:r>
      <w:r w:rsidRPr="004012C6">
        <w:t xml:space="preserve">.  </w:t>
      </w:r>
    </w:p>
    <w:p w14:paraId="15D7BD20" w14:textId="73D362CD" w:rsidR="322259F6" w:rsidRPr="004012C6" w:rsidRDefault="322259F6" w:rsidP="66972B7B">
      <w:pPr>
        <w:tabs>
          <w:tab w:val="left" w:pos="9072"/>
        </w:tabs>
      </w:pPr>
      <w:r w:rsidRPr="004012C6">
        <w:t>The Authority established a</w:t>
      </w:r>
      <w:r w:rsidR="70D39024" w:rsidRPr="004012C6">
        <w:t xml:space="preserve"> new Risk </w:t>
      </w:r>
      <w:r w:rsidR="70C62E7A" w:rsidRPr="004012C6">
        <w:t>Community of Practice</w:t>
      </w:r>
      <w:r w:rsidR="33F27031" w:rsidRPr="004012C6">
        <w:t xml:space="preserve"> in 2023</w:t>
      </w:r>
      <w:r w:rsidR="70D39024" w:rsidRPr="004012C6">
        <w:t>, to provide a forum for sharing of risk knowledge</w:t>
      </w:r>
      <w:r w:rsidR="6AAF8CF0" w:rsidRPr="004012C6">
        <w:t xml:space="preserve"> between </w:t>
      </w:r>
      <w:r w:rsidR="57DB8625" w:rsidRPr="004012C6">
        <w:t xml:space="preserve">risk practitioners in </w:t>
      </w:r>
      <w:r w:rsidR="6AAF8CF0" w:rsidRPr="004012C6">
        <w:t>AC</w:t>
      </w:r>
      <w:r w:rsidR="5EE9D331" w:rsidRPr="004012C6">
        <w:t>T</w:t>
      </w:r>
      <w:r w:rsidR="6AAF8CF0" w:rsidRPr="004012C6">
        <w:t xml:space="preserve"> Government Agencies. T</w:t>
      </w:r>
      <w:r w:rsidR="7184F06D" w:rsidRPr="004012C6">
        <w:t xml:space="preserve">wo half-day </w:t>
      </w:r>
      <w:r w:rsidR="179BE0A9" w:rsidRPr="004012C6">
        <w:t xml:space="preserve">face-to-face </w:t>
      </w:r>
      <w:r w:rsidR="7184F06D" w:rsidRPr="004012C6">
        <w:t>seminars were conducted</w:t>
      </w:r>
      <w:r w:rsidR="0B857533" w:rsidRPr="004012C6">
        <w:t xml:space="preserve">, with a total of 72 participants. The forums are supported by </w:t>
      </w:r>
      <w:r w:rsidR="3C38D127" w:rsidRPr="004012C6">
        <w:t xml:space="preserve">an active Community of Practice </w:t>
      </w:r>
      <w:r w:rsidR="006644B7">
        <w:t xml:space="preserve">collaboration </w:t>
      </w:r>
      <w:r w:rsidR="00045806">
        <w:t>workspace</w:t>
      </w:r>
      <w:r w:rsidR="3C38D127" w:rsidRPr="004012C6">
        <w:t>.</w:t>
      </w:r>
    </w:p>
    <w:p w14:paraId="07FBEB4E" w14:textId="1B1D780D" w:rsidR="32FFD09F" w:rsidRPr="004012C6" w:rsidRDefault="7B988C93" w:rsidP="00AD126A">
      <w:pPr>
        <w:tabs>
          <w:tab w:val="left" w:pos="9072"/>
        </w:tabs>
      </w:pPr>
      <w:r w:rsidRPr="004012C6">
        <w:t xml:space="preserve">A project was </w:t>
      </w:r>
      <w:r w:rsidR="34031F8D" w:rsidRPr="004012C6">
        <w:t xml:space="preserve">completed </w:t>
      </w:r>
      <w:r w:rsidRPr="004012C6">
        <w:t xml:space="preserve">in </w:t>
      </w:r>
      <w:r w:rsidR="2AC48AF5" w:rsidRPr="004012C6">
        <w:t>2023-24</w:t>
      </w:r>
      <w:r w:rsidRPr="004012C6">
        <w:t xml:space="preserve"> to introduce a new risk reporting capability across government. The system, which operates on </w:t>
      </w:r>
      <w:r w:rsidR="757F4722" w:rsidRPr="004012C6">
        <w:t xml:space="preserve">the Authority’s existing insurance management </w:t>
      </w:r>
      <w:r w:rsidR="757F4722" w:rsidRPr="004012C6">
        <w:lastRenderedPageBreak/>
        <w:t xml:space="preserve">platform, was designed to capture </w:t>
      </w:r>
      <w:r w:rsidR="793AB4D5" w:rsidRPr="004012C6">
        <w:t xml:space="preserve">risks </w:t>
      </w:r>
      <w:r w:rsidR="3CC586ED" w:rsidRPr="004012C6">
        <w:t xml:space="preserve">at a variety of levels </w:t>
      </w:r>
      <w:r w:rsidR="793AB4D5" w:rsidRPr="004012C6">
        <w:t xml:space="preserve">from all territory entities to provide </w:t>
      </w:r>
      <w:r w:rsidR="1B395E52" w:rsidRPr="004012C6">
        <w:t xml:space="preserve">both </w:t>
      </w:r>
      <w:r w:rsidR="793AB4D5" w:rsidRPr="004012C6">
        <w:t xml:space="preserve">a whole of government risk profile, </w:t>
      </w:r>
      <w:r w:rsidR="43429BFE" w:rsidRPr="004012C6">
        <w:t xml:space="preserve">and to assist each entity to aggregate, report on and manage its risks. </w:t>
      </w:r>
      <w:r w:rsidR="2BDCCA74" w:rsidRPr="004012C6">
        <w:t xml:space="preserve">Strategic risk registers from each Directorate were </w:t>
      </w:r>
      <w:r w:rsidR="001867D3" w:rsidRPr="004012C6">
        <w:t>collated in</w:t>
      </w:r>
      <w:r w:rsidR="0A682FFC" w:rsidRPr="004012C6">
        <w:t xml:space="preserve"> 2023-24</w:t>
      </w:r>
      <w:r w:rsidR="49C90136" w:rsidRPr="004012C6">
        <w:t>, with the program to be extended to project and cyber-risk registers in 2024-25</w:t>
      </w:r>
      <w:r w:rsidR="0A682FFC" w:rsidRPr="004012C6">
        <w:t>.</w:t>
      </w:r>
    </w:p>
    <w:p w14:paraId="256B405A" w14:textId="0BD2337A" w:rsidR="004E2234" w:rsidRPr="005A4264" w:rsidRDefault="4B244C55" w:rsidP="005A4264">
      <w:pPr>
        <w:pStyle w:val="Heading5"/>
      </w:pPr>
      <w:r w:rsidRPr="005A4264">
        <w:t>Reinsurance Program Placement and External Insurance for 202</w:t>
      </w:r>
      <w:r w:rsidR="004B3995" w:rsidRPr="005A4264">
        <w:t>4</w:t>
      </w:r>
      <w:r w:rsidRPr="005A4264">
        <w:t>-2</w:t>
      </w:r>
      <w:r w:rsidR="004B3995" w:rsidRPr="005A4264">
        <w:t>5</w:t>
      </w:r>
    </w:p>
    <w:p w14:paraId="1E907651" w14:textId="1C577881" w:rsidR="004E2234" w:rsidRPr="009B6CCF" w:rsidRDefault="004E2234" w:rsidP="00AD126A">
      <w:pPr>
        <w:tabs>
          <w:tab w:val="left" w:pos="9072"/>
        </w:tabs>
      </w:pPr>
      <w:r w:rsidRPr="009B6CCF">
        <w:t>The placement of the Territory’s annual insurance and reinsurance program is one of the Authority’s key operational deliverables each year</w:t>
      </w:r>
      <w:r w:rsidR="00200839">
        <w:t>, with the program to be settled by 30 June of the prior year</w:t>
      </w:r>
      <w:r w:rsidRPr="009B6CCF">
        <w:t>.</w:t>
      </w:r>
      <w:r w:rsidR="00A800E3">
        <w:t xml:space="preserve"> </w:t>
      </w:r>
      <w:r w:rsidRPr="009B6CCF">
        <w:t>The program protects the Territory from losses resulting from</w:t>
      </w:r>
      <w:r w:rsidRPr="009B6CCF">
        <w:rPr>
          <w:color w:val="FF0000"/>
        </w:rPr>
        <w:t xml:space="preserve"> </w:t>
      </w:r>
      <w:r w:rsidRPr="009B6CCF">
        <w:t>catastrophic events or an accumulation of insurable losses.</w:t>
      </w:r>
    </w:p>
    <w:p w14:paraId="2717CF0E" w14:textId="2E36E907" w:rsidR="004E2234" w:rsidRPr="009B6CCF" w:rsidRDefault="004E2234" w:rsidP="00AD126A">
      <w:pPr>
        <w:tabs>
          <w:tab w:val="left" w:pos="9072"/>
        </w:tabs>
      </w:pPr>
      <w:r w:rsidRPr="009B6CCF">
        <w:t>The Authority completed a strategic review of the suitability of its program taking into consideration a range of issues including the prevailing market conditions, emerging operational issues, and changes to business activities. The review also considered the Territory’s claims experience, legislative changes, historical costs, placement structure, and risk retention levels</w:t>
      </w:r>
      <w:r w:rsidR="005D203C">
        <w:t>,</w:t>
      </w:r>
      <w:r w:rsidRPr="009B6CCF">
        <w:t xml:space="preserve"> as well as its short and long-term strategic objectives.</w:t>
      </w:r>
    </w:p>
    <w:p w14:paraId="576F0674" w14:textId="74D13425" w:rsidR="004E2234" w:rsidRPr="009B6CCF" w:rsidRDefault="004E2234" w:rsidP="00AD126A">
      <w:pPr>
        <w:tabs>
          <w:tab w:val="left" w:pos="9072"/>
        </w:tabs>
        <w:rPr>
          <w:szCs w:val="20"/>
        </w:rPr>
      </w:pPr>
      <w:r w:rsidRPr="009B6CCF">
        <w:t>The 20</w:t>
      </w:r>
      <w:r w:rsidR="00EE2215">
        <w:t>2</w:t>
      </w:r>
      <w:r w:rsidR="004B3995">
        <w:t>4</w:t>
      </w:r>
      <w:r w:rsidRPr="009B6CCF">
        <w:t>-2</w:t>
      </w:r>
      <w:r w:rsidR="004B3995">
        <w:t>5</w:t>
      </w:r>
      <w:r w:rsidRPr="009B6CCF">
        <w:t xml:space="preserve"> renewal strategy tested the current program structure and pricing with incumbent insurance and reinsurance providers across all insurance classes.</w:t>
      </w:r>
    </w:p>
    <w:p w14:paraId="59577D16" w14:textId="15570294" w:rsidR="004E2234" w:rsidRPr="004B3995" w:rsidRDefault="4AE4FACF" w:rsidP="66972B7B">
      <w:pPr>
        <w:tabs>
          <w:tab w:val="left" w:pos="9072"/>
        </w:tabs>
      </w:pPr>
      <w:r>
        <w:t>The successful placement of the 202</w:t>
      </w:r>
      <w:r w:rsidR="7E5CABE4">
        <w:t>4</w:t>
      </w:r>
      <w:r>
        <w:t>-2</w:t>
      </w:r>
      <w:r w:rsidR="1B3620B8">
        <w:t>5</w:t>
      </w:r>
      <w:r>
        <w:t xml:space="preserve"> reinsurance program, with 100 per cent capacity provided by the global insurance market, was a positive result for the Territory in challenging market conditions. The Authority’s Advisory Board and the Under Treasurer supported the final structure after lengthy negotiations with the participating reinsurance market. The cost of the 202</w:t>
      </w:r>
      <w:r w:rsidR="58330990">
        <w:t>4</w:t>
      </w:r>
      <w:r>
        <w:t>-2</w:t>
      </w:r>
      <w:r w:rsidR="2C10D0E0">
        <w:t>5</w:t>
      </w:r>
      <w:r>
        <w:t xml:space="preserve"> reinsurance program was negotiated at </w:t>
      </w:r>
      <w:r w:rsidRPr="66972B7B">
        <w:t>$</w:t>
      </w:r>
      <w:r w:rsidR="35C3B0A3" w:rsidRPr="66972B7B">
        <w:t>16.</w:t>
      </w:r>
      <w:r w:rsidR="16250EE8" w:rsidRPr="66972B7B">
        <w:t>3</w:t>
      </w:r>
      <w:r>
        <w:t xml:space="preserve"> million, representing an increase of </w:t>
      </w:r>
      <w:r w:rsidR="421EE40B">
        <w:t>0.41</w:t>
      </w:r>
      <w:r w:rsidRPr="66972B7B">
        <w:rPr>
          <w:color w:val="FF0000"/>
        </w:rPr>
        <w:t xml:space="preserve"> </w:t>
      </w:r>
      <w:r>
        <w:t xml:space="preserve">per cent on the </w:t>
      </w:r>
      <w:r w:rsidR="2AC48AF5">
        <w:t>2023-24</w:t>
      </w:r>
      <w:r>
        <w:t xml:space="preserve"> program.  </w:t>
      </w:r>
    </w:p>
    <w:p w14:paraId="09823DC2" w14:textId="6DBEC401" w:rsidR="0089690C" w:rsidRPr="004B3995" w:rsidRDefault="4AE4FACF" w:rsidP="66972B7B">
      <w:pPr>
        <w:tabs>
          <w:tab w:val="left" w:pos="9072"/>
        </w:tabs>
      </w:pPr>
      <w:r>
        <w:t xml:space="preserve">There were premium </w:t>
      </w:r>
      <w:r w:rsidR="304764DD">
        <w:t>de</w:t>
      </w:r>
      <w:r>
        <w:t>creases in relation to Property</w:t>
      </w:r>
      <w:r w:rsidR="0668A81C">
        <w:t>/ISR</w:t>
      </w:r>
      <w:r>
        <w:t xml:space="preserve"> (Industrial Special Risk), with a</w:t>
      </w:r>
      <w:r w:rsidR="61F0B003">
        <w:t xml:space="preserve"> 5.25</w:t>
      </w:r>
      <w:r>
        <w:t xml:space="preserve"> per cent </w:t>
      </w:r>
      <w:r w:rsidR="1988F457">
        <w:t>de</w:t>
      </w:r>
      <w:r>
        <w:t xml:space="preserve">crease, and a </w:t>
      </w:r>
      <w:r w:rsidR="5D18563D">
        <w:t>de</w:t>
      </w:r>
      <w:r>
        <w:t xml:space="preserve">crease of </w:t>
      </w:r>
      <w:r w:rsidR="2C5234A1">
        <w:t xml:space="preserve">3.95 </w:t>
      </w:r>
      <w:r>
        <w:t xml:space="preserve">per cent for the combined Public Liability and Professional Indemnity reinsurance policy. </w:t>
      </w:r>
      <w:r w:rsidR="6B091051" w:rsidRPr="66972B7B">
        <w:rPr>
          <w:rFonts w:cs="Calibri"/>
        </w:rPr>
        <w:t>T</w:t>
      </w:r>
      <w:r w:rsidR="6205C796" w:rsidRPr="66972B7B">
        <w:rPr>
          <w:rFonts w:cs="Calibri"/>
        </w:rPr>
        <w:t xml:space="preserve">he </w:t>
      </w:r>
      <w:r w:rsidR="58B9DF69" w:rsidRPr="66972B7B">
        <w:rPr>
          <w:rFonts w:cs="Calibri"/>
        </w:rPr>
        <w:t xml:space="preserve">Authority negotiated </w:t>
      </w:r>
      <w:r w:rsidR="0668A81C" w:rsidRPr="66972B7B">
        <w:rPr>
          <w:rFonts w:cs="Calibri"/>
        </w:rPr>
        <w:t xml:space="preserve">a </w:t>
      </w:r>
      <w:r w:rsidR="58B9DF69" w:rsidRPr="66972B7B">
        <w:rPr>
          <w:rFonts w:cs="Calibri"/>
        </w:rPr>
        <w:t xml:space="preserve">change to the reinsurance program structure for </w:t>
      </w:r>
      <w:r w:rsidR="0668A81C" w:rsidRPr="66972B7B">
        <w:rPr>
          <w:rFonts w:cs="Calibri"/>
        </w:rPr>
        <w:t xml:space="preserve">the </w:t>
      </w:r>
      <w:r w:rsidR="006C9BB6" w:rsidRPr="66972B7B">
        <w:rPr>
          <w:rFonts w:cs="Calibri"/>
        </w:rPr>
        <w:t>Medical Negligence</w:t>
      </w:r>
      <w:r w:rsidR="1C2334BC" w:rsidRPr="66972B7B">
        <w:rPr>
          <w:rFonts w:cs="Calibri"/>
        </w:rPr>
        <w:t xml:space="preserve"> policy</w:t>
      </w:r>
      <w:r w:rsidR="00595A9F">
        <w:rPr>
          <w:rFonts w:cs="Calibri"/>
        </w:rPr>
        <w:t>,</w:t>
      </w:r>
      <w:r w:rsidR="3C408E76" w:rsidRPr="66972B7B">
        <w:rPr>
          <w:rFonts w:cs="Calibri"/>
        </w:rPr>
        <w:t xml:space="preserve"> </w:t>
      </w:r>
      <w:r w:rsidR="00595A9F">
        <w:rPr>
          <w:rFonts w:cs="Calibri"/>
        </w:rPr>
        <w:t>i</w:t>
      </w:r>
      <w:r w:rsidR="5C33AD05" w:rsidRPr="66972B7B">
        <w:rPr>
          <w:rFonts w:cs="Calibri"/>
        </w:rPr>
        <w:t>ncreasing the claim deductible</w:t>
      </w:r>
      <w:r w:rsidR="3C408E76" w:rsidRPr="66972B7B">
        <w:rPr>
          <w:rFonts w:cs="Calibri"/>
        </w:rPr>
        <w:t xml:space="preserve"> </w:t>
      </w:r>
      <w:r w:rsidR="3EA8580C" w:rsidRPr="66972B7B">
        <w:rPr>
          <w:rFonts w:cs="Calibri"/>
        </w:rPr>
        <w:t>for each occurrence</w:t>
      </w:r>
      <w:r w:rsidR="00595A9F">
        <w:rPr>
          <w:rFonts w:cs="Calibri"/>
        </w:rPr>
        <w:t xml:space="preserve"> which</w:t>
      </w:r>
      <w:r w:rsidR="4A68B691" w:rsidRPr="66972B7B">
        <w:rPr>
          <w:rFonts w:cs="Calibri"/>
        </w:rPr>
        <w:t xml:space="preserve"> </w:t>
      </w:r>
      <w:r w:rsidR="5652AF31" w:rsidRPr="66972B7B">
        <w:rPr>
          <w:rFonts w:cs="Calibri"/>
        </w:rPr>
        <w:t>provide</w:t>
      </w:r>
      <w:r w:rsidR="6D4C33F8" w:rsidRPr="66972B7B">
        <w:rPr>
          <w:rFonts w:cs="Calibri"/>
        </w:rPr>
        <w:t>d</w:t>
      </w:r>
      <w:r w:rsidR="5652AF31" w:rsidRPr="66972B7B">
        <w:rPr>
          <w:rFonts w:cs="Calibri"/>
        </w:rPr>
        <w:t xml:space="preserve"> </w:t>
      </w:r>
      <w:r w:rsidR="7ABB3499" w:rsidRPr="66972B7B">
        <w:rPr>
          <w:rFonts w:cs="Calibri"/>
        </w:rPr>
        <w:t xml:space="preserve">the </w:t>
      </w:r>
      <w:r w:rsidR="569DC42D" w:rsidRPr="66972B7B">
        <w:rPr>
          <w:rFonts w:cs="Calibri"/>
        </w:rPr>
        <w:t xml:space="preserve">most </w:t>
      </w:r>
      <w:r w:rsidR="7C0AB831" w:rsidRPr="66972B7B">
        <w:rPr>
          <w:rFonts w:cs="Calibri"/>
        </w:rPr>
        <w:t xml:space="preserve">efficient and </w:t>
      </w:r>
      <w:r w:rsidR="0EBAAFFE" w:rsidRPr="66972B7B">
        <w:rPr>
          <w:rFonts w:cs="Calibri"/>
        </w:rPr>
        <w:t xml:space="preserve">best </w:t>
      </w:r>
      <w:r w:rsidR="7C0AB831" w:rsidRPr="66972B7B">
        <w:rPr>
          <w:rFonts w:cs="Calibri"/>
        </w:rPr>
        <w:t xml:space="preserve">value for money transfer of </w:t>
      </w:r>
      <w:r w:rsidR="6D4C33F8" w:rsidRPr="66972B7B">
        <w:rPr>
          <w:rFonts w:cs="Calibri"/>
        </w:rPr>
        <w:t xml:space="preserve">this </w:t>
      </w:r>
      <w:r w:rsidR="7C0AB831" w:rsidRPr="66972B7B">
        <w:rPr>
          <w:rFonts w:cs="Calibri"/>
        </w:rPr>
        <w:t xml:space="preserve">risk to the </w:t>
      </w:r>
      <w:r w:rsidR="0EBAAFFE" w:rsidRPr="66972B7B">
        <w:rPr>
          <w:rFonts w:cs="Calibri"/>
        </w:rPr>
        <w:t xml:space="preserve">market. </w:t>
      </w:r>
    </w:p>
    <w:p w14:paraId="561D8C11" w14:textId="4290BB45" w:rsidR="004E2234" w:rsidRPr="004B3995" w:rsidRDefault="0153D687" w:rsidP="66972B7B">
      <w:pPr>
        <w:tabs>
          <w:tab w:val="left" w:pos="9072"/>
        </w:tabs>
      </w:pPr>
      <w:r>
        <w:t>T</w:t>
      </w:r>
      <w:r w:rsidR="4AE4FACF">
        <w:t xml:space="preserve">he Authority also arranges direct insurance cover for contract works, travel, </w:t>
      </w:r>
      <w:r w:rsidR="20753799">
        <w:t>art</w:t>
      </w:r>
      <w:r w:rsidR="27CC9A29">
        <w:t xml:space="preserve"> and galleries</w:t>
      </w:r>
      <w:r w:rsidR="20753799">
        <w:t>,</w:t>
      </w:r>
      <w:r w:rsidR="412A9881">
        <w:t xml:space="preserve"> </w:t>
      </w:r>
      <w:proofErr w:type="gramStart"/>
      <w:r w:rsidR="6ED3970A">
        <w:t>aviation</w:t>
      </w:r>
      <w:proofErr w:type="gramEnd"/>
      <w:r w:rsidR="6ED3970A">
        <w:t xml:space="preserve"> </w:t>
      </w:r>
      <w:r w:rsidR="4AE4FACF">
        <w:t xml:space="preserve">and personal accident cover for both aero retrieval and volunteer workers. The premium for contract works has increased by </w:t>
      </w:r>
      <w:r w:rsidR="260B7402">
        <w:t>15.84</w:t>
      </w:r>
      <w:r w:rsidR="4AE4FACF">
        <w:t xml:space="preserve"> per cent from the </w:t>
      </w:r>
      <w:r w:rsidR="78EADC77">
        <w:t xml:space="preserve">prior </w:t>
      </w:r>
      <w:r w:rsidR="4AE4FACF">
        <w:t>period, based on an anticipated increase in construction activity across the Territory</w:t>
      </w:r>
      <w:r w:rsidR="55E652F6">
        <w:t>.</w:t>
      </w:r>
    </w:p>
    <w:p w14:paraId="46934935" w14:textId="123B9968" w:rsidR="004E2234" w:rsidRPr="009B6CCF" w:rsidRDefault="0AF9C0EC" w:rsidP="00AD126A">
      <w:pPr>
        <w:tabs>
          <w:tab w:val="left" w:pos="9072"/>
        </w:tabs>
      </w:pPr>
      <w:r>
        <w:t xml:space="preserve">The Authority has agreed to self-insure standing timber within </w:t>
      </w:r>
      <w:r w:rsidR="44C94D38">
        <w:t xml:space="preserve">both </w:t>
      </w:r>
      <w:r>
        <w:t>the Arboretum and ACT Forests</w:t>
      </w:r>
      <w:r w:rsidR="2EA7A567">
        <w:t xml:space="preserve"> for the 202</w:t>
      </w:r>
      <w:r w:rsidR="3E39FE66">
        <w:t>4</w:t>
      </w:r>
      <w:r w:rsidR="2EA7A567">
        <w:t>-2</w:t>
      </w:r>
      <w:r w:rsidR="2503F23E">
        <w:t>5</w:t>
      </w:r>
      <w:r w:rsidR="2EA7A567">
        <w:t xml:space="preserve"> period</w:t>
      </w:r>
      <w:r>
        <w:t xml:space="preserve">, based on </w:t>
      </w:r>
      <w:r w:rsidR="00F0714E">
        <w:t>unfavourable terms and premium rates being indicated by commercial insurers.</w:t>
      </w:r>
    </w:p>
    <w:p w14:paraId="1B6C58B6" w14:textId="77777777" w:rsidR="004E2234" w:rsidRPr="009B6CCF" w:rsidRDefault="004E2234" w:rsidP="00AD126A">
      <w:pPr>
        <w:tabs>
          <w:tab w:val="left" w:pos="9072"/>
        </w:tabs>
      </w:pPr>
      <w:r w:rsidRPr="009B6CCF">
        <w:t xml:space="preserve">The Authority continues to be a valued client with national and international insurers and reinsurers who participate on the current program, while continuing to attract interest from </w:t>
      </w:r>
      <w:r w:rsidRPr="009B6CCF">
        <w:lastRenderedPageBreak/>
        <w:t>alternate underwriters to provide additional insurance capacity in certain classes of insurance.</w:t>
      </w:r>
    </w:p>
    <w:p w14:paraId="26940B85" w14:textId="4A1A637E" w:rsidR="004E2234" w:rsidRPr="005A4264" w:rsidRDefault="004E2234" w:rsidP="005A4264">
      <w:pPr>
        <w:pStyle w:val="Heading5"/>
      </w:pPr>
      <w:r w:rsidRPr="005A4264">
        <w:t>Information System Upgrade</w:t>
      </w:r>
    </w:p>
    <w:p w14:paraId="188AB926" w14:textId="53ABD30F" w:rsidR="004E2234" w:rsidRPr="00E73D01" w:rsidRDefault="004E2234" w:rsidP="00AD126A">
      <w:pPr>
        <w:tabs>
          <w:tab w:val="left" w:pos="9072"/>
        </w:tabs>
      </w:pPr>
      <w:r w:rsidRPr="00E73D01">
        <w:t xml:space="preserve">The Authority continues to work with </w:t>
      </w:r>
      <w:r w:rsidR="00076A82">
        <w:t>its</w:t>
      </w:r>
      <w:r w:rsidR="00076A82" w:rsidRPr="00E73D01">
        <w:t xml:space="preserve"> </w:t>
      </w:r>
      <w:r w:rsidRPr="00E73D01">
        <w:t>claims management system vendor on enhancement of the system to enable more streamlined claims and payment processing</w:t>
      </w:r>
      <w:r w:rsidR="00320839" w:rsidRPr="00E73D01">
        <w:t>,</w:t>
      </w:r>
      <w:r w:rsidRPr="00E73D01">
        <w:t xml:space="preserve"> and to assist with data analysis and trending. </w:t>
      </w:r>
    </w:p>
    <w:p w14:paraId="626C2CA7" w14:textId="084533CC" w:rsidR="002D2010" w:rsidRDefault="004E2234" w:rsidP="00AD126A">
      <w:pPr>
        <w:tabs>
          <w:tab w:val="left" w:pos="9072"/>
        </w:tabs>
      </w:pPr>
      <w:r w:rsidRPr="00E73D01">
        <w:t xml:space="preserve">The Authority </w:t>
      </w:r>
      <w:r w:rsidR="00C65DC1" w:rsidRPr="00E73D01">
        <w:t>entered a</w:t>
      </w:r>
      <w:r w:rsidR="008B3603" w:rsidRPr="00E73D01">
        <w:t xml:space="preserve">n open market tender for the Claims management, </w:t>
      </w:r>
      <w:proofErr w:type="gramStart"/>
      <w:r w:rsidR="008B3603" w:rsidRPr="00E73D01">
        <w:t>Risk</w:t>
      </w:r>
      <w:proofErr w:type="gramEnd"/>
      <w:r w:rsidR="008B3603" w:rsidRPr="00E73D01">
        <w:t xml:space="preserve"> and Insurance system </w:t>
      </w:r>
      <w:r w:rsidRPr="00E73D01">
        <w:t xml:space="preserve">during </w:t>
      </w:r>
      <w:r w:rsidR="00323290" w:rsidRPr="00E73D01">
        <w:t>2023-2</w:t>
      </w:r>
      <w:r w:rsidR="0052461A" w:rsidRPr="00E73D01">
        <w:t xml:space="preserve">4 through ACT Procurement. </w:t>
      </w:r>
      <w:r w:rsidR="00485EEF" w:rsidRPr="00E73D01">
        <w:t xml:space="preserve">The Requests for Tender submission </w:t>
      </w:r>
      <w:r w:rsidR="0001663B" w:rsidRPr="00E73D01">
        <w:t xml:space="preserve">closed in May 2024 and the Authority’s Evaluation Team </w:t>
      </w:r>
      <w:r w:rsidR="003614E6" w:rsidRPr="00E73D01">
        <w:t xml:space="preserve">were </w:t>
      </w:r>
      <w:r w:rsidR="004557E8" w:rsidRPr="00E73D01">
        <w:t>continuing to</w:t>
      </w:r>
      <w:r w:rsidR="004557E8">
        <w:t xml:space="preserve"> follow the required procurement process at </w:t>
      </w:r>
      <w:r w:rsidR="00E73D01">
        <w:t xml:space="preserve">30 June 2024. </w:t>
      </w:r>
    </w:p>
    <w:p w14:paraId="613C19B9" w14:textId="49D2B7A5" w:rsidR="004E2234" w:rsidRPr="005A4264" w:rsidRDefault="004E2234" w:rsidP="005A4264">
      <w:pPr>
        <w:pStyle w:val="Heading5"/>
      </w:pPr>
      <w:r w:rsidRPr="005A4264">
        <w:t>Natural Disasters</w:t>
      </w:r>
    </w:p>
    <w:p w14:paraId="59B3C976" w14:textId="0831CBED" w:rsidR="004E2234" w:rsidRPr="0088273D" w:rsidRDefault="00B31CC3" w:rsidP="00AD126A">
      <w:pPr>
        <w:tabs>
          <w:tab w:val="left" w:pos="9072"/>
        </w:tabs>
      </w:pPr>
      <w:r w:rsidRPr="008F397D">
        <w:t>While change</w:t>
      </w:r>
      <w:r w:rsidR="00FE77DC">
        <w:t>s</w:t>
      </w:r>
      <w:r w:rsidRPr="008F397D">
        <w:t xml:space="preserve"> to climate and weather patterns continue to give rise to claims, 202</w:t>
      </w:r>
      <w:r w:rsidR="00282CBE" w:rsidRPr="008F397D">
        <w:t>3</w:t>
      </w:r>
      <w:r w:rsidRPr="008F397D">
        <w:t>/202</w:t>
      </w:r>
      <w:r w:rsidR="00282CBE" w:rsidRPr="008F397D">
        <w:t>4</w:t>
      </w:r>
      <w:r w:rsidRPr="008F397D">
        <w:t xml:space="preserve"> has not seen either the volume or severity of incidents</w:t>
      </w:r>
      <w:r w:rsidR="00E031F9" w:rsidRPr="008F397D">
        <w:t xml:space="preserve"> as have been seen in the preceding years</w:t>
      </w:r>
      <w:r w:rsidR="00096140" w:rsidRPr="008F397D">
        <w:t xml:space="preserve">. The </w:t>
      </w:r>
      <w:r w:rsidR="004E2234" w:rsidRPr="008F397D">
        <w:t xml:space="preserve">Authority’s Claims team </w:t>
      </w:r>
      <w:r w:rsidR="00096140" w:rsidRPr="008F397D">
        <w:t>have</w:t>
      </w:r>
      <w:r w:rsidR="004E2234" w:rsidRPr="008F397D">
        <w:t xml:space="preserve"> actively manag</w:t>
      </w:r>
      <w:r w:rsidR="00096140" w:rsidRPr="008F397D">
        <w:t xml:space="preserve">ed and resolved most of the matters arising from the weather events in 2019/2020 and 2020/2021 with only the more complex </w:t>
      </w:r>
      <w:r w:rsidR="004E2234" w:rsidRPr="008F397D">
        <w:t>matters</w:t>
      </w:r>
      <w:r w:rsidR="00096140" w:rsidRPr="008F397D">
        <w:t xml:space="preserve"> outstanding</w:t>
      </w:r>
      <w:r w:rsidR="004E2234" w:rsidRPr="008F397D">
        <w:t>.</w:t>
      </w:r>
      <w:r w:rsidR="00C730C0">
        <w:t xml:space="preserve"> </w:t>
      </w:r>
      <w:r w:rsidR="001015B0" w:rsidRPr="008F397D">
        <w:t>The Authority</w:t>
      </w:r>
      <w:r w:rsidR="00096140" w:rsidRPr="008F397D">
        <w:t xml:space="preserve"> continue</w:t>
      </w:r>
      <w:r w:rsidR="001015B0" w:rsidRPr="008F397D">
        <w:t>s</w:t>
      </w:r>
      <w:r w:rsidR="00096140" w:rsidRPr="008F397D">
        <w:t xml:space="preserve"> to actively work with the </w:t>
      </w:r>
      <w:r w:rsidR="00E031F9" w:rsidRPr="008F397D">
        <w:t>relevant</w:t>
      </w:r>
      <w:r w:rsidR="00096140" w:rsidRPr="008F397D">
        <w:t xml:space="preserve"> </w:t>
      </w:r>
      <w:r w:rsidR="00E031F9" w:rsidRPr="008F397D">
        <w:t>directorates and agencies</w:t>
      </w:r>
      <w:r w:rsidR="00096140" w:rsidRPr="008F397D">
        <w:t xml:space="preserve"> to </w:t>
      </w:r>
      <w:r w:rsidR="00E031F9" w:rsidRPr="008F397D">
        <w:t xml:space="preserve">resolve </w:t>
      </w:r>
      <w:r w:rsidR="00096140" w:rsidRPr="008F397D">
        <w:t xml:space="preserve">the outstanding </w:t>
      </w:r>
      <w:r w:rsidR="00E031F9" w:rsidRPr="008F397D">
        <w:t>matters</w:t>
      </w:r>
      <w:r w:rsidR="00096140" w:rsidRPr="008F397D">
        <w:t>.</w:t>
      </w:r>
      <w:r w:rsidR="004E2234" w:rsidRPr="008F397D">
        <w:t xml:space="preserve">  </w:t>
      </w:r>
    </w:p>
    <w:p w14:paraId="4F5FDF11" w14:textId="51E2296E" w:rsidR="00E47700" w:rsidRPr="009B6CCF" w:rsidRDefault="00E47700"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 xml:space="preserve">B.1.6 </w:t>
      </w:r>
      <w:r w:rsidR="000A24F1" w:rsidRPr="009B6CCF">
        <w:rPr>
          <w:rFonts w:eastAsia="Times New Roman"/>
          <w:iCs/>
          <w:color w:val="492581" w:themeColor="accent1"/>
          <w:sz w:val="32"/>
          <w:szCs w:val="32"/>
        </w:rPr>
        <w:t>Outlook and Future Priorities</w:t>
      </w:r>
    </w:p>
    <w:p w14:paraId="257B96B6" w14:textId="77777777" w:rsidR="00745A63" w:rsidRPr="00056098" w:rsidRDefault="00745A63" w:rsidP="00AD126A">
      <w:pPr>
        <w:tabs>
          <w:tab w:val="left" w:pos="9072"/>
        </w:tabs>
      </w:pPr>
      <w:r w:rsidRPr="00056098">
        <w:t>The Authority continues to work with Territory directorates and statutory authorities to protect the assets and services of the Territory by providing high quality risk management, claims management, and insurance services.</w:t>
      </w:r>
    </w:p>
    <w:p w14:paraId="11519112" w14:textId="59A1F52F" w:rsidR="00745A63" w:rsidRPr="00056098" w:rsidRDefault="00745A63" w:rsidP="00AD126A">
      <w:pPr>
        <w:tabs>
          <w:tab w:val="left" w:pos="9072"/>
        </w:tabs>
      </w:pPr>
      <w:r w:rsidRPr="00056098">
        <w:t>The Authority’s ability to value outstanding claims liabilities is informed by the accumulation of claims data, including claims experience information. It remains important to the Authority that incidents that are likely to give rise to a significant claim are reported promptly to facilitate early intervention claims management and appropriate estimation of the future claim liabilities, which are reviewed annually. The Authority will continue to monitor incident reporting practices by agencies and provide guidance on the nature of incidents that need to be reported.</w:t>
      </w:r>
    </w:p>
    <w:p w14:paraId="013727ED" w14:textId="41F0E249" w:rsidR="00745A63" w:rsidRPr="00056098" w:rsidRDefault="00F57207" w:rsidP="00AD126A">
      <w:pPr>
        <w:tabs>
          <w:tab w:val="left" w:pos="9072"/>
        </w:tabs>
      </w:pPr>
      <w:r w:rsidRPr="00C730C0">
        <w:t xml:space="preserve">There continues to be pressure on reinsurance premiums </w:t>
      </w:r>
      <w:r w:rsidR="00745A63" w:rsidRPr="00C730C0">
        <w:t xml:space="preserve">in response to increased claims activity and reduced capacity in the insurance market. </w:t>
      </w:r>
      <w:r w:rsidR="00C12DA2" w:rsidRPr="00C730C0">
        <w:t>W</w:t>
      </w:r>
      <w:r w:rsidR="00D67653" w:rsidRPr="00C730C0">
        <w:rPr>
          <w:rFonts w:ascii="Calibri" w:hAnsi="Calibri" w:cs="Calibri"/>
          <w:color w:val="000000"/>
        </w:rPr>
        <w:t xml:space="preserve">hile there </w:t>
      </w:r>
      <w:r w:rsidR="004B5990" w:rsidRPr="00C730C0">
        <w:rPr>
          <w:rFonts w:ascii="Calibri" w:hAnsi="Calibri" w:cs="Calibri"/>
          <w:color w:val="000000"/>
        </w:rPr>
        <w:t xml:space="preserve">continues to be </w:t>
      </w:r>
      <w:r w:rsidR="00D67653" w:rsidRPr="00C730C0">
        <w:rPr>
          <w:rFonts w:ascii="Calibri" w:hAnsi="Calibri" w:cs="Calibri"/>
          <w:color w:val="000000"/>
        </w:rPr>
        <w:t xml:space="preserve">a gradual stabilisation of the global insurance market conditions, </w:t>
      </w:r>
      <w:r w:rsidR="00C12DA2" w:rsidRPr="00C730C0">
        <w:rPr>
          <w:rFonts w:ascii="Calibri" w:hAnsi="Calibri" w:cs="Calibri"/>
          <w:color w:val="000000"/>
        </w:rPr>
        <w:t xml:space="preserve">the Authority anticipates that the commercial insurance market </w:t>
      </w:r>
      <w:r w:rsidR="001D40C0" w:rsidRPr="00C730C0">
        <w:rPr>
          <w:rFonts w:ascii="Calibri" w:hAnsi="Calibri" w:cs="Calibri"/>
          <w:color w:val="000000"/>
        </w:rPr>
        <w:t xml:space="preserve">will </w:t>
      </w:r>
      <w:r w:rsidR="008946ED" w:rsidRPr="00C730C0">
        <w:rPr>
          <w:rFonts w:ascii="Calibri" w:hAnsi="Calibri" w:cs="Calibri"/>
          <w:color w:val="000000"/>
        </w:rPr>
        <w:t>remain</w:t>
      </w:r>
      <w:r w:rsidR="00D67653" w:rsidRPr="00C730C0">
        <w:rPr>
          <w:rFonts w:ascii="Calibri" w:hAnsi="Calibri" w:cs="Calibri"/>
          <w:color w:val="000000"/>
        </w:rPr>
        <w:t xml:space="preserve"> sensitive to the experience of individual accounts</w:t>
      </w:r>
      <w:r w:rsidR="00745A63" w:rsidRPr="00C730C0">
        <w:t>.</w:t>
      </w:r>
      <w:r w:rsidR="00745A63" w:rsidRPr="00056098">
        <w:t xml:space="preserve"> </w:t>
      </w:r>
    </w:p>
    <w:p w14:paraId="3C034E0B" w14:textId="3547FA12" w:rsidR="00745A63" w:rsidRPr="00056098" w:rsidRDefault="00745A63" w:rsidP="00AD126A">
      <w:pPr>
        <w:tabs>
          <w:tab w:val="left" w:pos="9072"/>
        </w:tabs>
      </w:pPr>
      <w:r w:rsidRPr="00056098">
        <w:t xml:space="preserve">The Authority will continue working with directorates and statutory authorities to develop strategies to reduce the incidence and cost of insurance claims against the Territory by promoting good claims and risk management practices. The Authority’s risk management team continues to </w:t>
      </w:r>
      <w:proofErr w:type="gramStart"/>
      <w:r w:rsidRPr="00056098">
        <w:t>provide assistance to</w:t>
      </w:r>
      <w:proofErr w:type="gramEnd"/>
      <w:r w:rsidRPr="00056098">
        <w:t xml:space="preserve"> agencies on a range of risk management related topics.</w:t>
      </w:r>
    </w:p>
    <w:p w14:paraId="6B979C90" w14:textId="77777777" w:rsidR="00BE6983" w:rsidRDefault="00BE6983">
      <w:pPr>
        <w:spacing w:after="0" w:line="240" w:lineRule="auto"/>
        <w:rPr>
          <w:rFonts w:eastAsia="Times New Roman" w:cs="Arial"/>
          <w:bCs/>
          <w:iCs/>
          <w:color w:val="262626" w:themeColor="text1" w:themeTint="D9"/>
          <w:lang w:eastAsia="en-AU"/>
        </w:rPr>
      </w:pPr>
      <w:r>
        <w:rPr>
          <w:lang w:eastAsia="en-AU"/>
        </w:rPr>
        <w:br w:type="page"/>
      </w:r>
    </w:p>
    <w:p w14:paraId="4A5BC904" w14:textId="6A3E1AD0" w:rsidR="00D86CB3" w:rsidRPr="00D86CB3" w:rsidRDefault="00D86CB3" w:rsidP="000146AD">
      <w:pPr>
        <w:pStyle w:val="Bulletintropara"/>
        <w:rPr>
          <w:lang w:eastAsia="en-AU"/>
        </w:rPr>
      </w:pPr>
      <w:r w:rsidRPr="00D86CB3">
        <w:rPr>
          <w:lang w:eastAsia="en-AU"/>
        </w:rPr>
        <w:lastRenderedPageBreak/>
        <w:t>The Authority’s strategic and operational priorities in 202</w:t>
      </w:r>
      <w:r w:rsidR="00D22167">
        <w:rPr>
          <w:lang w:eastAsia="en-AU"/>
        </w:rPr>
        <w:t>3</w:t>
      </w:r>
      <w:r w:rsidRPr="00D86CB3">
        <w:rPr>
          <w:lang w:eastAsia="en-AU"/>
        </w:rPr>
        <w:t>-2</w:t>
      </w:r>
      <w:r w:rsidR="00D22167">
        <w:rPr>
          <w:lang w:eastAsia="en-AU"/>
        </w:rPr>
        <w:t>4</w:t>
      </w:r>
      <w:r w:rsidRPr="00D86CB3">
        <w:rPr>
          <w:lang w:eastAsia="en-AU"/>
        </w:rPr>
        <w:t xml:space="preserve"> include</w:t>
      </w:r>
      <w:r w:rsidR="003337C8">
        <w:rPr>
          <w:lang w:eastAsia="en-AU"/>
        </w:rPr>
        <w:t>d</w:t>
      </w:r>
      <w:r w:rsidRPr="00D86CB3">
        <w:rPr>
          <w:lang w:eastAsia="en-AU"/>
        </w:rPr>
        <w:t>:</w:t>
      </w:r>
    </w:p>
    <w:p w14:paraId="58A95539" w14:textId="28F4D07F" w:rsidR="00D5047D" w:rsidRPr="00731169" w:rsidRDefault="00D5047D" w:rsidP="00A36E9A">
      <w:pPr>
        <w:pStyle w:val="Bullet1"/>
        <w:numPr>
          <w:ilvl w:val="0"/>
          <w:numId w:val="14"/>
        </w:numPr>
        <w:tabs>
          <w:tab w:val="left" w:pos="284"/>
        </w:tabs>
        <w:ind w:left="284" w:hanging="284"/>
        <w:rPr>
          <w:rFonts w:eastAsia="Times New Roman" w:cs="Arial"/>
          <w:bCs/>
          <w:iCs/>
        </w:rPr>
      </w:pPr>
      <w:r w:rsidRPr="00731169">
        <w:rPr>
          <w:rFonts w:eastAsia="Times New Roman" w:cs="Arial"/>
          <w:bCs/>
          <w:iCs/>
        </w:rPr>
        <w:t>implementing a program of reinsurance to protect the Territory budget based on an appropriate balance between transferred and retained risk;</w:t>
      </w:r>
    </w:p>
    <w:p w14:paraId="73374AA3" w14:textId="6FB33938" w:rsidR="00D5047D" w:rsidRPr="00731169" w:rsidRDefault="00D5047D" w:rsidP="00A36E9A">
      <w:pPr>
        <w:pStyle w:val="Bullet1"/>
        <w:numPr>
          <w:ilvl w:val="0"/>
          <w:numId w:val="14"/>
        </w:numPr>
        <w:tabs>
          <w:tab w:val="left" w:pos="284"/>
        </w:tabs>
        <w:ind w:left="284" w:hanging="284"/>
        <w:rPr>
          <w:rFonts w:eastAsia="Times New Roman" w:cs="Arial"/>
          <w:bCs/>
          <w:iCs/>
        </w:rPr>
      </w:pPr>
      <w:r w:rsidRPr="00731169">
        <w:rPr>
          <w:rFonts w:eastAsia="Times New Roman" w:cs="Arial"/>
          <w:bCs/>
          <w:iCs/>
        </w:rPr>
        <w:t>proactively managing claims against the Territory in consultation with agency stakeholders</w:t>
      </w:r>
      <w:r w:rsidR="00320839" w:rsidRPr="00731169">
        <w:rPr>
          <w:rFonts w:eastAsia="Times New Roman" w:cs="Arial"/>
          <w:bCs/>
          <w:iCs/>
        </w:rPr>
        <w:t>,</w:t>
      </w:r>
      <w:r w:rsidRPr="00731169">
        <w:rPr>
          <w:rFonts w:eastAsia="Times New Roman" w:cs="Arial"/>
          <w:bCs/>
          <w:iCs/>
        </w:rPr>
        <w:t xml:space="preserve"> and in accordance with the ACT model litigant requirements;</w:t>
      </w:r>
    </w:p>
    <w:p w14:paraId="2B3754BD" w14:textId="52F17122" w:rsidR="00D5047D" w:rsidRPr="00731169" w:rsidRDefault="00D5047D" w:rsidP="00A36E9A">
      <w:pPr>
        <w:pStyle w:val="Bullet1"/>
        <w:numPr>
          <w:ilvl w:val="0"/>
          <w:numId w:val="14"/>
        </w:numPr>
        <w:tabs>
          <w:tab w:val="left" w:pos="284"/>
        </w:tabs>
        <w:ind w:left="284" w:hanging="284"/>
        <w:rPr>
          <w:rFonts w:eastAsia="Times New Roman" w:cs="Arial"/>
          <w:bCs/>
          <w:iCs/>
        </w:rPr>
      </w:pPr>
      <w:r w:rsidRPr="00731169">
        <w:rPr>
          <w:rFonts w:eastAsia="Times New Roman" w:cs="Arial"/>
          <w:bCs/>
          <w:iCs/>
        </w:rPr>
        <w:t>assisting agencies with the implementation and continuous improvement of risk management practices within the Territory that reflect international standards and business best practice;</w:t>
      </w:r>
    </w:p>
    <w:p w14:paraId="04BAA484" w14:textId="487B585F" w:rsidR="00D5047D" w:rsidRPr="00731169" w:rsidRDefault="00D5047D" w:rsidP="00A36E9A">
      <w:pPr>
        <w:pStyle w:val="Bullet1"/>
        <w:numPr>
          <w:ilvl w:val="0"/>
          <w:numId w:val="14"/>
        </w:numPr>
        <w:tabs>
          <w:tab w:val="left" w:pos="284"/>
        </w:tabs>
        <w:ind w:left="284" w:hanging="284"/>
        <w:rPr>
          <w:rFonts w:eastAsia="Times New Roman" w:cs="Arial"/>
          <w:bCs/>
          <w:iCs/>
        </w:rPr>
      </w:pPr>
      <w:r w:rsidRPr="00731169">
        <w:rPr>
          <w:rFonts w:eastAsia="Times New Roman" w:cs="Arial"/>
          <w:bCs/>
          <w:iCs/>
        </w:rPr>
        <w:t>delivering risk management services including training, targeted educational seminars and consultancy services for agencies that increase the level of stakeholder engagement; and</w:t>
      </w:r>
    </w:p>
    <w:p w14:paraId="57932EB7" w14:textId="5995FE70" w:rsidR="00D86CB3" w:rsidRPr="00731169" w:rsidRDefault="00D5047D" w:rsidP="00A36E9A">
      <w:pPr>
        <w:pStyle w:val="Bullet1"/>
        <w:numPr>
          <w:ilvl w:val="0"/>
          <w:numId w:val="14"/>
        </w:numPr>
        <w:tabs>
          <w:tab w:val="left" w:pos="284"/>
        </w:tabs>
        <w:ind w:left="284" w:hanging="284"/>
        <w:rPr>
          <w:rFonts w:eastAsia="Times New Roman" w:cs="Arial"/>
          <w:bCs/>
          <w:iCs/>
        </w:rPr>
      </w:pPr>
      <w:r w:rsidRPr="00731169">
        <w:rPr>
          <w:rFonts w:eastAsia="Times New Roman" w:cs="Arial"/>
          <w:bCs/>
          <w:iCs/>
        </w:rPr>
        <w:t>implementing an insurance information management system to enable the Authority to continue to deliver mature services to Territory agencies.</w:t>
      </w:r>
      <w:r w:rsidR="00D86CB3" w:rsidRPr="00731169">
        <w:rPr>
          <w:rFonts w:eastAsia="Times New Roman" w:cs="Arial"/>
          <w:bCs/>
          <w:iCs/>
        </w:rPr>
        <w:t xml:space="preserve"> </w:t>
      </w:r>
    </w:p>
    <w:p w14:paraId="130381ED" w14:textId="414B3C1F" w:rsidR="00C62DA1" w:rsidRPr="009B6CCF" w:rsidRDefault="00C62DA1"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B.1.7 Internal Accountability</w:t>
      </w:r>
    </w:p>
    <w:p w14:paraId="058E1DAD" w14:textId="1F49916D" w:rsidR="00251ED7" w:rsidRPr="005A4264" w:rsidRDefault="00251ED7" w:rsidP="005A4264">
      <w:pPr>
        <w:pStyle w:val="Heading5"/>
      </w:pPr>
      <w:r w:rsidRPr="005A4264">
        <w:t>Senior Executive Responsibilities and R</w:t>
      </w:r>
      <w:r w:rsidR="00254D36" w:rsidRPr="005A4264">
        <w:t>emuneration</w:t>
      </w:r>
    </w:p>
    <w:p w14:paraId="7ED2ED4F" w14:textId="6D3702A6" w:rsidR="00482872" w:rsidRPr="00D0010D" w:rsidRDefault="00482872" w:rsidP="00AD126A">
      <w:pPr>
        <w:tabs>
          <w:tab w:val="left" w:pos="9072"/>
        </w:tabs>
      </w:pPr>
      <w:r w:rsidRPr="00D0010D">
        <w:t>Senior Executive responsibilities include providing professional advice to the Special Minister of State, the ACT Government, Territory agencies</w:t>
      </w:r>
      <w:r w:rsidR="00C47F51">
        <w:t>,</w:t>
      </w:r>
      <w:r w:rsidRPr="00D0010D">
        <w:t xml:space="preserve"> and statutory authorities on insurance and risk management matters, as well as proactively managing claims against the Territory. In addition, the Senior Executive administers the Default Insurance Fund and the Office of the Nominal Defendant of the ACT.</w:t>
      </w:r>
    </w:p>
    <w:p w14:paraId="7CE6EBB4" w14:textId="77777777" w:rsidR="00482872" w:rsidRPr="00D0010D" w:rsidRDefault="00482872" w:rsidP="00AD126A">
      <w:pPr>
        <w:tabs>
          <w:tab w:val="left" w:pos="9072"/>
        </w:tabs>
      </w:pPr>
      <w:r w:rsidRPr="00D0010D">
        <w:t xml:space="preserve">The Senior Executive employed by the Authority is paid in accordance with the determinations of the ACT Remuneration Tribunal and relevant laws and instruments, including the </w:t>
      </w:r>
      <w:r w:rsidRPr="00D0010D">
        <w:rPr>
          <w:i/>
        </w:rPr>
        <w:t xml:space="preserve">Public Sector Management Act 1994 </w:t>
      </w:r>
      <w:r w:rsidRPr="00D0010D">
        <w:t xml:space="preserve">and the </w:t>
      </w:r>
      <w:r w:rsidRPr="00D0010D">
        <w:rPr>
          <w:i/>
        </w:rPr>
        <w:t>Public Sector Management Standards 2006</w:t>
      </w:r>
      <w:r w:rsidRPr="00D0010D">
        <w:t>.</w:t>
      </w:r>
    </w:p>
    <w:p w14:paraId="41ED49E8" w14:textId="77777777" w:rsidR="00482872" w:rsidRPr="005A4264" w:rsidRDefault="00482872" w:rsidP="005A4264">
      <w:pPr>
        <w:pStyle w:val="Heading5"/>
      </w:pPr>
      <w:r w:rsidRPr="005A4264">
        <w:t>Insurance Advisory Board</w:t>
      </w:r>
    </w:p>
    <w:p w14:paraId="47392A50" w14:textId="690EE5E5" w:rsidR="00482872" w:rsidRDefault="34290F35" w:rsidP="00AD126A">
      <w:pPr>
        <w:tabs>
          <w:tab w:val="left" w:pos="9072"/>
        </w:tabs>
      </w:pPr>
      <w:r>
        <w:t>The Board is established under Section 12 of the Act and members are appointed in accordance with</w:t>
      </w:r>
      <w:r w:rsidR="66D9B70D">
        <w:t xml:space="preserve"> the</w:t>
      </w:r>
      <w:r>
        <w:t xml:space="preserve"> </w:t>
      </w:r>
      <w:r w:rsidRPr="14C11B5D">
        <w:rPr>
          <w:i/>
          <w:iCs/>
        </w:rPr>
        <w:t>Insurance Management Guidelines 2005 (No. 1).</w:t>
      </w:r>
      <w:r>
        <w:t xml:space="preserve"> The Under Treasurer, CMTEDD is delegated with authority to make board appointments. The Board must consist of two members appointed by the Authority who, in the opinion of the Authority, possess sufficient skill and judgement to provide advice in relation to the Authority’s execution of its powers, functions and responsibilities. The appointment term must not exceed 3 years and can be revoked by the Authority for misconduct, neglect of duty</w:t>
      </w:r>
      <w:r w:rsidR="0596D650">
        <w:t>,</w:t>
      </w:r>
      <w:r>
        <w:t xml:space="preserve"> or if the member becomes unable to carry out the duties of the office satisfactorily.</w:t>
      </w:r>
      <w:r w:rsidR="66D9B70D">
        <w:t xml:space="preserve"> </w:t>
      </w:r>
      <w:r w:rsidR="7B099BFA">
        <w:t xml:space="preserve">Mr Faragher </w:t>
      </w:r>
      <w:r w:rsidR="006C1739">
        <w:t xml:space="preserve">and </w:t>
      </w:r>
      <w:r w:rsidR="002529ED">
        <w:t xml:space="preserve">Ms </w:t>
      </w:r>
      <w:r w:rsidR="00A41089">
        <w:t xml:space="preserve">Bateup </w:t>
      </w:r>
      <w:r w:rsidR="7B099BFA">
        <w:t>ha</w:t>
      </w:r>
      <w:r w:rsidR="00E920CC">
        <w:t>ve</w:t>
      </w:r>
      <w:r w:rsidR="751DB724">
        <w:t xml:space="preserve"> been reappointed to </w:t>
      </w:r>
      <w:r w:rsidR="007415CC">
        <w:t>their</w:t>
      </w:r>
      <w:r w:rsidR="751DB724">
        <w:t xml:space="preserve"> position</w:t>
      </w:r>
      <w:r w:rsidR="007415CC">
        <w:t>s</w:t>
      </w:r>
      <w:r w:rsidR="751DB724">
        <w:t xml:space="preserve"> for a further </w:t>
      </w:r>
      <w:r w:rsidR="002861DF">
        <w:t>three</w:t>
      </w:r>
      <w:r w:rsidR="751DB724">
        <w:t xml:space="preserve"> years, consistent with the </w:t>
      </w:r>
      <w:r w:rsidR="287055F5" w:rsidRPr="14C11B5D">
        <w:rPr>
          <w:i/>
          <w:iCs/>
        </w:rPr>
        <w:t>Governance Principles: Appointments, Boards and Committees in the ACT</w:t>
      </w:r>
      <w:r w:rsidR="12A7D4C7">
        <w:t xml:space="preserve">, as members can serve </w:t>
      </w:r>
      <w:r w:rsidR="001611B6">
        <w:t>two</w:t>
      </w:r>
      <w:r w:rsidR="12A7D4C7">
        <w:t xml:space="preserve"> full terms.</w:t>
      </w:r>
    </w:p>
    <w:p w14:paraId="6006DCB1" w14:textId="77777777" w:rsidR="000D4C55" w:rsidRPr="000000DA" w:rsidRDefault="000D4C55" w:rsidP="00AD126A">
      <w:pPr>
        <w:tabs>
          <w:tab w:val="left" w:pos="9072"/>
        </w:tabs>
        <w:rPr>
          <w:b/>
          <w:bCs/>
        </w:rPr>
      </w:pPr>
    </w:p>
    <w:p w14:paraId="5669B25B" w14:textId="1F44A574" w:rsidR="00C65CCA" w:rsidRPr="009B6CCF" w:rsidRDefault="00C65CCA" w:rsidP="00AD126A">
      <w:pPr>
        <w:pStyle w:val="TableCaption"/>
        <w:tabs>
          <w:tab w:val="left" w:pos="9072"/>
        </w:tabs>
        <w:rPr>
          <w:color w:val="262626" w:themeColor="text1" w:themeTint="D9"/>
        </w:rPr>
      </w:pPr>
      <w:r w:rsidRPr="009B6CCF">
        <w:rPr>
          <w:color w:val="262626" w:themeColor="text1" w:themeTint="D9"/>
        </w:rPr>
        <w:lastRenderedPageBreak/>
        <w:t>Table B.1</w:t>
      </w:r>
      <w:r w:rsidR="00A62E56" w:rsidRPr="009B6CCF">
        <w:rPr>
          <w:color w:val="262626" w:themeColor="text1" w:themeTint="D9"/>
        </w:rPr>
        <w:t>: Board members</w:t>
      </w:r>
    </w:p>
    <w:tbl>
      <w:tblPr>
        <w:tblStyle w:val="ARTable"/>
        <w:tblW w:w="9639" w:type="dxa"/>
        <w:tblLook w:val="04A0" w:firstRow="1" w:lastRow="0" w:firstColumn="1" w:lastColumn="0" w:noHBand="0" w:noVBand="1"/>
      </w:tblPr>
      <w:tblGrid>
        <w:gridCol w:w="2127"/>
        <w:gridCol w:w="2268"/>
        <w:gridCol w:w="3402"/>
        <w:gridCol w:w="1842"/>
      </w:tblGrid>
      <w:tr w:rsidR="00C65CCA" w:rsidRPr="009B6CCF" w14:paraId="219A8B81" w14:textId="77777777" w:rsidTr="14C11B5D">
        <w:trPr>
          <w:cnfStyle w:val="100000000000" w:firstRow="1" w:lastRow="0" w:firstColumn="0" w:lastColumn="0" w:oddVBand="0" w:evenVBand="0" w:oddHBand="0" w:evenHBand="0" w:firstRowFirstColumn="0" w:firstRowLastColumn="0" w:lastRowFirstColumn="0" w:lastRowLastColumn="0"/>
          <w:trHeight w:val="152"/>
        </w:trPr>
        <w:tc>
          <w:tcPr>
            <w:tcW w:w="2127" w:type="dxa"/>
          </w:tcPr>
          <w:p w14:paraId="2FEC3F7A" w14:textId="5FF28FF4" w:rsidR="00C65CCA" w:rsidRPr="009B6CCF" w:rsidRDefault="00A62E56" w:rsidP="00AD126A">
            <w:pPr>
              <w:pStyle w:val="Tableheading"/>
              <w:tabs>
                <w:tab w:val="left" w:pos="9072"/>
              </w:tabs>
              <w:rPr>
                <w:sz w:val="22"/>
                <w:szCs w:val="22"/>
              </w:rPr>
            </w:pPr>
            <w:r w:rsidRPr="009B6CCF">
              <w:rPr>
                <w:sz w:val="22"/>
                <w:szCs w:val="22"/>
              </w:rPr>
              <w:t>Name of Member</w:t>
            </w:r>
          </w:p>
        </w:tc>
        <w:tc>
          <w:tcPr>
            <w:tcW w:w="2268" w:type="dxa"/>
          </w:tcPr>
          <w:p w14:paraId="154BECD0" w14:textId="3BC60F68" w:rsidR="00C65CCA" w:rsidRPr="009B6CCF" w:rsidRDefault="00A62E56" w:rsidP="00AD126A">
            <w:pPr>
              <w:pStyle w:val="Tableheading"/>
              <w:tabs>
                <w:tab w:val="left" w:pos="9072"/>
              </w:tabs>
              <w:rPr>
                <w:sz w:val="22"/>
                <w:szCs w:val="22"/>
              </w:rPr>
            </w:pPr>
            <w:r w:rsidRPr="009B6CCF">
              <w:rPr>
                <w:sz w:val="22"/>
                <w:szCs w:val="22"/>
              </w:rPr>
              <w:t>Position</w:t>
            </w:r>
          </w:p>
        </w:tc>
        <w:tc>
          <w:tcPr>
            <w:tcW w:w="3402" w:type="dxa"/>
          </w:tcPr>
          <w:p w14:paraId="1CC8919A" w14:textId="1573C41A" w:rsidR="00C65CCA" w:rsidRPr="009B6CCF" w:rsidRDefault="00A62E56" w:rsidP="00AD126A">
            <w:pPr>
              <w:pStyle w:val="Tableheading"/>
              <w:tabs>
                <w:tab w:val="left" w:pos="9072"/>
              </w:tabs>
              <w:rPr>
                <w:sz w:val="22"/>
                <w:szCs w:val="22"/>
              </w:rPr>
            </w:pPr>
            <w:r w:rsidRPr="009B6CCF">
              <w:rPr>
                <w:sz w:val="22"/>
                <w:szCs w:val="22"/>
              </w:rPr>
              <w:t>Duration</w:t>
            </w:r>
          </w:p>
        </w:tc>
        <w:tc>
          <w:tcPr>
            <w:tcW w:w="1842" w:type="dxa"/>
          </w:tcPr>
          <w:p w14:paraId="55867099" w14:textId="5B3CBBAD" w:rsidR="00C65CCA" w:rsidRPr="009B6CCF" w:rsidRDefault="00983787" w:rsidP="00AD126A">
            <w:pPr>
              <w:pStyle w:val="Tableheading"/>
              <w:tabs>
                <w:tab w:val="left" w:pos="9072"/>
              </w:tabs>
              <w:rPr>
                <w:sz w:val="22"/>
                <w:szCs w:val="22"/>
              </w:rPr>
            </w:pPr>
            <w:r w:rsidRPr="009B6CCF">
              <w:rPr>
                <w:sz w:val="22"/>
                <w:szCs w:val="22"/>
              </w:rPr>
              <w:t>Meetings Attended</w:t>
            </w:r>
          </w:p>
        </w:tc>
      </w:tr>
      <w:tr w:rsidR="009971D0" w:rsidRPr="008E5F4C" w14:paraId="2963DE14" w14:textId="77777777" w:rsidTr="14C11B5D">
        <w:trPr>
          <w:trHeight w:val="355"/>
        </w:trPr>
        <w:tc>
          <w:tcPr>
            <w:tcW w:w="2127" w:type="dxa"/>
          </w:tcPr>
          <w:p w14:paraId="1630D3D3" w14:textId="33B6E364" w:rsidR="009971D0" w:rsidRPr="008E5F4C" w:rsidRDefault="009971D0">
            <w:pPr>
              <w:pStyle w:val="Tabletext"/>
            </w:pPr>
            <w:r w:rsidRPr="008E5F4C">
              <w:t>Mr Ian Faragher</w:t>
            </w:r>
          </w:p>
        </w:tc>
        <w:tc>
          <w:tcPr>
            <w:tcW w:w="2268" w:type="dxa"/>
          </w:tcPr>
          <w:p w14:paraId="6A3AF7ED" w14:textId="13513A3A" w:rsidR="009971D0" w:rsidRPr="008E5F4C" w:rsidRDefault="009971D0">
            <w:pPr>
              <w:pStyle w:val="Tabletext"/>
            </w:pPr>
            <w:r w:rsidRPr="008E5F4C">
              <w:t>Member and Chair</w:t>
            </w:r>
          </w:p>
        </w:tc>
        <w:tc>
          <w:tcPr>
            <w:tcW w:w="3402" w:type="dxa"/>
          </w:tcPr>
          <w:p w14:paraId="73463ABA" w14:textId="7946A4BE" w:rsidR="009971D0" w:rsidRPr="000000DA" w:rsidRDefault="009971D0">
            <w:pPr>
              <w:pStyle w:val="Tabletext"/>
            </w:pPr>
            <w:r w:rsidRPr="000000DA">
              <w:t xml:space="preserve">March </w:t>
            </w:r>
            <w:r w:rsidR="002B577D" w:rsidRPr="000000DA">
              <w:t>20</w:t>
            </w:r>
            <w:r w:rsidRPr="000000DA">
              <w:t>20 to February 2023</w:t>
            </w:r>
            <w:r w:rsidR="00FE202C" w:rsidRPr="000000DA">
              <w:t>.</w:t>
            </w:r>
            <w:r w:rsidR="00A346CA" w:rsidRPr="000000DA">
              <w:t xml:space="preserve"> </w:t>
            </w:r>
            <w:r w:rsidR="00067CDE">
              <w:br/>
            </w:r>
            <w:r w:rsidR="00FE202C" w:rsidRPr="000000DA">
              <w:t>R</w:t>
            </w:r>
            <w:r w:rsidR="00A346CA" w:rsidRPr="000000DA">
              <w:t>e-appointed</w:t>
            </w:r>
            <w:r w:rsidR="00F22E20">
              <w:t>:</w:t>
            </w:r>
            <w:r w:rsidR="00A346CA" w:rsidRPr="000000DA">
              <w:t xml:space="preserve"> </w:t>
            </w:r>
            <w:r w:rsidR="00F22E20">
              <w:t>M</w:t>
            </w:r>
            <w:r w:rsidR="00A346CA" w:rsidRPr="000000DA">
              <w:t>embership expires February 2026</w:t>
            </w:r>
            <w:r w:rsidR="008E5F4C" w:rsidRPr="000000DA">
              <w:t>.</w:t>
            </w:r>
          </w:p>
        </w:tc>
        <w:tc>
          <w:tcPr>
            <w:tcW w:w="1842" w:type="dxa"/>
          </w:tcPr>
          <w:p w14:paraId="6847E688" w14:textId="7E532850" w:rsidR="009971D0" w:rsidRPr="003337C8" w:rsidRDefault="009971D0" w:rsidP="569DDE1F">
            <w:pPr>
              <w:pStyle w:val="Tablefigures"/>
              <w:rPr>
                <w:highlight w:val="yellow"/>
              </w:rPr>
            </w:pPr>
            <w:r w:rsidRPr="00C730C0">
              <w:t>4 of 4</w:t>
            </w:r>
          </w:p>
        </w:tc>
      </w:tr>
      <w:tr w:rsidR="009971D0" w14:paraId="4BAC9A36" w14:textId="77777777" w:rsidTr="14C11B5D">
        <w:trPr>
          <w:cnfStyle w:val="000000010000" w:firstRow="0" w:lastRow="0" w:firstColumn="0" w:lastColumn="0" w:oddVBand="0" w:evenVBand="0" w:oddHBand="0" w:evenHBand="1" w:firstRowFirstColumn="0" w:firstRowLastColumn="0" w:lastRowFirstColumn="0" w:lastRowLastColumn="0"/>
          <w:trHeight w:val="355"/>
        </w:trPr>
        <w:tc>
          <w:tcPr>
            <w:tcW w:w="2127" w:type="dxa"/>
            <w:tcBorders>
              <w:bottom w:val="single" w:sz="4" w:space="0" w:color="auto"/>
            </w:tcBorders>
          </w:tcPr>
          <w:p w14:paraId="774B639A" w14:textId="145795C8" w:rsidR="009971D0" w:rsidRPr="008E5F4C" w:rsidRDefault="009971D0">
            <w:pPr>
              <w:pStyle w:val="Tabletext"/>
            </w:pPr>
            <w:r w:rsidRPr="008E5F4C">
              <w:t>Ms Robyn Bateup</w:t>
            </w:r>
          </w:p>
        </w:tc>
        <w:tc>
          <w:tcPr>
            <w:tcW w:w="2268" w:type="dxa"/>
            <w:tcBorders>
              <w:bottom w:val="single" w:sz="4" w:space="0" w:color="auto"/>
            </w:tcBorders>
          </w:tcPr>
          <w:p w14:paraId="22390FF2" w14:textId="1C77BC2C" w:rsidR="009971D0" w:rsidRPr="008E5F4C" w:rsidRDefault="009971D0">
            <w:pPr>
              <w:pStyle w:val="Tabletext"/>
            </w:pPr>
            <w:r w:rsidRPr="008E5F4C">
              <w:t xml:space="preserve">Member </w:t>
            </w:r>
          </w:p>
        </w:tc>
        <w:tc>
          <w:tcPr>
            <w:tcW w:w="3402" w:type="dxa"/>
            <w:tcBorders>
              <w:bottom w:val="single" w:sz="4" w:space="0" w:color="auto"/>
            </w:tcBorders>
          </w:tcPr>
          <w:p w14:paraId="02257A47" w14:textId="48A4D742" w:rsidR="009971D0" w:rsidRPr="000000DA" w:rsidRDefault="009971D0">
            <w:pPr>
              <w:pStyle w:val="Tabletext"/>
            </w:pPr>
            <w:r>
              <w:t xml:space="preserve">September </w:t>
            </w:r>
            <w:r w:rsidR="002B577D">
              <w:t>20</w:t>
            </w:r>
            <w:r>
              <w:t>20 to September 20</w:t>
            </w:r>
            <w:r w:rsidR="00BA6222">
              <w:t>23</w:t>
            </w:r>
            <w:r w:rsidR="001D04B5">
              <w:t xml:space="preserve">. Reappointed: Membership expires </w:t>
            </w:r>
            <w:r w:rsidR="00F567BA">
              <w:t>September 2026</w:t>
            </w:r>
          </w:p>
        </w:tc>
        <w:tc>
          <w:tcPr>
            <w:tcW w:w="1842" w:type="dxa"/>
            <w:tcBorders>
              <w:bottom w:val="single" w:sz="4" w:space="0" w:color="auto"/>
            </w:tcBorders>
          </w:tcPr>
          <w:p w14:paraId="72D0B495" w14:textId="0A77FFBB" w:rsidR="009971D0" w:rsidRPr="003337C8" w:rsidRDefault="009971D0" w:rsidP="569DDE1F">
            <w:pPr>
              <w:pStyle w:val="Tablefigures"/>
              <w:rPr>
                <w:highlight w:val="yellow"/>
              </w:rPr>
            </w:pPr>
            <w:r w:rsidRPr="00C730C0">
              <w:t>4 of 4</w:t>
            </w:r>
          </w:p>
        </w:tc>
      </w:tr>
    </w:tbl>
    <w:p w14:paraId="624BC2BE" w14:textId="77777777" w:rsidR="00217DCD" w:rsidRPr="00B32EF2" w:rsidRDefault="00217DCD" w:rsidP="00A4054D">
      <w:pPr>
        <w:pStyle w:val="BodyCopy"/>
        <w:spacing w:before="240"/>
        <w:rPr>
          <w:rFonts w:eastAsiaTheme="minorHAnsi" w:cstheme="minorBidi"/>
          <w:bCs w:val="0"/>
          <w:iCs w:val="0"/>
          <w:color w:val="auto"/>
          <w:lang w:eastAsia="en-AU"/>
        </w:rPr>
      </w:pPr>
      <w:r w:rsidRPr="00B32EF2">
        <w:rPr>
          <w:rFonts w:eastAsiaTheme="minorHAnsi" w:cstheme="minorBidi"/>
          <w:bCs w:val="0"/>
          <w:iCs w:val="0"/>
          <w:color w:val="auto"/>
          <w:lang w:eastAsia="en-AU"/>
        </w:rPr>
        <w:t>The Authority’s board members have extensive experience in the general insurance industry at the executive level, particularly in relation to underwriting, claims management, risk management, reinsurance, actuarial and financial services.</w:t>
      </w:r>
    </w:p>
    <w:p w14:paraId="0F7AEF68" w14:textId="31F97BE2" w:rsidR="00217DCD" w:rsidRPr="00251633" w:rsidRDefault="00217DCD" w:rsidP="00AD126A">
      <w:pPr>
        <w:tabs>
          <w:tab w:val="left" w:pos="9072"/>
        </w:tabs>
        <w:rPr>
          <w:lang w:eastAsia="en-AU"/>
        </w:rPr>
      </w:pPr>
      <w:bookmarkStart w:id="33" w:name="_Hlk76740807"/>
      <w:bookmarkStart w:id="34" w:name="_Hlk19109052"/>
      <w:r w:rsidRPr="00251633">
        <w:t xml:space="preserve">Mr Ian </w:t>
      </w:r>
      <w:r w:rsidRPr="00251633">
        <w:rPr>
          <w:lang w:eastAsia="en-AU"/>
        </w:rPr>
        <w:t>Faragher (Chair) - Mr Faragher has over 35 years’ experience in the financial services industry, holding several Chief Executive positions of global financial services organisations.  He has lived and worked in the United States, the Asia Pacific Region</w:t>
      </w:r>
      <w:r w:rsidR="007D6F19">
        <w:rPr>
          <w:lang w:eastAsia="en-AU"/>
        </w:rPr>
        <w:t>,</w:t>
      </w:r>
      <w:r w:rsidRPr="00251633">
        <w:rPr>
          <w:lang w:eastAsia="en-AU"/>
        </w:rPr>
        <w:t xml:space="preserve"> and Australia. Mr Faragher has successfully led businesses in both developed and emerging insurance markets. Mr Faragher was instrumental as the Chairman and sole Asia-Pacific member of the Lloyd’s of London senior management team</w:t>
      </w:r>
      <w:r w:rsidR="007D6F19">
        <w:rPr>
          <w:lang w:eastAsia="en-AU"/>
        </w:rPr>
        <w:t>,</w:t>
      </w:r>
      <w:r w:rsidRPr="00251633">
        <w:rPr>
          <w:lang w:eastAsia="en-AU"/>
        </w:rPr>
        <w:t xml:space="preserve"> in the establishment of Lloyd’s in China, earning the prestigious UK Review’s award for Company Start-up of the Year. Mr Faragher was invited to join the Members Council of the Motor Insurers Bureau in Hong Kong with responsibility over the Insurance Company Insolvency Funds and elected by membership as a Director of the Australian Chamber of Commerce in Shanghai to advocate on policy affecting over 300 Australian businesses across all sectors of the economy. Mr Faragher has been approved by Regulatory Authorities in Singapore, Thailand, Hong Kong, Taiwan, China, Fiji, and Australia to act as the Principal Officer and/or Responsible Person, evidencing a deep understanding of the operational requirements, governance, corporate </w:t>
      </w:r>
      <w:proofErr w:type="gramStart"/>
      <w:r w:rsidRPr="00251633">
        <w:rPr>
          <w:lang w:eastAsia="en-AU"/>
        </w:rPr>
        <w:t>laws</w:t>
      </w:r>
      <w:proofErr w:type="gramEnd"/>
      <w:r w:rsidRPr="00251633">
        <w:rPr>
          <w:lang w:eastAsia="en-AU"/>
        </w:rPr>
        <w:t xml:space="preserve"> and regulations in a wide variety of jurisdictions. Mr Faragher holds a Bachelor of Engineering from the University of Sydney, has participated in strategic leadership programs in Princeton</w:t>
      </w:r>
      <w:r w:rsidR="007D6F19">
        <w:rPr>
          <w:lang w:eastAsia="en-AU"/>
        </w:rPr>
        <w:t>,</w:t>
      </w:r>
      <w:r w:rsidRPr="00251633">
        <w:rPr>
          <w:lang w:eastAsia="en-AU"/>
        </w:rPr>
        <w:t xml:space="preserve"> New Jersey</w:t>
      </w:r>
      <w:r w:rsidR="00106A12">
        <w:rPr>
          <w:lang w:eastAsia="en-AU"/>
        </w:rPr>
        <w:t>,</w:t>
      </w:r>
      <w:r w:rsidRPr="00251633">
        <w:rPr>
          <w:lang w:eastAsia="en-AU"/>
        </w:rPr>
        <w:t xml:space="preserve"> led by a consortium of elite international business schools</w:t>
      </w:r>
      <w:r w:rsidR="00106A12">
        <w:rPr>
          <w:lang w:eastAsia="en-AU"/>
        </w:rPr>
        <w:t>,</w:t>
      </w:r>
      <w:r w:rsidRPr="00251633">
        <w:rPr>
          <w:lang w:eastAsia="en-AU"/>
        </w:rPr>
        <w:t xml:space="preserve"> and was appointed as a Visiting Professor at the Shanghai University of Finance and Economics in recognition of support for International Risk Management and Insurance Studies. Mr Faragher now consults on various insurance matters, specialising in financial technology.</w:t>
      </w:r>
    </w:p>
    <w:bookmarkEnd w:id="33"/>
    <w:p w14:paraId="7A3F3056" w14:textId="0EF6CC17" w:rsidR="00217DCD" w:rsidRPr="0025003E" w:rsidRDefault="00217DCD" w:rsidP="00AD126A">
      <w:pPr>
        <w:tabs>
          <w:tab w:val="left" w:pos="9072"/>
        </w:tabs>
      </w:pPr>
      <w:r w:rsidRPr="0025003E">
        <w:t>Ms Robyn Bateup (Member) BSc, FIAA, GAICD - Ms Bateup has over 25 years’ experience in general insurance. Ms Bateup held a Senior Executive position within a general insurer prior to joining, and becoming a Principal of, and the Australian General Insurance Sector Leader for, an international consulting firm advising corporations and government entities. Ms Bateup has also been an elected Council member of the Council of the Actuaries Institute where she also sat on various advisory committees. Ms Bateup is an Executive Director of her own consulting firm, Bateup Actuarial &amp; Consulting Services, as well as a Non-Executive Director of Medical Insurance Australia Limited</w:t>
      </w:r>
      <w:r w:rsidR="00106A12">
        <w:t>,</w:t>
      </w:r>
      <w:r w:rsidRPr="0025003E">
        <w:t xml:space="preserve"> and Eric Insurance Pty Ltd, where she chairs the Risk Committees. Ms Bateup has a strong background in risk, pricing, governance, and </w:t>
      </w:r>
      <w:r w:rsidRPr="0025003E">
        <w:lastRenderedPageBreak/>
        <w:t>actuarial services. She has also served as an expert witness in litigated general insurance matters. Ms Bateup is a Graduate Member of the Australian Institute of Company Directors.</w:t>
      </w:r>
    </w:p>
    <w:bookmarkEnd w:id="34"/>
    <w:p w14:paraId="652E3EFD" w14:textId="77777777" w:rsidR="00217DCD" w:rsidRPr="00251633" w:rsidRDefault="00217DCD" w:rsidP="00AD126A">
      <w:pPr>
        <w:tabs>
          <w:tab w:val="left" w:pos="9072"/>
        </w:tabs>
      </w:pPr>
      <w:r w:rsidRPr="00251633">
        <w:t>The remuneration of the Board members is determined by the ACT Remuneration Tribunal.</w:t>
      </w:r>
    </w:p>
    <w:p w14:paraId="3A33518B" w14:textId="605FFF50" w:rsidR="00217DCD" w:rsidRPr="00251633" w:rsidRDefault="00217DCD" w:rsidP="00B9162D">
      <w:pPr>
        <w:tabs>
          <w:tab w:val="left" w:pos="9072"/>
        </w:tabs>
      </w:pPr>
      <w:r w:rsidRPr="00251633">
        <w:t xml:space="preserve">The Board met on </w:t>
      </w:r>
      <w:r w:rsidRPr="00C730C0">
        <w:t>four</w:t>
      </w:r>
      <w:r w:rsidRPr="00251633">
        <w:t xml:space="preserve"> occasions during </w:t>
      </w:r>
      <w:r w:rsidR="00323290">
        <w:t>2023-24</w:t>
      </w:r>
      <w:r w:rsidRPr="00251633">
        <w:t xml:space="preserve"> and was consulted on the following:</w:t>
      </w:r>
    </w:p>
    <w:p w14:paraId="5DCC0EF8" w14:textId="43A0FDD9"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the Territory’s reinsurance program for 202</w:t>
      </w:r>
      <w:r w:rsidR="006D3E4C" w:rsidRPr="004C01A6">
        <w:rPr>
          <w:rFonts w:eastAsia="Times New Roman" w:cs="Arial"/>
          <w:bCs/>
          <w:iCs/>
        </w:rPr>
        <w:t>4</w:t>
      </w:r>
      <w:r w:rsidRPr="004C01A6">
        <w:rPr>
          <w:rFonts w:eastAsia="Times New Roman" w:cs="Arial"/>
          <w:bCs/>
          <w:iCs/>
        </w:rPr>
        <w:t>-2</w:t>
      </w:r>
      <w:r w:rsidR="006D3E4C" w:rsidRPr="004C01A6">
        <w:rPr>
          <w:rFonts w:eastAsia="Times New Roman" w:cs="Arial"/>
          <w:bCs/>
          <w:iCs/>
        </w:rPr>
        <w:t>5</w:t>
      </w:r>
      <w:r w:rsidRPr="004C01A6">
        <w:rPr>
          <w:rFonts w:eastAsia="Times New Roman" w:cs="Arial"/>
          <w:bCs/>
          <w:iCs/>
        </w:rPr>
        <w:t>;</w:t>
      </w:r>
    </w:p>
    <w:p w14:paraId="78673940" w14:textId="77777777"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actuarial and financial matters;</w:t>
      </w:r>
    </w:p>
    <w:p w14:paraId="2B0C4170" w14:textId="77777777"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operational priorities;</w:t>
      </w:r>
    </w:p>
    <w:p w14:paraId="103742D4" w14:textId="77777777"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ICT systems and management;</w:t>
      </w:r>
    </w:p>
    <w:p w14:paraId="330B6A07" w14:textId="77777777"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reviews of major claims; and</w:t>
      </w:r>
    </w:p>
    <w:p w14:paraId="57EF4C0F" w14:textId="77777777" w:rsidR="00217DCD" w:rsidRPr="004C01A6" w:rsidRDefault="00217DCD" w:rsidP="00A36E9A">
      <w:pPr>
        <w:pStyle w:val="Bullet1"/>
        <w:numPr>
          <w:ilvl w:val="0"/>
          <w:numId w:val="15"/>
        </w:numPr>
        <w:tabs>
          <w:tab w:val="clear" w:pos="360"/>
          <w:tab w:val="left" w:pos="284"/>
        </w:tabs>
        <w:rPr>
          <w:rFonts w:eastAsia="Times New Roman" w:cs="Arial"/>
          <w:bCs/>
          <w:iCs/>
        </w:rPr>
      </w:pPr>
      <w:r w:rsidRPr="004C01A6">
        <w:rPr>
          <w:rFonts w:eastAsia="Times New Roman" w:cs="Arial"/>
          <w:bCs/>
          <w:iCs/>
        </w:rPr>
        <w:t>risk management matters.</w:t>
      </w:r>
    </w:p>
    <w:p w14:paraId="0E741A83" w14:textId="315467D8" w:rsidR="00335E82" w:rsidRPr="005942AC" w:rsidRDefault="00335E82" w:rsidP="00AD126A">
      <w:pPr>
        <w:pStyle w:val="Heading2"/>
        <w:tabs>
          <w:tab w:val="left" w:pos="9072"/>
        </w:tabs>
      </w:pPr>
      <w:bookmarkStart w:id="35" w:name="_Toc141174709"/>
      <w:r w:rsidRPr="005942AC">
        <w:t>B.</w:t>
      </w:r>
      <w:r w:rsidR="00FA797E" w:rsidRPr="005942AC">
        <w:t>2</w:t>
      </w:r>
      <w:r w:rsidRPr="005942AC">
        <w:t xml:space="preserve"> Performance Analysis</w:t>
      </w:r>
      <w:bookmarkEnd w:id="35"/>
    </w:p>
    <w:p w14:paraId="5CF3C89F" w14:textId="6FED00D0" w:rsidR="00497D2E" w:rsidRPr="00553169" w:rsidRDefault="00497D2E" w:rsidP="00AD126A">
      <w:pPr>
        <w:tabs>
          <w:tab w:val="left" w:pos="9072"/>
        </w:tabs>
        <w:rPr>
          <w:highlight w:val="yellow"/>
        </w:rPr>
      </w:pPr>
      <w:r w:rsidRPr="001E55B5">
        <w:t xml:space="preserve">The Authority’s Key Performance Indicators (KPIs) are detailed in the Authority’s </w:t>
      </w:r>
      <w:r w:rsidR="00323290">
        <w:rPr>
          <w:i/>
          <w:iCs/>
        </w:rPr>
        <w:t>2023-24</w:t>
      </w:r>
      <w:r w:rsidRPr="001E55B5">
        <w:rPr>
          <w:i/>
          <w:iCs/>
        </w:rPr>
        <w:t xml:space="preserve"> Statement of Intent</w:t>
      </w:r>
      <w:r w:rsidRPr="001E55B5">
        <w:t xml:space="preserve"> and are reported as part of the Authority’s Statement of Performance, </w:t>
      </w:r>
      <w:r w:rsidRPr="001014F8">
        <w:t xml:space="preserve">see pages </w:t>
      </w:r>
      <w:r w:rsidR="001014F8" w:rsidRPr="001014F8">
        <w:t>97</w:t>
      </w:r>
      <w:r w:rsidRPr="001014F8">
        <w:t>-</w:t>
      </w:r>
      <w:r w:rsidR="001014F8" w:rsidRPr="001014F8">
        <w:t>106</w:t>
      </w:r>
      <w:r w:rsidRPr="001014F8">
        <w:t>.</w:t>
      </w:r>
      <w:r w:rsidR="006065D6" w:rsidRPr="001014F8">
        <w:t xml:space="preserve"> The objective of the KPIs being measured </w:t>
      </w:r>
      <w:r w:rsidR="00E5138A" w:rsidRPr="001014F8">
        <w:t xml:space="preserve">is to ensure </w:t>
      </w:r>
      <w:r w:rsidR="006065D6" w:rsidRPr="001014F8">
        <w:t>the delivery of the</w:t>
      </w:r>
      <w:r w:rsidR="006065D6" w:rsidRPr="006065D6">
        <w:t xml:space="preserve"> Authority’s strategic objectives, quantifying specific outputs or activities that are measurable.</w:t>
      </w:r>
    </w:p>
    <w:p w14:paraId="17A7C172" w14:textId="77777777" w:rsidR="00497D2E" w:rsidRPr="00803CFA" w:rsidRDefault="00497D2E" w:rsidP="00AD126A">
      <w:pPr>
        <w:tabs>
          <w:tab w:val="left" w:pos="9072"/>
        </w:tabs>
      </w:pPr>
      <w:r w:rsidRPr="00803CFA">
        <w:t>A summary of the outcomes achieved against each of the Authority’s principal objectives and KPIs is detailed below.</w:t>
      </w:r>
    </w:p>
    <w:p w14:paraId="1729CE09" w14:textId="24C112B9" w:rsidR="00335E82" w:rsidRPr="009B6CCF" w:rsidRDefault="00335E82"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w:t>
      </w:r>
      <w:r w:rsidR="00497D2E" w:rsidRPr="009B6CCF">
        <w:rPr>
          <w:rFonts w:eastAsia="Times New Roman"/>
          <w:iCs/>
          <w:color w:val="492581" w:themeColor="accent1"/>
          <w:sz w:val="32"/>
          <w:szCs w:val="32"/>
        </w:rPr>
        <w:t>2</w:t>
      </w:r>
      <w:r w:rsidRPr="009B6CCF">
        <w:rPr>
          <w:rFonts w:eastAsia="Times New Roman"/>
          <w:iCs/>
          <w:color w:val="492581" w:themeColor="accent1"/>
          <w:sz w:val="32"/>
          <w:szCs w:val="32"/>
        </w:rPr>
        <w:t xml:space="preserve">.1 </w:t>
      </w:r>
      <w:r w:rsidR="00292BD3" w:rsidRPr="009B6CCF">
        <w:rPr>
          <w:rFonts w:eastAsia="Times New Roman"/>
          <w:iCs/>
          <w:color w:val="492581" w:themeColor="accent1"/>
          <w:sz w:val="32"/>
          <w:szCs w:val="32"/>
        </w:rPr>
        <w:t xml:space="preserve">Carry on the </w:t>
      </w:r>
      <w:r w:rsidR="0021649C">
        <w:rPr>
          <w:rFonts w:eastAsia="Times New Roman"/>
          <w:iCs/>
          <w:color w:val="492581" w:themeColor="accent1"/>
          <w:sz w:val="32"/>
          <w:szCs w:val="32"/>
        </w:rPr>
        <w:t>B</w:t>
      </w:r>
      <w:r w:rsidR="00292BD3" w:rsidRPr="009B6CCF">
        <w:rPr>
          <w:rFonts w:eastAsia="Times New Roman"/>
          <w:iCs/>
          <w:color w:val="492581" w:themeColor="accent1"/>
          <w:sz w:val="32"/>
          <w:szCs w:val="32"/>
        </w:rPr>
        <w:t xml:space="preserve">usiness of </w:t>
      </w:r>
      <w:r w:rsidR="0021649C">
        <w:rPr>
          <w:rFonts w:eastAsia="Times New Roman"/>
          <w:iCs/>
          <w:color w:val="492581" w:themeColor="accent1"/>
          <w:sz w:val="32"/>
          <w:szCs w:val="32"/>
        </w:rPr>
        <w:t>I</w:t>
      </w:r>
      <w:r w:rsidR="00292BD3" w:rsidRPr="009B6CCF">
        <w:rPr>
          <w:rFonts w:eastAsia="Times New Roman"/>
          <w:iCs/>
          <w:color w:val="492581" w:themeColor="accent1"/>
          <w:sz w:val="32"/>
          <w:szCs w:val="32"/>
        </w:rPr>
        <w:t xml:space="preserve">nsurer of Territory </w:t>
      </w:r>
      <w:r w:rsidR="0021649C">
        <w:rPr>
          <w:rFonts w:eastAsia="Times New Roman"/>
          <w:iCs/>
          <w:color w:val="492581" w:themeColor="accent1"/>
          <w:sz w:val="32"/>
          <w:szCs w:val="32"/>
        </w:rPr>
        <w:t>R</w:t>
      </w:r>
      <w:r w:rsidR="00292BD3" w:rsidRPr="009B6CCF">
        <w:rPr>
          <w:rFonts w:eastAsia="Times New Roman"/>
          <w:iCs/>
          <w:color w:val="492581" w:themeColor="accent1"/>
          <w:sz w:val="32"/>
          <w:szCs w:val="32"/>
        </w:rPr>
        <w:t>isks</w:t>
      </w:r>
    </w:p>
    <w:p w14:paraId="64A46211" w14:textId="2000F4EE" w:rsidR="00292BD3" w:rsidRPr="005A4264" w:rsidRDefault="004538A7" w:rsidP="005A4264">
      <w:pPr>
        <w:pStyle w:val="Heading5"/>
      </w:pPr>
      <w:r w:rsidRPr="005A4264">
        <w:t>Conduct an annual customer satisfaction survey</w:t>
      </w:r>
    </w:p>
    <w:p w14:paraId="1DB099C4" w14:textId="77777777" w:rsidR="005F6EFD" w:rsidRPr="009604DF" w:rsidRDefault="005F6EFD" w:rsidP="00AD126A">
      <w:pPr>
        <w:tabs>
          <w:tab w:val="left" w:pos="9072"/>
        </w:tabs>
      </w:pPr>
      <w:r w:rsidRPr="009604DF">
        <w:t xml:space="preserve">The Authority’s annual customer satisfaction survey was undertaken with a range of questions focused on governance processes, practices, product, and service outcomes.  </w:t>
      </w:r>
    </w:p>
    <w:p w14:paraId="1B07B997" w14:textId="461229E0" w:rsidR="005F6EFD" w:rsidRPr="009604DF" w:rsidRDefault="005F6EFD" w:rsidP="00AD126A">
      <w:pPr>
        <w:tabs>
          <w:tab w:val="left" w:pos="9072"/>
        </w:tabs>
      </w:pPr>
      <w:r w:rsidRPr="009604DF">
        <w:t>Surveys were sent to a range of agency contacts including Directors-General, Chief Executive Officers, and other key stakeholders of ACT Government directorates and statutory authorities. Respondents were asked to rate the quality of different aspects of the Authority’s services, based on their experiences over the past 12 months.</w:t>
      </w:r>
    </w:p>
    <w:p w14:paraId="126790FA" w14:textId="72D3E557" w:rsidR="005F6EFD" w:rsidRPr="00D233A1" w:rsidRDefault="005F6EFD" w:rsidP="008D3636">
      <w:pPr>
        <w:pStyle w:val="Bulletintropara"/>
      </w:pPr>
      <w:r w:rsidRPr="00D233A1">
        <w:t xml:space="preserve">Overall satisfaction with the Authority was </w:t>
      </w:r>
      <w:r w:rsidR="001B2E7D" w:rsidRPr="00D233A1">
        <w:t>82.6</w:t>
      </w:r>
      <w:r w:rsidRPr="00D233A1">
        <w:t xml:space="preserve"> per cent. The Authority’s customers identified the following positive characteristics as the key drivers of positive experiences: </w:t>
      </w:r>
    </w:p>
    <w:p w14:paraId="2A31865C" w14:textId="77777777" w:rsidR="005F6EFD" w:rsidRPr="008D3636" w:rsidRDefault="005F6EFD" w:rsidP="00A36E9A">
      <w:pPr>
        <w:pStyle w:val="Bullet1"/>
        <w:numPr>
          <w:ilvl w:val="0"/>
          <w:numId w:val="15"/>
        </w:numPr>
        <w:tabs>
          <w:tab w:val="clear" w:pos="360"/>
          <w:tab w:val="left" w:pos="284"/>
        </w:tabs>
        <w:rPr>
          <w:rFonts w:eastAsia="Times New Roman" w:cs="Arial"/>
          <w:bCs/>
          <w:iCs/>
        </w:rPr>
      </w:pPr>
      <w:r w:rsidRPr="008D3636">
        <w:rPr>
          <w:rFonts w:eastAsia="Times New Roman" w:cs="Arial"/>
          <w:bCs/>
          <w:iCs/>
        </w:rPr>
        <w:t>the professionalism of the Authority’s staff;</w:t>
      </w:r>
    </w:p>
    <w:p w14:paraId="48FC5276" w14:textId="77777777" w:rsidR="005F6EFD" w:rsidRPr="008D3636" w:rsidRDefault="005F6EFD" w:rsidP="00A36E9A">
      <w:pPr>
        <w:pStyle w:val="Bullet1"/>
        <w:numPr>
          <w:ilvl w:val="0"/>
          <w:numId w:val="15"/>
        </w:numPr>
        <w:tabs>
          <w:tab w:val="clear" w:pos="360"/>
          <w:tab w:val="left" w:pos="284"/>
        </w:tabs>
        <w:rPr>
          <w:rFonts w:eastAsia="Times New Roman" w:cs="Arial"/>
          <w:bCs/>
          <w:iCs/>
        </w:rPr>
      </w:pPr>
      <w:r w:rsidRPr="008D3636">
        <w:rPr>
          <w:rFonts w:eastAsia="Times New Roman" w:cs="Arial"/>
          <w:bCs/>
          <w:iCs/>
        </w:rPr>
        <w:t>the Authority’s staff understand the services they deliver;</w:t>
      </w:r>
    </w:p>
    <w:p w14:paraId="12F446F2" w14:textId="77777777" w:rsidR="005F6EFD" w:rsidRPr="008D3636" w:rsidRDefault="005F6EFD" w:rsidP="00A36E9A">
      <w:pPr>
        <w:pStyle w:val="Bullet1"/>
        <w:numPr>
          <w:ilvl w:val="0"/>
          <w:numId w:val="15"/>
        </w:numPr>
        <w:tabs>
          <w:tab w:val="clear" w:pos="360"/>
          <w:tab w:val="left" w:pos="284"/>
        </w:tabs>
        <w:rPr>
          <w:rFonts w:eastAsia="Times New Roman" w:cs="Arial"/>
          <w:bCs/>
          <w:iCs/>
        </w:rPr>
      </w:pPr>
      <w:r w:rsidRPr="008D3636">
        <w:rPr>
          <w:rFonts w:eastAsia="Times New Roman" w:cs="Arial"/>
          <w:bCs/>
          <w:iCs/>
        </w:rPr>
        <w:t>the Authority’s staff understand the Directorate’s requirements; and</w:t>
      </w:r>
    </w:p>
    <w:p w14:paraId="40526FBB" w14:textId="77777777" w:rsidR="005F6EFD" w:rsidRPr="008D3636" w:rsidRDefault="005F6EFD" w:rsidP="00A36E9A">
      <w:pPr>
        <w:pStyle w:val="Bullet1"/>
        <w:numPr>
          <w:ilvl w:val="0"/>
          <w:numId w:val="15"/>
        </w:numPr>
        <w:tabs>
          <w:tab w:val="clear" w:pos="360"/>
          <w:tab w:val="left" w:pos="284"/>
        </w:tabs>
        <w:rPr>
          <w:rFonts w:eastAsia="Times New Roman" w:cs="Arial"/>
          <w:bCs/>
          <w:iCs/>
        </w:rPr>
      </w:pPr>
      <w:r w:rsidRPr="008D3636">
        <w:rPr>
          <w:rFonts w:eastAsia="Times New Roman" w:cs="Arial"/>
          <w:bCs/>
          <w:iCs/>
        </w:rPr>
        <w:t>the Authority responds to requests in a prompt and timely manner.</w:t>
      </w:r>
    </w:p>
    <w:p w14:paraId="35952D27" w14:textId="77777777" w:rsidR="005F6EFD" w:rsidRPr="00F1137F" w:rsidRDefault="005F6EFD" w:rsidP="00AD126A">
      <w:pPr>
        <w:tabs>
          <w:tab w:val="left" w:pos="9072"/>
        </w:tabs>
      </w:pPr>
      <w:r w:rsidRPr="00F1137F">
        <w:lastRenderedPageBreak/>
        <w:t>The Authority continues to collaborate with customers at all levels to enhance the level of service provided, and to identify and clarify those areas that may require improvement.</w:t>
      </w:r>
    </w:p>
    <w:p w14:paraId="70F0A219" w14:textId="1A162EDC" w:rsidR="00C64E13" w:rsidRPr="005A4264" w:rsidRDefault="00C361D3" w:rsidP="00C546A1">
      <w:pPr>
        <w:pStyle w:val="Heading5"/>
        <w:spacing w:line="360" w:lineRule="exact"/>
      </w:pPr>
      <w:r w:rsidRPr="005A4264">
        <w:t>Maintain a funding ratio within the targeted range stated in the ACTIA Capital Management Plan</w:t>
      </w:r>
    </w:p>
    <w:p w14:paraId="58C90029" w14:textId="77777777" w:rsidR="00D36010" w:rsidRPr="00AC3E55" w:rsidRDefault="00D36010" w:rsidP="00AD126A">
      <w:pPr>
        <w:tabs>
          <w:tab w:val="left" w:pos="9072"/>
        </w:tabs>
      </w:pPr>
      <w:r w:rsidRPr="00AC3E55">
        <w:t>The ACTIA Capital Management Plan provides a comprehensive and structured approach to the long-term management of the Authority’s financial assets.</w:t>
      </w:r>
    </w:p>
    <w:p w14:paraId="32180ED8" w14:textId="77777777" w:rsidR="00D36010" w:rsidRPr="00AC3E55" w:rsidRDefault="00D36010" w:rsidP="00AD126A">
      <w:pPr>
        <w:tabs>
          <w:tab w:val="left" w:pos="9072"/>
        </w:tabs>
      </w:pPr>
      <w:r w:rsidRPr="00AC3E55">
        <w:t>The plan establishes the basis for an agreed approach to the management of the Authority’s financial strategy and objectives and takes into consideration the variability of the Authority’s capital position that may result from changes in claims experience and investment returns.</w:t>
      </w:r>
    </w:p>
    <w:p w14:paraId="5FFE4829" w14:textId="2695D154" w:rsidR="00D36010" w:rsidRPr="00620867" w:rsidRDefault="00D36010" w:rsidP="00AD126A">
      <w:pPr>
        <w:tabs>
          <w:tab w:val="left" w:pos="9072"/>
        </w:tabs>
      </w:pPr>
      <w:r w:rsidRPr="00620867">
        <w:t xml:space="preserve">The Authority aims to manage its capital position at a range </w:t>
      </w:r>
      <w:r w:rsidRPr="008F59BD">
        <w:t>between 100 – 120 per cent</w:t>
      </w:r>
      <w:r w:rsidRPr="00620867">
        <w:t xml:space="preserve">.  This position seeks to strike a balance between the appropriate management of the Territory’s risk, while allowing suitable mechanisms to address a capital position outside the target ratio range. This would include action to seek capital injections (in a deficit situation) or surrendering excess capital (in a surplus situation) </w:t>
      </w:r>
      <w:r w:rsidRPr="00620867">
        <w:rPr>
          <w:rFonts w:eastAsia="Calibri" w:cs="Calibri"/>
          <w:szCs w:val="22"/>
        </w:rPr>
        <w:t>if assessed as necessary after considering various factors including future market conditions</w:t>
      </w:r>
      <w:r w:rsidRPr="00620867">
        <w:t>.</w:t>
      </w:r>
    </w:p>
    <w:p w14:paraId="392348FA" w14:textId="129EFFD0" w:rsidR="00D36010" w:rsidRPr="00496038" w:rsidRDefault="00D36010" w:rsidP="00AD126A">
      <w:pPr>
        <w:tabs>
          <w:tab w:val="left" w:pos="9072"/>
        </w:tabs>
      </w:pPr>
      <w:r w:rsidRPr="00C730C0">
        <w:t>The Authority’s funding ratio as at 30 June 202</w:t>
      </w:r>
      <w:r w:rsidR="00AD4F15" w:rsidRPr="00C730C0">
        <w:t>4</w:t>
      </w:r>
      <w:r w:rsidRPr="00C730C0">
        <w:t>, is 1</w:t>
      </w:r>
      <w:r w:rsidR="00AD4F15" w:rsidRPr="00C730C0">
        <w:t>12</w:t>
      </w:r>
      <w:r w:rsidRPr="00C730C0">
        <w:t xml:space="preserve"> per cent</w:t>
      </w:r>
      <w:r w:rsidR="00AB6A97" w:rsidRPr="00C730C0">
        <w:t>,</w:t>
      </w:r>
      <w:r w:rsidRPr="00C730C0">
        <w:t xml:space="preserve"> equating to a balance sheet </w:t>
      </w:r>
      <w:r w:rsidRPr="00DE3FF0">
        <w:t>surplus of $</w:t>
      </w:r>
      <w:r w:rsidR="00DE3FF0" w:rsidRPr="00DE3FF0">
        <w:t>49.8</w:t>
      </w:r>
      <w:r w:rsidR="000C1153" w:rsidRPr="00DE3FF0">
        <w:t> </w:t>
      </w:r>
      <w:r w:rsidRPr="00DE3FF0">
        <w:t>million with a forecasted capital funding position for 202</w:t>
      </w:r>
      <w:r w:rsidR="00E47801" w:rsidRPr="00DE3FF0">
        <w:t>4</w:t>
      </w:r>
      <w:r w:rsidRPr="00DE3FF0">
        <w:t>-</w:t>
      </w:r>
      <w:r w:rsidRPr="00DE3FF0" w:rsidDel="00043E99">
        <w:t>2</w:t>
      </w:r>
      <w:r w:rsidR="00E47801" w:rsidRPr="00DE3FF0">
        <w:t>5</w:t>
      </w:r>
      <w:r w:rsidRPr="00DE3FF0">
        <w:t xml:space="preserve"> of</w:t>
      </w:r>
      <w:r w:rsidRPr="006D423E">
        <w:t xml:space="preserve"> $</w:t>
      </w:r>
      <w:r w:rsidR="004334EB">
        <w:t>31.9</w:t>
      </w:r>
      <w:r w:rsidR="000C1153" w:rsidRPr="006D423E">
        <w:t> </w:t>
      </w:r>
      <w:r w:rsidRPr="006D423E">
        <w:t>million</w:t>
      </w:r>
      <w:r w:rsidR="000C1153" w:rsidRPr="006D423E">
        <w:t xml:space="preserve"> or</w:t>
      </w:r>
      <w:r w:rsidRPr="006D423E">
        <w:t xml:space="preserve"> 1</w:t>
      </w:r>
      <w:r w:rsidR="004334EB">
        <w:t>0</w:t>
      </w:r>
      <w:r w:rsidR="00336240" w:rsidRPr="006D423E">
        <w:t>7</w:t>
      </w:r>
      <w:r w:rsidR="00340CA5" w:rsidRPr="006D423E">
        <w:t> </w:t>
      </w:r>
      <w:r w:rsidRPr="006D423E">
        <w:t>per cent.</w:t>
      </w:r>
    </w:p>
    <w:p w14:paraId="0AB50B4F" w14:textId="1B30168D" w:rsidR="00624338" w:rsidRPr="009B6CCF" w:rsidRDefault="00624338" w:rsidP="00AD126A">
      <w:pPr>
        <w:pStyle w:val="TableCaption"/>
        <w:tabs>
          <w:tab w:val="left" w:pos="9072"/>
        </w:tabs>
        <w:rPr>
          <w:color w:val="262626" w:themeColor="text1" w:themeTint="D9"/>
        </w:rPr>
      </w:pPr>
      <w:r w:rsidRPr="009B6CCF">
        <w:rPr>
          <w:color w:val="262626" w:themeColor="text1" w:themeTint="D9"/>
        </w:rPr>
        <w:t xml:space="preserve">Table </w:t>
      </w:r>
      <w:r w:rsidR="00CF6D8C" w:rsidRPr="009B6CCF">
        <w:rPr>
          <w:color w:val="262626" w:themeColor="text1" w:themeTint="D9"/>
        </w:rPr>
        <w:t>B.2: Funding Ratio</w:t>
      </w:r>
    </w:p>
    <w:tbl>
      <w:tblPr>
        <w:tblStyle w:val="ARTable"/>
        <w:tblW w:w="9072" w:type="dxa"/>
        <w:tblLook w:val="04A0" w:firstRow="1" w:lastRow="0" w:firstColumn="1" w:lastColumn="0" w:noHBand="0" w:noVBand="1"/>
      </w:tblPr>
      <w:tblGrid>
        <w:gridCol w:w="2566"/>
        <w:gridCol w:w="2566"/>
        <w:gridCol w:w="2098"/>
        <w:gridCol w:w="283"/>
        <w:gridCol w:w="1559"/>
      </w:tblGrid>
      <w:tr w:rsidR="00B65038" w:rsidRPr="009B6CCF" w14:paraId="07D2CCA6" w14:textId="77777777" w:rsidTr="00784DE4">
        <w:trPr>
          <w:cnfStyle w:val="100000000000" w:firstRow="1" w:lastRow="0" w:firstColumn="0" w:lastColumn="0" w:oddVBand="0" w:evenVBand="0" w:oddHBand="0" w:evenHBand="0" w:firstRowFirstColumn="0" w:firstRowLastColumn="0" w:lastRowFirstColumn="0" w:lastRowLastColumn="0"/>
          <w:trHeight w:val="152"/>
        </w:trPr>
        <w:tc>
          <w:tcPr>
            <w:tcW w:w="2566" w:type="dxa"/>
            <w:tcBorders>
              <w:top w:val="single" w:sz="12" w:space="0" w:color="492581" w:themeColor="accent1"/>
            </w:tcBorders>
            <w:vAlign w:val="bottom"/>
          </w:tcPr>
          <w:p w14:paraId="5E7F81E8" w14:textId="75F3EFC4" w:rsidR="00B65038" w:rsidRPr="009B6CCF" w:rsidRDefault="00B65038" w:rsidP="00AD126A">
            <w:pPr>
              <w:pStyle w:val="Tableheading"/>
              <w:tabs>
                <w:tab w:val="left" w:pos="9072"/>
              </w:tabs>
              <w:rPr>
                <w:sz w:val="22"/>
                <w:szCs w:val="22"/>
              </w:rPr>
            </w:pPr>
            <w:r w:rsidRPr="009B6CCF">
              <w:rPr>
                <w:sz w:val="22"/>
                <w:szCs w:val="22"/>
              </w:rPr>
              <w:t>Balance Sheet</w:t>
            </w:r>
          </w:p>
        </w:tc>
        <w:tc>
          <w:tcPr>
            <w:tcW w:w="2566" w:type="dxa"/>
          </w:tcPr>
          <w:p w14:paraId="473E80D8" w14:textId="533AC244" w:rsidR="00B65038" w:rsidRPr="009B6CCF" w:rsidRDefault="00B65038" w:rsidP="00AD126A">
            <w:pPr>
              <w:pStyle w:val="Tableheading"/>
              <w:tabs>
                <w:tab w:val="left" w:pos="9072"/>
              </w:tabs>
              <w:rPr>
                <w:sz w:val="22"/>
                <w:szCs w:val="22"/>
              </w:rPr>
            </w:pPr>
            <w:r w:rsidRPr="009B6CCF">
              <w:rPr>
                <w:sz w:val="22"/>
                <w:szCs w:val="22"/>
              </w:rPr>
              <w:t>Actual</w:t>
            </w:r>
            <w:r w:rsidRPr="009B6CCF">
              <w:rPr>
                <w:sz w:val="22"/>
                <w:szCs w:val="22"/>
              </w:rPr>
              <w:br/>
              <w:t>30 June 202</w:t>
            </w:r>
            <w:r w:rsidR="005D73D8">
              <w:rPr>
                <w:sz w:val="22"/>
                <w:szCs w:val="22"/>
              </w:rPr>
              <w:t>3</w:t>
            </w:r>
          </w:p>
          <w:p w14:paraId="5CA78190" w14:textId="60E78430" w:rsidR="00B65038" w:rsidRPr="009B6CCF" w:rsidRDefault="00B65038" w:rsidP="00AD126A">
            <w:pPr>
              <w:pStyle w:val="Tableheading"/>
              <w:tabs>
                <w:tab w:val="left" w:pos="9072"/>
              </w:tabs>
              <w:rPr>
                <w:sz w:val="22"/>
                <w:szCs w:val="22"/>
              </w:rPr>
            </w:pPr>
            <w:r w:rsidRPr="009B6CCF">
              <w:rPr>
                <w:sz w:val="22"/>
                <w:szCs w:val="22"/>
              </w:rPr>
              <w:t xml:space="preserve">$ </w:t>
            </w:r>
            <w:r w:rsidR="001559CB">
              <w:rPr>
                <w:sz w:val="22"/>
                <w:szCs w:val="22"/>
              </w:rPr>
              <w:t>m</w:t>
            </w:r>
            <w:r w:rsidRPr="009B6CCF">
              <w:rPr>
                <w:sz w:val="22"/>
                <w:szCs w:val="22"/>
              </w:rPr>
              <w:t>illion</w:t>
            </w:r>
          </w:p>
        </w:tc>
        <w:tc>
          <w:tcPr>
            <w:tcW w:w="2381" w:type="dxa"/>
            <w:gridSpan w:val="2"/>
          </w:tcPr>
          <w:p w14:paraId="6EE330B1" w14:textId="584FA389" w:rsidR="00B65038" w:rsidRPr="009B6CCF" w:rsidRDefault="00B65038" w:rsidP="00AD126A">
            <w:pPr>
              <w:pStyle w:val="Tableheading"/>
              <w:tabs>
                <w:tab w:val="left" w:pos="9072"/>
              </w:tabs>
              <w:rPr>
                <w:sz w:val="22"/>
                <w:szCs w:val="22"/>
              </w:rPr>
            </w:pPr>
            <w:r w:rsidRPr="009B6CCF">
              <w:rPr>
                <w:sz w:val="22"/>
                <w:szCs w:val="22"/>
              </w:rPr>
              <w:t>Actual</w:t>
            </w:r>
            <w:r w:rsidRPr="009B6CCF">
              <w:rPr>
                <w:sz w:val="22"/>
                <w:szCs w:val="22"/>
              </w:rPr>
              <w:br/>
              <w:t>30 June 202</w:t>
            </w:r>
            <w:r w:rsidR="005D73D8">
              <w:rPr>
                <w:sz w:val="22"/>
                <w:szCs w:val="22"/>
              </w:rPr>
              <w:t>4</w:t>
            </w:r>
          </w:p>
          <w:p w14:paraId="21225AD0" w14:textId="1CCFE56C" w:rsidR="00B65038" w:rsidRPr="009B6CCF" w:rsidRDefault="00B65038" w:rsidP="00AD126A">
            <w:pPr>
              <w:pStyle w:val="Tableheading"/>
              <w:tabs>
                <w:tab w:val="left" w:pos="9072"/>
              </w:tabs>
              <w:rPr>
                <w:sz w:val="22"/>
                <w:szCs w:val="22"/>
              </w:rPr>
            </w:pPr>
            <w:r w:rsidRPr="009B6CCF">
              <w:rPr>
                <w:sz w:val="22"/>
                <w:szCs w:val="22"/>
              </w:rPr>
              <w:t>$ million</w:t>
            </w:r>
          </w:p>
        </w:tc>
        <w:tc>
          <w:tcPr>
            <w:tcW w:w="1559" w:type="dxa"/>
          </w:tcPr>
          <w:p w14:paraId="36A5E5F6" w14:textId="2A9F3DCD" w:rsidR="00B65038" w:rsidRPr="009B6CCF" w:rsidRDefault="00B65038" w:rsidP="00AD126A">
            <w:pPr>
              <w:pStyle w:val="Tableheading"/>
              <w:tabs>
                <w:tab w:val="left" w:pos="9072"/>
              </w:tabs>
              <w:rPr>
                <w:sz w:val="22"/>
                <w:szCs w:val="22"/>
              </w:rPr>
            </w:pPr>
            <w:r w:rsidRPr="009B6CCF">
              <w:rPr>
                <w:sz w:val="22"/>
                <w:szCs w:val="22"/>
              </w:rPr>
              <w:t>Forecast</w:t>
            </w:r>
            <w:r w:rsidRPr="009B6CCF">
              <w:rPr>
                <w:sz w:val="22"/>
                <w:szCs w:val="22"/>
              </w:rPr>
              <w:br/>
              <w:t>30 June 202</w:t>
            </w:r>
            <w:r w:rsidR="005D73D8">
              <w:rPr>
                <w:sz w:val="22"/>
                <w:szCs w:val="22"/>
              </w:rPr>
              <w:t>5</w:t>
            </w:r>
          </w:p>
          <w:p w14:paraId="3E02ADD0" w14:textId="74DF20D4" w:rsidR="00B65038" w:rsidRPr="009B6CCF" w:rsidRDefault="00B65038" w:rsidP="00AD126A">
            <w:pPr>
              <w:pStyle w:val="Tableheading"/>
              <w:tabs>
                <w:tab w:val="left" w:pos="9072"/>
              </w:tabs>
              <w:rPr>
                <w:sz w:val="22"/>
                <w:szCs w:val="22"/>
              </w:rPr>
            </w:pPr>
            <w:r w:rsidRPr="009B6CCF">
              <w:rPr>
                <w:sz w:val="22"/>
                <w:szCs w:val="22"/>
              </w:rPr>
              <w:t>$ million</w:t>
            </w:r>
          </w:p>
        </w:tc>
      </w:tr>
      <w:tr w:rsidR="00313C2D" w:rsidRPr="00421D81" w14:paraId="17928E14" w14:textId="77777777">
        <w:trPr>
          <w:trHeight w:val="355"/>
        </w:trPr>
        <w:tc>
          <w:tcPr>
            <w:tcW w:w="2566" w:type="dxa"/>
            <w:vAlign w:val="center"/>
          </w:tcPr>
          <w:p w14:paraId="453443A2" w14:textId="66ACB1E7" w:rsidR="00313C2D" w:rsidRPr="00421D81" w:rsidRDefault="00313C2D" w:rsidP="00313C2D">
            <w:pPr>
              <w:pStyle w:val="Tabletext"/>
            </w:pPr>
            <w:r w:rsidRPr="00421D81">
              <w:t>Assets</w:t>
            </w:r>
          </w:p>
        </w:tc>
        <w:tc>
          <w:tcPr>
            <w:tcW w:w="2566" w:type="dxa"/>
            <w:vAlign w:val="center"/>
          </w:tcPr>
          <w:p w14:paraId="011386AE" w14:textId="1F16C664" w:rsidR="00313C2D" w:rsidRPr="00DE3FF0" w:rsidRDefault="00313C2D" w:rsidP="00313C2D">
            <w:pPr>
              <w:pStyle w:val="Tabletext"/>
            </w:pPr>
            <w:r w:rsidRPr="00DE3FF0">
              <w:t>$423.6</w:t>
            </w:r>
          </w:p>
        </w:tc>
        <w:tc>
          <w:tcPr>
            <w:tcW w:w="2098" w:type="dxa"/>
            <w:vAlign w:val="center"/>
          </w:tcPr>
          <w:p w14:paraId="6522791B" w14:textId="5FAD1836" w:rsidR="00313C2D" w:rsidRPr="00DE3FF0" w:rsidRDefault="00313C2D" w:rsidP="00313C2D">
            <w:pPr>
              <w:pStyle w:val="Tabletext"/>
            </w:pPr>
            <w:r w:rsidRPr="00DE3FF0">
              <w:t>$4</w:t>
            </w:r>
            <w:r w:rsidR="0055374E" w:rsidRPr="00DE3FF0">
              <w:t>76.4</w:t>
            </w:r>
          </w:p>
        </w:tc>
        <w:tc>
          <w:tcPr>
            <w:tcW w:w="1842" w:type="dxa"/>
            <w:gridSpan w:val="2"/>
            <w:vAlign w:val="center"/>
          </w:tcPr>
          <w:p w14:paraId="768CEDFA" w14:textId="4721DC8F" w:rsidR="00313C2D" w:rsidRPr="00C71F8B" w:rsidRDefault="00313C2D" w:rsidP="00313C2D">
            <w:pPr>
              <w:pStyle w:val="Tablefigures"/>
            </w:pPr>
            <w:r w:rsidRPr="00C71F8B">
              <w:t>$4</w:t>
            </w:r>
            <w:r w:rsidR="0037364F" w:rsidRPr="00C71F8B">
              <w:t>82.4</w:t>
            </w:r>
          </w:p>
        </w:tc>
      </w:tr>
      <w:tr w:rsidR="00313C2D" w:rsidRPr="00421D81" w14:paraId="68249E3B" w14:textId="77777777">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6C614B49" w14:textId="5EFC7A67" w:rsidR="00313C2D" w:rsidRPr="00421D81" w:rsidRDefault="00313C2D" w:rsidP="00313C2D">
            <w:pPr>
              <w:pStyle w:val="Tabletext"/>
            </w:pPr>
            <w:r w:rsidRPr="00421D81">
              <w:t>Liabilities</w:t>
            </w:r>
          </w:p>
        </w:tc>
        <w:tc>
          <w:tcPr>
            <w:tcW w:w="2566" w:type="dxa"/>
            <w:vAlign w:val="center"/>
          </w:tcPr>
          <w:p w14:paraId="6B922E4C" w14:textId="04D067AA" w:rsidR="00313C2D" w:rsidRPr="00DE3FF0" w:rsidRDefault="00313C2D" w:rsidP="00313C2D">
            <w:pPr>
              <w:pStyle w:val="Tabletext"/>
            </w:pPr>
            <w:r w:rsidRPr="00DE3FF0">
              <w:t>$391.0</w:t>
            </w:r>
          </w:p>
        </w:tc>
        <w:tc>
          <w:tcPr>
            <w:tcW w:w="2098" w:type="dxa"/>
            <w:vAlign w:val="center"/>
          </w:tcPr>
          <w:p w14:paraId="62070056" w14:textId="0259C6D0" w:rsidR="00313C2D" w:rsidRPr="00DE3FF0" w:rsidRDefault="00313C2D" w:rsidP="00313C2D">
            <w:pPr>
              <w:pStyle w:val="Tabletext"/>
            </w:pPr>
            <w:r w:rsidRPr="00DE3FF0">
              <w:t>$</w:t>
            </w:r>
            <w:r w:rsidR="0055374E" w:rsidRPr="00DE3FF0">
              <w:t>426.6</w:t>
            </w:r>
          </w:p>
        </w:tc>
        <w:tc>
          <w:tcPr>
            <w:tcW w:w="1842" w:type="dxa"/>
            <w:gridSpan w:val="2"/>
            <w:vAlign w:val="center"/>
          </w:tcPr>
          <w:p w14:paraId="41A4BE48" w14:textId="102DDA5B" w:rsidR="00313C2D" w:rsidRPr="00C71F8B" w:rsidRDefault="00313C2D" w:rsidP="00313C2D">
            <w:pPr>
              <w:pStyle w:val="Tablefigures"/>
            </w:pPr>
            <w:r w:rsidRPr="00C71F8B">
              <w:t>$</w:t>
            </w:r>
            <w:r w:rsidR="00C643BF" w:rsidRPr="00C71F8B">
              <w:t>450</w:t>
            </w:r>
            <w:r w:rsidR="00C71F8B" w:rsidRPr="00C71F8B">
              <w:t>.5</w:t>
            </w:r>
          </w:p>
        </w:tc>
      </w:tr>
      <w:tr w:rsidR="00313C2D" w14:paraId="17BF91C5" w14:textId="77777777">
        <w:trPr>
          <w:trHeight w:val="355"/>
        </w:trPr>
        <w:tc>
          <w:tcPr>
            <w:tcW w:w="2566" w:type="dxa"/>
            <w:vAlign w:val="center"/>
          </w:tcPr>
          <w:p w14:paraId="5FD7219C" w14:textId="6DEB9AB1" w:rsidR="00313C2D" w:rsidRPr="00421D81" w:rsidRDefault="00313C2D" w:rsidP="00313C2D">
            <w:pPr>
              <w:pStyle w:val="Tabletext"/>
            </w:pPr>
            <w:r w:rsidRPr="00421D81">
              <w:t>Net Assets</w:t>
            </w:r>
          </w:p>
        </w:tc>
        <w:tc>
          <w:tcPr>
            <w:tcW w:w="2566" w:type="dxa"/>
            <w:vAlign w:val="center"/>
          </w:tcPr>
          <w:p w14:paraId="5B315841" w14:textId="203F7C9C" w:rsidR="00313C2D" w:rsidRPr="00DE3FF0" w:rsidRDefault="00313C2D" w:rsidP="00313C2D">
            <w:pPr>
              <w:pStyle w:val="Tabletext"/>
            </w:pPr>
            <w:r w:rsidRPr="00DE3FF0">
              <w:t>$32.6</w:t>
            </w:r>
          </w:p>
        </w:tc>
        <w:tc>
          <w:tcPr>
            <w:tcW w:w="2098" w:type="dxa"/>
            <w:vAlign w:val="center"/>
          </w:tcPr>
          <w:p w14:paraId="0F1395C0" w14:textId="0171FC74" w:rsidR="00313C2D" w:rsidRPr="00DE3FF0" w:rsidRDefault="00313C2D" w:rsidP="00313C2D">
            <w:pPr>
              <w:pStyle w:val="Tabletext"/>
            </w:pPr>
            <w:r w:rsidRPr="00DE3FF0">
              <w:t>$</w:t>
            </w:r>
            <w:r w:rsidR="00282756" w:rsidRPr="00DE3FF0">
              <w:t>49.8</w:t>
            </w:r>
          </w:p>
        </w:tc>
        <w:tc>
          <w:tcPr>
            <w:tcW w:w="1842" w:type="dxa"/>
            <w:gridSpan w:val="2"/>
            <w:vAlign w:val="center"/>
          </w:tcPr>
          <w:p w14:paraId="7D649BF2" w14:textId="27C02F1B" w:rsidR="00313C2D" w:rsidRPr="00C71F8B" w:rsidRDefault="00313C2D" w:rsidP="00313C2D">
            <w:pPr>
              <w:pStyle w:val="Tablefigures"/>
            </w:pPr>
            <w:r w:rsidRPr="00C71F8B">
              <w:t>$</w:t>
            </w:r>
            <w:r w:rsidR="00C71F8B" w:rsidRPr="00C71F8B">
              <w:t>31.9</w:t>
            </w:r>
          </w:p>
        </w:tc>
      </w:tr>
      <w:tr w:rsidR="00313C2D" w:rsidRPr="006F559C" w14:paraId="159569D6"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2B47F9FA" w14:textId="0BAF6B91" w:rsidR="00313C2D" w:rsidRPr="00340717" w:rsidRDefault="00313C2D" w:rsidP="00313C2D">
            <w:pPr>
              <w:pStyle w:val="Tabletext"/>
            </w:pPr>
            <w:r w:rsidRPr="00340717">
              <w:t>Funding Ratio</w:t>
            </w:r>
          </w:p>
        </w:tc>
        <w:tc>
          <w:tcPr>
            <w:tcW w:w="2566" w:type="dxa"/>
            <w:vAlign w:val="center"/>
          </w:tcPr>
          <w:p w14:paraId="034DA345" w14:textId="065665CF" w:rsidR="00313C2D" w:rsidRPr="00313C2D" w:rsidRDefault="00313C2D" w:rsidP="00313C2D">
            <w:pPr>
              <w:pStyle w:val="Tabletext"/>
            </w:pPr>
            <w:r w:rsidRPr="00313C2D">
              <w:t>108%</w:t>
            </w:r>
          </w:p>
        </w:tc>
        <w:tc>
          <w:tcPr>
            <w:tcW w:w="2098" w:type="dxa"/>
            <w:vAlign w:val="center"/>
          </w:tcPr>
          <w:p w14:paraId="547D516D" w14:textId="1174993B" w:rsidR="00313C2D" w:rsidRPr="00855E6B" w:rsidRDefault="00313C2D" w:rsidP="00313C2D">
            <w:pPr>
              <w:pStyle w:val="Tabletext"/>
            </w:pPr>
            <w:r w:rsidRPr="00855E6B">
              <w:t>1</w:t>
            </w:r>
            <w:r w:rsidR="00A4089F" w:rsidRPr="00855E6B">
              <w:t>12</w:t>
            </w:r>
            <w:r w:rsidRPr="00855E6B">
              <w:t>%</w:t>
            </w:r>
          </w:p>
        </w:tc>
        <w:tc>
          <w:tcPr>
            <w:tcW w:w="1842" w:type="dxa"/>
            <w:gridSpan w:val="2"/>
            <w:vAlign w:val="center"/>
          </w:tcPr>
          <w:p w14:paraId="66A9A7C0" w14:textId="1B85ADFD" w:rsidR="00313C2D" w:rsidRPr="00C71F8B" w:rsidRDefault="00313C2D" w:rsidP="00313C2D">
            <w:pPr>
              <w:pStyle w:val="Tablefigures"/>
            </w:pPr>
            <w:r w:rsidRPr="00C71F8B">
              <w:t>1</w:t>
            </w:r>
            <w:r w:rsidR="00C71F8B" w:rsidRPr="00C71F8B">
              <w:t>0</w:t>
            </w:r>
            <w:r w:rsidRPr="00C71F8B">
              <w:t>7</w:t>
            </w:r>
            <w:r w:rsidRPr="00C71F8B" w:rsidDel="00043E99">
              <w:t>%</w:t>
            </w:r>
          </w:p>
        </w:tc>
      </w:tr>
      <w:tr w:rsidR="00313C2D" w:rsidRPr="006F559C" w14:paraId="01A1F064" w14:textId="77777777" w:rsidTr="009B6CCF">
        <w:trPr>
          <w:trHeight w:val="355"/>
        </w:trPr>
        <w:tc>
          <w:tcPr>
            <w:tcW w:w="2566" w:type="dxa"/>
            <w:tcBorders>
              <w:bottom w:val="single" w:sz="4" w:space="0" w:color="auto"/>
            </w:tcBorders>
            <w:vAlign w:val="center"/>
          </w:tcPr>
          <w:p w14:paraId="236348D5" w14:textId="3C8FDAEF" w:rsidR="00313C2D" w:rsidRPr="00340717" w:rsidRDefault="00313C2D" w:rsidP="00313C2D">
            <w:pPr>
              <w:pStyle w:val="Tabletext"/>
            </w:pPr>
            <w:r w:rsidRPr="00340717">
              <w:t>Capital Return</w:t>
            </w:r>
          </w:p>
        </w:tc>
        <w:tc>
          <w:tcPr>
            <w:tcW w:w="2566" w:type="dxa"/>
            <w:tcBorders>
              <w:bottom w:val="single" w:sz="4" w:space="0" w:color="auto"/>
            </w:tcBorders>
            <w:vAlign w:val="center"/>
          </w:tcPr>
          <w:p w14:paraId="32EDE846" w14:textId="144BE8B2" w:rsidR="00313C2D" w:rsidRPr="00313C2D" w:rsidRDefault="00313C2D" w:rsidP="00313C2D">
            <w:pPr>
              <w:pStyle w:val="Tabletext"/>
            </w:pPr>
            <w:r w:rsidRPr="00313C2D">
              <w:t>-</w:t>
            </w:r>
          </w:p>
        </w:tc>
        <w:tc>
          <w:tcPr>
            <w:tcW w:w="2098" w:type="dxa"/>
            <w:tcBorders>
              <w:bottom w:val="single" w:sz="4" w:space="0" w:color="auto"/>
            </w:tcBorders>
            <w:vAlign w:val="center"/>
          </w:tcPr>
          <w:p w14:paraId="6BF4978C" w14:textId="1BD78431" w:rsidR="00313C2D" w:rsidRPr="00855E6B" w:rsidRDefault="00313C2D" w:rsidP="00313C2D">
            <w:pPr>
              <w:pStyle w:val="Tabletext"/>
            </w:pPr>
            <w:r w:rsidRPr="00855E6B">
              <w:t>-</w:t>
            </w:r>
          </w:p>
        </w:tc>
        <w:tc>
          <w:tcPr>
            <w:tcW w:w="1842" w:type="dxa"/>
            <w:gridSpan w:val="2"/>
            <w:tcBorders>
              <w:bottom w:val="single" w:sz="4" w:space="0" w:color="auto"/>
            </w:tcBorders>
            <w:vAlign w:val="center"/>
          </w:tcPr>
          <w:p w14:paraId="2166D910" w14:textId="35F6F9BC" w:rsidR="00313C2D" w:rsidRPr="00C71F8B" w:rsidRDefault="00313C2D" w:rsidP="00313C2D">
            <w:pPr>
              <w:pStyle w:val="Tablefigures"/>
            </w:pPr>
            <w:r w:rsidRPr="00C71F8B">
              <w:t>-</w:t>
            </w:r>
          </w:p>
        </w:tc>
      </w:tr>
    </w:tbl>
    <w:p w14:paraId="2325E040" w14:textId="77777777" w:rsidR="00AD126A" w:rsidRDefault="00AD126A" w:rsidP="00AD126A">
      <w:pPr>
        <w:tabs>
          <w:tab w:val="left" w:pos="9072"/>
        </w:tabs>
        <w:spacing w:before="240"/>
        <w:rPr>
          <w:rFonts w:ascii="Arial" w:hAnsi="Arial" w:cs="Arial"/>
          <w:b/>
          <w:bCs/>
          <w:color w:val="262626" w:themeColor="text1" w:themeTint="D9"/>
          <w:sz w:val="26"/>
          <w:szCs w:val="26"/>
        </w:rPr>
      </w:pPr>
    </w:p>
    <w:p w14:paraId="7487C321" w14:textId="77777777" w:rsidR="00AD126A" w:rsidRDefault="00AD126A">
      <w:pPr>
        <w:spacing w:after="0" w:line="240" w:lineRule="auto"/>
        <w:rPr>
          <w:rFonts w:ascii="Arial" w:hAnsi="Arial" w:cs="Arial"/>
          <w:b/>
          <w:bCs/>
          <w:color w:val="262626" w:themeColor="text1" w:themeTint="D9"/>
          <w:sz w:val="26"/>
          <w:szCs w:val="26"/>
        </w:rPr>
      </w:pPr>
      <w:r>
        <w:rPr>
          <w:rFonts w:ascii="Arial" w:hAnsi="Arial" w:cs="Arial"/>
          <w:b/>
          <w:bCs/>
          <w:color w:val="262626" w:themeColor="text1" w:themeTint="D9"/>
          <w:sz w:val="26"/>
          <w:szCs w:val="26"/>
        </w:rPr>
        <w:br w:type="page"/>
      </w:r>
    </w:p>
    <w:p w14:paraId="1719F140" w14:textId="7F18C698" w:rsidR="0064268E" w:rsidRPr="005A4264" w:rsidRDefault="004B6F9E" w:rsidP="00C546A1">
      <w:pPr>
        <w:pStyle w:val="Heading5"/>
        <w:spacing w:line="360" w:lineRule="exact"/>
      </w:pPr>
      <w:r w:rsidRPr="005A4264">
        <w:lastRenderedPageBreak/>
        <w:t>General and administrative expense as a percentage of total annual premium revenue</w:t>
      </w:r>
    </w:p>
    <w:p w14:paraId="10FB53D2" w14:textId="0ABBF939" w:rsidR="00DD1230" w:rsidRPr="009B6CCF" w:rsidRDefault="00DD1230" w:rsidP="00AD126A">
      <w:pPr>
        <w:tabs>
          <w:tab w:val="left" w:pos="9072"/>
        </w:tabs>
      </w:pPr>
      <w:r w:rsidRPr="00855E6B">
        <w:t xml:space="preserve">General and administrative expenses represent </w:t>
      </w:r>
      <w:r w:rsidR="00031EA6" w:rsidRPr="00855E6B">
        <w:t>7</w:t>
      </w:r>
      <w:r w:rsidRPr="00855E6B">
        <w:t xml:space="preserve"> per cent of gross premium revenue in </w:t>
      </w:r>
      <w:r w:rsidR="00323290" w:rsidRPr="00855E6B">
        <w:t>2023-24</w:t>
      </w:r>
      <w:r w:rsidRPr="00855E6B">
        <w:t xml:space="preserve">. This is lower </w:t>
      </w:r>
      <w:r w:rsidRPr="00707252">
        <w:t xml:space="preserve">than the original target of 10 per cent. </w:t>
      </w:r>
      <w:r w:rsidRPr="00855E6B">
        <w:t>The Authority’s management</w:t>
      </w:r>
      <w:r w:rsidRPr="00707252">
        <w:t xml:space="preserve"> and staff continue to work</w:t>
      </w:r>
      <w:r w:rsidRPr="009B6CCF">
        <w:t xml:space="preserve"> on improving operational efficiency without compromising on the service delivery expectations of </w:t>
      </w:r>
      <w:r w:rsidRPr="00BD6214">
        <w:t xml:space="preserve">customers. </w:t>
      </w:r>
      <w:r w:rsidRPr="00855E6B">
        <w:t xml:space="preserve">The lower general and administrative expenditure ratio for </w:t>
      </w:r>
      <w:r w:rsidR="00323290" w:rsidRPr="00855E6B">
        <w:t>2023-24</w:t>
      </w:r>
      <w:r w:rsidRPr="00855E6B">
        <w:t xml:space="preserve"> is mainly due to </w:t>
      </w:r>
      <w:r w:rsidR="00AA25EE" w:rsidRPr="00855E6B">
        <w:t>the higher rate of increase in Gross Premium Revenue</w:t>
      </w:r>
      <w:r w:rsidR="00561C99" w:rsidRPr="00855E6B">
        <w:t xml:space="preserve"> compared to the prior year</w:t>
      </w:r>
      <w:r w:rsidRPr="00855E6B">
        <w:t>.</w:t>
      </w:r>
    </w:p>
    <w:p w14:paraId="298C4EB5" w14:textId="3425852B" w:rsidR="00E47700" w:rsidRPr="005A4264" w:rsidRDefault="00D56E55" w:rsidP="00C546A1">
      <w:pPr>
        <w:pStyle w:val="Heading5"/>
        <w:spacing w:line="360" w:lineRule="exact"/>
      </w:pPr>
      <w:r w:rsidRPr="005A4264">
        <w:t>Average number of days to process payments for settlement of claims</w:t>
      </w:r>
    </w:p>
    <w:p w14:paraId="63CEAE8C" w14:textId="529B1788" w:rsidR="00AC3E55" w:rsidRPr="009B6CCF" w:rsidRDefault="00AC3E55" w:rsidP="00AD126A">
      <w:pPr>
        <w:tabs>
          <w:tab w:val="left" w:pos="9072"/>
        </w:tabs>
        <w:rPr>
          <w:lang w:eastAsia="en-AU"/>
        </w:rPr>
      </w:pPr>
      <w:r w:rsidRPr="00855E6B">
        <w:rPr>
          <w:lang w:eastAsia="en-AU"/>
        </w:rPr>
        <w:t xml:space="preserve">During </w:t>
      </w:r>
      <w:r w:rsidR="00323290" w:rsidRPr="00855E6B">
        <w:rPr>
          <w:lang w:eastAsia="en-AU"/>
        </w:rPr>
        <w:t>2023-24</w:t>
      </w:r>
      <w:r w:rsidRPr="00855E6B">
        <w:rPr>
          <w:lang w:eastAsia="en-AU"/>
        </w:rPr>
        <w:t xml:space="preserve"> it took an average of </w:t>
      </w:r>
      <w:r w:rsidR="00EF10C5" w:rsidRPr="00855E6B">
        <w:rPr>
          <w:lang w:eastAsia="en-AU"/>
        </w:rPr>
        <w:t>21</w:t>
      </w:r>
      <w:r w:rsidRPr="00855E6B">
        <w:rPr>
          <w:lang w:eastAsia="en-AU"/>
        </w:rPr>
        <w:t xml:space="preserve"> days to process payments for the settlement of claims. This is higher </w:t>
      </w:r>
      <w:r w:rsidRPr="00AC0B5A">
        <w:rPr>
          <w:lang w:eastAsia="en-AU"/>
        </w:rPr>
        <w:t xml:space="preserve">than the original target of 14 days </w:t>
      </w:r>
      <w:r w:rsidRPr="00855E6B">
        <w:rPr>
          <w:lang w:eastAsia="en-AU"/>
        </w:rPr>
        <w:t xml:space="preserve">which is mainly due to the settlement </w:t>
      </w:r>
      <w:r w:rsidR="005D35E6" w:rsidRPr="00855E6B">
        <w:rPr>
          <w:lang w:eastAsia="en-AU"/>
        </w:rPr>
        <w:t xml:space="preserve">and finalisation </w:t>
      </w:r>
      <w:r w:rsidRPr="00855E6B">
        <w:rPr>
          <w:lang w:eastAsia="en-AU"/>
        </w:rPr>
        <w:t xml:space="preserve">of </w:t>
      </w:r>
      <w:proofErr w:type="gramStart"/>
      <w:r w:rsidRPr="00855E6B">
        <w:rPr>
          <w:lang w:eastAsia="en-AU"/>
        </w:rPr>
        <w:t>a large number of</w:t>
      </w:r>
      <w:proofErr w:type="gramEnd"/>
      <w:r w:rsidRPr="00855E6B">
        <w:rPr>
          <w:lang w:eastAsia="en-AU"/>
        </w:rPr>
        <w:t xml:space="preserve"> historical claims in </w:t>
      </w:r>
      <w:r w:rsidR="00323290" w:rsidRPr="00855E6B">
        <w:rPr>
          <w:lang w:eastAsia="en-AU"/>
        </w:rPr>
        <w:t>2023-24</w:t>
      </w:r>
      <w:r w:rsidRPr="00855E6B">
        <w:rPr>
          <w:lang w:eastAsia="en-AU"/>
        </w:rPr>
        <w:t>. The Authority</w:t>
      </w:r>
      <w:r w:rsidR="00081714" w:rsidRPr="00855E6B">
        <w:rPr>
          <w:lang w:eastAsia="en-AU"/>
        </w:rPr>
        <w:t xml:space="preserve"> consistently makes</w:t>
      </w:r>
      <w:r w:rsidRPr="00855E6B">
        <w:rPr>
          <w:lang w:eastAsia="en-AU"/>
        </w:rPr>
        <w:t xml:space="preserve"> payments within legislative requirements and court orders.</w:t>
      </w:r>
    </w:p>
    <w:p w14:paraId="0F44D3AD" w14:textId="70973D64" w:rsidR="006E6D26" w:rsidRPr="009B6CCF" w:rsidRDefault="00C80F7D" w:rsidP="00AD126A">
      <w:pPr>
        <w:pStyle w:val="Heading3"/>
        <w:keepNext w:val="0"/>
        <w:keepLines w:val="0"/>
        <w:tabs>
          <w:tab w:val="left" w:pos="9072"/>
        </w:tabs>
        <w:spacing w:line="240" w:lineRule="auto"/>
        <w:rPr>
          <w:rFonts w:eastAsia="Times New Roman"/>
          <w:iCs/>
          <w:color w:val="492581" w:themeColor="accent1"/>
          <w:sz w:val="32"/>
          <w:szCs w:val="32"/>
        </w:rPr>
      </w:pPr>
      <w:bookmarkStart w:id="36" w:name="_Toc490043631"/>
      <w:bookmarkStart w:id="37" w:name="_Toc490043685"/>
      <w:bookmarkStart w:id="38" w:name="_Toc490043732"/>
      <w:bookmarkStart w:id="39" w:name="_Toc490043779"/>
      <w:bookmarkStart w:id="40" w:name="_Toc490043832"/>
      <w:bookmarkStart w:id="41" w:name="_Toc490044168"/>
      <w:bookmarkStart w:id="42" w:name="_Toc490044440"/>
      <w:bookmarkStart w:id="43" w:name="_Toc493661312"/>
      <w:bookmarkStart w:id="44" w:name="_Toc493661366"/>
      <w:bookmarkStart w:id="45" w:name="_Toc516562778"/>
      <w:bookmarkStart w:id="46" w:name="_Toc516562880"/>
      <w:bookmarkStart w:id="47" w:name="_Toc516563209"/>
      <w:bookmarkStart w:id="48" w:name="_Toc516569060"/>
      <w:bookmarkStart w:id="49" w:name="_Toc16063815"/>
      <w:bookmarkStart w:id="50" w:name="_Toc53391301"/>
      <w:bookmarkStart w:id="51" w:name="_Toc55483042"/>
      <w:r w:rsidRPr="009B6CCF">
        <w:rPr>
          <w:rFonts w:eastAsia="Times New Roman"/>
          <w:iCs/>
          <w:color w:val="492581" w:themeColor="accent1"/>
          <w:sz w:val="32"/>
          <w:szCs w:val="32"/>
        </w:rPr>
        <w:t xml:space="preserve">B.2.2 Take out </w:t>
      </w:r>
      <w:r w:rsidR="006C23E0">
        <w:rPr>
          <w:rFonts w:eastAsia="Times New Roman"/>
          <w:iCs/>
          <w:color w:val="492581" w:themeColor="accent1"/>
          <w:sz w:val="32"/>
          <w:szCs w:val="32"/>
        </w:rPr>
        <w:t>I</w:t>
      </w:r>
      <w:r w:rsidRPr="009B6CCF">
        <w:rPr>
          <w:rFonts w:eastAsia="Times New Roman"/>
          <w:iCs/>
          <w:color w:val="492581" w:themeColor="accent1"/>
          <w:sz w:val="32"/>
          <w:szCs w:val="32"/>
        </w:rPr>
        <w:t xml:space="preserve">nsurance of Territory </w:t>
      </w:r>
      <w:r w:rsidR="006C23E0">
        <w:rPr>
          <w:rFonts w:eastAsia="Times New Roman"/>
          <w:iCs/>
          <w:color w:val="492581" w:themeColor="accent1"/>
          <w:sz w:val="32"/>
          <w:szCs w:val="32"/>
        </w:rPr>
        <w:t>R</w:t>
      </w:r>
      <w:r w:rsidRPr="009B6CCF">
        <w:rPr>
          <w:rFonts w:eastAsia="Times New Roman"/>
          <w:iCs/>
          <w:color w:val="492581" w:themeColor="accent1"/>
          <w:sz w:val="32"/>
          <w:szCs w:val="32"/>
        </w:rPr>
        <w:t xml:space="preserve">isks with </w:t>
      </w:r>
      <w:r w:rsidR="006C23E0">
        <w:rPr>
          <w:rFonts w:eastAsia="Times New Roman"/>
          <w:iCs/>
          <w:color w:val="492581" w:themeColor="accent1"/>
          <w:sz w:val="32"/>
          <w:szCs w:val="32"/>
        </w:rPr>
        <w:t>O</w:t>
      </w:r>
      <w:r w:rsidRPr="009B6CCF">
        <w:rPr>
          <w:rFonts w:eastAsia="Times New Roman"/>
          <w:iCs/>
          <w:color w:val="492581" w:themeColor="accent1"/>
          <w:sz w:val="32"/>
          <w:szCs w:val="32"/>
        </w:rPr>
        <w:t xml:space="preserve">ther </w:t>
      </w:r>
      <w:r w:rsidR="006C23E0">
        <w:rPr>
          <w:rFonts w:eastAsia="Times New Roman"/>
          <w:iCs/>
          <w:color w:val="492581" w:themeColor="accent1"/>
          <w:sz w:val="32"/>
          <w:szCs w:val="32"/>
        </w:rPr>
        <w:t>E</w:t>
      </w:r>
      <w:r w:rsidRPr="009B6CCF">
        <w:rPr>
          <w:rFonts w:eastAsia="Times New Roman"/>
          <w:iCs/>
          <w:color w:val="492581" w:themeColor="accent1"/>
          <w:sz w:val="32"/>
          <w:szCs w:val="32"/>
        </w:rPr>
        <w:t>ntities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E794E71" w14:textId="32AB8AA5" w:rsidR="006E6D26" w:rsidRPr="003B3357" w:rsidRDefault="000121D6" w:rsidP="005A4264">
      <w:pPr>
        <w:pStyle w:val="Heading5"/>
      </w:pPr>
      <w:r w:rsidRPr="000121D6">
        <w:t>Complete property loss control surveys</w:t>
      </w:r>
    </w:p>
    <w:p w14:paraId="4D27E1D1" w14:textId="6854C29E" w:rsidR="00471EAE" w:rsidRPr="00471EAE" w:rsidRDefault="00471EAE" w:rsidP="00AD126A">
      <w:pPr>
        <w:tabs>
          <w:tab w:val="left" w:pos="9072"/>
        </w:tabs>
        <w:spacing w:after="160" w:line="256" w:lineRule="auto"/>
      </w:pPr>
      <w:r>
        <w:t>The Authority’s lead property reinsurer undertakes an annual program of property surveys in consultation with the Authority and Territory agencies.</w:t>
      </w:r>
      <w:r w:rsidR="00855E6B">
        <w:t xml:space="preserve"> </w:t>
      </w:r>
      <w:r>
        <w:t xml:space="preserve">A selection of assets are surveyed each year as part of a rolling program. </w:t>
      </w:r>
      <w:r w:rsidRPr="009B6CCF">
        <w:t xml:space="preserve">This process provides reinsurers with an overview of the Territory’s asset management practices, with a focus on emergency management </w:t>
      </w:r>
      <w:r w:rsidRPr="00D74307">
        <w:t xml:space="preserve">systems and property protection. The </w:t>
      </w:r>
      <w:r w:rsidR="00E8313F">
        <w:t>eight</w:t>
      </w:r>
      <w:r w:rsidRPr="00D74307">
        <w:t xml:space="preserve"> surveys</w:t>
      </w:r>
      <w:r w:rsidR="0068705F" w:rsidRPr="00D74307">
        <w:t xml:space="preserve"> conducted</w:t>
      </w:r>
      <w:r w:rsidRPr="00D74307">
        <w:t xml:space="preserve"> in </w:t>
      </w:r>
      <w:r w:rsidR="00323290" w:rsidRPr="00D74307">
        <w:t>2023-24</w:t>
      </w:r>
      <w:r w:rsidRPr="00D74307">
        <w:t xml:space="preserve"> confirmed that the Territory’s asset management practices were appropriate in the sample of assets surveyed.</w:t>
      </w:r>
    </w:p>
    <w:p w14:paraId="0E0EFE93" w14:textId="3C4C0CA2" w:rsidR="00471EAE" w:rsidRPr="00471EAE" w:rsidRDefault="00471EAE" w:rsidP="00AD126A">
      <w:pPr>
        <w:tabs>
          <w:tab w:val="left" w:pos="9072"/>
        </w:tabs>
        <w:spacing w:after="160" w:line="256" w:lineRule="auto"/>
        <w:rPr>
          <w:szCs w:val="22"/>
        </w:rPr>
      </w:pPr>
      <w:r w:rsidRPr="00471EAE">
        <w:rPr>
          <w:szCs w:val="22"/>
        </w:rPr>
        <w:t>The survey reports and recommendations were provided to agency representatives responsible for asset management arrangements for consideration and appropriate action</w:t>
      </w:r>
      <w:r w:rsidR="00F44544">
        <w:rPr>
          <w:szCs w:val="22"/>
        </w:rPr>
        <w:t>,</w:t>
      </w:r>
      <w:r w:rsidRPr="00471EAE">
        <w:rPr>
          <w:szCs w:val="22"/>
        </w:rPr>
        <w:t xml:space="preserve"> where relevant.</w:t>
      </w:r>
    </w:p>
    <w:p w14:paraId="0B9C1270" w14:textId="77777777" w:rsidR="00471EAE" w:rsidRPr="00471EAE" w:rsidRDefault="00471EAE" w:rsidP="005A4264">
      <w:pPr>
        <w:pStyle w:val="Heading5"/>
      </w:pPr>
      <w:bookmarkStart w:id="52" w:name="_Hlk51070856"/>
      <w:r w:rsidRPr="00471EAE">
        <w:t>Quarterly review of claims</w:t>
      </w:r>
    </w:p>
    <w:bookmarkEnd w:id="52"/>
    <w:p w14:paraId="7D7C0316" w14:textId="20592541" w:rsidR="00471EAE" w:rsidRPr="00471EAE" w:rsidRDefault="00471EAE" w:rsidP="00AD126A">
      <w:pPr>
        <w:tabs>
          <w:tab w:val="left" w:pos="9072"/>
        </w:tabs>
      </w:pPr>
      <w:r w:rsidRPr="00471EAE">
        <w:t xml:space="preserve">Claim review meetings were held quarterly during </w:t>
      </w:r>
      <w:r w:rsidR="00323290">
        <w:t>2023-24</w:t>
      </w:r>
      <w:r w:rsidRPr="00471EAE">
        <w:t xml:space="preserve"> to review all liability and medical malpractice claims where the reserve exceeds $250,000. The claim review meetings were attended by Authority staff, representatives of the Authority’s insurance broker Marsh Pty Ltd, and the ACT Government Solicitor’s Office, with notes from the meetings forwarded to the Territory’s external reinsurers. The review meetings provide an excellent opportunity to enhance the Territory’s ability to develop and execute complex claims management strategies and provides transparency to the Territory’s reinsurers.</w:t>
      </w:r>
    </w:p>
    <w:p w14:paraId="198F703C" w14:textId="77777777" w:rsidR="00471EAE" w:rsidRPr="00471EAE" w:rsidRDefault="00471EAE" w:rsidP="00AD126A">
      <w:pPr>
        <w:tabs>
          <w:tab w:val="left" w:pos="9072"/>
        </w:tabs>
      </w:pPr>
      <w:r w:rsidRPr="00471EAE">
        <w:t xml:space="preserve">The Authority continues to work with key agencies, analysing claims data and developing strategies to reduce the incidence of claims against the Government by implementing robust </w:t>
      </w:r>
      <w:r w:rsidRPr="00471EAE">
        <w:lastRenderedPageBreak/>
        <w:t xml:space="preserve">risk management practices which, in turn, assist in the reduction of costs incurred by the Territory.  </w:t>
      </w:r>
    </w:p>
    <w:p w14:paraId="2ED17069" w14:textId="39E15FC9" w:rsidR="00471EAE" w:rsidRPr="009B6CCF" w:rsidRDefault="00471EAE" w:rsidP="00AD126A">
      <w:pPr>
        <w:pStyle w:val="Heading3"/>
        <w:keepNext w:val="0"/>
        <w:keepLines w:val="0"/>
        <w:tabs>
          <w:tab w:val="left" w:pos="9072"/>
        </w:tabs>
        <w:spacing w:line="240" w:lineRule="auto"/>
        <w:rPr>
          <w:rFonts w:eastAsia="Times New Roman"/>
          <w:iCs/>
          <w:color w:val="492581" w:themeColor="accent1"/>
          <w:sz w:val="32"/>
          <w:szCs w:val="32"/>
        </w:rPr>
      </w:pPr>
      <w:bookmarkStart w:id="53" w:name="_Toc490043634"/>
      <w:bookmarkStart w:id="54" w:name="_Toc490043688"/>
      <w:bookmarkStart w:id="55" w:name="_Toc490043735"/>
      <w:bookmarkStart w:id="56" w:name="_Toc490043782"/>
      <w:bookmarkStart w:id="57" w:name="_Toc490043835"/>
      <w:bookmarkStart w:id="58" w:name="_Toc490044171"/>
      <w:bookmarkStart w:id="59" w:name="_Toc490044443"/>
      <w:bookmarkStart w:id="60" w:name="_Toc493661314"/>
      <w:bookmarkStart w:id="61" w:name="_Toc493661368"/>
      <w:bookmarkStart w:id="62" w:name="_Toc516562780"/>
      <w:bookmarkStart w:id="63" w:name="_Toc516562882"/>
      <w:bookmarkStart w:id="64" w:name="_Toc516563211"/>
      <w:bookmarkStart w:id="65" w:name="_Toc516569062"/>
      <w:bookmarkStart w:id="66" w:name="_Toc16063817"/>
      <w:bookmarkStart w:id="67" w:name="_Toc53391303"/>
      <w:bookmarkStart w:id="68" w:name="_Toc55483044"/>
      <w:r w:rsidRPr="009B6CCF">
        <w:rPr>
          <w:rFonts w:eastAsia="Times New Roman"/>
          <w:iCs/>
          <w:color w:val="492581" w:themeColor="accent1"/>
          <w:sz w:val="32"/>
          <w:szCs w:val="32"/>
        </w:rPr>
        <w:t xml:space="preserve">B.2.3 Develop and </w:t>
      </w:r>
      <w:r w:rsidR="006C23E0">
        <w:rPr>
          <w:rFonts w:eastAsia="Times New Roman"/>
          <w:iCs/>
          <w:color w:val="492581" w:themeColor="accent1"/>
          <w:sz w:val="32"/>
          <w:szCs w:val="32"/>
        </w:rPr>
        <w:t>P</w:t>
      </w:r>
      <w:r w:rsidRPr="009B6CCF">
        <w:rPr>
          <w:rFonts w:eastAsia="Times New Roman"/>
          <w:iCs/>
          <w:color w:val="492581" w:themeColor="accent1"/>
          <w:sz w:val="32"/>
          <w:szCs w:val="32"/>
        </w:rPr>
        <w:t xml:space="preserve">romote </w:t>
      </w:r>
      <w:r w:rsidR="006C23E0">
        <w:rPr>
          <w:rFonts w:eastAsia="Times New Roman"/>
          <w:iCs/>
          <w:color w:val="492581" w:themeColor="accent1"/>
          <w:sz w:val="32"/>
          <w:szCs w:val="32"/>
        </w:rPr>
        <w:t>G</w:t>
      </w:r>
      <w:r w:rsidRPr="009B6CCF">
        <w:rPr>
          <w:rFonts w:eastAsia="Times New Roman"/>
          <w:iCs/>
          <w:color w:val="492581" w:themeColor="accent1"/>
          <w:sz w:val="32"/>
          <w:szCs w:val="32"/>
        </w:rPr>
        <w:t xml:space="preserve">ood </w:t>
      </w:r>
      <w:r w:rsidR="006C23E0">
        <w:rPr>
          <w:rFonts w:eastAsia="Times New Roman"/>
          <w:iCs/>
          <w:color w:val="492581" w:themeColor="accent1"/>
          <w:sz w:val="32"/>
          <w:szCs w:val="32"/>
        </w:rPr>
        <w:t>P</w:t>
      </w:r>
      <w:r w:rsidRPr="009B6CCF">
        <w:rPr>
          <w:rFonts w:eastAsia="Times New Roman"/>
          <w:iCs/>
          <w:color w:val="492581" w:themeColor="accent1"/>
          <w:sz w:val="32"/>
          <w:szCs w:val="32"/>
        </w:rPr>
        <w:t xml:space="preserve">ractices for the </w:t>
      </w:r>
      <w:r w:rsidR="006C23E0">
        <w:rPr>
          <w:rFonts w:eastAsia="Times New Roman"/>
          <w:iCs/>
          <w:color w:val="492581" w:themeColor="accent1"/>
          <w:sz w:val="32"/>
          <w:szCs w:val="32"/>
        </w:rPr>
        <w:t>M</w:t>
      </w:r>
      <w:r w:rsidRPr="009B6CCF">
        <w:rPr>
          <w:rFonts w:eastAsia="Times New Roman"/>
          <w:iCs/>
          <w:color w:val="492581" w:themeColor="accent1"/>
          <w:sz w:val="32"/>
          <w:szCs w:val="32"/>
        </w:rPr>
        <w:t>anagement of Territory risks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3D231FB" w14:textId="77777777" w:rsidR="00471EAE" w:rsidRPr="00471EAE" w:rsidRDefault="00471EAE" w:rsidP="005A4264">
      <w:pPr>
        <w:pStyle w:val="Heading5"/>
      </w:pPr>
      <w:r w:rsidRPr="00471EAE">
        <w:t>Provide quarterly reports</w:t>
      </w:r>
    </w:p>
    <w:p w14:paraId="21D428C0" w14:textId="3450DA1F" w:rsidR="00C270D5" w:rsidRDefault="00471EAE" w:rsidP="00AD126A">
      <w:pPr>
        <w:tabs>
          <w:tab w:val="left" w:pos="9072"/>
        </w:tabs>
      </w:pPr>
      <w:r w:rsidRPr="00471EAE">
        <w:t xml:space="preserve">In </w:t>
      </w:r>
      <w:r w:rsidR="00323290">
        <w:t>2023-24</w:t>
      </w:r>
      <w:r w:rsidRPr="00471EAE">
        <w:t xml:space="preserve">, the Authority issued </w:t>
      </w:r>
      <w:r w:rsidR="00610F84">
        <w:t xml:space="preserve">Claims </w:t>
      </w:r>
      <w:r w:rsidRPr="00471EAE">
        <w:t>Risk Profile Reports to Directors-General, and to agency staff involved in management of operational insurance and risk management. These reports provided data as at 30 June 202</w:t>
      </w:r>
      <w:r w:rsidR="0003608F">
        <w:t>3</w:t>
      </w:r>
      <w:r w:rsidRPr="00471EAE">
        <w:t>, 30 September 202</w:t>
      </w:r>
      <w:r w:rsidR="0003608F">
        <w:t>3</w:t>
      </w:r>
      <w:r w:rsidRPr="00471EAE">
        <w:t>, 31 December 202</w:t>
      </w:r>
      <w:r w:rsidR="0003608F">
        <w:t>3</w:t>
      </w:r>
      <w:r w:rsidRPr="00471EAE">
        <w:t xml:space="preserve"> and 31</w:t>
      </w:r>
      <w:r w:rsidR="000C1153">
        <w:t> </w:t>
      </w:r>
      <w:r w:rsidRPr="00471EAE">
        <w:t>March 202</w:t>
      </w:r>
      <w:r w:rsidR="0003608F">
        <w:t>4</w:t>
      </w:r>
      <w:r w:rsidRPr="00471EAE">
        <w:t xml:space="preserve">. The reports contained </w:t>
      </w:r>
      <w:r w:rsidR="00593AEC">
        <w:t xml:space="preserve">an </w:t>
      </w:r>
      <w:r w:rsidRPr="00471EAE">
        <w:t xml:space="preserve">analysis of claims history, claim </w:t>
      </w:r>
      <w:proofErr w:type="gramStart"/>
      <w:r w:rsidRPr="00471EAE">
        <w:t>costs</w:t>
      </w:r>
      <w:proofErr w:type="gramEnd"/>
      <w:r w:rsidRPr="00471EAE">
        <w:t xml:space="preserve"> and claim estimates, which were broken down by insurance class and incident type.</w:t>
      </w:r>
      <w:r w:rsidR="00855E6B">
        <w:t xml:space="preserve"> </w:t>
      </w:r>
      <w:r w:rsidRPr="00471EAE">
        <w:t xml:space="preserve">These reports assist agencies </w:t>
      </w:r>
      <w:r w:rsidRPr="00527BEC">
        <w:t xml:space="preserve">to identify trends or issues across different classes of insurance. The content and format of these reports </w:t>
      </w:r>
      <w:r w:rsidR="006D4518" w:rsidRPr="00527BEC">
        <w:t>is constantly</w:t>
      </w:r>
      <w:r w:rsidR="00527BEC" w:rsidRPr="00527BEC">
        <w:t xml:space="preserve"> </w:t>
      </w:r>
      <w:r w:rsidRPr="00527BEC">
        <w:t xml:space="preserve">reviewed and updated based on consultation with Directorates. </w:t>
      </w:r>
    </w:p>
    <w:p w14:paraId="632C1AED" w14:textId="77777777" w:rsidR="00471EAE" w:rsidRPr="00471EAE" w:rsidRDefault="00471EAE" w:rsidP="005A4264">
      <w:pPr>
        <w:pStyle w:val="Heading5"/>
      </w:pPr>
      <w:r w:rsidRPr="00471EAE">
        <w:t>Deliver general and targeted risk management training courses</w:t>
      </w:r>
    </w:p>
    <w:p w14:paraId="2E11D363" w14:textId="6BD8B424" w:rsidR="00471EAE" w:rsidRPr="009E02AE" w:rsidRDefault="00A544AE" w:rsidP="00AD126A">
      <w:pPr>
        <w:tabs>
          <w:tab w:val="left" w:pos="9072"/>
        </w:tabs>
      </w:pPr>
      <w:r w:rsidRPr="00A544AE">
        <w:t xml:space="preserve">The expansion of the risk team in late 2022 enabled the team to engage more broadly and deliver more training than projected. Additionally, the face-to-face introductory course was planned monthly, however demand required additional scheduling, with a total of 18 </w:t>
      </w:r>
      <w:r w:rsidRPr="009E02AE">
        <w:t>sessions conducted.</w:t>
      </w:r>
      <w:r w:rsidR="3A4B5057" w:rsidRPr="009E02AE">
        <w:t xml:space="preserve"> </w:t>
      </w:r>
      <w:r w:rsidR="00B507B9" w:rsidRPr="009E02AE">
        <w:t>P</w:t>
      </w:r>
      <w:r w:rsidR="3A4B5057" w:rsidRPr="009E02AE">
        <w:t xml:space="preserve">articipation in training </w:t>
      </w:r>
      <w:r w:rsidR="00B507B9" w:rsidRPr="009E02AE">
        <w:t xml:space="preserve">was provided </w:t>
      </w:r>
      <w:r w:rsidR="3A4B5057" w:rsidRPr="009E02AE">
        <w:t xml:space="preserve">across </w:t>
      </w:r>
      <w:r w:rsidR="003E53C9" w:rsidRPr="009E02AE">
        <w:t xml:space="preserve">a range of </w:t>
      </w:r>
      <w:r w:rsidR="3A4B5057" w:rsidRPr="009E02AE">
        <w:t xml:space="preserve">directorates and statutory authorities. </w:t>
      </w:r>
      <w:r w:rsidR="00471EAE" w:rsidRPr="009E02AE">
        <w:t xml:space="preserve"> </w:t>
      </w:r>
    </w:p>
    <w:p w14:paraId="7CE735E8" w14:textId="39D64E42" w:rsidR="00471EAE" w:rsidRPr="009B6CCF" w:rsidRDefault="1F03256E" w:rsidP="00AD126A">
      <w:pPr>
        <w:tabs>
          <w:tab w:val="left" w:pos="9072"/>
        </w:tabs>
      </w:pPr>
      <w:r w:rsidRPr="009E02AE">
        <w:t xml:space="preserve">Face to face </w:t>
      </w:r>
      <w:r w:rsidR="38AB6406" w:rsidRPr="009E02AE">
        <w:t xml:space="preserve">training was delivered </w:t>
      </w:r>
      <w:r w:rsidR="490A9DB3" w:rsidRPr="009E02AE">
        <w:t xml:space="preserve">across introductory, risk practitioner and executive levels through a series of </w:t>
      </w:r>
      <w:r w:rsidR="06F56244" w:rsidRPr="009E02AE">
        <w:t xml:space="preserve">public (open to all territory entities) and bespoke (entity-specific) </w:t>
      </w:r>
      <w:r w:rsidR="1A13BBF8" w:rsidRPr="009E02AE">
        <w:t>structured learning activities</w:t>
      </w:r>
      <w:r w:rsidR="291A1C99" w:rsidRPr="009E02AE">
        <w:t>, which supported the existing introductory and risk practitioner level e-learning modules</w:t>
      </w:r>
      <w:r w:rsidR="00471EAE" w:rsidRPr="009E02AE">
        <w:t>.</w:t>
      </w:r>
      <w:r w:rsidR="5AFEB309" w:rsidRPr="009E02AE">
        <w:t xml:space="preserve"> </w:t>
      </w:r>
      <w:r w:rsidR="005D7876" w:rsidRPr="009E02AE">
        <w:t xml:space="preserve">The majority of </w:t>
      </w:r>
      <w:r w:rsidR="00B06F3C" w:rsidRPr="009E02AE">
        <w:t xml:space="preserve">risk management </w:t>
      </w:r>
      <w:r w:rsidR="5AFEB309" w:rsidRPr="009E02AE">
        <w:t xml:space="preserve">training </w:t>
      </w:r>
      <w:r w:rsidR="0066508E" w:rsidRPr="009E02AE">
        <w:t xml:space="preserve">continued to be </w:t>
      </w:r>
      <w:r w:rsidR="5FD52287" w:rsidRPr="009E02AE">
        <w:t>delivered</w:t>
      </w:r>
      <w:r w:rsidR="005D7876" w:rsidRPr="009E02AE">
        <w:t xml:space="preserve"> </w:t>
      </w:r>
      <w:r w:rsidR="00FB7F65" w:rsidRPr="009E02AE">
        <w:t>across e-learning</w:t>
      </w:r>
      <w:r w:rsidR="00996B41" w:rsidRPr="009E02AE">
        <w:t xml:space="preserve"> platforms</w:t>
      </w:r>
      <w:r w:rsidR="5FD52287" w:rsidRPr="009E02AE">
        <w:t>.</w:t>
      </w:r>
      <w:r w:rsidR="00471EAE" w:rsidRPr="00996B41">
        <w:t xml:space="preserve"> </w:t>
      </w:r>
    </w:p>
    <w:p w14:paraId="4D0C0748" w14:textId="77777777" w:rsidR="00471EAE" w:rsidRPr="00471EAE" w:rsidRDefault="00471EAE" w:rsidP="005A4264">
      <w:pPr>
        <w:pStyle w:val="Heading5"/>
      </w:pPr>
      <w:r w:rsidRPr="6C60020A">
        <w:t>Overall participant satisfaction with risk management training sessions</w:t>
      </w:r>
    </w:p>
    <w:p w14:paraId="618034B0" w14:textId="6D850D38" w:rsidR="00471EAE" w:rsidRPr="00A04D92" w:rsidRDefault="00471EAE" w:rsidP="00AD126A">
      <w:pPr>
        <w:tabs>
          <w:tab w:val="left" w:pos="9072"/>
        </w:tabs>
      </w:pPr>
      <w:r w:rsidRPr="00A04D92">
        <w:t xml:space="preserve">The risk management training sessions offered by the Authority have been well received and feedback from participants </w:t>
      </w:r>
      <w:r w:rsidR="00905CBF" w:rsidRPr="00A04D92">
        <w:t>continues to be</w:t>
      </w:r>
      <w:r w:rsidR="005E592B" w:rsidRPr="00A04D92">
        <w:t xml:space="preserve"> </w:t>
      </w:r>
      <w:r w:rsidRPr="00A04D92">
        <w:t>positive.</w:t>
      </w:r>
    </w:p>
    <w:p w14:paraId="0E72347C" w14:textId="3312D36B" w:rsidR="00471EAE" w:rsidRPr="00A04D92" w:rsidRDefault="00471EAE" w:rsidP="00AD126A">
      <w:pPr>
        <w:tabs>
          <w:tab w:val="left" w:pos="9072"/>
        </w:tabs>
      </w:pPr>
      <w:r w:rsidRPr="00A04D92">
        <w:t xml:space="preserve">Participants indicated a high level of satisfaction with the courses provided in </w:t>
      </w:r>
      <w:r w:rsidR="00323290" w:rsidRPr="00A04D92">
        <w:t>2023-24</w:t>
      </w:r>
      <w:r w:rsidRPr="00A04D92">
        <w:t xml:space="preserve"> and a majority indicated that the training was informative, comprehensive, </w:t>
      </w:r>
      <w:proofErr w:type="gramStart"/>
      <w:r w:rsidRPr="00A04D92">
        <w:t>well-presented</w:t>
      </w:r>
      <w:proofErr w:type="gramEnd"/>
      <w:r w:rsidRPr="00A04D92">
        <w:t xml:space="preserve"> and generally met their needs.</w:t>
      </w:r>
    </w:p>
    <w:p w14:paraId="4E5425C7" w14:textId="5B64927C" w:rsidR="00471EAE" w:rsidRPr="009B6CCF" w:rsidRDefault="00471EAE" w:rsidP="00AD126A">
      <w:pPr>
        <w:tabs>
          <w:tab w:val="left" w:pos="9072"/>
        </w:tabs>
      </w:pPr>
      <w:r w:rsidRPr="00A04D92">
        <w:t xml:space="preserve">Feedback received showed </w:t>
      </w:r>
      <w:r w:rsidR="532A3C8A" w:rsidRPr="00A04D92">
        <w:t>8</w:t>
      </w:r>
      <w:r w:rsidR="001A52F2" w:rsidRPr="00A04D92">
        <w:t>5</w:t>
      </w:r>
      <w:r w:rsidRPr="00A04D92">
        <w:t xml:space="preserve"> per cent of respondents were satisfied with the risk management training provided in </w:t>
      </w:r>
      <w:r w:rsidR="00323290" w:rsidRPr="00A04D92">
        <w:t>2023-24</w:t>
      </w:r>
      <w:r w:rsidRPr="00A04D92">
        <w:t>.</w:t>
      </w:r>
      <w:r w:rsidR="42E70404" w:rsidRPr="00A04D92">
        <w:t xml:space="preserve"> </w:t>
      </w:r>
      <w:r w:rsidR="00FC7D74" w:rsidRPr="00A04D92">
        <w:t xml:space="preserve">The course was re-evaluated in January 2024 based on feedback, with more practical activities added to the program.  </w:t>
      </w:r>
      <w:r w:rsidR="0099762A">
        <w:t>O</w:t>
      </w:r>
      <w:r w:rsidR="00FC7D74" w:rsidRPr="00A04D92">
        <w:t xml:space="preserve">f responses received </w:t>
      </w:r>
      <w:r w:rsidR="00143077">
        <w:t>following the changes made</w:t>
      </w:r>
      <w:r w:rsidR="00CB5864">
        <w:t xml:space="preserve">, </w:t>
      </w:r>
      <w:r w:rsidR="0099762A">
        <w:t xml:space="preserve">100 per cent </w:t>
      </w:r>
      <w:r w:rsidR="00FC7D74" w:rsidRPr="00A04D92">
        <w:t xml:space="preserve">gave </w:t>
      </w:r>
      <w:r w:rsidR="00CA431F">
        <w:t>a</w:t>
      </w:r>
      <w:r w:rsidR="00FC7D74" w:rsidRPr="00A04D92">
        <w:t xml:space="preserve"> </w:t>
      </w:r>
      <w:r w:rsidR="00A04D92" w:rsidRPr="00A04D92">
        <w:t xml:space="preserve">positive </w:t>
      </w:r>
      <w:r w:rsidR="00CA431F">
        <w:t>response</w:t>
      </w:r>
      <w:r w:rsidR="00FC7D74" w:rsidRPr="00A04D92">
        <w:t>.</w:t>
      </w:r>
      <w:r w:rsidR="00A04D92" w:rsidRPr="00A04D92">
        <w:t xml:space="preserve"> </w:t>
      </w:r>
      <w:r w:rsidR="42E70404" w:rsidRPr="00A04D92">
        <w:t xml:space="preserve">The </w:t>
      </w:r>
      <w:r w:rsidR="55659EF3" w:rsidRPr="00A04D92">
        <w:t xml:space="preserve">Authority </w:t>
      </w:r>
      <w:r w:rsidR="00905CBF" w:rsidRPr="00A04D92">
        <w:t>continues to consider all</w:t>
      </w:r>
      <w:r w:rsidR="55659EF3" w:rsidRPr="00A04D92">
        <w:t xml:space="preserve"> feedback to continually improve the programs delivered.</w:t>
      </w:r>
    </w:p>
    <w:p w14:paraId="522830A1" w14:textId="77777777" w:rsidR="005F744C" w:rsidRDefault="005F744C">
      <w:pPr>
        <w:spacing w:after="0" w:line="240" w:lineRule="auto"/>
        <w:rPr>
          <w:rFonts w:ascii="Arial" w:eastAsiaTheme="majorEastAsia" w:hAnsi="Arial" w:cs="Arial"/>
          <w:b/>
          <w:color w:val="262626" w:themeColor="text1" w:themeTint="D9"/>
          <w:sz w:val="40"/>
          <w:szCs w:val="40"/>
        </w:rPr>
      </w:pPr>
      <w:bookmarkStart w:id="69" w:name="_Toc141174710"/>
      <w:r>
        <w:br w:type="page"/>
      </w:r>
    </w:p>
    <w:p w14:paraId="062E0D4E" w14:textId="47D504DB" w:rsidR="00DB5712" w:rsidRPr="00CC1330" w:rsidRDefault="00DB5712" w:rsidP="00AD126A">
      <w:pPr>
        <w:pStyle w:val="Heading2"/>
        <w:tabs>
          <w:tab w:val="left" w:pos="9072"/>
        </w:tabs>
      </w:pPr>
      <w:r w:rsidRPr="00CC1330">
        <w:lastRenderedPageBreak/>
        <w:t xml:space="preserve">B.3 </w:t>
      </w:r>
      <w:r w:rsidR="002B182E" w:rsidRPr="00CC1330">
        <w:t>Scrutiny</w:t>
      </w:r>
      <w:bookmarkEnd w:id="69"/>
    </w:p>
    <w:p w14:paraId="0BD3F670" w14:textId="0DA95E52" w:rsidR="00217C62" w:rsidRPr="00217C62" w:rsidRDefault="00217C62" w:rsidP="00AD126A">
      <w:pPr>
        <w:tabs>
          <w:tab w:val="left" w:pos="9072"/>
        </w:tabs>
      </w:pPr>
      <w:r w:rsidRPr="00590779">
        <w:rPr>
          <w:lang w:eastAsia="en-AU"/>
        </w:rPr>
        <w:t xml:space="preserve">There </w:t>
      </w:r>
      <w:r w:rsidRPr="00855E6B">
        <w:rPr>
          <w:lang w:eastAsia="en-AU"/>
        </w:rPr>
        <w:t>were no inquiries or reviews</w:t>
      </w:r>
      <w:r w:rsidRPr="00590779">
        <w:rPr>
          <w:lang w:eastAsia="en-AU"/>
        </w:rPr>
        <w:t xml:space="preserve"> of the Authority from the ACT Auditor-General, the ACT</w:t>
      </w:r>
      <w:r w:rsidRPr="00217C62">
        <w:rPr>
          <w:lang w:eastAsia="en-AU"/>
        </w:rPr>
        <w:t xml:space="preserve"> Ombudsman, or any Legislative Assembly Committees in </w:t>
      </w:r>
      <w:r w:rsidR="00323290">
        <w:rPr>
          <w:lang w:eastAsia="en-AU"/>
        </w:rPr>
        <w:t>2023-24</w:t>
      </w:r>
      <w:r w:rsidRPr="00217C62">
        <w:rPr>
          <w:lang w:eastAsia="en-AU"/>
        </w:rPr>
        <w:t>. The only scrutiny from the Auditor-General during the reporting year was for the audit of the 202</w:t>
      </w:r>
      <w:r w:rsidR="002C3E02">
        <w:rPr>
          <w:lang w:eastAsia="en-AU"/>
        </w:rPr>
        <w:t>2</w:t>
      </w:r>
      <w:r w:rsidRPr="00217C62">
        <w:rPr>
          <w:lang w:eastAsia="en-AU"/>
        </w:rPr>
        <w:t>-2</w:t>
      </w:r>
      <w:r w:rsidR="002C3E02">
        <w:rPr>
          <w:lang w:eastAsia="en-AU"/>
        </w:rPr>
        <w:t>3</w:t>
      </w:r>
      <w:r w:rsidRPr="00217C62">
        <w:rPr>
          <w:lang w:eastAsia="en-AU"/>
        </w:rPr>
        <w:t xml:space="preserve"> Financial Statements, and the review of the 202</w:t>
      </w:r>
      <w:r w:rsidR="002C3E02">
        <w:rPr>
          <w:lang w:eastAsia="en-AU"/>
        </w:rPr>
        <w:t>2</w:t>
      </w:r>
      <w:r w:rsidRPr="00217C62">
        <w:rPr>
          <w:lang w:eastAsia="en-AU"/>
        </w:rPr>
        <w:t>-2</w:t>
      </w:r>
      <w:r w:rsidR="002C3E02">
        <w:rPr>
          <w:lang w:eastAsia="en-AU"/>
        </w:rPr>
        <w:t>3</w:t>
      </w:r>
      <w:r w:rsidRPr="00217C62">
        <w:rPr>
          <w:lang w:eastAsia="en-AU"/>
        </w:rPr>
        <w:t xml:space="preserve"> Statement of Performance.</w:t>
      </w:r>
    </w:p>
    <w:p w14:paraId="155AEAB3" w14:textId="2E452961" w:rsidR="00DB5712" w:rsidRDefault="00DB5712" w:rsidP="00AD126A">
      <w:pPr>
        <w:pStyle w:val="Heading2"/>
        <w:tabs>
          <w:tab w:val="left" w:pos="9072"/>
        </w:tabs>
      </w:pPr>
      <w:bookmarkStart w:id="70" w:name="_Toc141174711"/>
      <w:r w:rsidRPr="002D6D1E">
        <w:t>B.</w:t>
      </w:r>
      <w:r w:rsidR="00217C62">
        <w:t>4</w:t>
      </w:r>
      <w:r w:rsidRPr="002D6D1E">
        <w:t xml:space="preserve"> </w:t>
      </w:r>
      <w:r w:rsidR="00217C62">
        <w:t>Risk Management</w:t>
      </w:r>
      <w:bookmarkEnd w:id="70"/>
    </w:p>
    <w:p w14:paraId="5317D335" w14:textId="3A3EBC44" w:rsidR="008D08F8" w:rsidRPr="00690F6D" w:rsidRDefault="008D08F8" w:rsidP="00AD126A">
      <w:pPr>
        <w:tabs>
          <w:tab w:val="left" w:pos="9072"/>
        </w:tabs>
      </w:pPr>
      <w:r w:rsidRPr="00690F6D">
        <w:t>The Authority maintains its own operational risk register</w:t>
      </w:r>
      <w:r w:rsidR="007E13B7">
        <w:t>,</w:t>
      </w:r>
      <w:r w:rsidRPr="00690F6D">
        <w:t xml:space="preserve"> </w:t>
      </w:r>
      <w:r w:rsidR="007459A2">
        <w:t xml:space="preserve">and work health and safety risk register, </w:t>
      </w:r>
      <w:r w:rsidRPr="00690F6D">
        <w:t>which identif</w:t>
      </w:r>
      <w:r w:rsidR="007459A2">
        <w:t>y</w:t>
      </w:r>
      <w:r w:rsidRPr="00690F6D">
        <w:t xml:space="preserve"> the Authority’s business and workplace, </w:t>
      </w:r>
      <w:proofErr w:type="gramStart"/>
      <w:r w:rsidRPr="00690F6D">
        <w:t>health</w:t>
      </w:r>
      <w:proofErr w:type="gramEnd"/>
      <w:r w:rsidRPr="00690F6D">
        <w:t xml:space="preserve"> and safety risks. The register</w:t>
      </w:r>
      <w:r w:rsidR="007459A2">
        <w:t>s</w:t>
      </w:r>
      <w:r w:rsidRPr="00690F6D">
        <w:t xml:space="preserve"> detail the control measures and treatment plans for identified categories of risk including financial, business, information technology, and workplace health and safety. The Authority is part of CMTEDD and, as such, it is covered by CMTEDD’s risk management arrangements.</w:t>
      </w:r>
    </w:p>
    <w:p w14:paraId="4BA9B681" w14:textId="699067BA" w:rsidR="00DB5712" w:rsidRDefault="00DB5712" w:rsidP="00AD126A">
      <w:pPr>
        <w:pStyle w:val="Heading2"/>
        <w:tabs>
          <w:tab w:val="left" w:pos="9072"/>
        </w:tabs>
      </w:pPr>
      <w:bookmarkStart w:id="71" w:name="_Toc141174712"/>
      <w:r w:rsidRPr="002D6D1E">
        <w:t>B.</w:t>
      </w:r>
      <w:r w:rsidR="008D08F8">
        <w:t>5</w:t>
      </w:r>
      <w:r w:rsidRPr="002D6D1E">
        <w:t xml:space="preserve"> </w:t>
      </w:r>
      <w:r w:rsidR="008D08F8">
        <w:t>Internal Audit</w:t>
      </w:r>
      <w:bookmarkEnd w:id="71"/>
    </w:p>
    <w:p w14:paraId="00ECA513" w14:textId="7B402324" w:rsidR="00A170BE" w:rsidRPr="00A170BE" w:rsidRDefault="00AB1B43" w:rsidP="007E13B7">
      <w:pPr>
        <w:rPr>
          <w:b/>
          <w:bCs/>
        </w:rPr>
      </w:pPr>
      <w:r>
        <w:t>During 2023-24 the Authority’s internal audit functions were provided by the CMTEDD Audit and Risk Committee (the Committee).</w:t>
      </w:r>
      <w:r w:rsidR="00644514">
        <w:t xml:space="preserve"> </w:t>
      </w:r>
      <w:r w:rsidR="00A170BE" w:rsidRPr="00A170BE">
        <w:t>Internal Audit and the Audit and Risk Committee are key components on CMTEDD’s governance arrangements. They are in place to support the Director-General and Under Treasurer in fulfilling their responsibilities under the Financial Management Act 1996. The operations and expectations of Internal Audit and the Committee are set out in their respective Charters.</w:t>
      </w:r>
    </w:p>
    <w:p w14:paraId="118570CB" w14:textId="4A5E5C75" w:rsidR="00A170BE" w:rsidRPr="00A170BE" w:rsidRDefault="00A170BE" w:rsidP="007E13B7">
      <w:pPr>
        <w:rPr>
          <w:b/>
          <w:bCs/>
        </w:rPr>
      </w:pPr>
      <w:r w:rsidRPr="00A170BE">
        <w:t>Internal Audit operates with a Head of Internal Audit who reports administratively to the Executive Branch Manager, Governance, Reporting, Information and Facilities</w:t>
      </w:r>
      <w:r w:rsidR="00952F84">
        <w:t>, CMTEDD</w:t>
      </w:r>
      <w:r w:rsidRPr="00A170BE">
        <w:t>; and functionally to the Audit and Risk Committee and Director-General</w:t>
      </w:r>
      <w:r w:rsidR="00952F84">
        <w:t xml:space="preserve"> of CMTEDD</w:t>
      </w:r>
      <w:r w:rsidRPr="00A170BE">
        <w:t xml:space="preserve">. </w:t>
      </w:r>
    </w:p>
    <w:p w14:paraId="4744D9A3" w14:textId="77777777" w:rsidR="00A170BE" w:rsidRPr="00A170BE" w:rsidRDefault="00A170BE" w:rsidP="007E13B7">
      <w:pPr>
        <w:rPr>
          <w:b/>
          <w:bCs/>
        </w:rPr>
      </w:pPr>
      <w:r w:rsidRPr="00A170BE">
        <w:t>Internal Audit is responsible for the development and implementation of the CMTEDD risk-based Annual Internal Audit Plan, recommendation tracking and secretariat support for the Audit and Risk Committee. CMTEDD engage service providers from the ACT Government Professional and Consulting Services Panel, or specialists, to complete audits to professional standards.</w:t>
      </w:r>
    </w:p>
    <w:p w14:paraId="375E28E8" w14:textId="77777777" w:rsidR="00A170BE" w:rsidRPr="006B6FC8" w:rsidRDefault="00A170BE" w:rsidP="006B6FC8">
      <w:pPr>
        <w:pStyle w:val="Bulletintropara"/>
      </w:pPr>
      <w:r w:rsidRPr="006B6FC8">
        <w:t>Six audit reports were tabled at Committee meetings during the 2023-24 financial year:</w:t>
      </w:r>
    </w:p>
    <w:p w14:paraId="3254109E" w14:textId="6D2FCFEF"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Economic Development Procurements Under $25,000</w:t>
      </w:r>
      <w:r w:rsidR="007E13B7">
        <w:rPr>
          <w:rFonts w:eastAsia="Times New Roman" w:cs="Arial"/>
          <w:bCs/>
          <w:iCs/>
        </w:rPr>
        <w:t>;</w:t>
      </w:r>
    </w:p>
    <w:p w14:paraId="5E0E4A0C" w14:textId="2EE21842"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Territory Actuals Reporting Systems (TARS)</w:t>
      </w:r>
      <w:r w:rsidR="007E13B7">
        <w:rPr>
          <w:rFonts w:eastAsia="Times New Roman" w:cs="Arial"/>
          <w:bCs/>
          <w:iCs/>
        </w:rPr>
        <w:t>;</w:t>
      </w:r>
    </w:p>
    <w:p w14:paraId="653BA797" w14:textId="2D3AA4F6"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Records Management – Protection of Key Registry Records Access Canberra</w:t>
      </w:r>
      <w:r w:rsidR="00DB761E">
        <w:rPr>
          <w:rFonts w:eastAsia="Times New Roman" w:cs="Arial"/>
          <w:bCs/>
          <w:iCs/>
        </w:rPr>
        <w:t>;</w:t>
      </w:r>
    </w:p>
    <w:p w14:paraId="3C994803" w14:textId="3DD746B6"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 xml:space="preserve">Events Management, including risk, </w:t>
      </w:r>
      <w:proofErr w:type="gramStart"/>
      <w:r w:rsidRPr="00C07A29">
        <w:rPr>
          <w:rFonts w:eastAsia="Times New Roman" w:cs="Arial"/>
          <w:bCs/>
          <w:iCs/>
        </w:rPr>
        <w:t>emergency</w:t>
      </w:r>
      <w:proofErr w:type="gramEnd"/>
      <w:r w:rsidRPr="00C07A29">
        <w:rPr>
          <w:rFonts w:eastAsia="Times New Roman" w:cs="Arial"/>
          <w:bCs/>
          <w:iCs/>
        </w:rPr>
        <w:t xml:space="preserve"> and security management</w:t>
      </w:r>
      <w:r w:rsidR="00DB761E">
        <w:rPr>
          <w:rFonts w:eastAsia="Times New Roman" w:cs="Arial"/>
          <w:bCs/>
          <w:iCs/>
        </w:rPr>
        <w:t>;</w:t>
      </w:r>
    </w:p>
    <w:p w14:paraId="5F6C741A" w14:textId="18A34707"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Cyber Security Operations Centre</w:t>
      </w:r>
      <w:r w:rsidR="00DB761E">
        <w:rPr>
          <w:rFonts w:eastAsia="Times New Roman" w:cs="Arial"/>
          <w:bCs/>
          <w:iCs/>
        </w:rPr>
        <w:t>; and</w:t>
      </w:r>
    </w:p>
    <w:p w14:paraId="5EAF018E" w14:textId="77777777" w:rsidR="00A170BE" w:rsidRPr="00C07A29" w:rsidRDefault="00A170BE" w:rsidP="00A36E9A">
      <w:pPr>
        <w:pStyle w:val="Bullet1"/>
        <w:numPr>
          <w:ilvl w:val="0"/>
          <w:numId w:val="44"/>
        </w:numPr>
        <w:tabs>
          <w:tab w:val="left" w:pos="284"/>
        </w:tabs>
        <w:ind w:left="284" w:hanging="284"/>
        <w:rPr>
          <w:rFonts w:eastAsia="Times New Roman" w:cs="Arial"/>
          <w:bCs/>
          <w:iCs/>
        </w:rPr>
      </w:pPr>
      <w:r w:rsidRPr="00C07A29">
        <w:rPr>
          <w:rFonts w:eastAsia="Times New Roman" w:cs="Arial"/>
          <w:bCs/>
          <w:iCs/>
        </w:rPr>
        <w:t>ACT Sustainable Household Scheme.</w:t>
      </w:r>
    </w:p>
    <w:p w14:paraId="7ADB84F1" w14:textId="64AA0B25" w:rsidR="00A170BE" w:rsidRPr="00A170BE" w:rsidRDefault="00A170BE" w:rsidP="00DB761E">
      <w:pPr>
        <w:rPr>
          <w:b/>
          <w:bCs/>
        </w:rPr>
      </w:pPr>
      <w:r w:rsidRPr="00A170BE">
        <w:t xml:space="preserve">The Committee met five times during the year. Strategic risks were reviewed at each of the four ordinary meetings, with the Strategic Risk Register and business area risk registers </w:t>
      </w:r>
      <w:r w:rsidRPr="00A170BE">
        <w:lastRenderedPageBreak/>
        <w:t xml:space="preserve">presented to the Committee on a rotational basis at ordinary meetings. Specific risks were reviewed at the one special meeting. New or emerging risks are reported to the Committee as identified, and major risks are monitored on an ongoing basis until they are managed to a reasonable level. </w:t>
      </w:r>
    </w:p>
    <w:p w14:paraId="52880204" w14:textId="56B5066B" w:rsidR="00A170BE" w:rsidRPr="008F4B17" w:rsidRDefault="00A170BE" w:rsidP="008F4B17">
      <w:pPr>
        <w:pStyle w:val="Bulletintropara"/>
      </w:pPr>
      <w:r w:rsidRPr="008F4B17">
        <w:t xml:space="preserve">The membership of the Committee includes an external independent Chair, an external independent Deputy Chair, a Senior Executive from another ACT Government directorate and three advisors from within CMTEDD.  The following changes were made to the Committee membership during 2023-24: </w:t>
      </w:r>
    </w:p>
    <w:p w14:paraId="46C24605" w14:textId="4BFF8F11" w:rsidR="00A170BE" w:rsidRPr="0069012A" w:rsidRDefault="00A170BE" w:rsidP="00A36E9A">
      <w:pPr>
        <w:pStyle w:val="Bullet1"/>
        <w:numPr>
          <w:ilvl w:val="0"/>
          <w:numId w:val="44"/>
        </w:numPr>
        <w:tabs>
          <w:tab w:val="left" w:pos="284"/>
        </w:tabs>
        <w:ind w:left="284" w:hanging="284"/>
        <w:rPr>
          <w:rFonts w:eastAsia="Times New Roman" w:cs="Arial"/>
          <w:bCs/>
          <w:iCs/>
        </w:rPr>
      </w:pPr>
      <w:r w:rsidRPr="0069012A">
        <w:rPr>
          <w:rFonts w:eastAsia="Times New Roman" w:cs="Arial"/>
          <w:bCs/>
          <w:iCs/>
        </w:rPr>
        <w:t>The tenure for the independent Chair ended in December 2023, resulting in the appointment of a new Chair in April 2024</w:t>
      </w:r>
      <w:r w:rsidR="00FF7170">
        <w:rPr>
          <w:rFonts w:eastAsia="Times New Roman" w:cs="Arial"/>
          <w:bCs/>
          <w:iCs/>
        </w:rPr>
        <w:t>;</w:t>
      </w:r>
    </w:p>
    <w:p w14:paraId="2604FD3E" w14:textId="4006F704" w:rsidR="00A170BE" w:rsidRPr="0069012A" w:rsidRDefault="00A170BE" w:rsidP="00A36E9A">
      <w:pPr>
        <w:pStyle w:val="Bullet1"/>
        <w:numPr>
          <w:ilvl w:val="0"/>
          <w:numId w:val="44"/>
        </w:numPr>
        <w:tabs>
          <w:tab w:val="left" w:pos="284"/>
        </w:tabs>
        <w:ind w:left="284" w:hanging="284"/>
        <w:rPr>
          <w:rFonts w:eastAsia="Times New Roman" w:cs="Arial"/>
          <w:bCs/>
          <w:iCs/>
        </w:rPr>
      </w:pPr>
      <w:r w:rsidRPr="0069012A">
        <w:rPr>
          <w:rFonts w:eastAsia="Times New Roman" w:cs="Arial"/>
          <w:bCs/>
          <w:iCs/>
        </w:rPr>
        <w:t>The Deputy Chair resigned in February 2024, resulting in the appointment of a new Deputy Chair in June 2024</w:t>
      </w:r>
      <w:r w:rsidR="00FF7170">
        <w:rPr>
          <w:rFonts w:eastAsia="Times New Roman" w:cs="Arial"/>
          <w:bCs/>
          <w:iCs/>
        </w:rPr>
        <w:t>;</w:t>
      </w:r>
    </w:p>
    <w:p w14:paraId="2873FBAE" w14:textId="36392758" w:rsidR="00A170BE" w:rsidRPr="0069012A" w:rsidRDefault="00A170BE" w:rsidP="00A36E9A">
      <w:pPr>
        <w:pStyle w:val="Bullet1"/>
        <w:numPr>
          <w:ilvl w:val="0"/>
          <w:numId w:val="44"/>
        </w:numPr>
        <w:tabs>
          <w:tab w:val="left" w:pos="284"/>
        </w:tabs>
        <w:ind w:left="284" w:hanging="284"/>
        <w:rPr>
          <w:rFonts w:eastAsia="Times New Roman" w:cs="Arial"/>
          <w:bCs/>
          <w:iCs/>
        </w:rPr>
      </w:pPr>
      <w:r w:rsidRPr="0069012A">
        <w:rPr>
          <w:rFonts w:eastAsia="Times New Roman" w:cs="Arial"/>
          <w:bCs/>
          <w:iCs/>
        </w:rPr>
        <w:t>The Director General approved an increase in the number of independent Committee members</w:t>
      </w:r>
      <w:r w:rsidR="00FF7170">
        <w:rPr>
          <w:rFonts w:eastAsia="Times New Roman" w:cs="Arial"/>
          <w:bCs/>
          <w:iCs/>
        </w:rPr>
        <w:t>; and</w:t>
      </w:r>
    </w:p>
    <w:p w14:paraId="048B18FB" w14:textId="77777777" w:rsidR="00A170BE" w:rsidRPr="0069012A" w:rsidRDefault="00A170BE" w:rsidP="00A36E9A">
      <w:pPr>
        <w:pStyle w:val="Bullet1"/>
        <w:numPr>
          <w:ilvl w:val="0"/>
          <w:numId w:val="44"/>
        </w:numPr>
        <w:tabs>
          <w:tab w:val="left" w:pos="284"/>
        </w:tabs>
        <w:ind w:left="284" w:hanging="284"/>
        <w:rPr>
          <w:rFonts w:eastAsia="Times New Roman" w:cs="Arial"/>
          <w:bCs/>
          <w:iCs/>
        </w:rPr>
      </w:pPr>
      <w:r w:rsidRPr="0069012A">
        <w:rPr>
          <w:rFonts w:eastAsia="Times New Roman" w:cs="Arial"/>
          <w:bCs/>
          <w:iCs/>
        </w:rPr>
        <w:t>An internal advisor received a promotion in a role at another directorate and was required to step down from their role on the CMTEDD Audit and Risk Committee.</w:t>
      </w:r>
    </w:p>
    <w:p w14:paraId="674A15B2" w14:textId="77777777" w:rsidR="00A170BE" w:rsidRPr="00A170BE" w:rsidRDefault="00A170BE" w:rsidP="00FF7170">
      <w:pPr>
        <w:rPr>
          <w:b/>
          <w:bCs/>
        </w:rPr>
      </w:pPr>
      <w:r w:rsidRPr="00A170BE">
        <w:t>The independent Chair and Deputy Chair stand up the Financial Sub-Committee to review the Directorate’s financial statements.</w:t>
      </w:r>
    </w:p>
    <w:p w14:paraId="202F3691" w14:textId="77777777" w:rsidR="00A170BE" w:rsidRPr="00A170BE" w:rsidRDefault="00A170BE" w:rsidP="00FF7170">
      <w:pPr>
        <w:rPr>
          <w:b/>
          <w:bCs/>
        </w:rPr>
      </w:pPr>
      <w:r w:rsidRPr="00A170BE">
        <w:t xml:space="preserve">The Chair provides advice to the Director-General and Under Treasurer on audit outcomes, significant </w:t>
      </w:r>
      <w:proofErr w:type="gramStart"/>
      <w:r w:rsidRPr="00A170BE">
        <w:t>risks</w:t>
      </w:r>
      <w:proofErr w:type="gramEnd"/>
      <w:r w:rsidRPr="00A170BE">
        <w:t xml:space="preserve"> and implementation of mitigation strategies through quarterly outcomes meetings.</w:t>
      </w:r>
    </w:p>
    <w:p w14:paraId="4E4D178A" w14:textId="77777777" w:rsidR="00A170BE" w:rsidRPr="00A170BE" w:rsidRDefault="00A170BE" w:rsidP="00FF7170">
      <w:pPr>
        <w:rPr>
          <w:b/>
          <w:bCs/>
        </w:rPr>
      </w:pPr>
      <w:r w:rsidRPr="00A170BE">
        <w:t>The independent Committee members are engaged under a service delivery contract and remunerated based on an agreed rate for each meeting.</w:t>
      </w:r>
    </w:p>
    <w:p w14:paraId="6A96096B" w14:textId="74ECDE88" w:rsidR="00A00F17" w:rsidRPr="009B6CCF" w:rsidRDefault="00A00F17" w:rsidP="00AD126A">
      <w:pPr>
        <w:pStyle w:val="TableCaption"/>
        <w:tabs>
          <w:tab w:val="left" w:pos="9072"/>
        </w:tabs>
        <w:rPr>
          <w:color w:val="262626" w:themeColor="text1" w:themeTint="D9"/>
        </w:rPr>
      </w:pPr>
      <w:r w:rsidRPr="009B6CCF">
        <w:rPr>
          <w:color w:val="262626" w:themeColor="text1" w:themeTint="D9"/>
        </w:rPr>
        <w:t xml:space="preserve">Table </w:t>
      </w:r>
      <w:r w:rsidR="00383E4E" w:rsidRPr="009B6CCF">
        <w:rPr>
          <w:color w:val="262626" w:themeColor="text1" w:themeTint="D9"/>
        </w:rPr>
        <w:t xml:space="preserve">B.3: </w:t>
      </w:r>
      <w:r w:rsidR="00680C39" w:rsidRPr="00680C39">
        <w:rPr>
          <w:color w:val="262626" w:themeColor="text1" w:themeTint="D9"/>
        </w:rPr>
        <w:t>Internal Audit Committee Membership and Attendance 2023-24</w:t>
      </w:r>
      <w:r w:rsidR="00383E4E" w:rsidRPr="009B6CCF">
        <w:rPr>
          <w:color w:val="262626" w:themeColor="text1" w:themeTint="D9"/>
        </w:rPr>
        <w:t>:</w:t>
      </w:r>
    </w:p>
    <w:tbl>
      <w:tblPr>
        <w:tblStyle w:val="ARTable"/>
        <w:tblW w:w="9072" w:type="dxa"/>
        <w:tblLook w:val="04A0" w:firstRow="1" w:lastRow="0" w:firstColumn="1" w:lastColumn="0" w:noHBand="0" w:noVBand="1"/>
      </w:tblPr>
      <w:tblGrid>
        <w:gridCol w:w="1985"/>
        <w:gridCol w:w="3402"/>
        <w:gridCol w:w="2268"/>
        <w:gridCol w:w="1417"/>
      </w:tblGrid>
      <w:tr w:rsidR="009F7A31" w:rsidRPr="009B6CCF" w14:paraId="3019ED14" w14:textId="77777777" w:rsidTr="00BC57C7">
        <w:trPr>
          <w:cnfStyle w:val="100000000000" w:firstRow="1" w:lastRow="0" w:firstColumn="0" w:lastColumn="0" w:oddVBand="0" w:evenVBand="0" w:oddHBand="0" w:evenHBand="0" w:firstRowFirstColumn="0" w:firstRowLastColumn="0" w:lastRowFirstColumn="0" w:lastRowLastColumn="0"/>
          <w:trHeight w:val="894"/>
          <w:tblHeader/>
        </w:trPr>
        <w:tc>
          <w:tcPr>
            <w:tcW w:w="1985" w:type="dxa"/>
            <w:vAlign w:val="bottom"/>
          </w:tcPr>
          <w:p w14:paraId="18F4320E" w14:textId="744E70B7" w:rsidR="009F7A31" w:rsidRPr="004B3D6E" w:rsidRDefault="009F7A31" w:rsidP="00AD126A">
            <w:pPr>
              <w:pStyle w:val="Tableheading"/>
              <w:tabs>
                <w:tab w:val="left" w:pos="9072"/>
              </w:tabs>
              <w:rPr>
                <w:sz w:val="22"/>
                <w:szCs w:val="22"/>
              </w:rPr>
            </w:pPr>
            <w:r w:rsidRPr="004B3D6E">
              <w:rPr>
                <w:sz w:val="22"/>
                <w:szCs w:val="22"/>
              </w:rPr>
              <w:t>Name of Member</w:t>
            </w:r>
          </w:p>
        </w:tc>
        <w:tc>
          <w:tcPr>
            <w:tcW w:w="3402" w:type="dxa"/>
            <w:vAlign w:val="bottom"/>
          </w:tcPr>
          <w:p w14:paraId="6B30F0F1" w14:textId="432FB6CE" w:rsidR="009F7A31" w:rsidRPr="005934B8" w:rsidRDefault="009F7A31" w:rsidP="00AD126A">
            <w:pPr>
              <w:pStyle w:val="Tableheading"/>
              <w:tabs>
                <w:tab w:val="left" w:pos="9072"/>
              </w:tabs>
              <w:rPr>
                <w:color w:val="F2F2F2" w:themeColor="background1" w:themeShade="F2"/>
                <w:sz w:val="22"/>
                <w:szCs w:val="22"/>
              </w:rPr>
            </w:pPr>
            <w:r w:rsidRPr="009B6CCF">
              <w:rPr>
                <w:color w:val="F2F2F2" w:themeColor="background1" w:themeShade="F2"/>
                <w:sz w:val="22"/>
                <w:szCs w:val="22"/>
              </w:rPr>
              <w:t>Position</w:t>
            </w:r>
          </w:p>
        </w:tc>
        <w:tc>
          <w:tcPr>
            <w:tcW w:w="2268" w:type="dxa"/>
            <w:vAlign w:val="bottom"/>
          </w:tcPr>
          <w:p w14:paraId="4F982DAF" w14:textId="39AE3C1B" w:rsidR="009F7A31" w:rsidRPr="005934B8" w:rsidRDefault="009F7A31" w:rsidP="00AD126A">
            <w:pPr>
              <w:pStyle w:val="Tableheading"/>
              <w:tabs>
                <w:tab w:val="left" w:pos="9072"/>
              </w:tabs>
              <w:rPr>
                <w:color w:val="F2F2F2" w:themeColor="background1" w:themeShade="F2"/>
                <w:sz w:val="22"/>
                <w:szCs w:val="22"/>
              </w:rPr>
            </w:pPr>
            <w:r w:rsidRPr="009B6CCF">
              <w:rPr>
                <w:color w:val="F2F2F2" w:themeColor="background1" w:themeShade="F2"/>
                <w:sz w:val="22"/>
                <w:szCs w:val="22"/>
              </w:rPr>
              <w:t>Duration</w:t>
            </w:r>
          </w:p>
        </w:tc>
        <w:tc>
          <w:tcPr>
            <w:tcW w:w="1417" w:type="dxa"/>
            <w:vAlign w:val="bottom"/>
          </w:tcPr>
          <w:p w14:paraId="1C1D6E37" w14:textId="233D5505" w:rsidR="009F7A31" w:rsidRPr="009B6CCF" w:rsidRDefault="009F7A31" w:rsidP="00AD126A">
            <w:pPr>
              <w:pStyle w:val="Tableheading"/>
              <w:tabs>
                <w:tab w:val="left" w:pos="9072"/>
              </w:tabs>
              <w:rPr>
                <w:sz w:val="22"/>
                <w:szCs w:val="22"/>
              </w:rPr>
            </w:pPr>
            <w:r w:rsidRPr="009B6CCF">
              <w:rPr>
                <w:color w:val="F2F2F2" w:themeColor="background1" w:themeShade="F2"/>
                <w:sz w:val="22"/>
                <w:szCs w:val="22"/>
              </w:rPr>
              <w:t>Meetings Attended</w:t>
            </w:r>
          </w:p>
        </w:tc>
      </w:tr>
      <w:tr w:rsidR="000C0940" w:rsidRPr="001C3263" w14:paraId="538BFC49" w14:textId="77777777" w:rsidTr="005173D8">
        <w:trPr>
          <w:trHeight w:val="355"/>
        </w:trPr>
        <w:tc>
          <w:tcPr>
            <w:tcW w:w="1985" w:type="dxa"/>
            <w:vAlign w:val="center"/>
          </w:tcPr>
          <w:p w14:paraId="1745BE90" w14:textId="75A2FE28" w:rsidR="000C0940" w:rsidRPr="00E459F0" w:rsidRDefault="000C0940">
            <w:pPr>
              <w:pStyle w:val="Tabletext"/>
            </w:pPr>
            <w:r w:rsidRPr="00E459F0">
              <w:t>Greg Field</w:t>
            </w:r>
          </w:p>
        </w:tc>
        <w:tc>
          <w:tcPr>
            <w:tcW w:w="3402" w:type="dxa"/>
            <w:vAlign w:val="center"/>
          </w:tcPr>
          <w:p w14:paraId="69AC4C36" w14:textId="76AA6FE6" w:rsidR="000C0940" w:rsidRPr="00E459F0" w:rsidRDefault="000C0940">
            <w:pPr>
              <w:pStyle w:val="Tabletext"/>
            </w:pPr>
            <w:r w:rsidRPr="00E459F0">
              <w:t xml:space="preserve">Independent Chair </w:t>
            </w:r>
          </w:p>
        </w:tc>
        <w:tc>
          <w:tcPr>
            <w:tcW w:w="2268" w:type="dxa"/>
            <w:vAlign w:val="center"/>
          </w:tcPr>
          <w:p w14:paraId="11F4B2C6" w14:textId="3D30E0D4" w:rsidR="000C0940" w:rsidRPr="00E459F0" w:rsidRDefault="00C21F55">
            <w:pPr>
              <w:pStyle w:val="Tabletext"/>
            </w:pPr>
            <w:r w:rsidRPr="00E459F0">
              <w:t>1 July 2023 - 15 January 2024</w:t>
            </w:r>
          </w:p>
        </w:tc>
        <w:tc>
          <w:tcPr>
            <w:tcW w:w="1417" w:type="dxa"/>
            <w:vAlign w:val="center"/>
          </w:tcPr>
          <w:p w14:paraId="737B12C5" w14:textId="5C3D7638" w:rsidR="000C0940" w:rsidRPr="00E459F0" w:rsidRDefault="00C21F55" w:rsidP="00393BA5">
            <w:pPr>
              <w:pStyle w:val="Tablefigures"/>
            </w:pPr>
            <w:r w:rsidRPr="00E459F0">
              <w:t>4</w:t>
            </w:r>
          </w:p>
        </w:tc>
      </w:tr>
      <w:tr w:rsidR="001D2992" w:rsidRPr="001C3263" w14:paraId="61D09EA5" w14:textId="77777777">
        <w:trPr>
          <w:cnfStyle w:val="000000010000" w:firstRow="0" w:lastRow="0" w:firstColumn="0" w:lastColumn="0" w:oddVBand="0" w:evenVBand="0" w:oddHBand="0" w:evenHBand="1" w:firstRowFirstColumn="0" w:firstRowLastColumn="0" w:lastRowFirstColumn="0" w:lastRowLastColumn="0"/>
          <w:trHeight w:val="355"/>
        </w:trPr>
        <w:tc>
          <w:tcPr>
            <w:tcW w:w="1985" w:type="dxa"/>
          </w:tcPr>
          <w:p w14:paraId="6719F214" w14:textId="453F233F" w:rsidR="001D2992" w:rsidRPr="00E459F0" w:rsidRDefault="001D2992" w:rsidP="001D2992">
            <w:pPr>
              <w:pStyle w:val="Tabletext"/>
            </w:pPr>
            <w:r w:rsidRPr="00E459F0">
              <w:t>Marcia Doheny</w:t>
            </w:r>
          </w:p>
        </w:tc>
        <w:tc>
          <w:tcPr>
            <w:tcW w:w="3402" w:type="dxa"/>
          </w:tcPr>
          <w:p w14:paraId="6968C9D9" w14:textId="22380F37" w:rsidR="001D2992" w:rsidRPr="00E459F0" w:rsidRDefault="001D2992" w:rsidP="001D2992">
            <w:pPr>
              <w:pStyle w:val="Tabletext"/>
            </w:pPr>
            <w:r w:rsidRPr="00E459F0">
              <w:t>Independent Chair</w:t>
            </w:r>
          </w:p>
        </w:tc>
        <w:tc>
          <w:tcPr>
            <w:tcW w:w="2268" w:type="dxa"/>
          </w:tcPr>
          <w:p w14:paraId="7414744D" w14:textId="5BAC76F6" w:rsidR="001D2992" w:rsidRPr="00E459F0" w:rsidRDefault="001D2992" w:rsidP="001D2992">
            <w:pPr>
              <w:pStyle w:val="Tabletext"/>
            </w:pPr>
            <w:r w:rsidRPr="00E459F0">
              <w:t>15 April 2024 - 30 June 2024</w:t>
            </w:r>
          </w:p>
        </w:tc>
        <w:tc>
          <w:tcPr>
            <w:tcW w:w="1417" w:type="dxa"/>
          </w:tcPr>
          <w:p w14:paraId="4FBEB272" w14:textId="025CAE3D" w:rsidR="001D2992" w:rsidRPr="00E459F0" w:rsidRDefault="001D2992" w:rsidP="001D2992">
            <w:pPr>
              <w:pStyle w:val="Tablefigures"/>
            </w:pPr>
            <w:r w:rsidRPr="00E459F0">
              <w:t>1</w:t>
            </w:r>
          </w:p>
        </w:tc>
      </w:tr>
      <w:tr w:rsidR="006704DC" w:rsidRPr="001C3263" w14:paraId="598A7725" w14:textId="77777777">
        <w:trPr>
          <w:trHeight w:val="355"/>
        </w:trPr>
        <w:tc>
          <w:tcPr>
            <w:tcW w:w="1985" w:type="dxa"/>
          </w:tcPr>
          <w:p w14:paraId="50B49FEE" w14:textId="28101CCD" w:rsidR="006704DC" w:rsidRPr="00E459F0" w:rsidRDefault="006704DC" w:rsidP="006704DC">
            <w:pPr>
              <w:pStyle w:val="Tabletext"/>
            </w:pPr>
            <w:r w:rsidRPr="00E459F0">
              <w:t>Len Gainsford</w:t>
            </w:r>
          </w:p>
        </w:tc>
        <w:tc>
          <w:tcPr>
            <w:tcW w:w="3402" w:type="dxa"/>
          </w:tcPr>
          <w:p w14:paraId="3C6858AF" w14:textId="2EC8564A" w:rsidR="006704DC" w:rsidRPr="00E459F0" w:rsidRDefault="006704DC" w:rsidP="006704DC">
            <w:pPr>
              <w:pStyle w:val="Tabletext"/>
            </w:pPr>
            <w:r w:rsidRPr="00E459F0">
              <w:t>Independent Deputy Chair</w:t>
            </w:r>
          </w:p>
        </w:tc>
        <w:tc>
          <w:tcPr>
            <w:tcW w:w="2268" w:type="dxa"/>
          </w:tcPr>
          <w:p w14:paraId="0A1F08A5" w14:textId="491CB0BB" w:rsidR="006704DC" w:rsidRPr="00E459F0" w:rsidRDefault="006704DC" w:rsidP="006704DC">
            <w:pPr>
              <w:pStyle w:val="Tabletext"/>
            </w:pPr>
            <w:r w:rsidRPr="00E459F0">
              <w:t>1 July 2023 - 20 February 2024</w:t>
            </w:r>
          </w:p>
        </w:tc>
        <w:tc>
          <w:tcPr>
            <w:tcW w:w="1417" w:type="dxa"/>
          </w:tcPr>
          <w:p w14:paraId="639B57F6" w14:textId="6E0CC230" w:rsidR="006704DC" w:rsidRPr="00E459F0" w:rsidRDefault="006704DC" w:rsidP="006704DC">
            <w:pPr>
              <w:pStyle w:val="Tablefigures"/>
            </w:pPr>
            <w:r w:rsidRPr="00E459F0">
              <w:t>4</w:t>
            </w:r>
          </w:p>
        </w:tc>
      </w:tr>
      <w:tr w:rsidR="008C5977" w:rsidRPr="001C3263" w14:paraId="1EB7BEDB" w14:textId="77777777">
        <w:trPr>
          <w:cnfStyle w:val="000000010000" w:firstRow="0" w:lastRow="0" w:firstColumn="0" w:lastColumn="0" w:oddVBand="0" w:evenVBand="0" w:oddHBand="0" w:evenHBand="1" w:firstRowFirstColumn="0" w:firstRowLastColumn="0" w:lastRowFirstColumn="0" w:lastRowLastColumn="0"/>
          <w:trHeight w:val="355"/>
        </w:trPr>
        <w:tc>
          <w:tcPr>
            <w:tcW w:w="1985" w:type="dxa"/>
          </w:tcPr>
          <w:p w14:paraId="0468380A" w14:textId="11518BB9" w:rsidR="008C5977" w:rsidRPr="00E459F0" w:rsidRDefault="008C5977" w:rsidP="008C5977">
            <w:pPr>
              <w:pStyle w:val="Tabletext"/>
            </w:pPr>
            <w:r w:rsidRPr="00E459F0">
              <w:t>Diana Hamono</w:t>
            </w:r>
          </w:p>
        </w:tc>
        <w:tc>
          <w:tcPr>
            <w:tcW w:w="3402" w:type="dxa"/>
          </w:tcPr>
          <w:p w14:paraId="2D3A7DB3" w14:textId="0069EB03" w:rsidR="008C5977" w:rsidRPr="00E459F0" w:rsidRDefault="008C5977" w:rsidP="008C5977">
            <w:pPr>
              <w:pStyle w:val="Tabletext"/>
            </w:pPr>
            <w:r w:rsidRPr="00E459F0">
              <w:t>Independent Deputy Chair</w:t>
            </w:r>
          </w:p>
        </w:tc>
        <w:tc>
          <w:tcPr>
            <w:tcW w:w="2268" w:type="dxa"/>
          </w:tcPr>
          <w:p w14:paraId="37F4F9FE" w14:textId="7A698B68" w:rsidR="008C5977" w:rsidRPr="00E459F0" w:rsidRDefault="008C5977" w:rsidP="008C5977">
            <w:pPr>
              <w:pStyle w:val="Tabletext"/>
            </w:pPr>
            <w:r w:rsidRPr="00E459F0">
              <w:t>3 June 2023 – 30 June 2024</w:t>
            </w:r>
          </w:p>
        </w:tc>
        <w:tc>
          <w:tcPr>
            <w:tcW w:w="1417" w:type="dxa"/>
          </w:tcPr>
          <w:p w14:paraId="4C27676E" w14:textId="3E161343" w:rsidR="008C5977" w:rsidRPr="00E459F0" w:rsidRDefault="008C5977" w:rsidP="008C5977">
            <w:pPr>
              <w:pStyle w:val="Tablefigures"/>
            </w:pPr>
            <w:r w:rsidRPr="00E459F0">
              <w:t>0</w:t>
            </w:r>
          </w:p>
        </w:tc>
      </w:tr>
      <w:tr w:rsidR="006D1F49" w:rsidRPr="001C3263" w14:paraId="0B2A8681" w14:textId="77777777">
        <w:trPr>
          <w:trHeight w:val="355"/>
        </w:trPr>
        <w:tc>
          <w:tcPr>
            <w:tcW w:w="1985" w:type="dxa"/>
          </w:tcPr>
          <w:p w14:paraId="0E54906D" w14:textId="07EB2B72" w:rsidR="006D1F49" w:rsidRPr="00E459F0" w:rsidRDefault="006D1F49" w:rsidP="006D1F49">
            <w:pPr>
              <w:pStyle w:val="Tabletext"/>
            </w:pPr>
            <w:r w:rsidRPr="00E459F0">
              <w:t>Paul Ogden</w:t>
            </w:r>
          </w:p>
        </w:tc>
        <w:tc>
          <w:tcPr>
            <w:tcW w:w="3402" w:type="dxa"/>
          </w:tcPr>
          <w:p w14:paraId="5D356CDA" w14:textId="4DEBD24A" w:rsidR="006D1F49" w:rsidRPr="00E459F0" w:rsidRDefault="006D1F49" w:rsidP="006D1F49">
            <w:pPr>
              <w:pStyle w:val="Tabletext"/>
            </w:pPr>
            <w:r w:rsidRPr="00E459F0">
              <w:t>Senior Executive Officer from other ACT Government directorate</w:t>
            </w:r>
          </w:p>
        </w:tc>
        <w:tc>
          <w:tcPr>
            <w:tcW w:w="2268" w:type="dxa"/>
          </w:tcPr>
          <w:p w14:paraId="659DDD6E" w14:textId="78CEC44E" w:rsidR="006D1F49" w:rsidRPr="00E459F0" w:rsidRDefault="006D1F49" w:rsidP="006D1F49">
            <w:pPr>
              <w:pStyle w:val="Tabletext"/>
            </w:pPr>
            <w:r w:rsidRPr="00E459F0">
              <w:t>1 July 2023 – 30 June 2024</w:t>
            </w:r>
          </w:p>
        </w:tc>
        <w:tc>
          <w:tcPr>
            <w:tcW w:w="1417" w:type="dxa"/>
          </w:tcPr>
          <w:p w14:paraId="7444B6ED" w14:textId="57D86FD0" w:rsidR="006D1F49" w:rsidRPr="00E459F0" w:rsidRDefault="006D1F49" w:rsidP="006D1F49">
            <w:pPr>
              <w:pStyle w:val="Tablefigures"/>
            </w:pPr>
            <w:r w:rsidRPr="00E459F0">
              <w:t>5</w:t>
            </w:r>
          </w:p>
        </w:tc>
      </w:tr>
      <w:tr w:rsidR="006C2788" w:rsidRPr="001C3263" w14:paraId="4D48FDF3" w14:textId="77777777">
        <w:trPr>
          <w:cnfStyle w:val="000000010000" w:firstRow="0" w:lastRow="0" w:firstColumn="0" w:lastColumn="0" w:oddVBand="0" w:evenVBand="0" w:oddHBand="0" w:evenHBand="1" w:firstRowFirstColumn="0" w:firstRowLastColumn="0" w:lastRowFirstColumn="0" w:lastRowLastColumn="0"/>
          <w:trHeight w:val="355"/>
        </w:trPr>
        <w:tc>
          <w:tcPr>
            <w:tcW w:w="1985" w:type="dxa"/>
          </w:tcPr>
          <w:p w14:paraId="3C5A6BF0" w14:textId="3FDC90D2" w:rsidR="006C2788" w:rsidRPr="00E459F0" w:rsidRDefault="006C2788" w:rsidP="006C2788">
            <w:pPr>
              <w:pStyle w:val="Tabletext"/>
            </w:pPr>
            <w:r w:rsidRPr="00E459F0">
              <w:lastRenderedPageBreak/>
              <w:t>David Pryce</w:t>
            </w:r>
          </w:p>
        </w:tc>
        <w:tc>
          <w:tcPr>
            <w:tcW w:w="3402" w:type="dxa"/>
          </w:tcPr>
          <w:p w14:paraId="73EBB3D8" w14:textId="7A2AAE44" w:rsidR="006C2788" w:rsidRPr="00E459F0" w:rsidRDefault="006C2788" w:rsidP="006C2788">
            <w:pPr>
              <w:pStyle w:val="Tabletext"/>
            </w:pPr>
            <w:r w:rsidRPr="00E459F0">
              <w:t>Advisor</w:t>
            </w:r>
          </w:p>
        </w:tc>
        <w:tc>
          <w:tcPr>
            <w:tcW w:w="2268" w:type="dxa"/>
          </w:tcPr>
          <w:p w14:paraId="345F679F" w14:textId="24E27660" w:rsidR="006C2788" w:rsidRPr="00E459F0" w:rsidRDefault="006C2788" w:rsidP="006C2788">
            <w:pPr>
              <w:pStyle w:val="Tabletext"/>
            </w:pPr>
            <w:r w:rsidRPr="00E459F0">
              <w:t>1 July 2023 – 30 May 2024</w:t>
            </w:r>
          </w:p>
        </w:tc>
        <w:tc>
          <w:tcPr>
            <w:tcW w:w="1417" w:type="dxa"/>
          </w:tcPr>
          <w:p w14:paraId="4B1705DE" w14:textId="2E35636C" w:rsidR="006C2788" w:rsidRPr="00E459F0" w:rsidRDefault="006C2788" w:rsidP="006C2788">
            <w:pPr>
              <w:pStyle w:val="Tablefigures"/>
            </w:pPr>
            <w:r w:rsidRPr="00E459F0">
              <w:t>2</w:t>
            </w:r>
          </w:p>
        </w:tc>
      </w:tr>
      <w:tr w:rsidR="006C2788" w:rsidRPr="001C3263" w14:paraId="12CFE8AC" w14:textId="77777777">
        <w:trPr>
          <w:trHeight w:val="355"/>
        </w:trPr>
        <w:tc>
          <w:tcPr>
            <w:tcW w:w="1985" w:type="dxa"/>
          </w:tcPr>
          <w:p w14:paraId="04432720" w14:textId="52EB0AF6" w:rsidR="006C2788" w:rsidRPr="00E459F0" w:rsidRDefault="006C2788" w:rsidP="006C2788">
            <w:pPr>
              <w:pStyle w:val="Tabletext"/>
            </w:pPr>
            <w:r w:rsidRPr="00E459F0">
              <w:t>Penny Shields</w:t>
            </w:r>
          </w:p>
        </w:tc>
        <w:tc>
          <w:tcPr>
            <w:tcW w:w="3402" w:type="dxa"/>
          </w:tcPr>
          <w:p w14:paraId="1F40B3EB" w14:textId="7604235C" w:rsidR="006C2788" w:rsidRPr="00E459F0" w:rsidRDefault="006C2788" w:rsidP="006C2788">
            <w:pPr>
              <w:pStyle w:val="Tabletext"/>
            </w:pPr>
            <w:r w:rsidRPr="00E459F0">
              <w:t>Advisor</w:t>
            </w:r>
          </w:p>
        </w:tc>
        <w:tc>
          <w:tcPr>
            <w:tcW w:w="2268" w:type="dxa"/>
          </w:tcPr>
          <w:p w14:paraId="1043082E" w14:textId="414531E0" w:rsidR="006C2788" w:rsidRPr="00E459F0" w:rsidRDefault="006C2788" w:rsidP="006C2788">
            <w:pPr>
              <w:pStyle w:val="Tabletext"/>
            </w:pPr>
            <w:r w:rsidRPr="00E459F0">
              <w:t>1 July 2023 – 30 June 2024</w:t>
            </w:r>
          </w:p>
        </w:tc>
        <w:tc>
          <w:tcPr>
            <w:tcW w:w="1417" w:type="dxa"/>
          </w:tcPr>
          <w:p w14:paraId="769D7CF6" w14:textId="428B0532" w:rsidR="006C2788" w:rsidRPr="00E459F0" w:rsidRDefault="006C2788" w:rsidP="006C2788">
            <w:pPr>
              <w:pStyle w:val="Tablefigures"/>
            </w:pPr>
            <w:r w:rsidRPr="00E459F0">
              <w:t>3</w:t>
            </w:r>
          </w:p>
        </w:tc>
      </w:tr>
      <w:tr w:rsidR="006C2788" w:rsidRPr="001C3263" w14:paraId="6C701DA8" w14:textId="77777777">
        <w:trPr>
          <w:cnfStyle w:val="000000010000" w:firstRow="0" w:lastRow="0" w:firstColumn="0" w:lastColumn="0" w:oddVBand="0" w:evenVBand="0" w:oddHBand="0" w:evenHBand="1" w:firstRowFirstColumn="0" w:firstRowLastColumn="0" w:lastRowFirstColumn="0" w:lastRowLastColumn="0"/>
          <w:trHeight w:val="355"/>
        </w:trPr>
        <w:tc>
          <w:tcPr>
            <w:tcW w:w="1985" w:type="dxa"/>
          </w:tcPr>
          <w:p w14:paraId="4D1DD956" w14:textId="130B4088" w:rsidR="006C2788" w:rsidRPr="00E459F0" w:rsidRDefault="006C2788" w:rsidP="006C2788">
            <w:pPr>
              <w:pStyle w:val="Tabletext"/>
            </w:pPr>
            <w:r w:rsidRPr="00E459F0">
              <w:t>Kate Starick</w:t>
            </w:r>
          </w:p>
        </w:tc>
        <w:tc>
          <w:tcPr>
            <w:tcW w:w="3402" w:type="dxa"/>
          </w:tcPr>
          <w:p w14:paraId="0D27A3B1" w14:textId="609C5B25" w:rsidR="006C2788" w:rsidRPr="00E459F0" w:rsidRDefault="006C2788" w:rsidP="006C2788">
            <w:pPr>
              <w:pStyle w:val="Tabletext"/>
            </w:pPr>
            <w:r w:rsidRPr="00E459F0">
              <w:t>Advisor</w:t>
            </w:r>
          </w:p>
        </w:tc>
        <w:tc>
          <w:tcPr>
            <w:tcW w:w="2268" w:type="dxa"/>
          </w:tcPr>
          <w:p w14:paraId="44BF82E9" w14:textId="5B5A9875" w:rsidR="006C2788" w:rsidRPr="00E459F0" w:rsidRDefault="006C2788" w:rsidP="006C2788">
            <w:pPr>
              <w:pStyle w:val="Tabletext"/>
            </w:pPr>
            <w:r w:rsidRPr="00E459F0">
              <w:t>1 July 2023 – 30 June 2024</w:t>
            </w:r>
          </w:p>
        </w:tc>
        <w:tc>
          <w:tcPr>
            <w:tcW w:w="1417" w:type="dxa"/>
          </w:tcPr>
          <w:p w14:paraId="020DF4AC" w14:textId="7B429C90" w:rsidR="006C2788" w:rsidRPr="00E459F0" w:rsidRDefault="006C2788" w:rsidP="006C2788">
            <w:pPr>
              <w:pStyle w:val="Tablefigures"/>
            </w:pPr>
            <w:r w:rsidRPr="00E459F0">
              <w:t>3</w:t>
            </w:r>
          </w:p>
        </w:tc>
      </w:tr>
    </w:tbl>
    <w:p w14:paraId="270BBD3F" w14:textId="24B08FF0" w:rsidR="00991CC1" w:rsidRPr="0065531A" w:rsidRDefault="00991CC1" w:rsidP="00E7073D">
      <w:pPr>
        <w:tabs>
          <w:tab w:val="left" w:pos="9072"/>
        </w:tabs>
        <w:spacing w:before="240"/>
      </w:pPr>
      <w:bookmarkStart w:id="72" w:name="_Hlk49185299"/>
      <w:r w:rsidRPr="00AE5FF7">
        <w:t>The Directorate develops the Internal Audit Program by identifying areas of strategic, operational</w:t>
      </w:r>
      <w:r w:rsidR="000F532D">
        <w:t>,</w:t>
      </w:r>
      <w:r w:rsidRPr="00AE5FF7">
        <w:t xml:space="preserve"> or fraud risk. The Committee provides input into this Program prior to being endorsed by the Chair of the Audit and Risk Committee, and approved by the Director-General, the Under Treasurer. CMTEDD engaged external service providers from the ACT Government Professional and Consulting Services Panel, or specialists, to undertake </w:t>
      </w:r>
      <w:r w:rsidRPr="0065531A">
        <w:t xml:space="preserve">fieldwork and prepare Internal Audit reports in accordance with auditing standards. </w:t>
      </w:r>
    </w:p>
    <w:p w14:paraId="0867F41B" w14:textId="706E7970" w:rsidR="00991CC1" w:rsidRPr="0065531A" w:rsidRDefault="00991CC1" w:rsidP="00AD126A">
      <w:pPr>
        <w:tabs>
          <w:tab w:val="left" w:pos="9072"/>
        </w:tabs>
      </w:pPr>
      <w:r w:rsidRPr="00855E6B">
        <w:t xml:space="preserve">The internal audit program did not require the Authority to complete any audit activities during </w:t>
      </w:r>
      <w:r w:rsidR="00323290" w:rsidRPr="00855E6B">
        <w:t>2023-24</w:t>
      </w:r>
      <w:r w:rsidRPr="00855E6B">
        <w:t>.</w:t>
      </w:r>
    </w:p>
    <w:p w14:paraId="13BCF624" w14:textId="344F8A6F" w:rsidR="003D34C1" w:rsidRPr="0065531A" w:rsidRDefault="003D34C1" w:rsidP="00AD126A">
      <w:pPr>
        <w:pStyle w:val="Heading2"/>
        <w:tabs>
          <w:tab w:val="left" w:pos="9072"/>
        </w:tabs>
      </w:pPr>
      <w:bookmarkStart w:id="73" w:name="_Toc141174713"/>
      <w:bookmarkEnd w:id="72"/>
      <w:r w:rsidRPr="0065531A">
        <w:t>B.6 Fra</w:t>
      </w:r>
      <w:r w:rsidR="00404A59" w:rsidRPr="0065531A">
        <w:t>ud Prevention</w:t>
      </w:r>
      <w:bookmarkEnd w:id="73"/>
    </w:p>
    <w:p w14:paraId="04A379D0" w14:textId="5F31A3AF" w:rsidR="008609B0" w:rsidRPr="002109D5" w:rsidRDefault="008609B0" w:rsidP="00AD126A">
      <w:pPr>
        <w:tabs>
          <w:tab w:val="left" w:pos="9072"/>
        </w:tabs>
      </w:pPr>
      <w:r w:rsidRPr="0065531A">
        <w:t xml:space="preserve">The Authority is part of CMTEDD and, as such, it is covered by CMTEDD’s Fraud and Corruption Prevention Plan and the CMTEDD Fraud Risk Register. Appropriate delegations and separation of duties are in place for financial and administrative operations. </w:t>
      </w:r>
      <w:r w:rsidRPr="00855E6B">
        <w:t>There were no reports or allegations of fraud or corruption received during the reporting year</w:t>
      </w:r>
      <w:r w:rsidRPr="0065531A">
        <w:t>.</w:t>
      </w:r>
    </w:p>
    <w:p w14:paraId="49C9A8B9" w14:textId="42182CAF" w:rsidR="003D34C1" w:rsidRDefault="003D34C1" w:rsidP="00AD126A">
      <w:pPr>
        <w:pStyle w:val="Heading2"/>
        <w:tabs>
          <w:tab w:val="left" w:pos="9072"/>
        </w:tabs>
      </w:pPr>
      <w:bookmarkStart w:id="74" w:name="_Toc141174714"/>
      <w:r w:rsidRPr="002D6D1E">
        <w:t>B.</w:t>
      </w:r>
      <w:r w:rsidR="008609B0">
        <w:t>7</w:t>
      </w:r>
      <w:r w:rsidRPr="002D6D1E">
        <w:t xml:space="preserve"> </w:t>
      </w:r>
      <w:r w:rsidR="008609B0">
        <w:t>Freedom of Information</w:t>
      </w:r>
      <w:bookmarkEnd w:id="74"/>
    </w:p>
    <w:p w14:paraId="3C6BB9F0" w14:textId="77777777" w:rsidR="00830EE6" w:rsidRPr="0089000E" w:rsidRDefault="00830EE6" w:rsidP="001278B6">
      <w:pPr>
        <w:pStyle w:val="Bulletintropara"/>
      </w:pPr>
      <w:r w:rsidRPr="0089000E">
        <w:t xml:space="preserve">The </w:t>
      </w:r>
      <w:r w:rsidRPr="001278B6">
        <w:rPr>
          <w:i/>
          <w:iCs w:val="0"/>
        </w:rPr>
        <w:t>Freedom of Information Act 2016</w:t>
      </w:r>
      <w:r w:rsidRPr="0089000E">
        <w:t xml:space="preserve"> (FOI Act) gives individuals the legal right to:</w:t>
      </w:r>
    </w:p>
    <w:p w14:paraId="0BC910AB" w14:textId="77777777" w:rsidR="00830EE6" w:rsidRPr="004F4220" w:rsidRDefault="00830EE6" w:rsidP="00A36E9A">
      <w:pPr>
        <w:pStyle w:val="Bullet1"/>
        <w:numPr>
          <w:ilvl w:val="0"/>
          <w:numId w:val="44"/>
        </w:numPr>
        <w:tabs>
          <w:tab w:val="left" w:pos="284"/>
        </w:tabs>
        <w:ind w:left="284" w:hanging="284"/>
        <w:rPr>
          <w:rFonts w:eastAsia="Times New Roman" w:cs="Arial"/>
          <w:bCs/>
          <w:iCs/>
        </w:rPr>
      </w:pPr>
      <w:r w:rsidRPr="004F4220">
        <w:rPr>
          <w:rFonts w:eastAsia="Times New Roman" w:cs="Arial"/>
          <w:bCs/>
          <w:iCs/>
        </w:rPr>
        <w:t>access government information unless access to the information would, on balance, be contrary to the public interest;</w:t>
      </w:r>
    </w:p>
    <w:p w14:paraId="3B9139DA" w14:textId="25F7E815" w:rsidR="00830EE6" w:rsidRPr="004F4220" w:rsidRDefault="00830EE6" w:rsidP="00A36E9A">
      <w:pPr>
        <w:pStyle w:val="Bullet1"/>
        <w:numPr>
          <w:ilvl w:val="0"/>
          <w:numId w:val="44"/>
        </w:numPr>
        <w:tabs>
          <w:tab w:val="left" w:pos="284"/>
        </w:tabs>
        <w:ind w:left="284" w:hanging="284"/>
        <w:rPr>
          <w:rFonts w:eastAsia="Times New Roman" w:cs="Arial"/>
          <w:bCs/>
          <w:iCs/>
        </w:rPr>
      </w:pPr>
      <w:r w:rsidRPr="004F4220">
        <w:rPr>
          <w:rFonts w:eastAsia="Times New Roman" w:cs="Arial"/>
          <w:bCs/>
          <w:iCs/>
        </w:rPr>
        <w:t>ask for personal information to be changed if it is incomplete, out-of-date, incorrect</w:t>
      </w:r>
      <w:r w:rsidR="00AD4A64">
        <w:rPr>
          <w:rFonts w:eastAsia="Times New Roman" w:cs="Arial"/>
          <w:bCs/>
          <w:iCs/>
        </w:rPr>
        <w:t>,</w:t>
      </w:r>
      <w:r w:rsidRPr="004F4220">
        <w:rPr>
          <w:rFonts w:eastAsia="Times New Roman" w:cs="Arial"/>
          <w:bCs/>
          <w:iCs/>
        </w:rPr>
        <w:t xml:space="preserve"> or misleading; and</w:t>
      </w:r>
    </w:p>
    <w:p w14:paraId="4D652FD8" w14:textId="77777777" w:rsidR="00830EE6" w:rsidRPr="004F4220" w:rsidRDefault="00830EE6" w:rsidP="00A36E9A">
      <w:pPr>
        <w:pStyle w:val="Bullet1"/>
        <w:numPr>
          <w:ilvl w:val="0"/>
          <w:numId w:val="44"/>
        </w:numPr>
        <w:tabs>
          <w:tab w:val="left" w:pos="284"/>
        </w:tabs>
        <w:ind w:left="284" w:hanging="284"/>
        <w:rPr>
          <w:rFonts w:eastAsia="Times New Roman" w:cs="Arial"/>
          <w:bCs/>
          <w:iCs/>
        </w:rPr>
      </w:pPr>
      <w:r w:rsidRPr="004F4220">
        <w:rPr>
          <w:rFonts w:eastAsia="Times New Roman" w:cs="Arial"/>
          <w:bCs/>
          <w:iCs/>
        </w:rPr>
        <w:t>appeal a decision about access to a document, or a decision in relation to a request to amend or annotate a personal record.</w:t>
      </w:r>
    </w:p>
    <w:p w14:paraId="3DE94E88" w14:textId="77777777" w:rsidR="00830EE6" w:rsidRPr="0089000E" w:rsidRDefault="00830EE6" w:rsidP="00AD126A">
      <w:pPr>
        <w:tabs>
          <w:tab w:val="left" w:pos="9072"/>
        </w:tabs>
      </w:pPr>
      <w:r w:rsidRPr="0089000E">
        <w:t>In accordance with Section 96 of the FOI Act, the Authority is required to report on the operation of the FOI Act in relation to the Authority for the reporting year.</w:t>
      </w:r>
    </w:p>
    <w:p w14:paraId="3A7681D0" w14:textId="50B5B0A3" w:rsidR="00830EE6" w:rsidRPr="0089000E" w:rsidRDefault="00830EE6" w:rsidP="00AD126A">
      <w:pPr>
        <w:tabs>
          <w:tab w:val="left" w:pos="9072"/>
        </w:tabs>
      </w:pPr>
      <w:r w:rsidRPr="0089000E">
        <w:t xml:space="preserve">CMTEDD manage FOI applications on behalf of the Authority and reporting requirements are detailed in Volume 1 of the CMTEDD </w:t>
      </w:r>
      <w:r w:rsidR="00323290">
        <w:t>2023-24</w:t>
      </w:r>
      <w:r w:rsidRPr="0089000E">
        <w:t xml:space="preserve"> Annual Report.</w:t>
      </w:r>
    </w:p>
    <w:p w14:paraId="6F5ECA32" w14:textId="77777777" w:rsidR="00830EE6" w:rsidRPr="00830EE6" w:rsidRDefault="00830EE6" w:rsidP="005A4264">
      <w:pPr>
        <w:pStyle w:val="Heading5"/>
      </w:pPr>
      <w:r w:rsidRPr="00830EE6">
        <w:lastRenderedPageBreak/>
        <w:t xml:space="preserve">Total Charges and Application Fees Collected </w:t>
      </w:r>
    </w:p>
    <w:p w14:paraId="227FE4DD" w14:textId="501458C5" w:rsidR="00830EE6" w:rsidRPr="0089000E" w:rsidRDefault="00830EE6" w:rsidP="00AD126A">
      <w:pPr>
        <w:tabs>
          <w:tab w:val="left" w:pos="9072"/>
        </w:tabs>
      </w:pPr>
      <w:r w:rsidRPr="0089000E">
        <w:t>The Authority did not collect any fees or charges in relation to the processing of FOI requests in</w:t>
      </w:r>
      <w:r>
        <w:t xml:space="preserve"> </w:t>
      </w:r>
      <w:r w:rsidR="00323290">
        <w:t>2023-24</w:t>
      </w:r>
      <w:r w:rsidRPr="0089000E">
        <w:t xml:space="preserve"> under the FOI Act.</w:t>
      </w:r>
    </w:p>
    <w:p w14:paraId="1F7BC023" w14:textId="386A6D64" w:rsidR="00830EE6" w:rsidRPr="0089000E" w:rsidRDefault="00830EE6" w:rsidP="00AD126A">
      <w:pPr>
        <w:tabs>
          <w:tab w:val="left" w:pos="9072"/>
        </w:tabs>
      </w:pPr>
      <w:r w:rsidRPr="0089000E">
        <w:t xml:space="preserve">Further information relating to the Freedom of Information including how to make an FOI application, what details you need to make an application, and contact details for the FOI information officer can be found on the Chief Minister, Treasury and Economic Development Directorate (CMTEDD) website </w:t>
      </w:r>
      <w:hyperlink r:id="rId38" w:history="1">
        <w:r w:rsidRPr="0089000E">
          <w:rPr>
            <w:rStyle w:val="Hyperlink"/>
            <w:szCs w:val="22"/>
          </w:rPr>
          <w:t>https://www.cmtedd.act.gov.au/functions/foi</w:t>
        </w:r>
      </w:hyperlink>
      <w:r w:rsidRPr="0089000E">
        <w:t>.  There are also details of requests received by the directorate listed on the Freedom of Information Disclosure Log for CMTEDD.</w:t>
      </w:r>
    </w:p>
    <w:p w14:paraId="74850997" w14:textId="4BB2F61B" w:rsidR="003D34C1" w:rsidRDefault="003D34C1" w:rsidP="00AD126A">
      <w:pPr>
        <w:pStyle w:val="Heading2"/>
        <w:tabs>
          <w:tab w:val="left" w:pos="9072"/>
        </w:tabs>
      </w:pPr>
      <w:bookmarkStart w:id="75" w:name="_Toc141174715"/>
      <w:r w:rsidRPr="002D6D1E">
        <w:t>B.</w:t>
      </w:r>
      <w:r w:rsidR="003D38C7">
        <w:t>8</w:t>
      </w:r>
      <w:r w:rsidRPr="002D6D1E">
        <w:t xml:space="preserve"> </w:t>
      </w:r>
      <w:r w:rsidR="003D38C7">
        <w:t>Community Engagement and Support</w:t>
      </w:r>
      <w:bookmarkEnd w:id="75"/>
    </w:p>
    <w:p w14:paraId="2FEC82BF" w14:textId="24686AF3" w:rsidR="004A2846" w:rsidRPr="0089000E" w:rsidRDefault="004A2846" w:rsidP="00AD126A">
      <w:pPr>
        <w:tabs>
          <w:tab w:val="left" w:pos="9072"/>
        </w:tabs>
      </w:pPr>
      <w:r w:rsidRPr="0089000E">
        <w:t>The Authority has nothing to report against this section. The Authority does not undertake any community engagement or support in performing its functions.</w:t>
      </w:r>
    </w:p>
    <w:p w14:paraId="506DA412" w14:textId="46DA5248" w:rsidR="003D34C1" w:rsidRDefault="003D34C1" w:rsidP="00AD126A">
      <w:pPr>
        <w:pStyle w:val="Heading2"/>
        <w:tabs>
          <w:tab w:val="left" w:pos="9072"/>
        </w:tabs>
      </w:pPr>
      <w:bookmarkStart w:id="76" w:name="_Toc141174716"/>
      <w:r w:rsidRPr="002D6D1E">
        <w:t>B.</w:t>
      </w:r>
      <w:r w:rsidR="004A2846">
        <w:t>9</w:t>
      </w:r>
      <w:r w:rsidRPr="002D6D1E">
        <w:t xml:space="preserve"> </w:t>
      </w:r>
      <w:r w:rsidR="004A2846">
        <w:t>Aboriginal and Torres Strait Islander Reporting</w:t>
      </w:r>
      <w:bookmarkEnd w:id="76"/>
    </w:p>
    <w:p w14:paraId="37AA4613" w14:textId="54DBBB2D" w:rsidR="008D1633" w:rsidRPr="0089000E" w:rsidRDefault="008D1633" w:rsidP="00AD126A">
      <w:pPr>
        <w:tabs>
          <w:tab w:val="left" w:pos="9072"/>
        </w:tabs>
      </w:pPr>
      <w:r w:rsidRPr="0089000E">
        <w:t>The Authority has nothing to report against this section. The Authority does not undertake any Aboriginal and Torres Strait Islander programs, projects and/or initiatives other than those delivered by CMTEDD.</w:t>
      </w:r>
    </w:p>
    <w:p w14:paraId="3D0BAC52" w14:textId="738113E6" w:rsidR="007C6223" w:rsidRDefault="007C6223" w:rsidP="007C6223">
      <w:pPr>
        <w:pStyle w:val="Heading2"/>
        <w:tabs>
          <w:tab w:val="left" w:pos="9072"/>
        </w:tabs>
      </w:pPr>
      <w:bookmarkStart w:id="77" w:name="_Toc141174717"/>
      <w:r w:rsidRPr="002D6D1E">
        <w:t>B.</w:t>
      </w:r>
      <w:r>
        <w:t>10</w:t>
      </w:r>
      <w:r w:rsidRPr="002D6D1E">
        <w:t xml:space="preserve"> </w:t>
      </w:r>
      <w:r>
        <w:t>Multi</w:t>
      </w:r>
      <w:r w:rsidR="00551783">
        <w:t>culturalism Act 2023 Reporting</w:t>
      </w:r>
    </w:p>
    <w:p w14:paraId="4BB2D637" w14:textId="0CA89175" w:rsidR="00C762FB" w:rsidRPr="0089000E" w:rsidRDefault="00C762FB" w:rsidP="00C762FB">
      <w:pPr>
        <w:tabs>
          <w:tab w:val="left" w:pos="9072"/>
        </w:tabs>
      </w:pPr>
      <w:r w:rsidRPr="0089000E">
        <w:t xml:space="preserve">The Authority has nothing to report against this section. The Authority does not undertake any </w:t>
      </w:r>
      <w:r w:rsidR="002A0F93">
        <w:t xml:space="preserve">Multicultural </w:t>
      </w:r>
      <w:r w:rsidRPr="0089000E">
        <w:t>programs, projects and/or initiatives other than those delivered by CMTEDD.</w:t>
      </w:r>
    </w:p>
    <w:p w14:paraId="445D3983" w14:textId="212AF144" w:rsidR="003D34C1" w:rsidRDefault="003D34C1" w:rsidP="00AD126A">
      <w:pPr>
        <w:pStyle w:val="Heading2"/>
        <w:tabs>
          <w:tab w:val="left" w:pos="9072"/>
        </w:tabs>
      </w:pPr>
      <w:r w:rsidRPr="002D6D1E">
        <w:t>B.</w:t>
      </w:r>
      <w:r w:rsidR="008D1633">
        <w:t>1</w:t>
      </w:r>
      <w:r w:rsidR="00330450">
        <w:t>1</w:t>
      </w:r>
      <w:r w:rsidRPr="002D6D1E">
        <w:t xml:space="preserve"> </w:t>
      </w:r>
      <w:r w:rsidR="008D1633">
        <w:t xml:space="preserve">Work Health and </w:t>
      </w:r>
      <w:r w:rsidR="00594169">
        <w:t>Safety</w:t>
      </w:r>
      <w:bookmarkEnd w:id="77"/>
    </w:p>
    <w:p w14:paraId="62B2FC8D" w14:textId="39E0DC64" w:rsidR="00DD50E4" w:rsidRPr="00D62C55" w:rsidRDefault="00DD50E4" w:rsidP="00D62C55">
      <w:pPr>
        <w:pStyle w:val="Bulletintropara"/>
      </w:pPr>
      <w:r w:rsidRPr="00D62C55">
        <w:t xml:space="preserve">The Authority manages workplace health and safety in accordance with the provisions of the </w:t>
      </w:r>
      <w:r w:rsidRPr="00D62C55">
        <w:rPr>
          <w:i/>
          <w:iCs w:val="0"/>
        </w:rPr>
        <w:t>Work Health and Safety Act 2011</w:t>
      </w:r>
      <w:r w:rsidR="008A23FE" w:rsidRPr="00D62C55">
        <w:t xml:space="preserve"> </w:t>
      </w:r>
      <w:r w:rsidR="002A62F8" w:rsidRPr="00D62C55">
        <w:t xml:space="preserve">and complies with CMTEDD’s workplace health and </w:t>
      </w:r>
      <w:r w:rsidR="00071C67" w:rsidRPr="00D62C55">
        <w:t>safety management system</w:t>
      </w:r>
      <w:r w:rsidRPr="00D62C55">
        <w:t>. The Authority is committed to maintaining the health and safety of its employees and arranges ongoing training throughout the year for the following:</w:t>
      </w:r>
    </w:p>
    <w:p w14:paraId="078F9A52" w14:textId="77777777" w:rsidR="00DD50E4" w:rsidRPr="00D62C55" w:rsidRDefault="00DD50E4" w:rsidP="00A36E9A">
      <w:pPr>
        <w:pStyle w:val="Bullet1"/>
        <w:numPr>
          <w:ilvl w:val="0"/>
          <w:numId w:val="44"/>
        </w:numPr>
        <w:tabs>
          <w:tab w:val="left" w:pos="284"/>
        </w:tabs>
        <w:ind w:left="284" w:hanging="284"/>
        <w:rPr>
          <w:rFonts w:eastAsia="Times New Roman" w:cs="Arial"/>
          <w:bCs/>
          <w:iCs/>
        </w:rPr>
      </w:pPr>
      <w:r w:rsidRPr="00D62C55">
        <w:rPr>
          <w:rFonts w:eastAsia="Times New Roman" w:cs="Arial"/>
          <w:bCs/>
          <w:iCs/>
        </w:rPr>
        <w:t>one health and safety representative;</w:t>
      </w:r>
    </w:p>
    <w:p w14:paraId="6D0CD251" w14:textId="77777777" w:rsidR="00323DB2" w:rsidRPr="00D62C55" w:rsidRDefault="00DD50E4" w:rsidP="00A36E9A">
      <w:pPr>
        <w:pStyle w:val="Bullet1"/>
        <w:numPr>
          <w:ilvl w:val="0"/>
          <w:numId w:val="44"/>
        </w:numPr>
        <w:tabs>
          <w:tab w:val="left" w:pos="284"/>
        </w:tabs>
        <w:ind w:left="284" w:hanging="284"/>
        <w:rPr>
          <w:rFonts w:eastAsia="Times New Roman" w:cs="Arial"/>
          <w:bCs/>
          <w:iCs/>
        </w:rPr>
      </w:pPr>
      <w:r w:rsidRPr="00D62C55">
        <w:rPr>
          <w:rFonts w:eastAsia="Times New Roman" w:cs="Arial"/>
          <w:bCs/>
          <w:iCs/>
        </w:rPr>
        <w:t>one qualified first aid officer;</w:t>
      </w:r>
    </w:p>
    <w:p w14:paraId="2B200140" w14:textId="0BD1A8E1" w:rsidR="00DD50E4" w:rsidRPr="00D62C55" w:rsidRDefault="002204E1" w:rsidP="00A36E9A">
      <w:pPr>
        <w:pStyle w:val="Bullet1"/>
        <w:numPr>
          <w:ilvl w:val="0"/>
          <w:numId w:val="44"/>
        </w:numPr>
        <w:tabs>
          <w:tab w:val="left" w:pos="284"/>
        </w:tabs>
        <w:ind w:left="284" w:hanging="284"/>
        <w:rPr>
          <w:rFonts w:eastAsia="Times New Roman" w:cs="Arial"/>
          <w:bCs/>
          <w:iCs/>
        </w:rPr>
      </w:pPr>
      <w:r w:rsidRPr="00D62C55">
        <w:rPr>
          <w:rFonts w:eastAsia="Times New Roman" w:cs="Arial"/>
          <w:bCs/>
          <w:iCs/>
        </w:rPr>
        <w:t>one Respect, Equity and Diversity Contact officer;</w:t>
      </w:r>
      <w:r w:rsidR="00DD50E4" w:rsidRPr="00D62C55">
        <w:rPr>
          <w:rFonts w:eastAsia="Times New Roman" w:cs="Arial"/>
          <w:bCs/>
          <w:iCs/>
        </w:rPr>
        <w:t xml:space="preserve"> and </w:t>
      </w:r>
    </w:p>
    <w:p w14:paraId="6CF151B9" w14:textId="0126FF20" w:rsidR="00793C7C" w:rsidRPr="00D62C55" w:rsidRDefault="00DD50E4" w:rsidP="00A36E9A">
      <w:pPr>
        <w:pStyle w:val="Bullet1"/>
        <w:numPr>
          <w:ilvl w:val="0"/>
          <w:numId w:val="44"/>
        </w:numPr>
        <w:tabs>
          <w:tab w:val="left" w:pos="284"/>
        </w:tabs>
        <w:ind w:left="284" w:hanging="284"/>
        <w:rPr>
          <w:rFonts w:eastAsia="Times New Roman" w:cs="Arial"/>
          <w:bCs/>
          <w:iCs/>
        </w:rPr>
      </w:pPr>
      <w:r w:rsidRPr="00D62C55">
        <w:rPr>
          <w:rFonts w:eastAsia="Times New Roman" w:cs="Arial"/>
          <w:bCs/>
          <w:iCs/>
        </w:rPr>
        <w:t>one fire warden.</w:t>
      </w:r>
    </w:p>
    <w:p w14:paraId="03B703FA" w14:textId="4F672EBB" w:rsidR="00230FB4" w:rsidRPr="0004206C" w:rsidRDefault="007A4E12" w:rsidP="0004206C">
      <w:pPr>
        <w:tabs>
          <w:tab w:val="left" w:pos="9072"/>
        </w:tabs>
        <w:spacing w:before="30" w:line="264" w:lineRule="auto"/>
      </w:pPr>
      <w:r>
        <w:t>T</w:t>
      </w:r>
      <w:r w:rsidR="005262FA">
        <w:t xml:space="preserve">he Authority </w:t>
      </w:r>
      <w:r w:rsidR="003F2EF2">
        <w:t>move</w:t>
      </w:r>
      <w:r w:rsidR="00361342">
        <w:t xml:space="preserve">d </w:t>
      </w:r>
      <w:r w:rsidR="00584807">
        <w:t xml:space="preserve">to 220 London Circuit </w:t>
      </w:r>
      <w:r w:rsidR="003F5D31">
        <w:t xml:space="preserve">Canberra </w:t>
      </w:r>
      <w:r w:rsidR="00584807">
        <w:t xml:space="preserve">during </w:t>
      </w:r>
      <w:r w:rsidR="00E20269">
        <w:t>2023-24</w:t>
      </w:r>
      <w:r w:rsidR="007A5567">
        <w:t xml:space="preserve"> and </w:t>
      </w:r>
      <w:r w:rsidR="00B702F8">
        <w:t xml:space="preserve">is now also covered by the </w:t>
      </w:r>
      <w:r w:rsidR="005E4465">
        <w:t>workplace health and safe</w:t>
      </w:r>
      <w:r w:rsidR="0030509C">
        <w:t xml:space="preserve">ty </w:t>
      </w:r>
      <w:r w:rsidR="00DF6761">
        <w:t xml:space="preserve">protections </w:t>
      </w:r>
      <w:r w:rsidR="00D245DB">
        <w:t>in place at that location.</w:t>
      </w:r>
    </w:p>
    <w:p w14:paraId="678B84EF" w14:textId="77777777" w:rsidR="0083143C" w:rsidRDefault="0083143C">
      <w:pPr>
        <w:spacing w:after="0" w:line="240" w:lineRule="auto"/>
        <w:rPr>
          <w:rFonts w:ascii="Arial" w:eastAsia="Times New Roman" w:hAnsi="Arial" w:cs="Arial"/>
          <w:b/>
          <w:iCs/>
          <w:color w:val="492581" w:themeColor="accent1"/>
          <w:sz w:val="32"/>
          <w:szCs w:val="32"/>
        </w:rPr>
      </w:pPr>
      <w:r>
        <w:rPr>
          <w:rFonts w:eastAsia="Times New Roman"/>
          <w:iCs/>
          <w:color w:val="492581" w:themeColor="accent1"/>
          <w:sz w:val="32"/>
          <w:szCs w:val="32"/>
        </w:rPr>
        <w:br w:type="page"/>
      </w:r>
    </w:p>
    <w:p w14:paraId="633D7A1E" w14:textId="04B9375C" w:rsidR="00D2230D" w:rsidRPr="009B6CCF" w:rsidRDefault="00D2230D"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lastRenderedPageBreak/>
        <w:t>B.1</w:t>
      </w:r>
      <w:r w:rsidR="00C75AF8">
        <w:rPr>
          <w:rFonts w:eastAsia="Times New Roman"/>
          <w:iCs/>
          <w:color w:val="492581" w:themeColor="accent1"/>
          <w:sz w:val="32"/>
          <w:szCs w:val="32"/>
        </w:rPr>
        <w:t>1</w:t>
      </w:r>
      <w:r w:rsidRPr="009B6CCF">
        <w:rPr>
          <w:rFonts w:eastAsia="Times New Roman"/>
          <w:iCs/>
          <w:color w:val="492581" w:themeColor="accent1"/>
          <w:sz w:val="32"/>
          <w:szCs w:val="32"/>
        </w:rPr>
        <w:t xml:space="preserve">.1 </w:t>
      </w:r>
      <w:r w:rsidR="009D0E63" w:rsidRPr="009B6CCF">
        <w:rPr>
          <w:rFonts w:eastAsia="Times New Roman"/>
          <w:iCs/>
          <w:color w:val="492581" w:themeColor="accent1"/>
          <w:sz w:val="32"/>
          <w:szCs w:val="32"/>
        </w:rPr>
        <w:t xml:space="preserve">Reporting Requirements </w:t>
      </w:r>
      <w:r w:rsidR="006C23E0">
        <w:rPr>
          <w:rFonts w:eastAsia="Times New Roman"/>
          <w:iCs/>
          <w:color w:val="492581" w:themeColor="accent1"/>
          <w:sz w:val="32"/>
          <w:szCs w:val="32"/>
        </w:rPr>
        <w:t>U</w:t>
      </w:r>
      <w:r w:rsidR="009D0E63" w:rsidRPr="009B6CCF">
        <w:rPr>
          <w:rFonts w:eastAsia="Times New Roman"/>
          <w:iCs/>
          <w:color w:val="492581" w:themeColor="accent1"/>
          <w:sz w:val="32"/>
          <w:szCs w:val="32"/>
        </w:rPr>
        <w:t>nder the Work Health and Safety Act 2011</w:t>
      </w:r>
    </w:p>
    <w:p w14:paraId="2A9BD695" w14:textId="77777777" w:rsidR="00817AB6" w:rsidRPr="00FE3F84" w:rsidRDefault="00817AB6" w:rsidP="00AD126A">
      <w:pPr>
        <w:tabs>
          <w:tab w:val="left" w:pos="9072"/>
        </w:tabs>
        <w:spacing w:line="264" w:lineRule="auto"/>
        <w:rPr>
          <w:szCs w:val="22"/>
        </w:rPr>
      </w:pPr>
      <w:r w:rsidRPr="0004206C">
        <w:rPr>
          <w:szCs w:val="22"/>
        </w:rPr>
        <w:t xml:space="preserve">During the reporting year, the Authority did not receive any notices under Part 10 or 11, or any findings of a failure to comply with a safety duty under Part 2 Division 2.2, 2.3 or 2.4 of the </w:t>
      </w:r>
      <w:r w:rsidRPr="0004206C">
        <w:rPr>
          <w:i/>
          <w:iCs/>
          <w:szCs w:val="22"/>
        </w:rPr>
        <w:t>Work Health and Safety Act 2011</w:t>
      </w:r>
      <w:r w:rsidRPr="0004206C">
        <w:rPr>
          <w:szCs w:val="22"/>
        </w:rPr>
        <w:t>.</w:t>
      </w:r>
    </w:p>
    <w:p w14:paraId="3783CC6D" w14:textId="3D7867D7" w:rsidR="00817AB6" w:rsidRPr="00CC56E9" w:rsidRDefault="00817AB6" w:rsidP="00AD126A">
      <w:pPr>
        <w:tabs>
          <w:tab w:val="left" w:pos="9072"/>
        </w:tabs>
      </w:pPr>
      <w:r w:rsidRPr="00CC56E9">
        <w:t xml:space="preserve">The Authority is committed to promoting and maintaining a high standard of health, safety and well-being for all staff, </w:t>
      </w:r>
      <w:proofErr w:type="gramStart"/>
      <w:r w:rsidRPr="00CC56E9">
        <w:t>contractors</w:t>
      </w:r>
      <w:proofErr w:type="gramEnd"/>
      <w:r w:rsidRPr="00CC56E9">
        <w:t xml:space="preserve"> and visitors. The Authority is provided guidance and support by the CMTEDD People and Capability Branch to ensure that all employees understand the basic principles of injury prevention and management. Details of the CMTEDD work health and safety arrangements can be found in the CMTEDD </w:t>
      </w:r>
      <w:r w:rsidR="00323290">
        <w:t>2023-24</w:t>
      </w:r>
      <w:r w:rsidRPr="00CC56E9">
        <w:t xml:space="preserve"> Annual Report.</w:t>
      </w:r>
    </w:p>
    <w:p w14:paraId="56463136" w14:textId="77777777" w:rsidR="00817AB6" w:rsidRPr="00CC56E9" w:rsidRDefault="00817AB6" w:rsidP="00AD126A">
      <w:pPr>
        <w:tabs>
          <w:tab w:val="left" w:pos="9072"/>
        </w:tabs>
      </w:pPr>
      <w:r w:rsidRPr="00CC56E9">
        <w:t>The Authority continues to strengthen its safety and reporting culture through increased awareness of reporting requirements and regular discussion as a standing agenda item at all team and leadership meetings.</w:t>
      </w:r>
    </w:p>
    <w:p w14:paraId="5DDAC69F" w14:textId="6ABCC22C" w:rsidR="00817AB6" w:rsidRDefault="00817AB6" w:rsidP="00AD126A">
      <w:pPr>
        <w:tabs>
          <w:tab w:val="left" w:pos="9072"/>
        </w:tabs>
      </w:pPr>
      <w:r w:rsidRPr="00CC56E9">
        <w:t xml:space="preserve">As a result of staff working in a hybrid environment, the Authority has implemented strategies to ensure that staff do not feel isolated and continue to maintain </w:t>
      </w:r>
      <w:r w:rsidR="00854BFE">
        <w:t>a</w:t>
      </w:r>
      <w:r w:rsidR="00854BFE" w:rsidRPr="00CC56E9">
        <w:t xml:space="preserve"> </w:t>
      </w:r>
      <w:r w:rsidRPr="00CC56E9">
        <w:t>positive work culture when working away from the office environment.</w:t>
      </w:r>
    </w:p>
    <w:p w14:paraId="3797BA82" w14:textId="48A768F8" w:rsidR="00C02E92" w:rsidRDefault="00C02E92" w:rsidP="00AD126A">
      <w:pPr>
        <w:pStyle w:val="Heading2"/>
        <w:tabs>
          <w:tab w:val="left" w:pos="9072"/>
        </w:tabs>
      </w:pPr>
      <w:bookmarkStart w:id="78" w:name="_Toc141174718"/>
      <w:r w:rsidRPr="002D6D1E">
        <w:t>B.</w:t>
      </w:r>
      <w:r>
        <w:t>1</w:t>
      </w:r>
      <w:r w:rsidR="00DF5C72">
        <w:t>2</w:t>
      </w:r>
      <w:r w:rsidRPr="002D6D1E">
        <w:t xml:space="preserve"> </w:t>
      </w:r>
      <w:r w:rsidR="002D374F" w:rsidRPr="00CE5D76">
        <w:t>Human Resources Management</w:t>
      </w:r>
      <w:bookmarkEnd w:id="78"/>
    </w:p>
    <w:p w14:paraId="20E69345" w14:textId="4F34863C" w:rsidR="00384056" w:rsidRPr="0025003E" w:rsidRDefault="00384056" w:rsidP="00AD126A">
      <w:pPr>
        <w:tabs>
          <w:tab w:val="left" w:pos="9072"/>
        </w:tabs>
      </w:pPr>
      <w:r w:rsidRPr="0025003E">
        <w:t xml:space="preserve">The Authority was supported by CMTEDD Corporate throughout </w:t>
      </w:r>
      <w:r w:rsidR="00323290">
        <w:t>2023-24</w:t>
      </w:r>
      <w:r w:rsidRPr="0025003E">
        <w:t xml:space="preserve">. This team provides strategic, </w:t>
      </w:r>
      <w:proofErr w:type="gramStart"/>
      <w:r w:rsidRPr="0025003E">
        <w:t>operational</w:t>
      </w:r>
      <w:proofErr w:type="gramEnd"/>
      <w:r w:rsidRPr="0025003E">
        <w:t xml:space="preserve"> and technical advice and support as issues arise. Details of human resource management can be found in the CMTEDD </w:t>
      </w:r>
      <w:r w:rsidR="00323290">
        <w:t>2023-24</w:t>
      </w:r>
      <w:r w:rsidRPr="0025003E">
        <w:t xml:space="preserve"> Annual Report.</w:t>
      </w:r>
    </w:p>
    <w:p w14:paraId="48AC86BF" w14:textId="53D33754" w:rsidR="00384056" w:rsidRPr="00CE5D76" w:rsidRDefault="00384056" w:rsidP="00773334">
      <w:pPr>
        <w:pStyle w:val="Bulletintropara"/>
      </w:pPr>
      <w:r w:rsidRPr="00CE5D76">
        <w:t xml:space="preserve">The Authority is committed to the </w:t>
      </w:r>
      <w:r w:rsidRPr="00CE5D76">
        <w:rPr>
          <w:rStyle w:val="Emphasis"/>
          <w:szCs w:val="22"/>
        </w:rPr>
        <w:t>ACT Public Service</w:t>
      </w:r>
      <w:r w:rsidRPr="00CE5D76">
        <w:t xml:space="preserve"> </w:t>
      </w:r>
      <w:r w:rsidRPr="00CE5D76">
        <w:rPr>
          <w:i/>
        </w:rPr>
        <w:t xml:space="preserve">Code of Conduct, </w:t>
      </w:r>
      <w:r w:rsidRPr="00CE5D76">
        <w:rPr>
          <w:rStyle w:val="Emphasis"/>
          <w:szCs w:val="22"/>
        </w:rPr>
        <w:t>ACTPS Performance Framework</w:t>
      </w:r>
      <w:r w:rsidRPr="00CE5D76">
        <w:t xml:space="preserve"> and the </w:t>
      </w:r>
      <w:r w:rsidRPr="00CE5D76">
        <w:rPr>
          <w:rStyle w:val="Emphasis"/>
          <w:szCs w:val="22"/>
        </w:rPr>
        <w:t>ACT Public Service Respect, Equity and Diversity Framework</w:t>
      </w:r>
      <w:r w:rsidRPr="00CE5D76">
        <w:t xml:space="preserve"> to build a positive, </w:t>
      </w:r>
      <w:proofErr w:type="gramStart"/>
      <w:r w:rsidRPr="00CE5D76">
        <w:t>inclusive</w:t>
      </w:r>
      <w:proofErr w:type="gramEnd"/>
      <w:r w:rsidRPr="00CE5D76">
        <w:t xml:space="preserve"> and diverse workplace.  The Authority has adopted a range of measures aimed at achieving this objective, including:</w:t>
      </w:r>
    </w:p>
    <w:p w14:paraId="1DBA2E92" w14:textId="77777777" w:rsidR="00384056" w:rsidRPr="00AE449B" w:rsidRDefault="00384056" w:rsidP="00A36E9A">
      <w:pPr>
        <w:pStyle w:val="Bullet1"/>
        <w:numPr>
          <w:ilvl w:val="0"/>
          <w:numId w:val="15"/>
        </w:numPr>
        <w:tabs>
          <w:tab w:val="clear" w:pos="360"/>
          <w:tab w:val="left" w:pos="284"/>
        </w:tabs>
        <w:rPr>
          <w:rFonts w:eastAsia="Times New Roman" w:cs="Arial"/>
          <w:bCs/>
          <w:iCs/>
        </w:rPr>
      </w:pPr>
      <w:r w:rsidRPr="00AE449B">
        <w:rPr>
          <w:rFonts w:eastAsia="Times New Roman" w:cs="Arial"/>
          <w:bCs/>
          <w:iCs/>
        </w:rPr>
        <w:t>providing access to study leave;</w:t>
      </w:r>
    </w:p>
    <w:p w14:paraId="0A996112" w14:textId="77777777" w:rsidR="00384056" w:rsidRPr="00AE449B" w:rsidRDefault="00384056" w:rsidP="00A36E9A">
      <w:pPr>
        <w:pStyle w:val="Bullet1"/>
        <w:numPr>
          <w:ilvl w:val="0"/>
          <w:numId w:val="15"/>
        </w:numPr>
        <w:tabs>
          <w:tab w:val="clear" w:pos="360"/>
          <w:tab w:val="left" w:pos="284"/>
        </w:tabs>
        <w:rPr>
          <w:rFonts w:eastAsia="Times New Roman" w:cs="Arial"/>
          <w:bCs/>
          <w:iCs/>
        </w:rPr>
      </w:pPr>
      <w:r w:rsidRPr="00AE449B">
        <w:rPr>
          <w:rFonts w:eastAsia="Times New Roman" w:cs="Arial"/>
          <w:bCs/>
          <w:iCs/>
        </w:rPr>
        <w:t>providing access to flex time and ensuring staff do not work excessive hours; and</w:t>
      </w:r>
    </w:p>
    <w:p w14:paraId="392DB4B3" w14:textId="77777777" w:rsidR="00384056" w:rsidRPr="00AE449B" w:rsidRDefault="00384056" w:rsidP="00A36E9A">
      <w:pPr>
        <w:pStyle w:val="Bullet1"/>
        <w:numPr>
          <w:ilvl w:val="0"/>
          <w:numId w:val="15"/>
        </w:numPr>
        <w:tabs>
          <w:tab w:val="clear" w:pos="360"/>
          <w:tab w:val="left" w:pos="284"/>
        </w:tabs>
        <w:rPr>
          <w:rFonts w:eastAsia="Times New Roman" w:cs="Arial"/>
          <w:bCs/>
          <w:iCs/>
        </w:rPr>
      </w:pPr>
      <w:r w:rsidRPr="00AE449B">
        <w:rPr>
          <w:rFonts w:eastAsia="Times New Roman" w:cs="Arial"/>
          <w:bCs/>
          <w:iCs/>
        </w:rPr>
        <w:t>providing flexible working arrangements including part-time work.</w:t>
      </w:r>
    </w:p>
    <w:p w14:paraId="297A039B" w14:textId="1E761DED" w:rsidR="00731B9D" w:rsidRDefault="00384056" w:rsidP="00AD126A">
      <w:pPr>
        <w:tabs>
          <w:tab w:val="left" w:pos="9072"/>
        </w:tabs>
      </w:pPr>
      <w:r w:rsidRPr="00CE5D76">
        <w:t>Staff have been employed by the Authority based on merit, their qualifications, experience, and skills. The Authority aims to create a workplace where the strengths, talents and contributions of all staff are recognised and valued.</w:t>
      </w:r>
    </w:p>
    <w:p w14:paraId="70B924AC" w14:textId="6C11D3B7" w:rsidR="00384056" w:rsidRPr="009B6CCF" w:rsidRDefault="00384056"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w:t>
      </w:r>
      <w:r w:rsidR="00290C99">
        <w:rPr>
          <w:rFonts w:eastAsia="Times New Roman"/>
          <w:iCs/>
          <w:color w:val="492581" w:themeColor="accent1"/>
          <w:sz w:val="32"/>
          <w:szCs w:val="32"/>
        </w:rPr>
        <w:t>2</w:t>
      </w:r>
      <w:r w:rsidRPr="009B6CCF">
        <w:rPr>
          <w:rFonts w:eastAsia="Times New Roman"/>
          <w:iCs/>
          <w:color w:val="492581" w:themeColor="accent1"/>
          <w:sz w:val="32"/>
          <w:szCs w:val="32"/>
        </w:rPr>
        <w:t>.1 Learning and Development</w:t>
      </w:r>
    </w:p>
    <w:p w14:paraId="2C0C5723" w14:textId="1C7EFA6D" w:rsidR="00993ABA" w:rsidRPr="009B6CCF" w:rsidRDefault="00993ABA" w:rsidP="00AD126A">
      <w:pPr>
        <w:tabs>
          <w:tab w:val="left" w:pos="9072"/>
        </w:tabs>
      </w:pPr>
      <w:r w:rsidRPr="009B6CCF">
        <w:t>The key development and learning priorities for the Authority have been identified as risk and claims management, insurance, finance, governance</w:t>
      </w:r>
      <w:r w:rsidR="00EC43CA">
        <w:t>,</w:t>
      </w:r>
      <w:r w:rsidRPr="009B6CCF">
        <w:t xml:space="preserve"> and work, </w:t>
      </w:r>
      <w:proofErr w:type="gramStart"/>
      <w:r w:rsidRPr="009B6CCF">
        <w:t>health</w:t>
      </w:r>
      <w:proofErr w:type="gramEnd"/>
      <w:r w:rsidRPr="009B6CCF">
        <w:t xml:space="preserve"> and safety.  During </w:t>
      </w:r>
      <w:r w:rsidR="00323290">
        <w:t>2023-24</w:t>
      </w:r>
      <w:r w:rsidRPr="009B6CCF">
        <w:t>, staff undertook formal training courses and attended external conferences and seminars in these areas.</w:t>
      </w:r>
    </w:p>
    <w:p w14:paraId="70779C79" w14:textId="7B6F2733" w:rsidR="00993ABA" w:rsidRPr="009B6CCF" w:rsidRDefault="00993ABA" w:rsidP="00AD126A">
      <w:pPr>
        <w:tabs>
          <w:tab w:val="left" w:pos="9072"/>
        </w:tabs>
      </w:pPr>
      <w:r w:rsidRPr="009B6CCF">
        <w:lastRenderedPageBreak/>
        <w:t xml:space="preserve">The Authority organised for internal training to be provided, from internal members of the team and service providers including legal advisors and the Territory’s insurance broker. </w:t>
      </w:r>
    </w:p>
    <w:p w14:paraId="37BAC817" w14:textId="0EBA1DAF" w:rsidR="00993ABA" w:rsidRPr="009B6CCF" w:rsidRDefault="00993ABA" w:rsidP="00AD126A">
      <w:pPr>
        <w:tabs>
          <w:tab w:val="left" w:pos="9072"/>
        </w:tabs>
      </w:pPr>
      <w:proofErr w:type="gramStart"/>
      <w:r w:rsidRPr="009B6CCF">
        <w:t>A number of</w:t>
      </w:r>
      <w:proofErr w:type="gramEnd"/>
      <w:r w:rsidRPr="009B6CCF">
        <w:t xml:space="preserve"> the Authority’s employees have attended courses offered by CMTEDD throughout the year and utilised the CMTEDD Study Assistance Program to work towards gaining various formally recognised qualifications. The cost of training courses and seminars </w:t>
      </w:r>
      <w:r w:rsidRPr="00D40780">
        <w:t xml:space="preserve">undertaken in </w:t>
      </w:r>
      <w:r w:rsidR="00323290" w:rsidRPr="00D40780">
        <w:t>2023-24</w:t>
      </w:r>
      <w:r w:rsidRPr="00D40780">
        <w:t xml:space="preserve"> totalled $1</w:t>
      </w:r>
      <w:r w:rsidR="00B04E63" w:rsidRPr="00D40780">
        <w:t>8</w:t>
      </w:r>
      <w:r w:rsidRPr="00D40780">
        <w:t>,</w:t>
      </w:r>
      <w:r w:rsidR="00D40780" w:rsidRPr="00D40780">
        <w:t>105</w:t>
      </w:r>
      <w:r w:rsidRPr="00D40780">
        <w:t>.</w:t>
      </w:r>
    </w:p>
    <w:p w14:paraId="3485F609" w14:textId="591913D8" w:rsidR="00A706BC" w:rsidRPr="009B6CCF" w:rsidRDefault="00A706BC"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w:t>
      </w:r>
      <w:r w:rsidR="00B900FF">
        <w:rPr>
          <w:rFonts w:eastAsia="Times New Roman"/>
          <w:iCs/>
          <w:color w:val="492581" w:themeColor="accent1"/>
          <w:sz w:val="32"/>
          <w:szCs w:val="32"/>
        </w:rPr>
        <w:t>2</w:t>
      </w:r>
      <w:r w:rsidRPr="009B6CCF">
        <w:rPr>
          <w:rFonts w:eastAsia="Times New Roman"/>
          <w:iCs/>
          <w:color w:val="492581" w:themeColor="accent1"/>
          <w:sz w:val="32"/>
          <w:szCs w:val="32"/>
        </w:rPr>
        <w:t>.2 Workplace Relations</w:t>
      </w:r>
    </w:p>
    <w:p w14:paraId="02765C26" w14:textId="026433CE" w:rsidR="00EA70BA" w:rsidRPr="00DA66BD" w:rsidRDefault="00EA70BA" w:rsidP="00AD126A">
      <w:pPr>
        <w:tabs>
          <w:tab w:val="left" w:pos="9072"/>
        </w:tabs>
      </w:pPr>
      <w:r w:rsidRPr="00DA66BD">
        <w:t xml:space="preserve">The Authority’s staff are covered under the </w:t>
      </w:r>
      <w:r w:rsidRPr="00DA66BD">
        <w:rPr>
          <w:i/>
          <w:iCs/>
        </w:rPr>
        <w:t>ACT Public Se</w:t>
      </w:r>
      <w:r w:rsidR="00A81992">
        <w:rPr>
          <w:i/>
          <w:iCs/>
        </w:rPr>
        <w:t>ctor</w:t>
      </w:r>
      <w:r w:rsidRPr="00DA66BD">
        <w:rPr>
          <w:i/>
          <w:iCs/>
        </w:rPr>
        <w:t xml:space="preserve"> Administrative and Related Classifications Enterprise Agreement 202</w:t>
      </w:r>
      <w:r w:rsidR="00A513D9">
        <w:rPr>
          <w:i/>
          <w:iCs/>
        </w:rPr>
        <w:t>3</w:t>
      </w:r>
      <w:r w:rsidRPr="00DA66BD">
        <w:rPr>
          <w:i/>
          <w:iCs/>
        </w:rPr>
        <w:t>-202</w:t>
      </w:r>
      <w:r w:rsidR="002A0A62">
        <w:rPr>
          <w:i/>
          <w:iCs/>
        </w:rPr>
        <w:t>6</w:t>
      </w:r>
      <w:r w:rsidRPr="00DA66BD">
        <w:t>. The ACT Public Se</w:t>
      </w:r>
      <w:r w:rsidR="00DD04DD">
        <w:t>ctor</w:t>
      </w:r>
      <w:r w:rsidRPr="00DA66BD">
        <w:t xml:space="preserve"> Enterprise Agreements provide scope for Attraction and Retention Incentives (ARIn</w:t>
      </w:r>
      <w:r w:rsidR="00296222">
        <w:t>s</w:t>
      </w:r>
      <w:r w:rsidRPr="00DA66BD">
        <w:t>) to be agreed with staff to allow higher levels of remuneration or other benefits to be provided, where market rates exceed those payable. The Authority has no ARIn arrangements in place.</w:t>
      </w:r>
    </w:p>
    <w:p w14:paraId="76A480BE" w14:textId="1E2073A4" w:rsidR="00A6512E" w:rsidRPr="009B6CCF" w:rsidRDefault="00A6512E" w:rsidP="00AD126A">
      <w:pPr>
        <w:pStyle w:val="Heading3"/>
        <w:keepNext w:val="0"/>
        <w:keepLines w:val="0"/>
        <w:tabs>
          <w:tab w:val="left" w:pos="9072"/>
        </w:tabs>
        <w:spacing w:line="240" w:lineRule="auto"/>
        <w:rPr>
          <w:rFonts w:eastAsia="Times New Roman"/>
          <w:iCs/>
          <w:color w:val="492581" w:themeColor="accent1"/>
          <w:sz w:val="32"/>
          <w:szCs w:val="32"/>
        </w:rPr>
      </w:pPr>
      <w:r w:rsidRPr="009B6CCF">
        <w:rPr>
          <w:rFonts w:eastAsia="Times New Roman"/>
          <w:iCs/>
          <w:color w:val="492581" w:themeColor="accent1"/>
          <w:sz w:val="32"/>
          <w:szCs w:val="32"/>
        </w:rPr>
        <w:t>B.1</w:t>
      </w:r>
      <w:r w:rsidR="00803AC4">
        <w:rPr>
          <w:rFonts w:eastAsia="Times New Roman"/>
          <w:iCs/>
          <w:color w:val="492581" w:themeColor="accent1"/>
          <w:sz w:val="32"/>
          <w:szCs w:val="32"/>
        </w:rPr>
        <w:t>2</w:t>
      </w:r>
      <w:r w:rsidRPr="009B6CCF">
        <w:rPr>
          <w:rFonts w:eastAsia="Times New Roman"/>
          <w:iCs/>
          <w:color w:val="492581" w:themeColor="accent1"/>
          <w:sz w:val="32"/>
          <w:szCs w:val="32"/>
        </w:rPr>
        <w:t>.3 Staffing Profile</w:t>
      </w:r>
    </w:p>
    <w:p w14:paraId="04970893" w14:textId="6E970CD2" w:rsidR="00756143" w:rsidRDefault="00756143" w:rsidP="00F43D7E">
      <w:pPr>
        <w:pStyle w:val="Bulletintropara"/>
      </w:pPr>
      <w:r w:rsidRPr="00E5659C">
        <w:t xml:space="preserve">The following tables provide statistical information for permanent staff of the Authority for </w:t>
      </w:r>
      <w:r w:rsidR="00323290">
        <w:t>2023-24</w:t>
      </w:r>
      <w:r w:rsidRPr="00E5659C">
        <w:t>:</w:t>
      </w:r>
    </w:p>
    <w:p w14:paraId="5D53D2C0" w14:textId="25EF4150" w:rsidR="00B3671D" w:rsidRPr="00923055" w:rsidRDefault="00B3671D" w:rsidP="00AD126A">
      <w:pPr>
        <w:pStyle w:val="TableCaption"/>
        <w:tabs>
          <w:tab w:val="left" w:pos="9072"/>
        </w:tabs>
        <w:rPr>
          <w:color w:val="262626" w:themeColor="text1" w:themeTint="D9"/>
        </w:rPr>
      </w:pPr>
      <w:r w:rsidRPr="00923055">
        <w:rPr>
          <w:color w:val="262626" w:themeColor="text1" w:themeTint="D9"/>
        </w:rPr>
        <w:t>Table B4</w:t>
      </w:r>
      <w:r w:rsidR="00590007" w:rsidRPr="00923055">
        <w:rPr>
          <w:color w:val="262626" w:themeColor="text1" w:themeTint="D9"/>
        </w:rPr>
        <w:t>: FTE and headcount by division/branch</w:t>
      </w:r>
    </w:p>
    <w:tbl>
      <w:tblPr>
        <w:tblStyle w:val="ARTable"/>
        <w:tblW w:w="9072" w:type="dxa"/>
        <w:tblLook w:val="04A0" w:firstRow="1" w:lastRow="0" w:firstColumn="1" w:lastColumn="0" w:noHBand="0" w:noVBand="1"/>
      </w:tblPr>
      <w:tblGrid>
        <w:gridCol w:w="5245"/>
        <w:gridCol w:w="1985"/>
        <w:gridCol w:w="1842"/>
      </w:tblGrid>
      <w:tr w:rsidR="00870287" w:rsidRPr="00923055" w14:paraId="39E63AA4" w14:textId="77777777" w:rsidTr="009B6CCF">
        <w:trPr>
          <w:cnfStyle w:val="100000000000" w:firstRow="1" w:lastRow="0" w:firstColumn="0" w:lastColumn="0" w:oddVBand="0" w:evenVBand="0" w:oddHBand="0" w:evenHBand="0" w:firstRowFirstColumn="0" w:firstRowLastColumn="0" w:lastRowFirstColumn="0" w:lastRowLastColumn="0"/>
          <w:trHeight w:val="152"/>
        </w:trPr>
        <w:tc>
          <w:tcPr>
            <w:tcW w:w="5245" w:type="dxa"/>
          </w:tcPr>
          <w:p w14:paraId="73C90130" w14:textId="6FA873EC" w:rsidR="00870287" w:rsidRPr="00923055" w:rsidRDefault="00870287" w:rsidP="00AD126A">
            <w:pPr>
              <w:pStyle w:val="Tableheading"/>
              <w:tabs>
                <w:tab w:val="left" w:pos="9072"/>
              </w:tabs>
              <w:rPr>
                <w:sz w:val="22"/>
                <w:szCs w:val="22"/>
              </w:rPr>
            </w:pPr>
            <w:r w:rsidRPr="00923055">
              <w:rPr>
                <w:sz w:val="22"/>
                <w:szCs w:val="22"/>
              </w:rPr>
              <w:t>Division/Branch</w:t>
            </w:r>
          </w:p>
        </w:tc>
        <w:tc>
          <w:tcPr>
            <w:tcW w:w="1985" w:type="dxa"/>
          </w:tcPr>
          <w:p w14:paraId="013F8ECB" w14:textId="7E10447C" w:rsidR="00870287" w:rsidRPr="00923055" w:rsidRDefault="00870287" w:rsidP="00393BA5">
            <w:pPr>
              <w:pStyle w:val="Tableheading"/>
              <w:tabs>
                <w:tab w:val="left" w:pos="9072"/>
              </w:tabs>
              <w:jc w:val="center"/>
              <w:rPr>
                <w:sz w:val="22"/>
                <w:szCs w:val="22"/>
              </w:rPr>
            </w:pPr>
            <w:r w:rsidRPr="00923055">
              <w:rPr>
                <w:sz w:val="22"/>
                <w:szCs w:val="22"/>
              </w:rPr>
              <w:t>FTE</w:t>
            </w:r>
          </w:p>
        </w:tc>
        <w:tc>
          <w:tcPr>
            <w:tcW w:w="1842" w:type="dxa"/>
          </w:tcPr>
          <w:p w14:paraId="7E55BB10" w14:textId="6086F879" w:rsidR="00870287" w:rsidRPr="00923055" w:rsidRDefault="00870287" w:rsidP="00393BA5">
            <w:pPr>
              <w:pStyle w:val="Tableheading"/>
              <w:tabs>
                <w:tab w:val="left" w:pos="9072"/>
              </w:tabs>
              <w:jc w:val="center"/>
              <w:rPr>
                <w:sz w:val="22"/>
                <w:szCs w:val="22"/>
              </w:rPr>
            </w:pPr>
            <w:r w:rsidRPr="00923055">
              <w:rPr>
                <w:sz w:val="22"/>
                <w:szCs w:val="22"/>
              </w:rPr>
              <w:t>Headcount</w:t>
            </w:r>
          </w:p>
        </w:tc>
      </w:tr>
      <w:tr w:rsidR="00E45D08" w:rsidRPr="00803AC4" w14:paraId="79E4934D" w14:textId="77777777" w:rsidTr="009B6CCF">
        <w:trPr>
          <w:trHeight w:val="355"/>
        </w:trPr>
        <w:tc>
          <w:tcPr>
            <w:tcW w:w="5245" w:type="dxa"/>
            <w:tcBorders>
              <w:bottom w:val="single" w:sz="4" w:space="0" w:color="auto"/>
            </w:tcBorders>
          </w:tcPr>
          <w:p w14:paraId="5EFBCEEB" w14:textId="27CECB29" w:rsidR="00E45D08" w:rsidRPr="00923055" w:rsidRDefault="00E45D08" w:rsidP="00393BA5">
            <w:pPr>
              <w:pStyle w:val="Tabletext"/>
            </w:pPr>
            <w:r w:rsidRPr="00923055">
              <w:t>ACT Insurance Authority</w:t>
            </w:r>
          </w:p>
        </w:tc>
        <w:tc>
          <w:tcPr>
            <w:tcW w:w="1985" w:type="dxa"/>
            <w:tcBorders>
              <w:bottom w:val="single" w:sz="4" w:space="0" w:color="auto"/>
            </w:tcBorders>
          </w:tcPr>
          <w:p w14:paraId="7D3DE88E" w14:textId="20E4FC86" w:rsidR="00E45D08" w:rsidRPr="00923055" w:rsidRDefault="00E45D08" w:rsidP="00393BA5">
            <w:pPr>
              <w:pStyle w:val="Tabletext"/>
              <w:jc w:val="center"/>
            </w:pPr>
            <w:r w:rsidRPr="00923055">
              <w:t>3</w:t>
            </w:r>
            <w:r w:rsidR="00923055" w:rsidRPr="00923055">
              <w:t>2.2</w:t>
            </w:r>
          </w:p>
        </w:tc>
        <w:tc>
          <w:tcPr>
            <w:tcW w:w="1842" w:type="dxa"/>
            <w:tcBorders>
              <w:bottom w:val="single" w:sz="4" w:space="0" w:color="auto"/>
            </w:tcBorders>
          </w:tcPr>
          <w:p w14:paraId="4B0F91F6" w14:textId="3BF11824" w:rsidR="00E45D08" w:rsidRPr="00923055" w:rsidRDefault="00E45D08" w:rsidP="00393BA5">
            <w:pPr>
              <w:pStyle w:val="Tabletext"/>
              <w:jc w:val="center"/>
            </w:pPr>
            <w:r w:rsidRPr="00923055">
              <w:t>3</w:t>
            </w:r>
            <w:r w:rsidR="00923055" w:rsidRPr="00923055">
              <w:t>3</w:t>
            </w:r>
          </w:p>
        </w:tc>
      </w:tr>
    </w:tbl>
    <w:p w14:paraId="0F118B0B" w14:textId="6D2DB211" w:rsidR="00B3671D" w:rsidRPr="00713428" w:rsidRDefault="00B3671D" w:rsidP="00AD126A">
      <w:pPr>
        <w:pStyle w:val="TableCaption"/>
        <w:tabs>
          <w:tab w:val="left" w:pos="9072"/>
        </w:tabs>
        <w:rPr>
          <w:color w:val="262626" w:themeColor="text1" w:themeTint="D9"/>
        </w:rPr>
      </w:pPr>
      <w:r w:rsidRPr="00713428">
        <w:rPr>
          <w:color w:val="262626" w:themeColor="text1" w:themeTint="D9"/>
        </w:rPr>
        <w:t xml:space="preserve">Table </w:t>
      </w:r>
      <w:r w:rsidR="00831951" w:rsidRPr="00713428">
        <w:rPr>
          <w:color w:val="262626" w:themeColor="text1" w:themeTint="D9"/>
        </w:rPr>
        <w:t>B5: FTE and headcount by gender</w:t>
      </w:r>
    </w:p>
    <w:tbl>
      <w:tblPr>
        <w:tblStyle w:val="ARTable"/>
        <w:tblW w:w="9072" w:type="dxa"/>
        <w:tblLook w:val="04A0" w:firstRow="1" w:lastRow="0" w:firstColumn="1" w:lastColumn="0" w:noHBand="0" w:noVBand="1"/>
      </w:tblPr>
      <w:tblGrid>
        <w:gridCol w:w="3542"/>
        <w:gridCol w:w="1418"/>
        <w:gridCol w:w="1417"/>
        <w:gridCol w:w="1700"/>
        <w:gridCol w:w="995"/>
      </w:tblGrid>
      <w:tr w:rsidR="00A509A1" w:rsidRPr="00713428" w14:paraId="58752E24" w14:textId="77777777" w:rsidTr="004A3815">
        <w:trPr>
          <w:cnfStyle w:val="100000000000" w:firstRow="1" w:lastRow="0" w:firstColumn="0" w:lastColumn="0" w:oddVBand="0" w:evenVBand="0" w:oddHBand="0" w:evenHBand="0" w:firstRowFirstColumn="0" w:firstRowLastColumn="0" w:lastRowFirstColumn="0" w:lastRowLastColumn="0"/>
          <w:trHeight w:val="152"/>
        </w:trPr>
        <w:tc>
          <w:tcPr>
            <w:tcW w:w="3542" w:type="dxa"/>
          </w:tcPr>
          <w:p w14:paraId="2F0FD4F4" w14:textId="792329C5" w:rsidR="00A509A1" w:rsidRPr="00713428" w:rsidRDefault="00A509A1" w:rsidP="00AD126A">
            <w:pPr>
              <w:pStyle w:val="Tableheading"/>
              <w:tabs>
                <w:tab w:val="left" w:pos="9072"/>
              </w:tabs>
              <w:rPr>
                <w:sz w:val="22"/>
                <w:szCs w:val="22"/>
              </w:rPr>
            </w:pPr>
          </w:p>
        </w:tc>
        <w:tc>
          <w:tcPr>
            <w:tcW w:w="1418" w:type="dxa"/>
          </w:tcPr>
          <w:p w14:paraId="0D6951B6" w14:textId="7188ACDE" w:rsidR="00A509A1" w:rsidRPr="00713428" w:rsidRDefault="00A509A1" w:rsidP="00393BA5">
            <w:pPr>
              <w:pStyle w:val="Tableheading"/>
              <w:tabs>
                <w:tab w:val="left" w:pos="9072"/>
              </w:tabs>
              <w:jc w:val="center"/>
              <w:rPr>
                <w:sz w:val="22"/>
                <w:szCs w:val="22"/>
              </w:rPr>
            </w:pPr>
            <w:r w:rsidRPr="00713428">
              <w:rPr>
                <w:sz w:val="22"/>
                <w:szCs w:val="22"/>
              </w:rPr>
              <w:t>Female</w:t>
            </w:r>
          </w:p>
        </w:tc>
        <w:tc>
          <w:tcPr>
            <w:tcW w:w="1417" w:type="dxa"/>
          </w:tcPr>
          <w:p w14:paraId="1C706805" w14:textId="373CEA14" w:rsidR="00A509A1" w:rsidRPr="00713428" w:rsidRDefault="00A509A1" w:rsidP="00393BA5">
            <w:pPr>
              <w:pStyle w:val="Tableheading"/>
              <w:tabs>
                <w:tab w:val="left" w:pos="9072"/>
              </w:tabs>
              <w:jc w:val="center"/>
              <w:rPr>
                <w:sz w:val="22"/>
                <w:szCs w:val="22"/>
              </w:rPr>
            </w:pPr>
            <w:r w:rsidRPr="00713428">
              <w:rPr>
                <w:sz w:val="22"/>
                <w:szCs w:val="22"/>
              </w:rPr>
              <w:t>Male</w:t>
            </w:r>
          </w:p>
        </w:tc>
        <w:tc>
          <w:tcPr>
            <w:tcW w:w="1700" w:type="dxa"/>
          </w:tcPr>
          <w:p w14:paraId="1E61B151" w14:textId="36ECE2D3" w:rsidR="00A509A1" w:rsidRPr="00713428" w:rsidRDefault="00A509A1" w:rsidP="00AD126A">
            <w:pPr>
              <w:pStyle w:val="Tableheading"/>
              <w:tabs>
                <w:tab w:val="left" w:pos="9072"/>
              </w:tabs>
              <w:jc w:val="center"/>
              <w:rPr>
                <w:sz w:val="22"/>
                <w:szCs w:val="22"/>
              </w:rPr>
            </w:pPr>
            <w:r w:rsidRPr="00713428">
              <w:rPr>
                <w:sz w:val="22"/>
                <w:szCs w:val="22"/>
              </w:rPr>
              <w:t>Non-Binary</w:t>
            </w:r>
          </w:p>
        </w:tc>
        <w:tc>
          <w:tcPr>
            <w:tcW w:w="995" w:type="dxa"/>
          </w:tcPr>
          <w:p w14:paraId="1F534470" w14:textId="32091ED0" w:rsidR="00A509A1" w:rsidRPr="00713428" w:rsidRDefault="00A509A1" w:rsidP="00AD126A">
            <w:pPr>
              <w:pStyle w:val="Tableheading"/>
              <w:tabs>
                <w:tab w:val="left" w:pos="9072"/>
              </w:tabs>
              <w:jc w:val="center"/>
              <w:rPr>
                <w:sz w:val="22"/>
                <w:szCs w:val="22"/>
              </w:rPr>
            </w:pPr>
            <w:r w:rsidRPr="00713428">
              <w:rPr>
                <w:sz w:val="22"/>
                <w:szCs w:val="22"/>
              </w:rPr>
              <w:t>Total</w:t>
            </w:r>
          </w:p>
        </w:tc>
      </w:tr>
      <w:tr w:rsidR="00831951" w:rsidRPr="00713428" w14:paraId="7718E630" w14:textId="77777777" w:rsidTr="004A3815">
        <w:trPr>
          <w:trHeight w:val="355"/>
        </w:trPr>
        <w:tc>
          <w:tcPr>
            <w:tcW w:w="3542" w:type="dxa"/>
          </w:tcPr>
          <w:p w14:paraId="0619327F" w14:textId="00357A63" w:rsidR="00831951" w:rsidRPr="00713428" w:rsidRDefault="00831951" w:rsidP="00393BA5">
            <w:pPr>
              <w:pStyle w:val="Tabletext"/>
            </w:pPr>
            <w:r w:rsidRPr="00713428">
              <w:t>FTE by Gender</w:t>
            </w:r>
          </w:p>
        </w:tc>
        <w:tc>
          <w:tcPr>
            <w:tcW w:w="1418" w:type="dxa"/>
          </w:tcPr>
          <w:p w14:paraId="0FB2F3DA" w14:textId="541A4464" w:rsidR="00831951" w:rsidRPr="00713428" w:rsidRDefault="00831951" w:rsidP="00393BA5">
            <w:pPr>
              <w:pStyle w:val="Tabletext"/>
              <w:jc w:val="center"/>
            </w:pPr>
            <w:r w:rsidRPr="00713428">
              <w:t>2</w:t>
            </w:r>
            <w:r w:rsidR="00A9529A" w:rsidRPr="00713428">
              <w:t>1.2</w:t>
            </w:r>
          </w:p>
        </w:tc>
        <w:tc>
          <w:tcPr>
            <w:tcW w:w="1417" w:type="dxa"/>
          </w:tcPr>
          <w:p w14:paraId="5F41B122" w14:textId="5CF04E92" w:rsidR="00831951" w:rsidRPr="00713428" w:rsidRDefault="00A9529A" w:rsidP="00393BA5">
            <w:pPr>
              <w:pStyle w:val="Tabletext"/>
              <w:jc w:val="center"/>
            </w:pPr>
            <w:r w:rsidRPr="00713428">
              <w:t>11</w:t>
            </w:r>
            <w:r w:rsidR="00831951" w:rsidRPr="00713428">
              <w:t>.0</w:t>
            </w:r>
          </w:p>
        </w:tc>
        <w:tc>
          <w:tcPr>
            <w:tcW w:w="1700" w:type="dxa"/>
          </w:tcPr>
          <w:p w14:paraId="4C94AC5E" w14:textId="7B1573E1" w:rsidR="00831951" w:rsidRPr="00713428" w:rsidRDefault="00831951" w:rsidP="00393BA5">
            <w:pPr>
              <w:pStyle w:val="Tablefigures"/>
            </w:pPr>
            <w:r w:rsidRPr="00713428">
              <w:t>0.0</w:t>
            </w:r>
          </w:p>
        </w:tc>
        <w:tc>
          <w:tcPr>
            <w:tcW w:w="995" w:type="dxa"/>
          </w:tcPr>
          <w:p w14:paraId="7635555E" w14:textId="3EEE1986" w:rsidR="00831951" w:rsidRPr="00713428" w:rsidRDefault="00831951" w:rsidP="00393BA5">
            <w:pPr>
              <w:pStyle w:val="Tablefigures"/>
            </w:pPr>
            <w:r w:rsidRPr="00713428">
              <w:t>3</w:t>
            </w:r>
            <w:r w:rsidR="00713428" w:rsidRPr="00713428">
              <w:t>2.2</w:t>
            </w:r>
          </w:p>
        </w:tc>
      </w:tr>
      <w:tr w:rsidR="00831951" w:rsidRPr="00713428" w14:paraId="3B64F06F"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542" w:type="dxa"/>
          </w:tcPr>
          <w:p w14:paraId="1143C723" w14:textId="5BBC4E6D" w:rsidR="00831951" w:rsidRPr="00713428" w:rsidRDefault="00831951" w:rsidP="00393BA5">
            <w:pPr>
              <w:pStyle w:val="Tabletext"/>
            </w:pPr>
            <w:r w:rsidRPr="00713428">
              <w:t>Headcount by Gender</w:t>
            </w:r>
          </w:p>
        </w:tc>
        <w:tc>
          <w:tcPr>
            <w:tcW w:w="1418" w:type="dxa"/>
          </w:tcPr>
          <w:p w14:paraId="703B3B64" w14:textId="4253BC6D" w:rsidR="00831951" w:rsidRPr="00713428" w:rsidRDefault="00831951" w:rsidP="00393BA5">
            <w:pPr>
              <w:pStyle w:val="Tabletext"/>
              <w:jc w:val="center"/>
            </w:pPr>
            <w:r w:rsidRPr="00713428">
              <w:t>2</w:t>
            </w:r>
            <w:r w:rsidR="00A9529A" w:rsidRPr="00713428">
              <w:t>2</w:t>
            </w:r>
          </w:p>
        </w:tc>
        <w:tc>
          <w:tcPr>
            <w:tcW w:w="1417" w:type="dxa"/>
          </w:tcPr>
          <w:p w14:paraId="2B625594" w14:textId="11475529" w:rsidR="00831951" w:rsidRPr="00713428" w:rsidRDefault="00713428" w:rsidP="00393BA5">
            <w:pPr>
              <w:pStyle w:val="Tabletext"/>
              <w:jc w:val="center"/>
            </w:pPr>
            <w:r w:rsidRPr="00713428">
              <w:t>11</w:t>
            </w:r>
          </w:p>
        </w:tc>
        <w:tc>
          <w:tcPr>
            <w:tcW w:w="1700" w:type="dxa"/>
          </w:tcPr>
          <w:p w14:paraId="7BAB3847" w14:textId="586BD1FE" w:rsidR="00831951" w:rsidRPr="00713428" w:rsidRDefault="00831951" w:rsidP="00393BA5">
            <w:pPr>
              <w:pStyle w:val="Tablefigures"/>
            </w:pPr>
            <w:r w:rsidRPr="00713428">
              <w:t>0</w:t>
            </w:r>
          </w:p>
        </w:tc>
        <w:tc>
          <w:tcPr>
            <w:tcW w:w="995" w:type="dxa"/>
          </w:tcPr>
          <w:p w14:paraId="7679D81E" w14:textId="30AF840D" w:rsidR="00831951" w:rsidRPr="00713428" w:rsidRDefault="00831951" w:rsidP="00393BA5">
            <w:pPr>
              <w:pStyle w:val="Tablefigures"/>
            </w:pPr>
            <w:r w:rsidRPr="00713428">
              <w:t>3</w:t>
            </w:r>
            <w:r w:rsidR="00713428" w:rsidRPr="00713428">
              <w:t>3</w:t>
            </w:r>
          </w:p>
        </w:tc>
      </w:tr>
      <w:tr w:rsidR="00831951" w:rsidRPr="00713428" w14:paraId="6EAC3C23" w14:textId="77777777" w:rsidTr="009B6CCF">
        <w:trPr>
          <w:trHeight w:val="355"/>
        </w:trPr>
        <w:tc>
          <w:tcPr>
            <w:tcW w:w="3542" w:type="dxa"/>
            <w:tcBorders>
              <w:bottom w:val="single" w:sz="4" w:space="0" w:color="auto"/>
            </w:tcBorders>
          </w:tcPr>
          <w:p w14:paraId="2A689DC7" w14:textId="312F9735" w:rsidR="00831951" w:rsidRPr="00713428" w:rsidRDefault="00831951" w:rsidP="00393BA5">
            <w:pPr>
              <w:pStyle w:val="Tabletext"/>
            </w:pPr>
            <w:r w:rsidRPr="00713428">
              <w:t>% of Workforce</w:t>
            </w:r>
          </w:p>
        </w:tc>
        <w:tc>
          <w:tcPr>
            <w:tcW w:w="1418" w:type="dxa"/>
            <w:tcBorders>
              <w:bottom w:val="single" w:sz="4" w:space="0" w:color="auto"/>
            </w:tcBorders>
          </w:tcPr>
          <w:p w14:paraId="0A79B1C4" w14:textId="703B9145" w:rsidR="00831951" w:rsidRPr="00713428" w:rsidRDefault="00A9529A" w:rsidP="00393BA5">
            <w:pPr>
              <w:pStyle w:val="Tabletext"/>
              <w:jc w:val="center"/>
            </w:pPr>
            <w:r w:rsidRPr="00713428">
              <w:t>66.7</w:t>
            </w:r>
            <w:r w:rsidR="00831951" w:rsidRPr="00713428">
              <w:t>%</w:t>
            </w:r>
          </w:p>
        </w:tc>
        <w:tc>
          <w:tcPr>
            <w:tcW w:w="1417" w:type="dxa"/>
            <w:tcBorders>
              <w:bottom w:val="single" w:sz="4" w:space="0" w:color="auto"/>
            </w:tcBorders>
          </w:tcPr>
          <w:p w14:paraId="79A550D7" w14:textId="2A595F28" w:rsidR="00831951" w:rsidRPr="00713428" w:rsidRDefault="00713428" w:rsidP="00393BA5">
            <w:pPr>
              <w:pStyle w:val="Tabletext"/>
              <w:jc w:val="center"/>
            </w:pPr>
            <w:r w:rsidRPr="00713428">
              <w:t>33.3</w:t>
            </w:r>
            <w:r w:rsidR="00831951" w:rsidRPr="00713428">
              <w:t>%</w:t>
            </w:r>
          </w:p>
        </w:tc>
        <w:tc>
          <w:tcPr>
            <w:tcW w:w="1700" w:type="dxa"/>
            <w:tcBorders>
              <w:bottom w:val="single" w:sz="4" w:space="0" w:color="auto"/>
            </w:tcBorders>
          </w:tcPr>
          <w:p w14:paraId="07AF6EF3" w14:textId="4DA85FBE" w:rsidR="00831951" w:rsidRPr="00713428" w:rsidRDefault="00831951" w:rsidP="00393BA5">
            <w:pPr>
              <w:pStyle w:val="Tablefigures"/>
            </w:pPr>
            <w:r w:rsidRPr="00713428">
              <w:t>0.0%</w:t>
            </w:r>
          </w:p>
        </w:tc>
        <w:tc>
          <w:tcPr>
            <w:tcW w:w="995" w:type="dxa"/>
            <w:tcBorders>
              <w:bottom w:val="single" w:sz="4" w:space="0" w:color="auto"/>
            </w:tcBorders>
          </w:tcPr>
          <w:p w14:paraId="561B417D" w14:textId="442B0B86" w:rsidR="00831951" w:rsidRPr="00713428" w:rsidRDefault="00831951" w:rsidP="00393BA5">
            <w:pPr>
              <w:pStyle w:val="Tablefigures"/>
            </w:pPr>
            <w:r w:rsidRPr="00713428">
              <w:t>100.0%</w:t>
            </w:r>
          </w:p>
        </w:tc>
      </w:tr>
    </w:tbl>
    <w:p w14:paraId="70318BBA" w14:textId="73334D70" w:rsidR="00036CCC" w:rsidRPr="001B59A8" w:rsidRDefault="00036CCC" w:rsidP="00AD126A">
      <w:pPr>
        <w:pStyle w:val="TableCaption"/>
        <w:tabs>
          <w:tab w:val="left" w:pos="9072"/>
        </w:tabs>
        <w:rPr>
          <w:color w:val="262626" w:themeColor="text1" w:themeTint="D9"/>
        </w:rPr>
      </w:pPr>
      <w:r w:rsidRPr="001B59A8">
        <w:rPr>
          <w:color w:val="262626" w:themeColor="text1" w:themeTint="D9"/>
        </w:rPr>
        <w:t xml:space="preserve">Table B6: </w:t>
      </w:r>
      <w:r w:rsidR="00160F93" w:rsidRPr="001B59A8">
        <w:rPr>
          <w:color w:val="262626" w:themeColor="text1" w:themeTint="D9"/>
        </w:rPr>
        <w:t>H</w:t>
      </w:r>
      <w:r w:rsidRPr="001B59A8">
        <w:rPr>
          <w:color w:val="262626" w:themeColor="text1" w:themeTint="D9"/>
        </w:rPr>
        <w:t xml:space="preserve">eadcount by </w:t>
      </w:r>
      <w:r w:rsidR="00160F93" w:rsidRPr="001B59A8">
        <w:rPr>
          <w:color w:val="262626" w:themeColor="text1" w:themeTint="D9"/>
        </w:rPr>
        <w:t xml:space="preserve">classification and </w:t>
      </w:r>
      <w:r w:rsidRPr="001B59A8">
        <w:rPr>
          <w:color w:val="262626" w:themeColor="text1" w:themeTint="D9"/>
        </w:rPr>
        <w:t>gender</w:t>
      </w:r>
    </w:p>
    <w:tbl>
      <w:tblPr>
        <w:tblStyle w:val="ARTable"/>
        <w:tblW w:w="9072" w:type="dxa"/>
        <w:tblLook w:val="04A0" w:firstRow="1" w:lastRow="0" w:firstColumn="1" w:lastColumn="0" w:noHBand="0" w:noVBand="1"/>
      </w:tblPr>
      <w:tblGrid>
        <w:gridCol w:w="3402"/>
        <w:gridCol w:w="1418"/>
        <w:gridCol w:w="1417"/>
        <w:gridCol w:w="1701"/>
        <w:gridCol w:w="1134"/>
      </w:tblGrid>
      <w:tr w:rsidR="00036CCC" w:rsidRPr="001B59A8" w14:paraId="3E376378"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37CA50D6" w14:textId="0DD3B1E0" w:rsidR="00036CCC" w:rsidRPr="001B59A8" w:rsidRDefault="00160F93" w:rsidP="00AD126A">
            <w:pPr>
              <w:pStyle w:val="Tableheading"/>
              <w:tabs>
                <w:tab w:val="left" w:pos="9072"/>
              </w:tabs>
              <w:rPr>
                <w:sz w:val="22"/>
                <w:szCs w:val="22"/>
              </w:rPr>
            </w:pPr>
            <w:r w:rsidRPr="001B59A8">
              <w:rPr>
                <w:sz w:val="22"/>
                <w:szCs w:val="22"/>
              </w:rPr>
              <w:t>Classification Group</w:t>
            </w:r>
          </w:p>
        </w:tc>
        <w:tc>
          <w:tcPr>
            <w:tcW w:w="1418" w:type="dxa"/>
          </w:tcPr>
          <w:p w14:paraId="678BFBBB" w14:textId="77777777" w:rsidR="00036CCC" w:rsidRPr="001B59A8" w:rsidRDefault="00036CCC" w:rsidP="00393BA5">
            <w:pPr>
              <w:pStyle w:val="Tableheading"/>
              <w:tabs>
                <w:tab w:val="left" w:pos="9072"/>
              </w:tabs>
              <w:jc w:val="center"/>
              <w:rPr>
                <w:sz w:val="22"/>
                <w:szCs w:val="22"/>
              </w:rPr>
            </w:pPr>
            <w:r w:rsidRPr="001B59A8">
              <w:rPr>
                <w:sz w:val="22"/>
                <w:szCs w:val="22"/>
              </w:rPr>
              <w:t>Female</w:t>
            </w:r>
          </w:p>
        </w:tc>
        <w:tc>
          <w:tcPr>
            <w:tcW w:w="1417" w:type="dxa"/>
          </w:tcPr>
          <w:p w14:paraId="0045148C" w14:textId="77777777" w:rsidR="00036CCC" w:rsidRPr="001B59A8" w:rsidRDefault="00036CCC" w:rsidP="00393BA5">
            <w:pPr>
              <w:pStyle w:val="Tableheading"/>
              <w:tabs>
                <w:tab w:val="left" w:pos="9072"/>
              </w:tabs>
              <w:jc w:val="center"/>
              <w:rPr>
                <w:sz w:val="22"/>
                <w:szCs w:val="22"/>
              </w:rPr>
            </w:pPr>
            <w:r w:rsidRPr="001B59A8">
              <w:rPr>
                <w:sz w:val="22"/>
                <w:szCs w:val="22"/>
              </w:rPr>
              <w:t>Male</w:t>
            </w:r>
          </w:p>
        </w:tc>
        <w:tc>
          <w:tcPr>
            <w:tcW w:w="1701" w:type="dxa"/>
          </w:tcPr>
          <w:p w14:paraId="7531E9A4" w14:textId="77777777" w:rsidR="00036CCC" w:rsidRPr="001B59A8" w:rsidRDefault="00036CCC" w:rsidP="00AD126A">
            <w:pPr>
              <w:pStyle w:val="Tableheading"/>
              <w:tabs>
                <w:tab w:val="left" w:pos="9072"/>
              </w:tabs>
              <w:jc w:val="center"/>
              <w:rPr>
                <w:sz w:val="22"/>
                <w:szCs w:val="22"/>
              </w:rPr>
            </w:pPr>
            <w:r w:rsidRPr="001B59A8">
              <w:rPr>
                <w:sz w:val="22"/>
                <w:szCs w:val="22"/>
              </w:rPr>
              <w:t>Non-Binary</w:t>
            </w:r>
          </w:p>
        </w:tc>
        <w:tc>
          <w:tcPr>
            <w:tcW w:w="1134" w:type="dxa"/>
          </w:tcPr>
          <w:p w14:paraId="16DD2DEC" w14:textId="77777777" w:rsidR="00036CCC" w:rsidRPr="001B59A8" w:rsidRDefault="00036CCC" w:rsidP="00AD126A">
            <w:pPr>
              <w:pStyle w:val="Tableheading"/>
              <w:tabs>
                <w:tab w:val="left" w:pos="9072"/>
              </w:tabs>
              <w:jc w:val="center"/>
              <w:rPr>
                <w:sz w:val="22"/>
                <w:szCs w:val="22"/>
              </w:rPr>
            </w:pPr>
            <w:r w:rsidRPr="001B59A8">
              <w:rPr>
                <w:sz w:val="22"/>
                <w:szCs w:val="22"/>
              </w:rPr>
              <w:t>Total</w:t>
            </w:r>
          </w:p>
        </w:tc>
      </w:tr>
      <w:tr w:rsidR="008B1FBA" w:rsidRPr="001B59A8" w14:paraId="399709D2" w14:textId="77777777">
        <w:trPr>
          <w:trHeight w:val="355"/>
        </w:trPr>
        <w:tc>
          <w:tcPr>
            <w:tcW w:w="3402" w:type="dxa"/>
          </w:tcPr>
          <w:p w14:paraId="6DEFB6ED" w14:textId="7357F8C4" w:rsidR="008B1FBA" w:rsidRPr="001B59A8" w:rsidRDefault="008B1FBA" w:rsidP="00393BA5">
            <w:pPr>
              <w:pStyle w:val="Tabletext"/>
            </w:pPr>
            <w:r w:rsidRPr="001B59A8">
              <w:t>Administrative Officers</w:t>
            </w:r>
          </w:p>
        </w:tc>
        <w:tc>
          <w:tcPr>
            <w:tcW w:w="1418" w:type="dxa"/>
          </w:tcPr>
          <w:p w14:paraId="2049951D" w14:textId="3D5ED04F" w:rsidR="008B1FBA" w:rsidRPr="001B59A8" w:rsidRDefault="008B1FBA" w:rsidP="00393BA5">
            <w:pPr>
              <w:pStyle w:val="Tabletext"/>
              <w:jc w:val="center"/>
            </w:pPr>
            <w:r w:rsidRPr="001B59A8">
              <w:t>1</w:t>
            </w:r>
            <w:r w:rsidR="00954ABB" w:rsidRPr="001B59A8">
              <w:t>5</w:t>
            </w:r>
          </w:p>
        </w:tc>
        <w:tc>
          <w:tcPr>
            <w:tcW w:w="1417" w:type="dxa"/>
          </w:tcPr>
          <w:p w14:paraId="41EA4C7B" w14:textId="4B324EB4" w:rsidR="008B1FBA" w:rsidRPr="001B59A8" w:rsidRDefault="00954ABB" w:rsidP="00393BA5">
            <w:pPr>
              <w:pStyle w:val="Tabletext"/>
              <w:jc w:val="center"/>
            </w:pPr>
            <w:r w:rsidRPr="001B59A8">
              <w:t>5</w:t>
            </w:r>
          </w:p>
        </w:tc>
        <w:tc>
          <w:tcPr>
            <w:tcW w:w="1701" w:type="dxa"/>
          </w:tcPr>
          <w:p w14:paraId="5484E772" w14:textId="330BC630" w:rsidR="008B1FBA" w:rsidRPr="001B59A8" w:rsidRDefault="008B1FBA" w:rsidP="00393BA5">
            <w:pPr>
              <w:pStyle w:val="Tablefigures"/>
            </w:pPr>
            <w:r w:rsidRPr="001B59A8">
              <w:t>0</w:t>
            </w:r>
          </w:p>
        </w:tc>
        <w:tc>
          <w:tcPr>
            <w:tcW w:w="1134" w:type="dxa"/>
          </w:tcPr>
          <w:p w14:paraId="09AFD550" w14:textId="12373771" w:rsidR="008B1FBA" w:rsidRPr="001B59A8" w:rsidRDefault="00954ABB" w:rsidP="00393BA5">
            <w:pPr>
              <w:pStyle w:val="Tablefigures"/>
            </w:pPr>
            <w:r w:rsidRPr="001B59A8">
              <w:t>20</w:t>
            </w:r>
          </w:p>
        </w:tc>
      </w:tr>
      <w:tr w:rsidR="008B1FBA" w:rsidRPr="001B59A8" w14:paraId="0E0B991D"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72609A1F" w14:textId="21CB9FB9" w:rsidR="008B1FBA" w:rsidRPr="001B59A8" w:rsidRDefault="008B1FBA" w:rsidP="00393BA5">
            <w:pPr>
              <w:pStyle w:val="Tabletext"/>
            </w:pPr>
            <w:r w:rsidRPr="001B59A8">
              <w:t>Senior Officers</w:t>
            </w:r>
          </w:p>
        </w:tc>
        <w:tc>
          <w:tcPr>
            <w:tcW w:w="1418" w:type="dxa"/>
          </w:tcPr>
          <w:p w14:paraId="7F05997C" w14:textId="17C632C3" w:rsidR="008B1FBA" w:rsidRPr="001B59A8" w:rsidRDefault="00954ABB" w:rsidP="00393BA5">
            <w:pPr>
              <w:pStyle w:val="Tabletext"/>
              <w:jc w:val="center"/>
            </w:pPr>
            <w:r w:rsidRPr="001B59A8">
              <w:t>6</w:t>
            </w:r>
          </w:p>
        </w:tc>
        <w:tc>
          <w:tcPr>
            <w:tcW w:w="1417" w:type="dxa"/>
          </w:tcPr>
          <w:p w14:paraId="14DE1E90" w14:textId="16AE613A" w:rsidR="008B1FBA" w:rsidRPr="001B59A8" w:rsidRDefault="008B1FBA" w:rsidP="00393BA5">
            <w:pPr>
              <w:pStyle w:val="Tabletext"/>
              <w:jc w:val="center"/>
            </w:pPr>
            <w:r w:rsidRPr="001B59A8">
              <w:t>6</w:t>
            </w:r>
          </w:p>
        </w:tc>
        <w:tc>
          <w:tcPr>
            <w:tcW w:w="1701" w:type="dxa"/>
          </w:tcPr>
          <w:p w14:paraId="28473F2C" w14:textId="0E933801" w:rsidR="008B1FBA" w:rsidRPr="001B59A8" w:rsidRDefault="008B1FBA" w:rsidP="00393BA5">
            <w:pPr>
              <w:pStyle w:val="Tablefigures"/>
            </w:pPr>
            <w:r w:rsidRPr="001B59A8">
              <w:t>0</w:t>
            </w:r>
          </w:p>
        </w:tc>
        <w:tc>
          <w:tcPr>
            <w:tcW w:w="1134" w:type="dxa"/>
          </w:tcPr>
          <w:p w14:paraId="504F520D" w14:textId="15DDAFDD" w:rsidR="008B1FBA" w:rsidRPr="001B59A8" w:rsidRDefault="008B1FBA" w:rsidP="00393BA5">
            <w:pPr>
              <w:pStyle w:val="Tablefigures"/>
            </w:pPr>
            <w:r w:rsidRPr="001B59A8">
              <w:t>1</w:t>
            </w:r>
            <w:r w:rsidR="001B59A8" w:rsidRPr="001B59A8">
              <w:t>2</w:t>
            </w:r>
          </w:p>
        </w:tc>
      </w:tr>
      <w:tr w:rsidR="008B1FBA" w:rsidRPr="001B59A8" w14:paraId="1F5A3034" w14:textId="77777777" w:rsidTr="009B6CCF">
        <w:trPr>
          <w:trHeight w:val="355"/>
        </w:trPr>
        <w:tc>
          <w:tcPr>
            <w:tcW w:w="3402" w:type="dxa"/>
          </w:tcPr>
          <w:p w14:paraId="63EF37DC" w14:textId="370DBC52" w:rsidR="008B1FBA" w:rsidRPr="001B59A8" w:rsidRDefault="008B1FBA" w:rsidP="00393BA5">
            <w:pPr>
              <w:pStyle w:val="Tabletext"/>
            </w:pPr>
            <w:r w:rsidRPr="001B59A8">
              <w:t>Executive Officers</w:t>
            </w:r>
          </w:p>
        </w:tc>
        <w:tc>
          <w:tcPr>
            <w:tcW w:w="1418" w:type="dxa"/>
          </w:tcPr>
          <w:p w14:paraId="6B3ED24E" w14:textId="24FE6CC8" w:rsidR="008B1FBA" w:rsidRPr="001B59A8" w:rsidRDefault="008B1FBA" w:rsidP="00393BA5">
            <w:pPr>
              <w:pStyle w:val="Tabletext"/>
              <w:jc w:val="center"/>
            </w:pPr>
            <w:r w:rsidRPr="001B59A8">
              <w:t>1</w:t>
            </w:r>
          </w:p>
        </w:tc>
        <w:tc>
          <w:tcPr>
            <w:tcW w:w="1417" w:type="dxa"/>
          </w:tcPr>
          <w:p w14:paraId="6416DCF1" w14:textId="4FA00A13" w:rsidR="008B1FBA" w:rsidRPr="001B59A8" w:rsidRDefault="008B1FBA" w:rsidP="00393BA5">
            <w:pPr>
              <w:pStyle w:val="Tabletext"/>
              <w:jc w:val="center"/>
            </w:pPr>
            <w:r w:rsidRPr="001B59A8">
              <w:t>0</w:t>
            </w:r>
          </w:p>
        </w:tc>
        <w:tc>
          <w:tcPr>
            <w:tcW w:w="1701" w:type="dxa"/>
          </w:tcPr>
          <w:p w14:paraId="5C26E4E3" w14:textId="49AF5770" w:rsidR="008B1FBA" w:rsidRPr="001B59A8" w:rsidRDefault="008B1FBA" w:rsidP="00393BA5">
            <w:pPr>
              <w:pStyle w:val="Tablefigures"/>
            </w:pPr>
            <w:r w:rsidRPr="001B59A8">
              <w:t>0</w:t>
            </w:r>
          </w:p>
        </w:tc>
        <w:tc>
          <w:tcPr>
            <w:tcW w:w="1134" w:type="dxa"/>
          </w:tcPr>
          <w:p w14:paraId="5B27C26A" w14:textId="66BA4A0A" w:rsidR="008B1FBA" w:rsidRPr="001B59A8" w:rsidRDefault="008B1FBA" w:rsidP="00393BA5">
            <w:pPr>
              <w:pStyle w:val="Tablefigures"/>
            </w:pPr>
            <w:r w:rsidRPr="001B59A8">
              <w:t>1</w:t>
            </w:r>
          </w:p>
        </w:tc>
      </w:tr>
      <w:tr w:rsidR="008B1FBA" w:rsidRPr="001B59A8" w14:paraId="4A2D5181"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DFD9F96" w14:textId="78239A9C" w:rsidR="008B1FBA" w:rsidRPr="001B59A8" w:rsidRDefault="008B1FBA" w:rsidP="00393BA5">
            <w:pPr>
              <w:pStyle w:val="Tabletext"/>
            </w:pPr>
            <w:r w:rsidRPr="001B59A8">
              <w:t>TOTAL</w:t>
            </w:r>
          </w:p>
        </w:tc>
        <w:tc>
          <w:tcPr>
            <w:tcW w:w="1418" w:type="dxa"/>
            <w:tcBorders>
              <w:bottom w:val="single" w:sz="4" w:space="0" w:color="auto"/>
            </w:tcBorders>
          </w:tcPr>
          <w:p w14:paraId="35E02438" w14:textId="7CC0A028" w:rsidR="008B1FBA" w:rsidRPr="001B59A8" w:rsidRDefault="008B1FBA" w:rsidP="00393BA5">
            <w:pPr>
              <w:pStyle w:val="Tabletext"/>
              <w:jc w:val="center"/>
            </w:pPr>
            <w:r w:rsidRPr="001B59A8">
              <w:t>2</w:t>
            </w:r>
            <w:r w:rsidR="00954ABB" w:rsidRPr="001B59A8">
              <w:t>2</w:t>
            </w:r>
          </w:p>
        </w:tc>
        <w:tc>
          <w:tcPr>
            <w:tcW w:w="1417" w:type="dxa"/>
            <w:tcBorders>
              <w:bottom w:val="single" w:sz="4" w:space="0" w:color="auto"/>
            </w:tcBorders>
          </w:tcPr>
          <w:p w14:paraId="72DA5361" w14:textId="4282368E" w:rsidR="008B1FBA" w:rsidRPr="001B59A8" w:rsidRDefault="00954ABB" w:rsidP="00393BA5">
            <w:pPr>
              <w:pStyle w:val="Tabletext"/>
              <w:jc w:val="center"/>
            </w:pPr>
            <w:r w:rsidRPr="001B59A8">
              <w:t>11</w:t>
            </w:r>
          </w:p>
        </w:tc>
        <w:tc>
          <w:tcPr>
            <w:tcW w:w="1701" w:type="dxa"/>
            <w:tcBorders>
              <w:bottom w:val="single" w:sz="4" w:space="0" w:color="auto"/>
            </w:tcBorders>
          </w:tcPr>
          <w:p w14:paraId="3CBDA4AD" w14:textId="553F1DEF" w:rsidR="008B1FBA" w:rsidRPr="001B59A8" w:rsidRDefault="008B1FBA" w:rsidP="00393BA5">
            <w:pPr>
              <w:pStyle w:val="Tablefigures"/>
            </w:pPr>
            <w:r w:rsidRPr="001B59A8">
              <w:t>0</w:t>
            </w:r>
          </w:p>
        </w:tc>
        <w:tc>
          <w:tcPr>
            <w:tcW w:w="1134" w:type="dxa"/>
            <w:tcBorders>
              <w:bottom w:val="single" w:sz="4" w:space="0" w:color="auto"/>
            </w:tcBorders>
          </w:tcPr>
          <w:p w14:paraId="5263652D" w14:textId="2D41A815" w:rsidR="008B1FBA" w:rsidRPr="001B59A8" w:rsidRDefault="008B1FBA" w:rsidP="00393BA5">
            <w:pPr>
              <w:pStyle w:val="Tablefigures"/>
            </w:pPr>
            <w:r w:rsidRPr="001B59A8">
              <w:t>3</w:t>
            </w:r>
            <w:r w:rsidR="001B59A8" w:rsidRPr="001B59A8">
              <w:t>3</w:t>
            </w:r>
          </w:p>
        </w:tc>
      </w:tr>
    </w:tbl>
    <w:p w14:paraId="47B7F7A5" w14:textId="72E7D5D7" w:rsidR="0030156D" w:rsidRPr="00405394" w:rsidRDefault="0030156D" w:rsidP="00AD126A">
      <w:pPr>
        <w:pStyle w:val="TableCaption"/>
        <w:tabs>
          <w:tab w:val="left" w:pos="9072"/>
        </w:tabs>
        <w:rPr>
          <w:color w:val="262626" w:themeColor="text1" w:themeTint="D9"/>
        </w:rPr>
      </w:pPr>
      <w:r w:rsidRPr="00405394">
        <w:rPr>
          <w:color w:val="262626" w:themeColor="text1" w:themeTint="D9"/>
        </w:rPr>
        <w:lastRenderedPageBreak/>
        <w:t xml:space="preserve">Table B7: Headcount by </w:t>
      </w:r>
      <w:r w:rsidR="00D67B29" w:rsidRPr="00405394">
        <w:rPr>
          <w:color w:val="262626" w:themeColor="text1" w:themeTint="D9"/>
        </w:rPr>
        <w:t>employment category</w:t>
      </w:r>
      <w:r w:rsidRPr="00405394">
        <w:rPr>
          <w:color w:val="262626" w:themeColor="text1" w:themeTint="D9"/>
        </w:rPr>
        <w:t xml:space="preserve"> and gender</w:t>
      </w:r>
    </w:p>
    <w:tbl>
      <w:tblPr>
        <w:tblStyle w:val="ARTable"/>
        <w:tblW w:w="9072" w:type="dxa"/>
        <w:tblLook w:val="04A0" w:firstRow="1" w:lastRow="0" w:firstColumn="1" w:lastColumn="0" w:noHBand="0" w:noVBand="1"/>
      </w:tblPr>
      <w:tblGrid>
        <w:gridCol w:w="3402"/>
        <w:gridCol w:w="1418"/>
        <w:gridCol w:w="1417"/>
        <w:gridCol w:w="1701"/>
        <w:gridCol w:w="1134"/>
      </w:tblGrid>
      <w:tr w:rsidR="0030156D" w:rsidRPr="00405394" w14:paraId="496FE52D"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77A4548C" w14:textId="6C6DB1B6" w:rsidR="0030156D" w:rsidRPr="00405394" w:rsidRDefault="00D67B29" w:rsidP="00AD126A">
            <w:pPr>
              <w:pStyle w:val="Tableheading"/>
              <w:tabs>
                <w:tab w:val="left" w:pos="9072"/>
              </w:tabs>
              <w:rPr>
                <w:sz w:val="22"/>
                <w:szCs w:val="22"/>
              </w:rPr>
            </w:pPr>
            <w:r w:rsidRPr="00405394">
              <w:rPr>
                <w:sz w:val="22"/>
                <w:szCs w:val="22"/>
              </w:rPr>
              <w:t>Employment Category</w:t>
            </w:r>
          </w:p>
        </w:tc>
        <w:tc>
          <w:tcPr>
            <w:tcW w:w="1418" w:type="dxa"/>
          </w:tcPr>
          <w:p w14:paraId="764C81D5" w14:textId="77777777" w:rsidR="0030156D" w:rsidRPr="00405394" w:rsidRDefault="0030156D" w:rsidP="00393BA5">
            <w:pPr>
              <w:pStyle w:val="Tableheading"/>
              <w:tabs>
                <w:tab w:val="left" w:pos="9072"/>
              </w:tabs>
              <w:jc w:val="center"/>
              <w:rPr>
                <w:sz w:val="22"/>
                <w:szCs w:val="22"/>
              </w:rPr>
            </w:pPr>
            <w:r w:rsidRPr="00405394">
              <w:rPr>
                <w:sz w:val="22"/>
                <w:szCs w:val="22"/>
              </w:rPr>
              <w:t>Female</w:t>
            </w:r>
          </w:p>
        </w:tc>
        <w:tc>
          <w:tcPr>
            <w:tcW w:w="1417" w:type="dxa"/>
          </w:tcPr>
          <w:p w14:paraId="701DB5B2" w14:textId="77777777" w:rsidR="0030156D" w:rsidRPr="00405394" w:rsidRDefault="0030156D" w:rsidP="00393BA5">
            <w:pPr>
              <w:pStyle w:val="Tableheading"/>
              <w:tabs>
                <w:tab w:val="left" w:pos="9072"/>
              </w:tabs>
              <w:jc w:val="center"/>
              <w:rPr>
                <w:sz w:val="22"/>
                <w:szCs w:val="22"/>
              </w:rPr>
            </w:pPr>
            <w:r w:rsidRPr="00405394">
              <w:rPr>
                <w:sz w:val="22"/>
                <w:szCs w:val="22"/>
              </w:rPr>
              <w:t>Male</w:t>
            </w:r>
          </w:p>
        </w:tc>
        <w:tc>
          <w:tcPr>
            <w:tcW w:w="1701" w:type="dxa"/>
          </w:tcPr>
          <w:p w14:paraId="3ED06E77" w14:textId="77777777" w:rsidR="0030156D" w:rsidRPr="00405394" w:rsidRDefault="0030156D" w:rsidP="00AD126A">
            <w:pPr>
              <w:pStyle w:val="Tableheading"/>
              <w:tabs>
                <w:tab w:val="left" w:pos="9072"/>
              </w:tabs>
              <w:jc w:val="center"/>
              <w:rPr>
                <w:sz w:val="22"/>
                <w:szCs w:val="22"/>
              </w:rPr>
            </w:pPr>
            <w:r w:rsidRPr="00405394">
              <w:rPr>
                <w:sz w:val="22"/>
                <w:szCs w:val="22"/>
              </w:rPr>
              <w:t>Non-Binary</w:t>
            </w:r>
          </w:p>
        </w:tc>
        <w:tc>
          <w:tcPr>
            <w:tcW w:w="1134" w:type="dxa"/>
          </w:tcPr>
          <w:p w14:paraId="5D2AAE5C" w14:textId="77777777" w:rsidR="0030156D" w:rsidRPr="00405394" w:rsidRDefault="0030156D" w:rsidP="00AD126A">
            <w:pPr>
              <w:pStyle w:val="Tableheading"/>
              <w:tabs>
                <w:tab w:val="left" w:pos="9072"/>
              </w:tabs>
              <w:jc w:val="center"/>
              <w:rPr>
                <w:sz w:val="22"/>
                <w:szCs w:val="22"/>
              </w:rPr>
            </w:pPr>
            <w:r w:rsidRPr="00405394">
              <w:rPr>
                <w:sz w:val="22"/>
                <w:szCs w:val="22"/>
              </w:rPr>
              <w:t>Total</w:t>
            </w:r>
          </w:p>
        </w:tc>
      </w:tr>
      <w:tr w:rsidR="00346E16" w:rsidRPr="00405394" w14:paraId="5C3E723D" w14:textId="77777777">
        <w:trPr>
          <w:trHeight w:val="355"/>
        </w:trPr>
        <w:tc>
          <w:tcPr>
            <w:tcW w:w="3402" w:type="dxa"/>
          </w:tcPr>
          <w:p w14:paraId="64B7BC72" w14:textId="256232A4" w:rsidR="00346E16" w:rsidRPr="00405394" w:rsidRDefault="00346E16" w:rsidP="00393BA5">
            <w:pPr>
              <w:pStyle w:val="Tabletext"/>
            </w:pPr>
            <w:r w:rsidRPr="00405394">
              <w:t>Casual</w:t>
            </w:r>
          </w:p>
        </w:tc>
        <w:tc>
          <w:tcPr>
            <w:tcW w:w="1418" w:type="dxa"/>
          </w:tcPr>
          <w:p w14:paraId="77C55E17" w14:textId="2CC9F6D6" w:rsidR="00346E16" w:rsidRPr="00405394" w:rsidRDefault="00346E16" w:rsidP="00393BA5">
            <w:pPr>
              <w:pStyle w:val="Tabletext"/>
              <w:jc w:val="center"/>
            </w:pPr>
            <w:r w:rsidRPr="00405394">
              <w:t>0</w:t>
            </w:r>
          </w:p>
        </w:tc>
        <w:tc>
          <w:tcPr>
            <w:tcW w:w="1417" w:type="dxa"/>
          </w:tcPr>
          <w:p w14:paraId="69B7A225" w14:textId="74E2A6A9" w:rsidR="00346E16" w:rsidRPr="00405394" w:rsidRDefault="00346E16" w:rsidP="00393BA5">
            <w:pPr>
              <w:pStyle w:val="Tabletext"/>
              <w:jc w:val="center"/>
            </w:pPr>
            <w:r w:rsidRPr="00405394">
              <w:t>0</w:t>
            </w:r>
          </w:p>
        </w:tc>
        <w:tc>
          <w:tcPr>
            <w:tcW w:w="1701" w:type="dxa"/>
          </w:tcPr>
          <w:p w14:paraId="44D46724" w14:textId="1A4F1A14" w:rsidR="00346E16" w:rsidRPr="00405394" w:rsidRDefault="00346E16" w:rsidP="00393BA5">
            <w:pPr>
              <w:pStyle w:val="Tablefigures"/>
            </w:pPr>
            <w:r w:rsidRPr="00405394">
              <w:t>0</w:t>
            </w:r>
          </w:p>
        </w:tc>
        <w:tc>
          <w:tcPr>
            <w:tcW w:w="1134" w:type="dxa"/>
          </w:tcPr>
          <w:p w14:paraId="2385BA07" w14:textId="37E146D8" w:rsidR="00346E16" w:rsidRPr="00405394" w:rsidRDefault="00346E16" w:rsidP="00393BA5">
            <w:pPr>
              <w:pStyle w:val="Tablefigures"/>
            </w:pPr>
            <w:r w:rsidRPr="00405394">
              <w:t>0</w:t>
            </w:r>
          </w:p>
        </w:tc>
      </w:tr>
      <w:tr w:rsidR="00346E16" w:rsidRPr="00405394" w14:paraId="2600DD27"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62B163E0" w14:textId="19FCA68A" w:rsidR="00346E16" w:rsidRPr="00405394" w:rsidRDefault="00346E16" w:rsidP="00393BA5">
            <w:pPr>
              <w:pStyle w:val="Tabletext"/>
            </w:pPr>
            <w:r w:rsidRPr="00405394">
              <w:t>Permanent Full-time</w:t>
            </w:r>
          </w:p>
        </w:tc>
        <w:tc>
          <w:tcPr>
            <w:tcW w:w="1418" w:type="dxa"/>
          </w:tcPr>
          <w:p w14:paraId="4A5180C9" w14:textId="29015C68" w:rsidR="00346E16" w:rsidRPr="00405394" w:rsidRDefault="00346E16" w:rsidP="00393BA5">
            <w:pPr>
              <w:pStyle w:val="Tabletext"/>
              <w:jc w:val="center"/>
            </w:pPr>
            <w:r w:rsidRPr="00405394">
              <w:t>1</w:t>
            </w:r>
            <w:r w:rsidR="001B59A8" w:rsidRPr="00405394">
              <w:t>5</w:t>
            </w:r>
          </w:p>
        </w:tc>
        <w:tc>
          <w:tcPr>
            <w:tcW w:w="1417" w:type="dxa"/>
          </w:tcPr>
          <w:p w14:paraId="33C674E3" w14:textId="39EA2A26" w:rsidR="00346E16" w:rsidRPr="00405394" w:rsidRDefault="004564E8" w:rsidP="00393BA5">
            <w:pPr>
              <w:pStyle w:val="Tabletext"/>
              <w:jc w:val="center"/>
            </w:pPr>
            <w:r w:rsidRPr="00405394">
              <w:t>8</w:t>
            </w:r>
          </w:p>
        </w:tc>
        <w:tc>
          <w:tcPr>
            <w:tcW w:w="1701" w:type="dxa"/>
          </w:tcPr>
          <w:p w14:paraId="5F7F0872" w14:textId="3E9BC380" w:rsidR="00346E16" w:rsidRPr="00405394" w:rsidRDefault="00346E16" w:rsidP="00393BA5">
            <w:pPr>
              <w:pStyle w:val="Tablefigures"/>
            </w:pPr>
            <w:r w:rsidRPr="00405394">
              <w:t>0</w:t>
            </w:r>
          </w:p>
        </w:tc>
        <w:tc>
          <w:tcPr>
            <w:tcW w:w="1134" w:type="dxa"/>
          </w:tcPr>
          <w:p w14:paraId="2773F168" w14:textId="61CB5FD4" w:rsidR="00346E16" w:rsidRPr="00405394" w:rsidRDefault="00346E16" w:rsidP="00393BA5">
            <w:pPr>
              <w:pStyle w:val="Tablefigures"/>
            </w:pPr>
            <w:r w:rsidRPr="00405394">
              <w:t>2</w:t>
            </w:r>
            <w:r w:rsidR="004564E8" w:rsidRPr="00405394">
              <w:t>3</w:t>
            </w:r>
          </w:p>
        </w:tc>
      </w:tr>
      <w:tr w:rsidR="00346E16" w:rsidRPr="00405394" w14:paraId="33BCA30D" w14:textId="77777777">
        <w:trPr>
          <w:trHeight w:val="355"/>
        </w:trPr>
        <w:tc>
          <w:tcPr>
            <w:tcW w:w="3402" w:type="dxa"/>
          </w:tcPr>
          <w:p w14:paraId="0A30E7C1" w14:textId="4229B4FB" w:rsidR="00346E16" w:rsidRPr="00405394" w:rsidRDefault="00346E16" w:rsidP="00393BA5">
            <w:pPr>
              <w:pStyle w:val="Tabletext"/>
            </w:pPr>
            <w:r w:rsidRPr="00405394">
              <w:t>Permanent Part-time</w:t>
            </w:r>
          </w:p>
        </w:tc>
        <w:tc>
          <w:tcPr>
            <w:tcW w:w="1418" w:type="dxa"/>
          </w:tcPr>
          <w:p w14:paraId="11378EA3" w14:textId="032241AF" w:rsidR="00346E16" w:rsidRPr="00405394" w:rsidRDefault="00346E16" w:rsidP="00393BA5">
            <w:pPr>
              <w:pStyle w:val="Tabletext"/>
              <w:jc w:val="center"/>
            </w:pPr>
            <w:r w:rsidRPr="00405394">
              <w:t>3</w:t>
            </w:r>
          </w:p>
        </w:tc>
        <w:tc>
          <w:tcPr>
            <w:tcW w:w="1417" w:type="dxa"/>
          </w:tcPr>
          <w:p w14:paraId="1B67CD8C" w14:textId="7C7CBAD4" w:rsidR="00346E16" w:rsidRPr="00405394" w:rsidRDefault="00346E16" w:rsidP="00393BA5">
            <w:pPr>
              <w:pStyle w:val="Tabletext"/>
              <w:jc w:val="center"/>
            </w:pPr>
            <w:r w:rsidRPr="00405394">
              <w:t>0</w:t>
            </w:r>
          </w:p>
        </w:tc>
        <w:tc>
          <w:tcPr>
            <w:tcW w:w="1701" w:type="dxa"/>
          </w:tcPr>
          <w:p w14:paraId="78452E86" w14:textId="36500E44" w:rsidR="00346E16" w:rsidRPr="00405394" w:rsidRDefault="00346E16" w:rsidP="00393BA5">
            <w:pPr>
              <w:pStyle w:val="Tablefigures"/>
            </w:pPr>
            <w:r w:rsidRPr="00405394">
              <w:t>0</w:t>
            </w:r>
          </w:p>
        </w:tc>
        <w:tc>
          <w:tcPr>
            <w:tcW w:w="1134" w:type="dxa"/>
          </w:tcPr>
          <w:p w14:paraId="1116D380" w14:textId="0C6D05DB" w:rsidR="00346E16" w:rsidRPr="00405394" w:rsidRDefault="00346E16" w:rsidP="00393BA5">
            <w:pPr>
              <w:pStyle w:val="Tablefigures"/>
            </w:pPr>
            <w:r w:rsidRPr="00405394">
              <w:t>3</w:t>
            </w:r>
          </w:p>
        </w:tc>
      </w:tr>
      <w:tr w:rsidR="00346E16" w:rsidRPr="00405394" w14:paraId="0E3E3BD6"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99F9DE5" w14:textId="4D8661CC" w:rsidR="00346E16" w:rsidRPr="00405394" w:rsidRDefault="00346E16" w:rsidP="00393BA5">
            <w:pPr>
              <w:pStyle w:val="Tabletext"/>
            </w:pPr>
            <w:r w:rsidRPr="00405394">
              <w:t>Temporary Full-time</w:t>
            </w:r>
          </w:p>
        </w:tc>
        <w:tc>
          <w:tcPr>
            <w:tcW w:w="1418" w:type="dxa"/>
          </w:tcPr>
          <w:p w14:paraId="1B790713" w14:textId="68BBBF53" w:rsidR="00346E16" w:rsidRPr="00405394" w:rsidRDefault="004564E8" w:rsidP="00393BA5">
            <w:pPr>
              <w:pStyle w:val="Tabletext"/>
              <w:jc w:val="center"/>
            </w:pPr>
            <w:r w:rsidRPr="00405394">
              <w:t>4</w:t>
            </w:r>
          </w:p>
        </w:tc>
        <w:tc>
          <w:tcPr>
            <w:tcW w:w="1417" w:type="dxa"/>
          </w:tcPr>
          <w:p w14:paraId="0D11362D" w14:textId="0E002E4D" w:rsidR="00346E16" w:rsidRPr="00405394" w:rsidRDefault="004564E8" w:rsidP="00393BA5">
            <w:pPr>
              <w:pStyle w:val="Tabletext"/>
              <w:jc w:val="center"/>
            </w:pPr>
            <w:r w:rsidRPr="00405394">
              <w:t>3</w:t>
            </w:r>
          </w:p>
        </w:tc>
        <w:tc>
          <w:tcPr>
            <w:tcW w:w="1701" w:type="dxa"/>
          </w:tcPr>
          <w:p w14:paraId="685820C1" w14:textId="283C219D" w:rsidR="00346E16" w:rsidRPr="00405394" w:rsidRDefault="00346E16" w:rsidP="00393BA5">
            <w:pPr>
              <w:pStyle w:val="Tablefigures"/>
            </w:pPr>
            <w:r w:rsidRPr="00405394">
              <w:t>0</w:t>
            </w:r>
          </w:p>
        </w:tc>
        <w:tc>
          <w:tcPr>
            <w:tcW w:w="1134" w:type="dxa"/>
          </w:tcPr>
          <w:p w14:paraId="17ED8619" w14:textId="4583D5FE" w:rsidR="00346E16" w:rsidRPr="00405394" w:rsidRDefault="004564E8" w:rsidP="00393BA5">
            <w:pPr>
              <w:pStyle w:val="Tablefigures"/>
            </w:pPr>
            <w:r w:rsidRPr="00405394">
              <w:t>7</w:t>
            </w:r>
          </w:p>
        </w:tc>
      </w:tr>
      <w:tr w:rsidR="00346E16" w:rsidRPr="00405394" w14:paraId="2F4D2614" w14:textId="77777777" w:rsidTr="009B6CCF">
        <w:trPr>
          <w:trHeight w:val="355"/>
        </w:trPr>
        <w:tc>
          <w:tcPr>
            <w:tcW w:w="3402" w:type="dxa"/>
          </w:tcPr>
          <w:p w14:paraId="112A3FFF" w14:textId="73BD3FA5" w:rsidR="00346E16" w:rsidRPr="00405394" w:rsidRDefault="00346E16" w:rsidP="00393BA5">
            <w:pPr>
              <w:pStyle w:val="Tabletext"/>
            </w:pPr>
            <w:r w:rsidRPr="00405394">
              <w:t>Temporary Part-time</w:t>
            </w:r>
          </w:p>
        </w:tc>
        <w:tc>
          <w:tcPr>
            <w:tcW w:w="1418" w:type="dxa"/>
          </w:tcPr>
          <w:p w14:paraId="1CE5DD4D" w14:textId="644DD63E" w:rsidR="00346E16" w:rsidRPr="00405394" w:rsidRDefault="00405394" w:rsidP="00393BA5">
            <w:pPr>
              <w:pStyle w:val="Tabletext"/>
              <w:jc w:val="center"/>
            </w:pPr>
            <w:r w:rsidRPr="00405394">
              <w:t>0</w:t>
            </w:r>
          </w:p>
        </w:tc>
        <w:tc>
          <w:tcPr>
            <w:tcW w:w="1417" w:type="dxa"/>
          </w:tcPr>
          <w:p w14:paraId="39678746" w14:textId="289F1039" w:rsidR="00346E16" w:rsidRPr="00405394" w:rsidRDefault="00346E16" w:rsidP="00393BA5">
            <w:pPr>
              <w:pStyle w:val="Tabletext"/>
              <w:jc w:val="center"/>
            </w:pPr>
            <w:r w:rsidRPr="00405394">
              <w:t>0</w:t>
            </w:r>
          </w:p>
        </w:tc>
        <w:tc>
          <w:tcPr>
            <w:tcW w:w="1701" w:type="dxa"/>
          </w:tcPr>
          <w:p w14:paraId="53BD5A07" w14:textId="793E2615" w:rsidR="00346E16" w:rsidRPr="00405394" w:rsidRDefault="00346E16" w:rsidP="00393BA5">
            <w:pPr>
              <w:pStyle w:val="Tablefigures"/>
            </w:pPr>
            <w:r w:rsidRPr="00405394">
              <w:t>0</w:t>
            </w:r>
          </w:p>
        </w:tc>
        <w:tc>
          <w:tcPr>
            <w:tcW w:w="1134" w:type="dxa"/>
          </w:tcPr>
          <w:p w14:paraId="223390F7" w14:textId="31807667" w:rsidR="00346E16" w:rsidRPr="00405394" w:rsidRDefault="00405394" w:rsidP="00393BA5">
            <w:pPr>
              <w:pStyle w:val="Tablefigures"/>
            </w:pPr>
            <w:r w:rsidRPr="00405394">
              <w:t>0</w:t>
            </w:r>
          </w:p>
        </w:tc>
      </w:tr>
      <w:tr w:rsidR="00346E16" w:rsidRPr="00405394" w14:paraId="1A9EBE6A"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6C8037C" w14:textId="30500B13" w:rsidR="00346E16" w:rsidRPr="00405394" w:rsidRDefault="00346E16" w:rsidP="00393BA5">
            <w:pPr>
              <w:pStyle w:val="Tabletext"/>
            </w:pPr>
            <w:r w:rsidRPr="00405394">
              <w:t>TOTAL</w:t>
            </w:r>
          </w:p>
        </w:tc>
        <w:tc>
          <w:tcPr>
            <w:tcW w:w="1418" w:type="dxa"/>
            <w:tcBorders>
              <w:bottom w:val="single" w:sz="4" w:space="0" w:color="auto"/>
            </w:tcBorders>
          </w:tcPr>
          <w:p w14:paraId="223A9D1E" w14:textId="22EE3E08" w:rsidR="00346E16" w:rsidRPr="00405394" w:rsidRDefault="00346E16" w:rsidP="00393BA5">
            <w:pPr>
              <w:pStyle w:val="Tabletext"/>
              <w:jc w:val="center"/>
            </w:pPr>
            <w:r w:rsidRPr="00405394">
              <w:t>2</w:t>
            </w:r>
            <w:r w:rsidR="00405394" w:rsidRPr="00405394">
              <w:t>2</w:t>
            </w:r>
          </w:p>
        </w:tc>
        <w:tc>
          <w:tcPr>
            <w:tcW w:w="1417" w:type="dxa"/>
            <w:tcBorders>
              <w:bottom w:val="single" w:sz="4" w:space="0" w:color="auto"/>
            </w:tcBorders>
          </w:tcPr>
          <w:p w14:paraId="3DAA3F0C" w14:textId="5DD023E5" w:rsidR="00346E16" w:rsidRPr="00405394" w:rsidRDefault="00405394" w:rsidP="00393BA5">
            <w:pPr>
              <w:pStyle w:val="Tabletext"/>
              <w:jc w:val="center"/>
            </w:pPr>
            <w:r w:rsidRPr="00405394">
              <w:t>11</w:t>
            </w:r>
          </w:p>
        </w:tc>
        <w:tc>
          <w:tcPr>
            <w:tcW w:w="1701" w:type="dxa"/>
            <w:tcBorders>
              <w:bottom w:val="single" w:sz="4" w:space="0" w:color="auto"/>
            </w:tcBorders>
          </w:tcPr>
          <w:p w14:paraId="47417D36" w14:textId="58560C18" w:rsidR="00346E16" w:rsidRPr="00405394" w:rsidRDefault="00346E16" w:rsidP="00393BA5">
            <w:pPr>
              <w:pStyle w:val="Tablefigures"/>
            </w:pPr>
            <w:r w:rsidRPr="00405394">
              <w:t>0</w:t>
            </w:r>
          </w:p>
        </w:tc>
        <w:tc>
          <w:tcPr>
            <w:tcW w:w="1134" w:type="dxa"/>
            <w:tcBorders>
              <w:bottom w:val="single" w:sz="4" w:space="0" w:color="auto"/>
            </w:tcBorders>
          </w:tcPr>
          <w:p w14:paraId="366D4FE4" w14:textId="6DC63CB1" w:rsidR="00346E16" w:rsidRPr="00405394" w:rsidRDefault="00346E16" w:rsidP="00393BA5">
            <w:pPr>
              <w:pStyle w:val="Tablefigures"/>
            </w:pPr>
            <w:r w:rsidRPr="00405394">
              <w:t>3</w:t>
            </w:r>
            <w:r w:rsidR="00405394" w:rsidRPr="00405394">
              <w:t>3</w:t>
            </w:r>
          </w:p>
        </w:tc>
      </w:tr>
    </w:tbl>
    <w:p w14:paraId="56FBA127" w14:textId="77777777" w:rsidR="0030156D" w:rsidRPr="00405394" w:rsidRDefault="0030156D" w:rsidP="00AD126A">
      <w:pPr>
        <w:tabs>
          <w:tab w:val="left" w:pos="9072"/>
        </w:tabs>
        <w:spacing w:line="264" w:lineRule="auto"/>
        <w:rPr>
          <w:szCs w:val="22"/>
        </w:rPr>
      </w:pPr>
    </w:p>
    <w:p w14:paraId="37B10E30" w14:textId="341B45FD" w:rsidR="00880481" w:rsidRPr="00DC6E80" w:rsidRDefault="00880481" w:rsidP="00AD126A">
      <w:pPr>
        <w:pStyle w:val="TableCaption"/>
        <w:tabs>
          <w:tab w:val="left" w:pos="9072"/>
        </w:tabs>
        <w:rPr>
          <w:color w:val="262626" w:themeColor="text1" w:themeTint="D9"/>
        </w:rPr>
      </w:pPr>
      <w:r w:rsidRPr="00DC6E80">
        <w:rPr>
          <w:color w:val="262626" w:themeColor="text1" w:themeTint="D9"/>
        </w:rPr>
        <w:t xml:space="preserve">Table B8: </w:t>
      </w:r>
      <w:r w:rsidR="005977C2" w:rsidRPr="00DC6E80">
        <w:rPr>
          <w:color w:val="262626" w:themeColor="text1" w:themeTint="D9"/>
        </w:rPr>
        <w:t>H</w:t>
      </w:r>
      <w:r w:rsidRPr="00DC6E80">
        <w:rPr>
          <w:color w:val="262626" w:themeColor="text1" w:themeTint="D9"/>
        </w:rPr>
        <w:t xml:space="preserve">eadcount by </w:t>
      </w:r>
      <w:r w:rsidR="005977C2" w:rsidRPr="00DC6E80">
        <w:rPr>
          <w:color w:val="262626" w:themeColor="text1" w:themeTint="D9"/>
        </w:rPr>
        <w:t>diversity group</w:t>
      </w:r>
    </w:p>
    <w:tbl>
      <w:tblPr>
        <w:tblStyle w:val="ARTable"/>
        <w:tblW w:w="9072" w:type="dxa"/>
        <w:tblLook w:val="04A0" w:firstRow="1" w:lastRow="0" w:firstColumn="1" w:lastColumn="0" w:noHBand="0" w:noVBand="1"/>
      </w:tblPr>
      <w:tblGrid>
        <w:gridCol w:w="3828"/>
        <w:gridCol w:w="1984"/>
        <w:gridCol w:w="3260"/>
      </w:tblGrid>
      <w:tr w:rsidR="00F83533" w:rsidRPr="00DC6E80" w14:paraId="1E57536D" w14:textId="77777777" w:rsidTr="00C424CC">
        <w:trPr>
          <w:cnfStyle w:val="100000000000" w:firstRow="1" w:lastRow="0" w:firstColumn="0" w:lastColumn="0" w:oddVBand="0" w:evenVBand="0" w:oddHBand="0" w:evenHBand="0" w:firstRowFirstColumn="0" w:firstRowLastColumn="0" w:lastRowFirstColumn="0" w:lastRowLastColumn="0"/>
          <w:trHeight w:val="152"/>
        </w:trPr>
        <w:tc>
          <w:tcPr>
            <w:tcW w:w="3828" w:type="dxa"/>
          </w:tcPr>
          <w:p w14:paraId="1E7A0734" w14:textId="11486485" w:rsidR="00880481" w:rsidRPr="00DC6E80" w:rsidRDefault="00880481" w:rsidP="00AD126A">
            <w:pPr>
              <w:pStyle w:val="Tableheading"/>
              <w:tabs>
                <w:tab w:val="left" w:pos="9072"/>
              </w:tabs>
              <w:rPr>
                <w:sz w:val="22"/>
                <w:szCs w:val="22"/>
              </w:rPr>
            </w:pPr>
          </w:p>
        </w:tc>
        <w:tc>
          <w:tcPr>
            <w:tcW w:w="1984" w:type="dxa"/>
          </w:tcPr>
          <w:p w14:paraId="4A731F78" w14:textId="24263201" w:rsidR="00880481" w:rsidRPr="00DC6E80" w:rsidRDefault="005977C2" w:rsidP="00393BA5">
            <w:pPr>
              <w:pStyle w:val="Tableheading"/>
              <w:tabs>
                <w:tab w:val="left" w:pos="9072"/>
              </w:tabs>
              <w:jc w:val="center"/>
              <w:rPr>
                <w:sz w:val="22"/>
                <w:szCs w:val="22"/>
              </w:rPr>
            </w:pPr>
            <w:r w:rsidRPr="00DC6E80">
              <w:rPr>
                <w:sz w:val="22"/>
                <w:szCs w:val="22"/>
              </w:rPr>
              <w:t>Headcount</w:t>
            </w:r>
          </w:p>
        </w:tc>
        <w:tc>
          <w:tcPr>
            <w:tcW w:w="3260" w:type="dxa"/>
          </w:tcPr>
          <w:p w14:paraId="3D8B26AB" w14:textId="2DC35F5C" w:rsidR="00880481" w:rsidRPr="00DC6E80" w:rsidRDefault="00F83533" w:rsidP="00393BA5">
            <w:pPr>
              <w:pStyle w:val="Tableheading"/>
              <w:tabs>
                <w:tab w:val="left" w:pos="9072"/>
              </w:tabs>
              <w:jc w:val="center"/>
              <w:rPr>
                <w:sz w:val="22"/>
                <w:szCs w:val="22"/>
              </w:rPr>
            </w:pPr>
            <w:r w:rsidRPr="00DC6E80">
              <w:rPr>
                <w:sz w:val="22"/>
                <w:szCs w:val="22"/>
              </w:rPr>
              <w:t>Percentage of Authority Workforce</w:t>
            </w:r>
          </w:p>
        </w:tc>
      </w:tr>
      <w:tr w:rsidR="00C424CC" w:rsidRPr="00DC6E80" w14:paraId="036AC012" w14:textId="77777777" w:rsidTr="00C424CC">
        <w:trPr>
          <w:trHeight w:val="355"/>
        </w:trPr>
        <w:tc>
          <w:tcPr>
            <w:tcW w:w="3828" w:type="dxa"/>
          </w:tcPr>
          <w:p w14:paraId="17284641" w14:textId="54DC4396" w:rsidR="00C424CC" w:rsidRPr="00DC6E80" w:rsidRDefault="00C424CC" w:rsidP="00393BA5">
            <w:pPr>
              <w:pStyle w:val="Tabletext"/>
            </w:pPr>
            <w:r w:rsidRPr="00DC6E80">
              <w:t>Aboriginal and Torres Strait Islander</w:t>
            </w:r>
          </w:p>
        </w:tc>
        <w:tc>
          <w:tcPr>
            <w:tcW w:w="1984" w:type="dxa"/>
          </w:tcPr>
          <w:p w14:paraId="7F1BF44A" w14:textId="70CBCDAD" w:rsidR="00C424CC" w:rsidRPr="00DC6E80" w:rsidRDefault="00C424CC" w:rsidP="00393BA5">
            <w:pPr>
              <w:pStyle w:val="Tabletext"/>
              <w:jc w:val="center"/>
            </w:pPr>
            <w:r w:rsidRPr="00DC6E80">
              <w:t>0</w:t>
            </w:r>
          </w:p>
        </w:tc>
        <w:tc>
          <w:tcPr>
            <w:tcW w:w="3260" w:type="dxa"/>
          </w:tcPr>
          <w:p w14:paraId="6E77C26D" w14:textId="394AAC0F" w:rsidR="00C424CC" w:rsidRPr="00DC6E80" w:rsidRDefault="00C424CC" w:rsidP="00393BA5">
            <w:pPr>
              <w:pStyle w:val="Tabletext"/>
              <w:jc w:val="center"/>
            </w:pPr>
            <w:r w:rsidRPr="00DC6E80">
              <w:t>0.0%</w:t>
            </w:r>
          </w:p>
        </w:tc>
      </w:tr>
      <w:tr w:rsidR="00BD6E9B" w:rsidRPr="00DC6E80" w14:paraId="4E37752E"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828" w:type="dxa"/>
          </w:tcPr>
          <w:p w14:paraId="0B34A0E9" w14:textId="00B78ABA" w:rsidR="00C424CC" w:rsidRPr="00DC6E80" w:rsidRDefault="00C424CC" w:rsidP="00393BA5">
            <w:pPr>
              <w:pStyle w:val="Tabletext"/>
            </w:pPr>
            <w:r w:rsidRPr="00DC6E80">
              <w:t>Culturally &amp; Linguistically Diverse</w:t>
            </w:r>
          </w:p>
        </w:tc>
        <w:tc>
          <w:tcPr>
            <w:tcW w:w="1984" w:type="dxa"/>
          </w:tcPr>
          <w:p w14:paraId="7D0DC469" w14:textId="73385BDF" w:rsidR="00C424CC" w:rsidRPr="00DC6E80" w:rsidRDefault="00C424CC" w:rsidP="00393BA5">
            <w:pPr>
              <w:pStyle w:val="Tabletext"/>
              <w:jc w:val="center"/>
            </w:pPr>
            <w:r w:rsidRPr="00DC6E80">
              <w:t>1</w:t>
            </w:r>
            <w:r w:rsidR="00DC6E80" w:rsidRPr="00DC6E80">
              <w:t>1</w:t>
            </w:r>
          </w:p>
        </w:tc>
        <w:tc>
          <w:tcPr>
            <w:tcW w:w="3260" w:type="dxa"/>
          </w:tcPr>
          <w:p w14:paraId="1434F213" w14:textId="23CC3894" w:rsidR="00C424CC" w:rsidRPr="00DC6E80" w:rsidRDefault="00C424CC" w:rsidP="00393BA5">
            <w:pPr>
              <w:pStyle w:val="Tabletext"/>
              <w:jc w:val="center"/>
            </w:pPr>
            <w:r w:rsidRPr="00DC6E80">
              <w:t>3</w:t>
            </w:r>
            <w:r w:rsidR="00DC6E80" w:rsidRPr="00DC6E80">
              <w:t>3.3</w:t>
            </w:r>
            <w:r w:rsidRPr="00DC6E80">
              <w:t>%</w:t>
            </w:r>
          </w:p>
        </w:tc>
      </w:tr>
      <w:tr w:rsidR="00C424CC" w:rsidRPr="00DC6E80" w14:paraId="1D99BF4E" w14:textId="77777777" w:rsidTr="009B6CCF">
        <w:trPr>
          <w:trHeight w:val="355"/>
        </w:trPr>
        <w:tc>
          <w:tcPr>
            <w:tcW w:w="3828" w:type="dxa"/>
            <w:tcBorders>
              <w:bottom w:val="single" w:sz="4" w:space="0" w:color="auto"/>
            </w:tcBorders>
          </w:tcPr>
          <w:p w14:paraId="64EFB6C0" w14:textId="795AD4F4" w:rsidR="00C424CC" w:rsidRPr="00DC6E80" w:rsidRDefault="00C424CC" w:rsidP="00393BA5">
            <w:pPr>
              <w:pStyle w:val="Tabletext"/>
            </w:pPr>
            <w:r w:rsidRPr="00DC6E80">
              <w:t>People with a disability</w:t>
            </w:r>
          </w:p>
        </w:tc>
        <w:tc>
          <w:tcPr>
            <w:tcW w:w="1984" w:type="dxa"/>
            <w:tcBorders>
              <w:bottom w:val="single" w:sz="4" w:space="0" w:color="auto"/>
            </w:tcBorders>
          </w:tcPr>
          <w:p w14:paraId="5B42CF7F" w14:textId="50F101FE" w:rsidR="00C424CC" w:rsidRPr="00DC6E80" w:rsidRDefault="00DC6E80" w:rsidP="00393BA5">
            <w:pPr>
              <w:pStyle w:val="Tabletext"/>
              <w:jc w:val="center"/>
            </w:pPr>
            <w:r w:rsidRPr="00DC6E80">
              <w:t>1</w:t>
            </w:r>
          </w:p>
        </w:tc>
        <w:tc>
          <w:tcPr>
            <w:tcW w:w="3260" w:type="dxa"/>
            <w:tcBorders>
              <w:bottom w:val="single" w:sz="4" w:space="0" w:color="auto"/>
            </w:tcBorders>
          </w:tcPr>
          <w:p w14:paraId="2D1F1C9F" w14:textId="7CBDD154" w:rsidR="00C424CC" w:rsidRPr="00DC6E80" w:rsidRDefault="00DC6E80" w:rsidP="00393BA5">
            <w:pPr>
              <w:pStyle w:val="Tabletext"/>
              <w:jc w:val="center"/>
            </w:pPr>
            <w:r w:rsidRPr="00DC6E80">
              <w:t>3.0</w:t>
            </w:r>
            <w:r w:rsidR="00C424CC" w:rsidRPr="00DC6E80">
              <w:t>%</w:t>
            </w:r>
          </w:p>
        </w:tc>
      </w:tr>
    </w:tbl>
    <w:p w14:paraId="3FF1394D" w14:textId="77777777" w:rsidR="00624F7F" w:rsidRPr="00945BCB" w:rsidRDefault="0023735A" w:rsidP="00AD126A">
      <w:pPr>
        <w:tabs>
          <w:tab w:val="left" w:pos="9072"/>
        </w:tabs>
        <w:spacing w:before="76"/>
        <w:rPr>
          <w:rFonts w:cs="Calibri"/>
          <w:sz w:val="18"/>
          <w:szCs w:val="18"/>
          <w:lang w:eastAsia="en-AU"/>
        </w:rPr>
      </w:pPr>
      <w:r w:rsidRPr="00945BCB">
        <w:rPr>
          <w:rFonts w:cs="Calibri"/>
          <w:sz w:val="18"/>
          <w:szCs w:val="18"/>
          <w:lang w:eastAsia="en-AU"/>
        </w:rPr>
        <w:t>Note: Employees may identify with more than one diversity group.</w:t>
      </w:r>
    </w:p>
    <w:p w14:paraId="1ADDE09D" w14:textId="55A1D92B" w:rsidR="00661497" w:rsidRPr="00945BCB" w:rsidRDefault="00661497" w:rsidP="00AD126A">
      <w:pPr>
        <w:pStyle w:val="TableCaption"/>
        <w:tabs>
          <w:tab w:val="left" w:pos="9072"/>
        </w:tabs>
        <w:rPr>
          <w:color w:val="262626" w:themeColor="text1" w:themeTint="D9"/>
        </w:rPr>
      </w:pPr>
      <w:r w:rsidRPr="00945BCB">
        <w:rPr>
          <w:color w:val="262626" w:themeColor="text1" w:themeTint="D9"/>
        </w:rPr>
        <w:t>Table B9: Headcount by age group and gender</w:t>
      </w:r>
    </w:p>
    <w:tbl>
      <w:tblPr>
        <w:tblStyle w:val="ARTable"/>
        <w:tblW w:w="9072" w:type="dxa"/>
        <w:tblLook w:val="04A0" w:firstRow="1" w:lastRow="0" w:firstColumn="1" w:lastColumn="0" w:noHBand="0" w:noVBand="1"/>
      </w:tblPr>
      <w:tblGrid>
        <w:gridCol w:w="3402"/>
        <w:gridCol w:w="1418"/>
        <w:gridCol w:w="1417"/>
        <w:gridCol w:w="1701"/>
        <w:gridCol w:w="1134"/>
      </w:tblGrid>
      <w:tr w:rsidR="00661497" w:rsidRPr="00945BCB" w14:paraId="5ED2A4FE" w14:textId="77777777">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4CFEAF91" w14:textId="2B597856" w:rsidR="00661497" w:rsidRPr="00945BCB" w:rsidRDefault="00661497" w:rsidP="00AD126A">
            <w:pPr>
              <w:pStyle w:val="Tableheading"/>
              <w:tabs>
                <w:tab w:val="left" w:pos="9072"/>
              </w:tabs>
              <w:rPr>
                <w:sz w:val="22"/>
                <w:szCs w:val="22"/>
              </w:rPr>
            </w:pPr>
            <w:r w:rsidRPr="00945BCB">
              <w:rPr>
                <w:sz w:val="22"/>
                <w:szCs w:val="22"/>
              </w:rPr>
              <w:t>Age</w:t>
            </w:r>
            <w:r w:rsidR="00BA587A" w:rsidRPr="00945BCB">
              <w:rPr>
                <w:sz w:val="22"/>
                <w:szCs w:val="22"/>
              </w:rPr>
              <w:t xml:space="preserve"> Group</w:t>
            </w:r>
          </w:p>
        </w:tc>
        <w:tc>
          <w:tcPr>
            <w:tcW w:w="1418" w:type="dxa"/>
          </w:tcPr>
          <w:p w14:paraId="61A220EB" w14:textId="77777777" w:rsidR="00661497" w:rsidRPr="00945BCB" w:rsidRDefault="00661497" w:rsidP="00393BA5">
            <w:pPr>
              <w:pStyle w:val="Tableheading"/>
              <w:tabs>
                <w:tab w:val="left" w:pos="9072"/>
              </w:tabs>
              <w:jc w:val="center"/>
              <w:rPr>
                <w:sz w:val="22"/>
                <w:szCs w:val="22"/>
              </w:rPr>
            </w:pPr>
            <w:r w:rsidRPr="00945BCB">
              <w:rPr>
                <w:sz w:val="22"/>
                <w:szCs w:val="22"/>
              </w:rPr>
              <w:t>Female</w:t>
            </w:r>
          </w:p>
        </w:tc>
        <w:tc>
          <w:tcPr>
            <w:tcW w:w="1417" w:type="dxa"/>
          </w:tcPr>
          <w:p w14:paraId="23D5D002" w14:textId="77777777" w:rsidR="00661497" w:rsidRPr="00945BCB" w:rsidRDefault="00661497" w:rsidP="00393BA5">
            <w:pPr>
              <w:pStyle w:val="Tableheading"/>
              <w:tabs>
                <w:tab w:val="left" w:pos="9072"/>
              </w:tabs>
              <w:jc w:val="center"/>
              <w:rPr>
                <w:sz w:val="22"/>
                <w:szCs w:val="22"/>
              </w:rPr>
            </w:pPr>
            <w:r w:rsidRPr="00945BCB">
              <w:rPr>
                <w:sz w:val="22"/>
                <w:szCs w:val="22"/>
              </w:rPr>
              <w:t>Male</w:t>
            </w:r>
          </w:p>
        </w:tc>
        <w:tc>
          <w:tcPr>
            <w:tcW w:w="1701" w:type="dxa"/>
          </w:tcPr>
          <w:p w14:paraId="5C99A122" w14:textId="77777777" w:rsidR="00661497" w:rsidRPr="00945BCB" w:rsidRDefault="00661497" w:rsidP="00AD126A">
            <w:pPr>
              <w:pStyle w:val="Tableheading"/>
              <w:tabs>
                <w:tab w:val="left" w:pos="9072"/>
              </w:tabs>
              <w:jc w:val="center"/>
              <w:rPr>
                <w:sz w:val="22"/>
                <w:szCs w:val="22"/>
              </w:rPr>
            </w:pPr>
            <w:r w:rsidRPr="00945BCB">
              <w:rPr>
                <w:sz w:val="22"/>
                <w:szCs w:val="22"/>
              </w:rPr>
              <w:t>Non-Binary</w:t>
            </w:r>
          </w:p>
        </w:tc>
        <w:tc>
          <w:tcPr>
            <w:tcW w:w="1134" w:type="dxa"/>
          </w:tcPr>
          <w:p w14:paraId="0CC78F57" w14:textId="77777777" w:rsidR="00661497" w:rsidRPr="00945BCB" w:rsidRDefault="00661497" w:rsidP="00AD126A">
            <w:pPr>
              <w:pStyle w:val="Tableheading"/>
              <w:tabs>
                <w:tab w:val="left" w:pos="9072"/>
              </w:tabs>
              <w:jc w:val="center"/>
              <w:rPr>
                <w:sz w:val="22"/>
                <w:szCs w:val="22"/>
              </w:rPr>
            </w:pPr>
            <w:r w:rsidRPr="00945BCB">
              <w:rPr>
                <w:sz w:val="22"/>
                <w:szCs w:val="22"/>
              </w:rPr>
              <w:t>Total</w:t>
            </w:r>
          </w:p>
        </w:tc>
      </w:tr>
      <w:tr w:rsidR="001D12EC" w:rsidRPr="00945BCB" w14:paraId="2C641362" w14:textId="77777777">
        <w:trPr>
          <w:trHeight w:val="355"/>
        </w:trPr>
        <w:tc>
          <w:tcPr>
            <w:tcW w:w="3402" w:type="dxa"/>
          </w:tcPr>
          <w:p w14:paraId="52107A71" w14:textId="0CBF6891" w:rsidR="001D12EC" w:rsidRPr="00945BCB" w:rsidRDefault="001D12EC" w:rsidP="00393BA5">
            <w:pPr>
              <w:pStyle w:val="Tabletext"/>
            </w:pPr>
            <w:r w:rsidRPr="00945BCB">
              <w:t>Under 25</w:t>
            </w:r>
          </w:p>
        </w:tc>
        <w:tc>
          <w:tcPr>
            <w:tcW w:w="1418" w:type="dxa"/>
          </w:tcPr>
          <w:p w14:paraId="5D36168B" w14:textId="7B69B9D0" w:rsidR="001D12EC" w:rsidRPr="00945BCB" w:rsidRDefault="001D12EC" w:rsidP="00393BA5">
            <w:pPr>
              <w:pStyle w:val="Tabletext"/>
              <w:jc w:val="center"/>
            </w:pPr>
            <w:r w:rsidRPr="00945BCB">
              <w:t>0</w:t>
            </w:r>
          </w:p>
        </w:tc>
        <w:tc>
          <w:tcPr>
            <w:tcW w:w="1417" w:type="dxa"/>
          </w:tcPr>
          <w:p w14:paraId="7F0BB5FF" w14:textId="02B93655" w:rsidR="001D12EC" w:rsidRPr="00945BCB" w:rsidRDefault="001D12EC" w:rsidP="00393BA5">
            <w:pPr>
              <w:pStyle w:val="Tabletext"/>
              <w:jc w:val="center"/>
            </w:pPr>
            <w:r w:rsidRPr="00945BCB">
              <w:t>0</w:t>
            </w:r>
          </w:p>
        </w:tc>
        <w:tc>
          <w:tcPr>
            <w:tcW w:w="1701" w:type="dxa"/>
          </w:tcPr>
          <w:p w14:paraId="7F52003A" w14:textId="62DA3AE6" w:rsidR="001D12EC" w:rsidRPr="00945BCB" w:rsidRDefault="001D12EC" w:rsidP="00393BA5">
            <w:pPr>
              <w:pStyle w:val="Tablefigures"/>
            </w:pPr>
            <w:r w:rsidRPr="00945BCB">
              <w:t>0</w:t>
            </w:r>
          </w:p>
        </w:tc>
        <w:tc>
          <w:tcPr>
            <w:tcW w:w="1134" w:type="dxa"/>
          </w:tcPr>
          <w:p w14:paraId="07DFB65F" w14:textId="0192EA55" w:rsidR="001D12EC" w:rsidRPr="00945BCB" w:rsidRDefault="001D12EC" w:rsidP="00393BA5">
            <w:pPr>
              <w:pStyle w:val="Tablefigures"/>
            </w:pPr>
            <w:r w:rsidRPr="00945BCB">
              <w:t>0</w:t>
            </w:r>
          </w:p>
        </w:tc>
      </w:tr>
      <w:tr w:rsidR="001D12EC" w:rsidRPr="00945BCB" w14:paraId="4B3D0139" w14:textId="77777777">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6486B46" w14:textId="03D19633" w:rsidR="001D12EC" w:rsidRPr="00945BCB" w:rsidRDefault="001D12EC" w:rsidP="00393BA5">
            <w:pPr>
              <w:pStyle w:val="Tabletext"/>
            </w:pPr>
            <w:r w:rsidRPr="00945BCB">
              <w:t>25-34</w:t>
            </w:r>
          </w:p>
        </w:tc>
        <w:tc>
          <w:tcPr>
            <w:tcW w:w="1418" w:type="dxa"/>
          </w:tcPr>
          <w:p w14:paraId="734819A5" w14:textId="0F8F14DC" w:rsidR="001D12EC" w:rsidRPr="00945BCB" w:rsidRDefault="00B91F11" w:rsidP="00393BA5">
            <w:pPr>
              <w:pStyle w:val="Tabletext"/>
              <w:jc w:val="center"/>
            </w:pPr>
            <w:r w:rsidRPr="00945BCB">
              <w:t>7</w:t>
            </w:r>
          </w:p>
        </w:tc>
        <w:tc>
          <w:tcPr>
            <w:tcW w:w="1417" w:type="dxa"/>
          </w:tcPr>
          <w:p w14:paraId="300CB824" w14:textId="05CB7DC4" w:rsidR="001D12EC" w:rsidRPr="00945BCB" w:rsidRDefault="00B91F11" w:rsidP="00393BA5">
            <w:pPr>
              <w:pStyle w:val="Tabletext"/>
              <w:jc w:val="center"/>
            </w:pPr>
            <w:r w:rsidRPr="00945BCB">
              <w:t>2</w:t>
            </w:r>
          </w:p>
        </w:tc>
        <w:tc>
          <w:tcPr>
            <w:tcW w:w="1701" w:type="dxa"/>
          </w:tcPr>
          <w:p w14:paraId="730117D0" w14:textId="61967863" w:rsidR="001D12EC" w:rsidRPr="00945BCB" w:rsidRDefault="001D12EC" w:rsidP="00393BA5">
            <w:pPr>
              <w:pStyle w:val="Tablefigures"/>
            </w:pPr>
            <w:r w:rsidRPr="00945BCB">
              <w:t>0</w:t>
            </w:r>
          </w:p>
        </w:tc>
        <w:tc>
          <w:tcPr>
            <w:tcW w:w="1134" w:type="dxa"/>
          </w:tcPr>
          <w:p w14:paraId="0BFB857F" w14:textId="44F57F31" w:rsidR="001D12EC" w:rsidRPr="00945BCB" w:rsidRDefault="00B91F11" w:rsidP="00393BA5">
            <w:pPr>
              <w:pStyle w:val="Tablefigures"/>
            </w:pPr>
            <w:r w:rsidRPr="00945BCB">
              <w:t>9</w:t>
            </w:r>
          </w:p>
        </w:tc>
      </w:tr>
      <w:tr w:rsidR="001D12EC" w:rsidRPr="00945BCB" w14:paraId="25DA7632" w14:textId="77777777">
        <w:trPr>
          <w:trHeight w:val="355"/>
        </w:trPr>
        <w:tc>
          <w:tcPr>
            <w:tcW w:w="3402" w:type="dxa"/>
          </w:tcPr>
          <w:p w14:paraId="7E64C85C" w14:textId="5904E3A8" w:rsidR="001D12EC" w:rsidRPr="00945BCB" w:rsidRDefault="001D12EC" w:rsidP="00393BA5">
            <w:pPr>
              <w:pStyle w:val="Tabletext"/>
            </w:pPr>
            <w:r w:rsidRPr="00945BCB">
              <w:t>35-44</w:t>
            </w:r>
          </w:p>
        </w:tc>
        <w:tc>
          <w:tcPr>
            <w:tcW w:w="1418" w:type="dxa"/>
          </w:tcPr>
          <w:p w14:paraId="7B677DC2" w14:textId="141FB672" w:rsidR="001D12EC" w:rsidRPr="00945BCB" w:rsidRDefault="00B91F11" w:rsidP="00393BA5">
            <w:pPr>
              <w:pStyle w:val="Tabletext"/>
              <w:jc w:val="center"/>
            </w:pPr>
            <w:r w:rsidRPr="00945BCB">
              <w:t>6</w:t>
            </w:r>
          </w:p>
        </w:tc>
        <w:tc>
          <w:tcPr>
            <w:tcW w:w="1417" w:type="dxa"/>
          </w:tcPr>
          <w:p w14:paraId="4C5083EC" w14:textId="588AD6BF" w:rsidR="001D12EC" w:rsidRPr="00945BCB" w:rsidRDefault="00945BCB" w:rsidP="00393BA5">
            <w:pPr>
              <w:pStyle w:val="Tabletext"/>
              <w:jc w:val="center"/>
            </w:pPr>
            <w:r w:rsidRPr="00945BCB">
              <w:t>4</w:t>
            </w:r>
          </w:p>
        </w:tc>
        <w:tc>
          <w:tcPr>
            <w:tcW w:w="1701" w:type="dxa"/>
          </w:tcPr>
          <w:p w14:paraId="47E1C5BB" w14:textId="6E643616" w:rsidR="001D12EC" w:rsidRPr="00945BCB" w:rsidRDefault="001D12EC" w:rsidP="00393BA5">
            <w:pPr>
              <w:pStyle w:val="Tablefigures"/>
            </w:pPr>
            <w:r w:rsidRPr="00945BCB">
              <w:t>0</w:t>
            </w:r>
          </w:p>
        </w:tc>
        <w:tc>
          <w:tcPr>
            <w:tcW w:w="1134" w:type="dxa"/>
          </w:tcPr>
          <w:p w14:paraId="3B6B7E56" w14:textId="40B7C262" w:rsidR="001D12EC" w:rsidRPr="00945BCB" w:rsidRDefault="00945BCB" w:rsidP="00393BA5">
            <w:pPr>
              <w:pStyle w:val="Tablefigures"/>
            </w:pPr>
            <w:r w:rsidRPr="00945BCB">
              <w:t>10</w:t>
            </w:r>
          </w:p>
        </w:tc>
      </w:tr>
      <w:tr w:rsidR="001D12EC" w:rsidRPr="00945BCB" w14:paraId="0CA2CABC"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48F5248B" w14:textId="495CD37B" w:rsidR="001D12EC" w:rsidRPr="00945BCB" w:rsidRDefault="001D12EC" w:rsidP="00393BA5">
            <w:pPr>
              <w:pStyle w:val="Tabletext"/>
            </w:pPr>
            <w:r w:rsidRPr="00945BCB">
              <w:t>45-54</w:t>
            </w:r>
          </w:p>
        </w:tc>
        <w:tc>
          <w:tcPr>
            <w:tcW w:w="1418" w:type="dxa"/>
          </w:tcPr>
          <w:p w14:paraId="7F87D42A" w14:textId="43CD6E06" w:rsidR="001D12EC" w:rsidRPr="00945BCB" w:rsidRDefault="00945BCB" w:rsidP="00393BA5">
            <w:pPr>
              <w:pStyle w:val="Tabletext"/>
              <w:jc w:val="center"/>
            </w:pPr>
            <w:r w:rsidRPr="00945BCB">
              <w:t>6</w:t>
            </w:r>
          </w:p>
        </w:tc>
        <w:tc>
          <w:tcPr>
            <w:tcW w:w="1417" w:type="dxa"/>
          </w:tcPr>
          <w:p w14:paraId="18E35023" w14:textId="5CB78EBA" w:rsidR="001D12EC" w:rsidRPr="00945BCB" w:rsidRDefault="001D12EC" w:rsidP="00393BA5">
            <w:pPr>
              <w:pStyle w:val="Tabletext"/>
              <w:jc w:val="center"/>
            </w:pPr>
            <w:r w:rsidRPr="00945BCB">
              <w:t>2</w:t>
            </w:r>
          </w:p>
        </w:tc>
        <w:tc>
          <w:tcPr>
            <w:tcW w:w="1701" w:type="dxa"/>
          </w:tcPr>
          <w:p w14:paraId="63861260" w14:textId="4A0F8137" w:rsidR="001D12EC" w:rsidRPr="00945BCB" w:rsidRDefault="001D12EC" w:rsidP="00393BA5">
            <w:pPr>
              <w:pStyle w:val="Tablefigures"/>
            </w:pPr>
            <w:r w:rsidRPr="00945BCB">
              <w:t>0</w:t>
            </w:r>
          </w:p>
        </w:tc>
        <w:tc>
          <w:tcPr>
            <w:tcW w:w="1134" w:type="dxa"/>
          </w:tcPr>
          <w:p w14:paraId="297BC78A" w14:textId="7E71AD9F" w:rsidR="001D12EC" w:rsidRPr="00945BCB" w:rsidRDefault="00945BCB" w:rsidP="00393BA5">
            <w:pPr>
              <w:pStyle w:val="Tablefigures"/>
            </w:pPr>
            <w:r w:rsidRPr="00945BCB">
              <w:t>8</w:t>
            </w:r>
          </w:p>
        </w:tc>
      </w:tr>
      <w:tr w:rsidR="001D12EC" w:rsidRPr="00945BCB" w14:paraId="57994171" w14:textId="77777777" w:rsidTr="009B6CCF">
        <w:trPr>
          <w:trHeight w:val="355"/>
        </w:trPr>
        <w:tc>
          <w:tcPr>
            <w:tcW w:w="3402" w:type="dxa"/>
            <w:tcBorders>
              <w:bottom w:val="single" w:sz="4" w:space="0" w:color="auto"/>
            </w:tcBorders>
          </w:tcPr>
          <w:p w14:paraId="5C483A5A" w14:textId="33095484" w:rsidR="001D12EC" w:rsidRPr="00945BCB" w:rsidRDefault="001D12EC" w:rsidP="00393BA5">
            <w:pPr>
              <w:pStyle w:val="Tabletext"/>
            </w:pPr>
            <w:r w:rsidRPr="00945BCB">
              <w:t>55 and over</w:t>
            </w:r>
          </w:p>
        </w:tc>
        <w:tc>
          <w:tcPr>
            <w:tcW w:w="1418" w:type="dxa"/>
            <w:tcBorders>
              <w:bottom w:val="single" w:sz="4" w:space="0" w:color="auto"/>
            </w:tcBorders>
          </w:tcPr>
          <w:p w14:paraId="59F38767" w14:textId="37EF39AF" w:rsidR="001D12EC" w:rsidRPr="00945BCB" w:rsidRDefault="00945BCB" w:rsidP="00393BA5">
            <w:pPr>
              <w:pStyle w:val="Tabletext"/>
              <w:jc w:val="center"/>
            </w:pPr>
            <w:r w:rsidRPr="00945BCB">
              <w:t>3</w:t>
            </w:r>
          </w:p>
        </w:tc>
        <w:tc>
          <w:tcPr>
            <w:tcW w:w="1417" w:type="dxa"/>
            <w:tcBorders>
              <w:bottom w:val="single" w:sz="4" w:space="0" w:color="auto"/>
            </w:tcBorders>
          </w:tcPr>
          <w:p w14:paraId="6E9E6C28" w14:textId="509CA3A0" w:rsidR="001D12EC" w:rsidRPr="00945BCB" w:rsidRDefault="00945BCB" w:rsidP="00393BA5">
            <w:pPr>
              <w:pStyle w:val="Tabletext"/>
              <w:jc w:val="center"/>
            </w:pPr>
            <w:r w:rsidRPr="00945BCB">
              <w:t>3</w:t>
            </w:r>
          </w:p>
        </w:tc>
        <w:tc>
          <w:tcPr>
            <w:tcW w:w="1701" w:type="dxa"/>
            <w:tcBorders>
              <w:bottom w:val="single" w:sz="4" w:space="0" w:color="auto"/>
            </w:tcBorders>
          </w:tcPr>
          <w:p w14:paraId="4EA83065" w14:textId="409D0AE1" w:rsidR="001D12EC" w:rsidRPr="00945BCB" w:rsidRDefault="001D12EC" w:rsidP="00393BA5">
            <w:pPr>
              <w:pStyle w:val="Tablefigures"/>
            </w:pPr>
            <w:r w:rsidRPr="00945BCB">
              <w:t>0</w:t>
            </w:r>
          </w:p>
        </w:tc>
        <w:tc>
          <w:tcPr>
            <w:tcW w:w="1134" w:type="dxa"/>
            <w:tcBorders>
              <w:bottom w:val="single" w:sz="4" w:space="0" w:color="auto"/>
            </w:tcBorders>
          </w:tcPr>
          <w:p w14:paraId="255561E4" w14:textId="79CD47B2" w:rsidR="001D12EC" w:rsidRPr="00945BCB" w:rsidRDefault="00945BCB" w:rsidP="00393BA5">
            <w:pPr>
              <w:pStyle w:val="Tablefigures"/>
            </w:pPr>
            <w:r w:rsidRPr="00945BCB">
              <w:t>6</w:t>
            </w:r>
          </w:p>
        </w:tc>
      </w:tr>
    </w:tbl>
    <w:p w14:paraId="7E43C51C" w14:textId="36BA1809" w:rsidR="00394219" w:rsidRPr="00091114" w:rsidRDefault="00394219" w:rsidP="00AD126A">
      <w:pPr>
        <w:pStyle w:val="TableCaption"/>
        <w:tabs>
          <w:tab w:val="left" w:pos="9072"/>
        </w:tabs>
        <w:rPr>
          <w:color w:val="262626" w:themeColor="text1" w:themeTint="D9"/>
        </w:rPr>
      </w:pPr>
      <w:r w:rsidRPr="00091114">
        <w:rPr>
          <w:color w:val="262626" w:themeColor="text1" w:themeTint="D9"/>
        </w:rPr>
        <w:t>Table B10: Average length of service</w:t>
      </w:r>
      <w:r w:rsidR="00CF0149" w:rsidRPr="00091114">
        <w:rPr>
          <w:color w:val="262626" w:themeColor="text1" w:themeTint="D9"/>
        </w:rPr>
        <w:t xml:space="preserve"> by</w:t>
      </w:r>
      <w:r w:rsidRPr="00091114">
        <w:rPr>
          <w:color w:val="262626" w:themeColor="text1" w:themeTint="D9"/>
        </w:rPr>
        <w:t xml:space="preserve"> gender</w:t>
      </w:r>
      <w:r w:rsidR="00CF0149" w:rsidRPr="00091114">
        <w:rPr>
          <w:color w:val="262626" w:themeColor="text1" w:themeTint="D9"/>
        </w:rPr>
        <w:t xml:space="preserve"> (headcount)</w:t>
      </w:r>
    </w:p>
    <w:tbl>
      <w:tblPr>
        <w:tblStyle w:val="ARTable"/>
        <w:tblW w:w="9072" w:type="dxa"/>
        <w:tblLook w:val="04A0" w:firstRow="1" w:lastRow="0" w:firstColumn="1" w:lastColumn="0" w:noHBand="0" w:noVBand="1"/>
      </w:tblPr>
      <w:tblGrid>
        <w:gridCol w:w="3402"/>
        <w:gridCol w:w="1418"/>
        <w:gridCol w:w="1417"/>
        <w:gridCol w:w="1701"/>
        <w:gridCol w:w="1134"/>
      </w:tblGrid>
      <w:tr w:rsidR="00394219" w:rsidRPr="00091114" w14:paraId="1EE5D173" w14:textId="77777777" w:rsidTr="009B6CCF">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08EDD224" w14:textId="41AC792A" w:rsidR="00394219" w:rsidRPr="00091114" w:rsidRDefault="00394219" w:rsidP="00AD126A">
            <w:pPr>
              <w:pStyle w:val="Tableheading"/>
              <w:tabs>
                <w:tab w:val="left" w:pos="9072"/>
              </w:tabs>
              <w:rPr>
                <w:sz w:val="22"/>
                <w:szCs w:val="22"/>
              </w:rPr>
            </w:pPr>
          </w:p>
        </w:tc>
        <w:tc>
          <w:tcPr>
            <w:tcW w:w="1418" w:type="dxa"/>
          </w:tcPr>
          <w:p w14:paraId="26A35212" w14:textId="77777777" w:rsidR="00394219" w:rsidRPr="00091114" w:rsidRDefault="00394219" w:rsidP="00393BA5">
            <w:pPr>
              <w:pStyle w:val="Tableheading"/>
              <w:tabs>
                <w:tab w:val="left" w:pos="9072"/>
              </w:tabs>
              <w:jc w:val="center"/>
              <w:rPr>
                <w:sz w:val="22"/>
                <w:szCs w:val="22"/>
              </w:rPr>
            </w:pPr>
            <w:r w:rsidRPr="00091114">
              <w:rPr>
                <w:sz w:val="22"/>
                <w:szCs w:val="22"/>
              </w:rPr>
              <w:t>Female</w:t>
            </w:r>
          </w:p>
        </w:tc>
        <w:tc>
          <w:tcPr>
            <w:tcW w:w="1417" w:type="dxa"/>
          </w:tcPr>
          <w:p w14:paraId="62904FB5" w14:textId="77777777" w:rsidR="00394219" w:rsidRPr="00091114" w:rsidRDefault="00394219" w:rsidP="00393BA5">
            <w:pPr>
              <w:pStyle w:val="Tableheading"/>
              <w:tabs>
                <w:tab w:val="left" w:pos="9072"/>
              </w:tabs>
              <w:jc w:val="center"/>
              <w:rPr>
                <w:sz w:val="22"/>
                <w:szCs w:val="22"/>
              </w:rPr>
            </w:pPr>
            <w:r w:rsidRPr="00091114">
              <w:rPr>
                <w:sz w:val="22"/>
                <w:szCs w:val="22"/>
              </w:rPr>
              <w:t>Male</w:t>
            </w:r>
          </w:p>
        </w:tc>
        <w:tc>
          <w:tcPr>
            <w:tcW w:w="1701" w:type="dxa"/>
          </w:tcPr>
          <w:p w14:paraId="554EC46B" w14:textId="77777777" w:rsidR="00394219" w:rsidRPr="00091114" w:rsidRDefault="00394219" w:rsidP="00AD126A">
            <w:pPr>
              <w:pStyle w:val="Tableheading"/>
              <w:tabs>
                <w:tab w:val="left" w:pos="9072"/>
              </w:tabs>
              <w:jc w:val="center"/>
              <w:rPr>
                <w:sz w:val="22"/>
                <w:szCs w:val="22"/>
              </w:rPr>
            </w:pPr>
            <w:r w:rsidRPr="00091114">
              <w:rPr>
                <w:sz w:val="22"/>
                <w:szCs w:val="22"/>
              </w:rPr>
              <w:t>Non-Binary</w:t>
            </w:r>
          </w:p>
        </w:tc>
        <w:tc>
          <w:tcPr>
            <w:tcW w:w="1134" w:type="dxa"/>
          </w:tcPr>
          <w:p w14:paraId="49D22BC4" w14:textId="77777777" w:rsidR="00394219" w:rsidRPr="00091114" w:rsidRDefault="00394219" w:rsidP="00AD126A">
            <w:pPr>
              <w:pStyle w:val="Tableheading"/>
              <w:tabs>
                <w:tab w:val="left" w:pos="9072"/>
              </w:tabs>
              <w:jc w:val="center"/>
              <w:rPr>
                <w:sz w:val="22"/>
                <w:szCs w:val="22"/>
              </w:rPr>
            </w:pPr>
            <w:r w:rsidRPr="00091114">
              <w:rPr>
                <w:sz w:val="22"/>
                <w:szCs w:val="22"/>
              </w:rPr>
              <w:t>Total</w:t>
            </w:r>
          </w:p>
        </w:tc>
      </w:tr>
      <w:tr w:rsidR="00BC5681" w:rsidRPr="00091114" w14:paraId="25AF53EF" w14:textId="77777777" w:rsidTr="009B6CCF">
        <w:trPr>
          <w:trHeight w:val="355"/>
        </w:trPr>
        <w:tc>
          <w:tcPr>
            <w:tcW w:w="3402" w:type="dxa"/>
            <w:tcBorders>
              <w:bottom w:val="single" w:sz="4" w:space="0" w:color="auto"/>
            </w:tcBorders>
          </w:tcPr>
          <w:p w14:paraId="71A0FB0C" w14:textId="7EC280B7" w:rsidR="00BC5681" w:rsidRPr="00091114" w:rsidRDefault="00BC5681" w:rsidP="00393BA5">
            <w:pPr>
              <w:pStyle w:val="Tabletext"/>
            </w:pPr>
            <w:r w:rsidRPr="00091114">
              <w:t>Average years of service</w:t>
            </w:r>
          </w:p>
        </w:tc>
        <w:tc>
          <w:tcPr>
            <w:tcW w:w="1418" w:type="dxa"/>
            <w:tcBorders>
              <w:bottom w:val="single" w:sz="4" w:space="0" w:color="auto"/>
            </w:tcBorders>
          </w:tcPr>
          <w:p w14:paraId="47CBE622" w14:textId="407C0EB9" w:rsidR="00BC5681" w:rsidRPr="00091114" w:rsidRDefault="00BC5681" w:rsidP="00393BA5">
            <w:pPr>
              <w:pStyle w:val="Tabletext"/>
              <w:jc w:val="center"/>
            </w:pPr>
            <w:r w:rsidRPr="00091114">
              <w:t>6.</w:t>
            </w:r>
            <w:r w:rsidR="00091114" w:rsidRPr="00091114">
              <w:t>5</w:t>
            </w:r>
          </w:p>
        </w:tc>
        <w:tc>
          <w:tcPr>
            <w:tcW w:w="1417" w:type="dxa"/>
            <w:tcBorders>
              <w:bottom w:val="single" w:sz="4" w:space="0" w:color="auto"/>
            </w:tcBorders>
          </w:tcPr>
          <w:p w14:paraId="74487A0B" w14:textId="49B79F9B" w:rsidR="00BC5681" w:rsidRPr="00091114" w:rsidRDefault="00091114" w:rsidP="00393BA5">
            <w:pPr>
              <w:pStyle w:val="Tabletext"/>
              <w:jc w:val="center"/>
            </w:pPr>
            <w:r w:rsidRPr="00091114">
              <w:t>4.4</w:t>
            </w:r>
          </w:p>
        </w:tc>
        <w:tc>
          <w:tcPr>
            <w:tcW w:w="1701" w:type="dxa"/>
            <w:tcBorders>
              <w:bottom w:val="single" w:sz="4" w:space="0" w:color="auto"/>
            </w:tcBorders>
          </w:tcPr>
          <w:p w14:paraId="1B7EF414" w14:textId="5599B45F" w:rsidR="00BC5681" w:rsidRPr="00091114" w:rsidRDefault="00BC5681" w:rsidP="00393BA5">
            <w:pPr>
              <w:pStyle w:val="Tablefigures"/>
            </w:pPr>
            <w:r w:rsidRPr="00091114">
              <w:t>0.0</w:t>
            </w:r>
          </w:p>
        </w:tc>
        <w:tc>
          <w:tcPr>
            <w:tcW w:w="1134" w:type="dxa"/>
            <w:tcBorders>
              <w:bottom w:val="single" w:sz="4" w:space="0" w:color="auto"/>
            </w:tcBorders>
          </w:tcPr>
          <w:p w14:paraId="7066754F" w14:textId="029E5668" w:rsidR="00BC5681" w:rsidRPr="00091114" w:rsidRDefault="00091114" w:rsidP="00393BA5">
            <w:pPr>
              <w:pStyle w:val="Tablefigures"/>
            </w:pPr>
            <w:r w:rsidRPr="00091114">
              <w:t>5.8</w:t>
            </w:r>
          </w:p>
        </w:tc>
      </w:tr>
    </w:tbl>
    <w:p w14:paraId="793FA201" w14:textId="77777777" w:rsidR="0083143C" w:rsidRDefault="0083143C" w:rsidP="00AD126A">
      <w:pPr>
        <w:pStyle w:val="TableCaption"/>
        <w:tabs>
          <w:tab w:val="left" w:pos="9072"/>
        </w:tabs>
        <w:rPr>
          <w:color w:val="262626" w:themeColor="text1" w:themeTint="D9"/>
        </w:rPr>
      </w:pPr>
    </w:p>
    <w:p w14:paraId="6C4341D5" w14:textId="77777777" w:rsidR="0083143C" w:rsidRDefault="0083143C">
      <w:pPr>
        <w:spacing w:after="0" w:line="240" w:lineRule="auto"/>
        <w:rPr>
          <w:b/>
          <w:bCs/>
          <w:color w:val="262626" w:themeColor="text1" w:themeTint="D9"/>
        </w:rPr>
      </w:pPr>
      <w:r>
        <w:rPr>
          <w:color w:val="262626" w:themeColor="text1" w:themeTint="D9"/>
        </w:rPr>
        <w:br w:type="page"/>
      </w:r>
    </w:p>
    <w:p w14:paraId="0D626F3A" w14:textId="1936F435" w:rsidR="00BC5681" w:rsidRPr="009C5168" w:rsidRDefault="00BC5681" w:rsidP="00AD126A">
      <w:pPr>
        <w:pStyle w:val="TableCaption"/>
        <w:tabs>
          <w:tab w:val="left" w:pos="9072"/>
        </w:tabs>
        <w:rPr>
          <w:color w:val="262626" w:themeColor="text1" w:themeTint="D9"/>
        </w:rPr>
      </w:pPr>
      <w:r w:rsidRPr="009C5168">
        <w:rPr>
          <w:color w:val="262626" w:themeColor="text1" w:themeTint="D9"/>
        </w:rPr>
        <w:lastRenderedPageBreak/>
        <w:t>Table B11: Recruitment and separation rates</w:t>
      </w:r>
    </w:p>
    <w:tbl>
      <w:tblPr>
        <w:tblStyle w:val="ARTable"/>
        <w:tblW w:w="9072" w:type="dxa"/>
        <w:tblLook w:val="04A0" w:firstRow="1" w:lastRow="0" w:firstColumn="1" w:lastColumn="0" w:noHBand="0" w:noVBand="1"/>
      </w:tblPr>
      <w:tblGrid>
        <w:gridCol w:w="6804"/>
        <w:gridCol w:w="2268"/>
      </w:tblGrid>
      <w:tr w:rsidR="00F24C0C" w:rsidRPr="009C5168" w14:paraId="508C77CE" w14:textId="77777777" w:rsidTr="00F24C0C">
        <w:trPr>
          <w:cnfStyle w:val="100000000000" w:firstRow="1" w:lastRow="0" w:firstColumn="0" w:lastColumn="0" w:oddVBand="0" w:evenVBand="0" w:oddHBand="0" w:evenHBand="0" w:firstRowFirstColumn="0" w:firstRowLastColumn="0" w:lastRowFirstColumn="0" w:lastRowLastColumn="0"/>
          <w:trHeight w:val="152"/>
        </w:trPr>
        <w:tc>
          <w:tcPr>
            <w:tcW w:w="6804" w:type="dxa"/>
          </w:tcPr>
          <w:p w14:paraId="1451B407" w14:textId="77777777" w:rsidR="00F24C0C" w:rsidRPr="009C5168" w:rsidRDefault="00F24C0C" w:rsidP="00AD126A">
            <w:pPr>
              <w:pStyle w:val="Tableheading"/>
              <w:tabs>
                <w:tab w:val="left" w:pos="9072"/>
              </w:tabs>
              <w:rPr>
                <w:sz w:val="22"/>
                <w:szCs w:val="22"/>
              </w:rPr>
            </w:pPr>
          </w:p>
        </w:tc>
        <w:tc>
          <w:tcPr>
            <w:tcW w:w="2268" w:type="dxa"/>
          </w:tcPr>
          <w:p w14:paraId="0D0694F0" w14:textId="2F2EB6BB" w:rsidR="00F24C0C" w:rsidRPr="009C5168" w:rsidRDefault="00F24C0C" w:rsidP="00393BA5">
            <w:pPr>
              <w:pStyle w:val="Tableheading"/>
              <w:tabs>
                <w:tab w:val="left" w:pos="9072"/>
              </w:tabs>
              <w:jc w:val="center"/>
              <w:rPr>
                <w:sz w:val="22"/>
                <w:szCs w:val="22"/>
              </w:rPr>
            </w:pPr>
            <w:r w:rsidRPr="009C5168">
              <w:rPr>
                <w:sz w:val="22"/>
                <w:szCs w:val="22"/>
              </w:rPr>
              <w:t>Percentage Total</w:t>
            </w:r>
          </w:p>
        </w:tc>
      </w:tr>
      <w:tr w:rsidR="0068148C" w:rsidRPr="009C5168" w14:paraId="2667B082" w14:textId="77777777" w:rsidTr="009B6CCF">
        <w:trPr>
          <w:trHeight w:val="355"/>
        </w:trPr>
        <w:tc>
          <w:tcPr>
            <w:tcW w:w="6804" w:type="dxa"/>
          </w:tcPr>
          <w:p w14:paraId="37DCF1A7" w14:textId="01B87BC5" w:rsidR="0068148C" w:rsidRPr="009C5168" w:rsidRDefault="0068148C" w:rsidP="00393BA5">
            <w:pPr>
              <w:pStyle w:val="Tabletext"/>
            </w:pPr>
            <w:r w:rsidRPr="009C5168">
              <w:t>Recruitment Rate</w:t>
            </w:r>
          </w:p>
        </w:tc>
        <w:tc>
          <w:tcPr>
            <w:tcW w:w="2268" w:type="dxa"/>
          </w:tcPr>
          <w:p w14:paraId="5FDC6DA8" w14:textId="55E0DD61" w:rsidR="0068148C" w:rsidRPr="009C5168" w:rsidRDefault="0068148C" w:rsidP="00393BA5">
            <w:pPr>
              <w:pStyle w:val="Tabletext"/>
              <w:jc w:val="center"/>
            </w:pPr>
            <w:r w:rsidRPr="009C5168">
              <w:t>1</w:t>
            </w:r>
            <w:r w:rsidR="009C5168" w:rsidRPr="009C5168">
              <w:t>4.2</w:t>
            </w:r>
            <w:r w:rsidRPr="009C5168">
              <w:t>%</w:t>
            </w:r>
          </w:p>
        </w:tc>
      </w:tr>
      <w:tr w:rsidR="0068148C" w14:paraId="3F1E308B"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6804" w:type="dxa"/>
            <w:tcBorders>
              <w:bottom w:val="single" w:sz="4" w:space="0" w:color="auto"/>
            </w:tcBorders>
          </w:tcPr>
          <w:p w14:paraId="72EB22F8" w14:textId="2F47B954" w:rsidR="0068148C" w:rsidRPr="009C5168" w:rsidRDefault="0068148C" w:rsidP="00393BA5">
            <w:pPr>
              <w:pStyle w:val="Tabletext"/>
            </w:pPr>
            <w:r w:rsidRPr="009C5168">
              <w:t>Separation Rate</w:t>
            </w:r>
          </w:p>
        </w:tc>
        <w:tc>
          <w:tcPr>
            <w:tcW w:w="2268" w:type="dxa"/>
            <w:tcBorders>
              <w:bottom w:val="single" w:sz="4" w:space="0" w:color="auto"/>
            </w:tcBorders>
          </w:tcPr>
          <w:p w14:paraId="2014200C" w14:textId="5C22C221" w:rsidR="0068148C" w:rsidRPr="00634A0A" w:rsidRDefault="0068148C" w:rsidP="00393BA5">
            <w:pPr>
              <w:pStyle w:val="Tabletext"/>
              <w:jc w:val="center"/>
            </w:pPr>
            <w:r w:rsidRPr="009C5168">
              <w:t>7.</w:t>
            </w:r>
            <w:r w:rsidR="009C5168" w:rsidRPr="009C5168">
              <w:t>1</w:t>
            </w:r>
            <w:r w:rsidRPr="009C5168">
              <w:t>%</w:t>
            </w:r>
          </w:p>
        </w:tc>
      </w:tr>
    </w:tbl>
    <w:p w14:paraId="38F34CCF" w14:textId="77777777" w:rsidR="0095390C" w:rsidRDefault="0095390C" w:rsidP="00AD126A">
      <w:pPr>
        <w:tabs>
          <w:tab w:val="left" w:pos="9072"/>
        </w:tabs>
        <w:spacing w:after="0"/>
      </w:pPr>
    </w:p>
    <w:p w14:paraId="6F9A7EFD" w14:textId="5F5127F6" w:rsidR="00666AF0" w:rsidRDefault="00666AF0" w:rsidP="00AD126A">
      <w:pPr>
        <w:pStyle w:val="Heading2"/>
        <w:tabs>
          <w:tab w:val="left" w:pos="9072"/>
        </w:tabs>
      </w:pPr>
      <w:bookmarkStart w:id="79" w:name="_Toc141174719"/>
      <w:r w:rsidRPr="002D6D1E">
        <w:t>B.</w:t>
      </w:r>
      <w:r>
        <w:t>1</w:t>
      </w:r>
      <w:r w:rsidR="00F20925">
        <w:t>3</w:t>
      </w:r>
      <w:r w:rsidRPr="002D6D1E">
        <w:t xml:space="preserve"> </w:t>
      </w:r>
      <w:r w:rsidR="00F16202" w:rsidRPr="00F16202">
        <w:t>Ecological Sustainability Reporting</w:t>
      </w:r>
      <w:bookmarkEnd w:id="79"/>
    </w:p>
    <w:p w14:paraId="0CF98874" w14:textId="77777777" w:rsidR="00332754" w:rsidRPr="00A23948" w:rsidRDefault="00332754" w:rsidP="00AD126A">
      <w:pPr>
        <w:tabs>
          <w:tab w:val="left" w:pos="9072"/>
        </w:tabs>
      </w:pPr>
      <w:r w:rsidRPr="00A23948">
        <w:t xml:space="preserve">The Authority is committed to the principles of ecologically sustainable development as set out in the </w:t>
      </w:r>
      <w:r w:rsidRPr="00A23948">
        <w:rPr>
          <w:i/>
          <w:iCs/>
        </w:rPr>
        <w:t>Environmental Protection Act 1997</w:t>
      </w:r>
      <w:r w:rsidRPr="00A23948">
        <w:t xml:space="preserve"> and required by </w:t>
      </w:r>
      <w:r w:rsidRPr="00A23948">
        <w:rPr>
          <w:i/>
          <w:iCs/>
        </w:rPr>
        <w:t>Climate Change and Greenhouse Gas Reduction Act 2010</w:t>
      </w:r>
      <w:r w:rsidRPr="00A23948">
        <w:t>.</w:t>
      </w:r>
    </w:p>
    <w:p w14:paraId="5BF48AE1" w14:textId="19C18CC6" w:rsidR="00332754" w:rsidRPr="00A23948" w:rsidRDefault="00332754" w:rsidP="00AD126A">
      <w:pPr>
        <w:tabs>
          <w:tab w:val="left" w:pos="9072"/>
        </w:tabs>
      </w:pPr>
      <w:r w:rsidRPr="00A23948">
        <w:t>The Authority proactively incorporates appropriate management practices that are consistent with the principles of ecologically sustainable development into its daily business practices. The Authority uses recycled paper and where possible uses energy efficient office equipment. Recycling and organic bins are provided for the use of staff. Where possible electronic communications are used in preference to paper.</w:t>
      </w:r>
    </w:p>
    <w:p w14:paraId="4F80B12E" w14:textId="09BCAA61" w:rsidR="00332754" w:rsidRPr="00A23948" w:rsidRDefault="00332754" w:rsidP="00AD126A">
      <w:pPr>
        <w:tabs>
          <w:tab w:val="left" w:pos="9072"/>
        </w:tabs>
      </w:pPr>
      <w:r w:rsidRPr="00A23948">
        <w:t xml:space="preserve">Information on the Authority’s operational consumption data that are captured at a directorate level can be found in the Ecological Sustainability Reporting section with the CMTEDD Annual Report </w:t>
      </w:r>
      <w:r w:rsidR="00323290">
        <w:t>2023-24</w:t>
      </w:r>
      <w:r w:rsidRPr="00A23948">
        <w:t xml:space="preserve">.  </w:t>
      </w:r>
    </w:p>
    <w:p w14:paraId="3FD93CB9" w14:textId="10CB2113" w:rsidR="001B588F" w:rsidRPr="009B6CCF" w:rsidRDefault="001B588F" w:rsidP="00AD126A">
      <w:pPr>
        <w:pStyle w:val="TableCaption"/>
        <w:tabs>
          <w:tab w:val="left" w:pos="9072"/>
        </w:tabs>
        <w:rPr>
          <w:color w:val="262626" w:themeColor="text1" w:themeTint="D9"/>
        </w:rPr>
      </w:pPr>
      <w:r w:rsidRPr="009B6CCF">
        <w:rPr>
          <w:color w:val="262626" w:themeColor="text1" w:themeTint="D9"/>
        </w:rPr>
        <w:t>Table B</w:t>
      </w:r>
      <w:r w:rsidR="004B02C9" w:rsidRPr="009B6CCF">
        <w:rPr>
          <w:color w:val="262626" w:themeColor="text1" w:themeTint="D9"/>
        </w:rPr>
        <w:t>.</w:t>
      </w:r>
      <w:r w:rsidRPr="009B6CCF">
        <w:rPr>
          <w:color w:val="262626" w:themeColor="text1" w:themeTint="D9"/>
        </w:rPr>
        <w:t xml:space="preserve">12: </w:t>
      </w:r>
      <w:r w:rsidR="00375946" w:rsidRPr="009B6CCF">
        <w:rPr>
          <w:color w:val="262626" w:themeColor="text1" w:themeTint="D9"/>
        </w:rPr>
        <w:t>Sustainable Development: Current and Previous Financial Year</w:t>
      </w:r>
    </w:p>
    <w:tbl>
      <w:tblPr>
        <w:tblStyle w:val="ARTable"/>
        <w:tblW w:w="9072" w:type="dxa"/>
        <w:tblLook w:val="04A0" w:firstRow="1" w:lastRow="0" w:firstColumn="1" w:lastColumn="0" w:noHBand="0" w:noVBand="1"/>
      </w:tblPr>
      <w:tblGrid>
        <w:gridCol w:w="3293"/>
        <w:gridCol w:w="1382"/>
        <w:gridCol w:w="1390"/>
        <w:gridCol w:w="1660"/>
        <w:gridCol w:w="1347"/>
      </w:tblGrid>
      <w:tr w:rsidR="00770A7A" w:rsidRPr="00194112" w14:paraId="3AF7E85C" w14:textId="77777777" w:rsidTr="00244788">
        <w:trPr>
          <w:cnfStyle w:val="100000000000" w:firstRow="1" w:lastRow="0" w:firstColumn="0" w:lastColumn="0" w:oddVBand="0" w:evenVBand="0" w:oddHBand="0" w:evenHBand="0" w:firstRowFirstColumn="0" w:firstRowLastColumn="0" w:lastRowFirstColumn="0" w:lastRowLastColumn="0"/>
          <w:trHeight w:val="152"/>
          <w:tblHeader/>
        </w:trPr>
        <w:tc>
          <w:tcPr>
            <w:tcW w:w="3293" w:type="dxa"/>
          </w:tcPr>
          <w:p w14:paraId="0BFB67AB" w14:textId="343CB67D" w:rsidR="00770A7A" w:rsidRPr="00194112" w:rsidRDefault="00770A7A" w:rsidP="00AD126A">
            <w:pPr>
              <w:pStyle w:val="Tableheading"/>
              <w:tabs>
                <w:tab w:val="left" w:pos="9072"/>
              </w:tabs>
              <w:rPr>
                <w:sz w:val="22"/>
                <w:szCs w:val="22"/>
              </w:rPr>
            </w:pPr>
            <w:r w:rsidRPr="00194112">
              <w:rPr>
                <w:sz w:val="22"/>
                <w:szCs w:val="22"/>
              </w:rPr>
              <w:t>Indicator as at 30 June</w:t>
            </w:r>
          </w:p>
        </w:tc>
        <w:tc>
          <w:tcPr>
            <w:tcW w:w="1382" w:type="dxa"/>
          </w:tcPr>
          <w:p w14:paraId="46C4B229" w14:textId="417500F0" w:rsidR="00770A7A" w:rsidRPr="00194112" w:rsidRDefault="00770A7A" w:rsidP="00AD126A">
            <w:pPr>
              <w:pStyle w:val="Tableheading"/>
              <w:tabs>
                <w:tab w:val="left" w:pos="9072"/>
              </w:tabs>
              <w:jc w:val="center"/>
              <w:rPr>
                <w:sz w:val="22"/>
                <w:szCs w:val="22"/>
              </w:rPr>
            </w:pPr>
            <w:r w:rsidRPr="00194112">
              <w:rPr>
                <w:sz w:val="22"/>
                <w:szCs w:val="22"/>
              </w:rPr>
              <w:t>Unit</w:t>
            </w:r>
          </w:p>
        </w:tc>
        <w:tc>
          <w:tcPr>
            <w:tcW w:w="1390" w:type="dxa"/>
          </w:tcPr>
          <w:p w14:paraId="02F39ABA" w14:textId="47E5E881" w:rsidR="00770A7A" w:rsidRPr="00194112" w:rsidRDefault="00770A7A" w:rsidP="00393BA5">
            <w:pPr>
              <w:pStyle w:val="Tableheading"/>
              <w:tabs>
                <w:tab w:val="left" w:pos="9072"/>
              </w:tabs>
              <w:jc w:val="center"/>
              <w:rPr>
                <w:sz w:val="22"/>
                <w:szCs w:val="22"/>
              </w:rPr>
            </w:pPr>
            <w:r w:rsidRPr="00194112">
              <w:rPr>
                <w:sz w:val="22"/>
                <w:szCs w:val="22"/>
              </w:rPr>
              <w:t>202</w:t>
            </w:r>
            <w:r w:rsidR="00194112">
              <w:rPr>
                <w:sz w:val="22"/>
                <w:szCs w:val="22"/>
              </w:rPr>
              <w:t>2</w:t>
            </w:r>
            <w:r w:rsidRPr="00194112">
              <w:rPr>
                <w:sz w:val="22"/>
                <w:szCs w:val="22"/>
              </w:rPr>
              <w:t>-2</w:t>
            </w:r>
            <w:r w:rsidR="00194112">
              <w:rPr>
                <w:sz w:val="22"/>
                <w:szCs w:val="22"/>
              </w:rPr>
              <w:t>3</w:t>
            </w:r>
            <w:r w:rsidRPr="00194112">
              <w:rPr>
                <w:sz w:val="22"/>
                <w:szCs w:val="22"/>
              </w:rPr>
              <w:t xml:space="preserve"> Result</w:t>
            </w:r>
          </w:p>
        </w:tc>
        <w:tc>
          <w:tcPr>
            <w:tcW w:w="1660" w:type="dxa"/>
          </w:tcPr>
          <w:p w14:paraId="4D6209A1" w14:textId="0CAA3346" w:rsidR="00244788" w:rsidRPr="00194112" w:rsidRDefault="00323290" w:rsidP="00244788">
            <w:pPr>
              <w:pStyle w:val="Tableheading"/>
              <w:tabs>
                <w:tab w:val="left" w:pos="9072"/>
              </w:tabs>
              <w:jc w:val="center"/>
              <w:rPr>
                <w:sz w:val="22"/>
                <w:szCs w:val="22"/>
              </w:rPr>
            </w:pPr>
            <w:r w:rsidRPr="00194112">
              <w:rPr>
                <w:sz w:val="22"/>
                <w:szCs w:val="22"/>
              </w:rPr>
              <w:t>2023-24</w:t>
            </w:r>
          </w:p>
          <w:p w14:paraId="56837E27" w14:textId="45184DDD" w:rsidR="00770A7A" w:rsidRPr="00194112" w:rsidRDefault="00770A7A" w:rsidP="00244788">
            <w:pPr>
              <w:pStyle w:val="Tableheading"/>
              <w:tabs>
                <w:tab w:val="left" w:pos="9072"/>
              </w:tabs>
              <w:jc w:val="center"/>
              <w:rPr>
                <w:sz w:val="22"/>
                <w:szCs w:val="22"/>
              </w:rPr>
            </w:pPr>
            <w:r w:rsidRPr="00194112">
              <w:rPr>
                <w:sz w:val="22"/>
                <w:szCs w:val="22"/>
              </w:rPr>
              <w:t>Result</w:t>
            </w:r>
          </w:p>
        </w:tc>
        <w:tc>
          <w:tcPr>
            <w:tcW w:w="1347" w:type="dxa"/>
          </w:tcPr>
          <w:p w14:paraId="0D8B7AEF" w14:textId="6C1F9FCC" w:rsidR="00770A7A" w:rsidRPr="00194112" w:rsidRDefault="00770A7A" w:rsidP="00AD126A">
            <w:pPr>
              <w:pStyle w:val="Tableheading"/>
              <w:tabs>
                <w:tab w:val="left" w:pos="9072"/>
              </w:tabs>
              <w:jc w:val="center"/>
              <w:rPr>
                <w:sz w:val="22"/>
                <w:szCs w:val="22"/>
              </w:rPr>
            </w:pPr>
            <w:r w:rsidRPr="00194112">
              <w:rPr>
                <w:sz w:val="22"/>
                <w:szCs w:val="22"/>
              </w:rPr>
              <w:t>Percentage change</w:t>
            </w:r>
          </w:p>
        </w:tc>
      </w:tr>
      <w:tr w:rsidR="001A66BB" w:rsidRPr="007A1399" w14:paraId="2BBF3970" w14:textId="77777777" w:rsidTr="00244788">
        <w:trPr>
          <w:trHeight w:val="355"/>
        </w:trPr>
        <w:tc>
          <w:tcPr>
            <w:tcW w:w="3293" w:type="dxa"/>
            <w:shd w:val="clear" w:color="auto" w:fill="E8DFF5"/>
          </w:tcPr>
          <w:p w14:paraId="1CA13855" w14:textId="597AF62F" w:rsidR="001A66BB" w:rsidRPr="007F3206" w:rsidRDefault="001A66BB" w:rsidP="00393BA5">
            <w:pPr>
              <w:pStyle w:val="Tabletext"/>
            </w:pPr>
            <w:r w:rsidRPr="007F3206">
              <w:t>Stationary energy usage</w:t>
            </w:r>
          </w:p>
        </w:tc>
        <w:tc>
          <w:tcPr>
            <w:tcW w:w="1382" w:type="dxa"/>
            <w:shd w:val="clear" w:color="auto" w:fill="E8DFF5"/>
          </w:tcPr>
          <w:p w14:paraId="6FFAD264" w14:textId="77777777" w:rsidR="001A66BB" w:rsidRPr="007F3206" w:rsidRDefault="001A66BB" w:rsidP="00393BA5">
            <w:pPr>
              <w:pStyle w:val="Tabletext"/>
            </w:pPr>
          </w:p>
        </w:tc>
        <w:tc>
          <w:tcPr>
            <w:tcW w:w="1390" w:type="dxa"/>
            <w:shd w:val="clear" w:color="auto" w:fill="E8DFF5"/>
          </w:tcPr>
          <w:p w14:paraId="04664B68" w14:textId="77777777" w:rsidR="001A66BB" w:rsidRPr="007A1399" w:rsidRDefault="001A66BB" w:rsidP="00393BA5">
            <w:pPr>
              <w:pStyle w:val="Tabletext"/>
              <w:jc w:val="center"/>
              <w:rPr>
                <w:highlight w:val="yellow"/>
              </w:rPr>
            </w:pPr>
          </w:p>
        </w:tc>
        <w:tc>
          <w:tcPr>
            <w:tcW w:w="1660" w:type="dxa"/>
            <w:shd w:val="clear" w:color="auto" w:fill="E8DFF5"/>
          </w:tcPr>
          <w:p w14:paraId="636778AC" w14:textId="77777777" w:rsidR="001A66BB" w:rsidRPr="007A1399" w:rsidRDefault="001A66BB" w:rsidP="00393BA5">
            <w:pPr>
              <w:pStyle w:val="Tabletext"/>
              <w:rPr>
                <w:highlight w:val="yellow"/>
              </w:rPr>
            </w:pPr>
          </w:p>
        </w:tc>
        <w:tc>
          <w:tcPr>
            <w:tcW w:w="1347" w:type="dxa"/>
            <w:shd w:val="clear" w:color="auto" w:fill="E8DFF5"/>
          </w:tcPr>
          <w:p w14:paraId="138D388D" w14:textId="77777777" w:rsidR="001A66BB" w:rsidRPr="007A1399" w:rsidRDefault="001A66BB" w:rsidP="00393BA5">
            <w:pPr>
              <w:pStyle w:val="Tabletext"/>
              <w:rPr>
                <w:highlight w:val="yellow"/>
              </w:rPr>
            </w:pPr>
          </w:p>
        </w:tc>
      </w:tr>
      <w:tr w:rsidR="001C70B2" w:rsidRPr="007A1399" w14:paraId="4376F17B" w14:textId="77777777">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A1D6144" w14:textId="5D435A24" w:rsidR="001C70B2" w:rsidRPr="007F3206" w:rsidRDefault="001C70B2" w:rsidP="00393BA5">
            <w:pPr>
              <w:pStyle w:val="Tabletext"/>
              <w:rPr>
                <w:bCs/>
                <w:sz w:val="20"/>
              </w:rPr>
            </w:pPr>
            <w:r w:rsidRPr="007F3206">
              <w:t>Electricity use</w:t>
            </w:r>
          </w:p>
        </w:tc>
        <w:tc>
          <w:tcPr>
            <w:tcW w:w="1382" w:type="dxa"/>
          </w:tcPr>
          <w:p w14:paraId="44294226" w14:textId="7BE5F496" w:rsidR="001C70B2" w:rsidRPr="007F3206" w:rsidRDefault="001C70B2" w:rsidP="00393BA5">
            <w:pPr>
              <w:pStyle w:val="Tabletext"/>
              <w:rPr>
                <w:color w:val="000000"/>
                <w:sz w:val="20"/>
              </w:rPr>
            </w:pPr>
            <w:r w:rsidRPr="007F3206">
              <w:t>Kilowatt hours</w:t>
            </w:r>
          </w:p>
        </w:tc>
        <w:tc>
          <w:tcPr>
            <w:tcW w:w="3050" w:type="dxa"/>
            <w:gridSpan w:val="2"/>
            <w:vMerge w:val="restart"/>
          </w:tcPr>
          <w:p w14:paraId="67F68FE1" w14:textId="4351C867" w:rsidR="001C70B2" w:rsidRPr="007F3206" w:rsidRDefault="001C70B2" w:rsidP="00393BA5">
            <w:pPr>
              <w:pStyle w:val="Tablefigures"/>
              <w:rPr>
                <w:b/>
                <w:sz w:val="20"/>
              </w:rPr>
            </w:pPr>
            <w:r w:rsidRPr="007F3206">
              <w:t>Refer to the</w:t>
            </w:r>
            <w:r w:rsidRPr="007F3206">
              <w:br/>
              <w:t>CMTEDD Annual Report</w:t>
            </w:r>
          </w:p>
        </w:tc>
        <w:tc>
          <w:tcPr>
            <w:tcW w:w="1347" w:type="dxa"/>
            <w:vMerge w:val="restart"/>
          </w:tcPr>
          <w:p w14:paraId="78FAAACA" w14:textId="24851BB0" w:rsidR="001C70B2" w:rsidRPr="007F3206" w:rsidRDefault="001C70B2" w:rsidP="00393BA5">
            <w:pPr>
              <w:pStyle w:val="Tablefigures"/>
              <w:rPr>
                <w:b/>
                <w:sz w:val="20"/>
              </w:rPr>
            </w:pPr>
            <w:r w:rsidRPr="007F3206">
              <w:t>N/A</w:t>
            </w:r>
          </w:p>
        </w:tc>
      </w:tr>
      <w:tr w:rsidR="001C70B2" w:rsidRPr="007A1399" w14:paraId="13562C08" w14:textId="77777777">
        <w:trPr>
          <w:trHeight w:val="355"/>
        </w:trPr>
        <w:tc>
          <w:tcPr>
            <w:tcW w:w="3293" w:type="dxa"/>
          </w:tcPr>
          <w:p w14:paraId="21DAEA3F" w14:textId="4A48DD4E" w:rsidR="001C70B2" w:rsidRPr="007F3206" w:rsidRDefault="00804CAA" w:rsidP="00393BA5">
            <w:pPr>
              <w:pStyle w:val="Tabletext"/>
              <w:rPr>
                <w:bCs/>
                <w:sz w:val="20"/>
              </w:rPr>
            </w:pPr>
            <w:r>
              <w:t>Fossil f</w:t>
            </w:r>
            <w:r w:rsidR="001C70B2">
              <w:t>uel gas use</w:t>
            </w:r>
            <w:r w:rsidR="001C70B2" w:rsidRPr="007F3206">
              <w:t xml:space="preserve"> (non-transport)</w:t>
            </w:r>
          </w:p>
        </w:tc>
        <w:tc>
          <w:tcPr>
            <w:tcW w:w="1382" w:type="dxa"/>
          </w:tcPr>
          <w:p w14:paraId="6659246A" w14:textId="37C1B12F" w:rsidR="001C70B2" w:rsidRPr="007F3206" w:rsidRDefault="001C70B2" w:rsidP="00393BA5">
            <w:pPr>
              <w:pStyle w:val="Tabletext"/>
              <w:rPr>
                <w:color w:val="000000"/>
                <w:sz w:val="20"/>
              </w:rPr>
            </w:pPr>
            <w:r w:rsidRPr="007F3206">
              <w:t>Megajoules</w:t>
            </w:r>
          </w:p>
        </w:tc>
        <w:tc>
          <w:tcPr>
            <w:tcW w:w="3050" w:type="dxa"/>
            <w:gridSpan w:val="2"/>
            <w:vMerge/>
          </w:tcPr>
          <w:p w14:paraId="406293BD" w14:textId="77777777" w:rsidR="001C70B2" w:rsidRPr="007F3206" w:rsidRDefault="001C70B2" w:rsidP="00393BA5">
            <w:pPr>
              <w:pStyle w:val="Tablefigures"/>
            </w:pPr>
          </w:p>
        </w:tc>
        <w:tc>
          <w:tcPr>
            <w:tcW w:w="1347" w:type="dxa"/>
            <w:vMerge/>
          </w:tcPr>
          <w:p w14:paraId="20CA7E26" w14:textId="77777777" w:rsidR="001C70B2" w:rsidRPr="007F3206" w:rsidRDefault="001C70B2" w:rsidP="00393BA5">
            <w:pPr>
              <w:pStyle w:val="Tablefigures"/>
            </w:pPr>
          </w:p>
        </w:tc>
      </w:tr>
      <w:tr w:rsidR="001C70B2" w:rsidRPr="007A1399" w14:paraId="34A949E3" w14:textId="77777777">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D99F475" w14:textId="1CB71E22" w:rsidR="001C70B2" w:rsidRPr="007F3206" w:rsidRDefault="001C70B2" w:rsidP="00393BA5">
            <w:pPr>
              <w:pStyle w:val="Tabletext"/>
              <w:rPr>
                <w:bCs/>
                <w:sz w:val="20"/>
              </w:rPr>
            </w:pPr>
            <w:r w:rsidRPr="007F3206">
              <w:t>Diesel use (non-transport)</w:t>
            </w:r>
          </w:p>
        </w:tc>
        <w:tc>
          <w:tcPr>
            <w:tcW w:w="1382" w:type="dxa"/>
          </w:tcPr>
          <w:p w14:paraId="0643F1BE" w14:textId="380BD1D3" w:rsidR="001C70B2" w:rsidRPr="007F3206" w:rsidRDefault="001C70B2" w:rsidP="00393BA5">
            <w:pPr>
              <w:pStyle w:val="Tabletext"/>
              <w:rPr>
                <w:color w:val="000000"/>
                <w:sz w:val="20"/>
              </w:rPr>
            </w:pPr>
            <w:r w:rsidRPr="007F3206">
              <w:t>Kilolitres</w:t>
            </w:r>
          </w:p>
        </w:tc>
        <w:tc>
          <w:tcPr>
            <w:tcW w:w="3050" w:type="dxa"/>
            <w:gridSpan w:val="2"/>
            <w:vMerge/>
          </w:tcPr>
          <w:p w14:paraId="77F0C008" w14:textId="77777777" w:rsidR="001C70B2" w:rsidRPr="007F3206" w:rsidRDefault="001C70B2" w:rsidP="00393BA5">
            <w:pPr>
              <w:pStyle w:val="Tablefigures"/>
            </w:pPr>
          </w:p>
        </w:tc>
        <w:tc>
          <w:tcPr>
            <w:tcW w:w="1347" w:type="dxa"/>
            <w:vMerge/>
          </w:tcPr>
          <w:p w14:paraId="6A03F3B5" w14:textId="77777777" w:rsidR="001C70B2" w:rsidRPr="007F3206" w:rsidRDefault="001C70B2" w:rsidP="00393BA5">
            <w:pPr>
              <w:pStyle w:val="Tablefigures"/>
            </w:pPr>
          </w:p>
        </w:tc>
      </w:tr>
      <w:tr w:rsidR="001C70B2" w:rsidRPr="007A1399" w14:paraId="04EF9C8E" w14:textId="77777777">
        <w:trPr>
          <w:trHeight w:val="355"/>
        </w:trPr>
        <w:tc>
          <w:tcPr>
            <w:tcW w:w="3293" w:type="dxa"/>
          </w:tcPr>
          <w:p w14:paraId="1712F899" w14:textId="2F687DC8" w:rsidR="001C70B2" w:rsidRPr="007F3206" w:rsidRDefault="001C70B2" w:rsidP="001C70B2">
            <w:pPr>
              <w:pStyle w:val="Tabletext"/>
            </w:pPr>
            <w:r>
              <w:t>Liquid Petroleum Gas</w:t>
            </w:r>
          </w:p>
        </w:tc>
        <w:tc>
          <w:tcPr>
            <w:tcW w:w="1382" w:type="dxa"/>
          </w:tcPr>
          <w:p w14:paraId="4DD7C7B9" w14:textId="3AD317D4" w:rsidR="001C70B2" w:rsidRPr="007F3206" w:rsidRDefault="001C70B2" w:rsidP="001C70B2">
            <w:pPr>
              <w:pStyle w:val="Tabletext"/>
            </w:pPr>
            <w:r w:rsidRPr="007F3206">
              <w:t>Kilolitres</w:t>
            </w:r>
          </w:p>
        </w:tc>
        <w:tc>
          <w:tcPr>
            <w:tcW w:w="3050" w:type="dxa"/>
            <w:gridSpan w:val="2"/>
            <w:vMerge/>
          </w:tcPr>
          <w:p w14:paraId="6A15F4CE" w14:textId="77777777" w:rsidR="001C70B2" w:rsidRPr="007F3206" w:rsidRDefault="001C70B2" w:rsidP="001C70B2">
            <w:pPr>
              <w:pStyle w:val="Tablefigures"/>
            </w:pPr>
          </w:p>
        </w:tc>
        <w:tc>
          <w:tcPr>
            <w:tcW w:w="1347" w:type="dxa"/>
            <w:vMerge/>
          </w:tcPr>
          <w:p w14:paraId="675D64C4" w14:textId="77777777" w:rsidR="001C70B2" w:rsidRPr="007F3206" w:rsidRDefault="001C70B2" w:rsidP="001C70B2">
            <w:pPr>
              <w:pStyle w:val="Tablefigures"/>
            </w:pPr>
          </w:p>
        </w:tc>
      </w:tr>
      <w:tr w:rsidR="001C70B2" w:rsidRPr="007A1399" w14:paraId="18312BEC"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shd w:val="clear" w:color="auto" w:fill="E8DFF5"/>
          </w:tcPr>
          <w:p w14:paraId="7C8EE444" w14:textId="387D4C77" w:rsidR="001C70B2" w:rsidRPr="007F3206" w:rsidRDefault="001C70B2" w:rsidP="001C70B2">
            <w:pPr>
              <w:pStyle w:val="Tabletext"/>
            </w:pPr>
            <w:r w:rsidRPr="007F3206">
              <w:t>Transport fuel usage</w:t>
            </w:r>
          </w:p>
        </w:tc>
        <w:tc>
          <w:tcPr>
            <w:tcW w:w="1382" w:type="dxa"/>
            <w:shd w:val="clear" w:color="auto" w:fill="E8DFF5"/>
          </w:tcPr>
          <w:p w14:paraId="10D7EDAE" w14:textId="77777777" w:rsidR="001C70B2" w:rsidRPr="007F3206" w:rsidRDefault="001C70B2" w:rsidP="001C70B2">
            <w:pPr>
              <w:pStyle w:val="Tabletext"/>
            </w:pPr>
          </w:p>
        </w:tc>
        <w:tc>
          <w:tcPr>
            <w:tcW w:w="1390" w:type="dxa"/>
            <w:shd w:val="clear" w:color="auto" w:fill="E8DFF5"/>
          </w:tcPr>
          <w:p w14:paraId="46C5F21E" w14:textId="77777777" w:rsidR="001C70B2" w:rsidRPr="007F3206" w:rsidRDefault="001C70B2" w:rsidP="001C70B2">
            <w:pPr>
              <w:pStyle w:val="Tabletext"/>
              <w:jc w:val="center"/>
            </w:pPr>
          </w:p>
        </w:tc>
        <w:tc>
          <w:tcPr>
            <w:tcW w:w="1660" w:type="dxa"/>
            <w:shd w:val="clear" w:color="auto" w:fill="E8DFF5"/>
          </w:tcPr>
          <w:p w14:paraId="32E654CC" w14:textId="77777777" w:rsidR="001C70B2" w:rsidRPr="007F3206" w:rsidRDefault="001C70B2" w:rsidP="001C70B2">
            <w:pPr>
              <w:pStyle w:val="Tablefigures"/>
            </w:pPr>
          </w:p>
        </w:tc>
        <w:tc>
          <w:tcPr>
            <w:tcW w:w="1347" w:type="dxa"/>
            <w:shd w:val="clear" w:color="auto" w:fill="E8DFF5"/>
          </w:tcPr>
          <w:p w14:paraId="494FDF2A" w14:textId="77777777" w:rsidR="001C70B2" w:rsidRPr="007F3206" w:rsidRDefault="001C70B2" w:rsidP="001C70B2">
            <w:pPr>
              <w:pStyle w:val="Tablefigures"/>
            </w:pPr>
          </w:p>
        </w:tc>
      </w:tr>
      <w:tr w:rsidR="001C70B2" w:rsidRPr="007A1399" w14:paraId="3EF91238" w14:textId="77777777" w:rsidTr="00244788">
        <w:trPr>
          <w:trHeight w:val="355"/>
        </w:trPr>
        <w:tc>
          <w:tcPr>
            <w:tcW w:w="3293" w:type="dxa"/>
          </w:tcPr>
          <w:p w14:paraId="28085F8D" w14:textId="0CBCFBAE" w:rsidR="001C70B2" w:rsidRPr="007F3206" w:rsidRDefault="00804CAA" w:rsidP="001C70B2">
            <w:pPr>
              <w:pStyle w:val="Tabletext"/>
              <w:rPr>
                <w:bCs/>
                <w:sz w:val="20"/>
              </w:rPr>
            </w:pPr>
            <w:r>
              <w:t>Zero Emissions Vehicles (ZEV)</w:t>
            </w:r>
          </w:p>
        </w:tc>
        <w:tc>
          <w:tcPr>
            <w:tcW w:w="1382" w:type="dxa"/>
          </w:tcPr>
          <w:p w14:paraId="64466735" w14:textId="135B1B53" w:rsidR="001C70B2" w:rsidRPr="007F3206" w:rsidRDefault="001C70B2" w:rsidP="001C70B2">
            <w:pPr>
              <w:pStyle w:val="Tabletext"/>
              <w:rPr>
                <w:color w:val="000000"/>
                <w:sz w:val="20"/>
              </w:rPr>
            </w:pPr>
            <w:r w:rsidRPr="007F3206">
              <w:t>Number</w:t>
            </w:r>
          </w:p>
        </w:tc>
        <w:tc>
          <w:tcPr>
            <w:tcW w:w="1390" w:type="dxa"/>
          </w:tcPr>
          <w:p w14:paraId="7BF244ED" w14:textId="29340357" w:rsidR="001C70B2" w:rsidRPr="007F3206" w:rsidRDefault="001C70B2" w:rsidP="001C70B2">
            <w:pPr>
              <w:pStyle w:val="Tabletext"/>
              <w:jc w:val="center"/>
              <w:rPr>
                <w:color w:val="000000"/>
                <w:sz w:val="20"/>
              </w:rPr>
            </w:pPr>
            <w:r w:rsidRPr="007F3206">
              <w:t>-</w:t>
            </w:r>
          </w:p>
        </w:tc>
        <w:tc>
          <w:tcPr>
            <w:tcW w:w="1660" w:type="dxa"/>
          </w:tcPr>
          <w:p w14:paraId="184B2EC9" w14:textId="4B70DF52" w:rsidR="001C70B2" w:rsidRPr="007F3206" w:rsidRDefault="001C70B2" w:rsidP="001C70B2">
            <w:pPr>
              <w:pStyle w:val="Tablefigures"/>
              <w:rPr>
                <w:sz w:val="20"/>
              </w:rPr>
            </w:pPr>
            <w:r w:rsidRPr="007F3206">
              <w:t>-</w:t>
            </w:r>
          </w:p>
        </w:tc>
        <w:tc>
          <w:tcPr>
            <w:tcW w:w="1347" w:type="dxa"/>
          </w:tcPr>
          <w:p w14:paraId="174EA412" w14:textId="443427E7" w:rsidR="001C70B2" w:rsidRPr="007F3206" w:rsidRDefault="001C70B2" w:rsidP="001C70B2">
            <w:pPr>
              <w:pStyle w:val="Tablefigures"/>
              <w:rPr>
                <w:sz w:val="20"/>
              </w:rPr>
            </w:pPr>
            <w:r w:rsidRPr="007F3206">
              <w:t>-</w:t>
            </w:r>
          </w:p>
        </w:tc>
      </w:tr>
      <w:tr w:rsidR="001C70B2" w:rsidRPr="007A1399" w14:paraId="523BDBC5"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7BC9F77E" w14:textId="3E5360AB" w:rsidR="001C70B2" w:rsidRPr="007F3206" w:rsidRDefault="001C70B2" w:rsidP="001C70B2">
            <w:pPr>
              <w:pStyle w:val="Tabletext"/>
              <w:rPr>
                <w:bCs/>
                <w:sz w:val="20"/>
              </w:rPr>
            </w:pPr>
            <w:r w:rsidRPr="007F3206">
              <w:t>Plug-in Hybrid Electric Vehicles (PHEV)</w:t>
            </w:r>
          </w:p>
        </w:tc>
        <w:tc>
          <w:tcPr>
            <w:tcW w:w="1382" w:type="dxa"/>
          </w:tcPr>
          <w:p w14:paraId="0E289676" w14:textId="1FB0632E" w:rsidR="001C70B2" w:rsidRPr="007F3206" w:rsidRDefault="001C70B2" w:rsidP="001C70B2">
            <w:pPr>
              <w:pStyle w:val="Tabletext"/>
              <w:rPr>
                <w:color w:val="000000"/>
                <w:sz w:val="20"/>
              </w:rPr>
            </w:pPr>
            <w:r w:rsidRPr="007F3206">
              <w:t>Number</w:t>
            </w:r>
          </w:p>
        </w:tc>
        <w:tc>
          <w:tcPr>
            <w:tcW w:w="1390" w:type="dxa"/>
          </w:tcPr>
          <w:p w14:paraId="4620DFBE" w14:textId="4CD99422" w:rsidR="001C70B2" w:rsidRPr="007F3206" w:rsidRDefault="001C70B2" w:rsidP="001C70B2">
            <w:pPr>
              <w:pStyle w:val="Tabletext"/>
              <w:jc w:val="center"/>
              <w:rPr>
                <w:color w:val="000000"/>
                <w:sz w:val="20"/>
              </w:rPr>
            </w:pPr>
            <w:r w:rsidRPr="007F3206">
              <w:t>-</w:t>
            </w:r>
          </w:p>
        </w:tc>
        <w:tc>
          <w:tcPr>
            <w:tcW w:w="1660" w:type="dxa"/>
          </w:tcPr>
          <w:p w14:paraId="763462AC" w14:textId="5214AD93" w:rsidR="001C70B2" w:rsidRPr="007F3206" w:rsidRDefault="001C70B2" w:rsidP="001C70B2">
            <w:pPr>
              <w:pStyle w:val="Tablefigures"/>
              <w:rPr>
                <w:sz w:val="20"/>
              </w:rPr>
            </w:pPr>
            <w:r w:rsidRPr="007F3206">
              <w:t>-</w:t>
            </w:r>
          </w:p>
        </w:tc>
        <w:tc>
          <w:tcPr>
            <w:tcW w:w="1347" w:type="dxa"/>
          </w:tcPr>
          <w:p w14:paraId="52BA5AD7" w14:textId="7E53B657" w:rsidR="001C70B2" w:rsidRPr="007F3206" w:rsidRDefault="001C70B2" w:rsidP="001C70B2">
            <w:pPr>
              <w:pStyle w:val="Tablefigures"/>
              <w:rPr>
                <w:sz w:val="20"/>
              </w:rPr>
            </w:pPr>
            <w:r w:rsidRPr="007F3206">
              <w:t>-</w:t>
            </w:r>
          </w:p>
        </w:tc>
      </w:tr>
      <w:tr w:rsidR="001C70B2" w:rsidRPr="007A1399" w14:paraId="00177050" w14:textId="77777777" w:rsidTr="00244788">
        <w:trPr>
          <w:trHeight w:val="355"/>
        </w:trPr>
        <w:tc>
          <w:tcPr>
            <w:tcW w:w="3293" w:type="dxa"/>
          </w:tcPr>
          <w:p w14:paraId="66E58CC4" w14:textId="6C8734EB" w:rsidR="001C70B2" w:rsidRPr="007F3206" w:rsidRDefault="001C70B2" w:rsidP="001C70B2">
            <w:pPr>
              <w:pStyle w:val="Tabletext"/>
              <w:rPr>
                <w:bCs/>
                <w:sz w:val="20"/>
              </w:rPr>
            </w:pPr>
            <w:r w:rsidRPr="007F3206">
              <w:t>Hybrid Electric Vehicles (HEV)</w:t>
            </w:r>
          </w:p>
        </w:tc>
        <w:tc>
          <w:tcPr>
            <w:tcW w:w="1382" w:type="dxa"/>
          </w:tcPr>
          <w:p w14:paraId="0F56180B" w14:textId="1A060B64" w:rsidR="001C70B2" w:rsidRPr="007F3206" w:rsidRDefault="001C70B2" w:rsidP="001C70B2">
            <w:pPr>
              <w:pStyle w:val="Tabletext"/>
              <w:rPr>
                <w:color w:val="000000"/>
                <w:sz w:val="20"/>
              </w:rPr>
            </w:pPr>
            <w:r w:rsidRPr="007F3206">
              <w:t>Number</w:t>
            </w:r>
          </w:p>
        </w:tc>
        <w:tc>
          <w:tcPr>
            <w:tcW w:w="1390" w:type="dxa"/>
          </w:tcPr>
          <w:p w14:paraId="74E5137E" w14:textId="74EFC415" w:rsidR="001C70B2" w:rsidRPr="007F3206" w:rsidRDefault="001C70B2" w:rsidP="001C70B2">
            <w:pPr>
              <w:pStyle w:val="Tabletext"/>
              <w:jc w:val="center"/>
              <w:rPr>
                <w:color w:val="000000"/>
                <w:sz w:val="20"/>
              </w:rPr>
            </w:pPr>
            <w:r w:rsidRPr="007F3206">
              <w:t>-</w:t>
            </w:r>
          </w:p>
        </w:tc>
        <w:tc>
          <w:tcPr>
            <w:tcW w:w="1660" w:type="dxa"/>
          </w:tcPr>
          <w:p w14:paraId="1329BD24" w14:textId="2D4241C8" w:rsidR="001C70B2" w:rsidRPr="007F3206" w:rsidRDefault="001C70B2" w:rsidP="001C70B2">
            <w:pPr>
              <w:pStyle w:val="Tablefigures"/>
              <w:rPr>
                <w:sz w:val="20"/>
              </w:rPr>
            </w:pPr>
            <w:r w:rsidRPr="007F3206">
              <w:t>-</w:t>
            </w:r>
          </w:p>
        </w:tc>
        <w:tc>
          <w:tcPr>
            <w:tcW w:w="1347" w:type="dxa"/>
          </w:tcPr>
          <w:p w14:paraId="4349C500" w14:textId="61E25BB6" w:rsidR="001C70B2" w:rsidRPr="007F3206" w:rsidRDefault="001C70B2" w:rsidP="001C70B2">
            <w:pPr>
              <w:pStyle w:val="Tablefigures"/>
              <w:rPr>
                <w:sz w:val="20"/>
              </w:rPr>
            </w:pPr>
            <w:r w:rsidRPr="007F3206">
              <w:t>-</w:t>
            </w:r>
          </w:p>
        </w:tc>
      </w:tr>
      <w:tr w:rsidR="001C70B2" w:rsidRPr="007A1399" w14:paraId="5872DD23"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09FDB536" w14:textId="43E54EF3" w:rsidR="001C70B2" w:rsidRPr="007F3206" w:rsidRDefault="001C70B2" w:rsidP="001C70B2">
            <w:pPr>
              <w:pStyle w:val="Tabletext"/>
              <w:rPr>
                <w:bCs/>
                <w:sz w:val="20"/>
              </w:rPr>
            </w:pPr>
            <w:r w:rsidRPr="007F3206">
              <w:lastRenderedPageBreak/>
              <w:t>Internal Combustion Engine (ICE) vehicles</w:t>
            </w:r>
          </w:p>
        </w:tc>
        <w:tc>
          <w:tcPr>
            <w:tcW w:w="1382" w:type="dxa"/>
          </w:tcPr>
          <w:p w14:paraId="651D9A7A" w14:textId="4F12A774" w:rsidR="001C70B2" w:rsidRPr="007F3206" w:rsidRDefault="001C70B2" w:rsidP="001C70B2">
            <w:pPr>
              <w:pStyle w:val="Tabletext"/>
              <w:rPr>
                <w:color w:val="000000"/>
                <w:sz w:val="20"/>
              </w:rPr>
            </w:pPr>
            <w:r w:rsidRPr="007F3206">
              <w:t>Number</w:t>
            </w:r>
          </w:p>
        </w:tc>
        <w:tc>
          <w:tcPr>
            <w:tcW w:w="1390" w:type="dxa"/>
          </w:tcPr>
          <w:p w14:paraId="3BBC2D90" w14:textId="19AEEB8E" w:rsidR="001C70B2" w:rsidRPr="007F3206" w:rsidRDefault="001C70B2" w:rsidP="001C70B2">
            <w:pPr>
              <w:pStyle w:val="Tabletext"/>
              <w:jc w:val="center"/>
              <w:rPr>
                <w:color w:val="000000"/>
                <w:sz w:val="20"/>
              </w:rPr>
            </w:pPr>
            <w:r w:rsidRPr="007F3206">
              <w:t>-</w:t>
            </w:r>
          </w:p>
        </w:tc>
        <w:tc>
          <w:tcPr>
            <w:tcW w:w="1660" w:type="dxa"/>
          </w:tcPr>
          <w:p w14:paraId="3D2CAEBA" w14:textId="668F54F7" w:rsidR="001C70B2" w:rsidRPr="007F3206" w:rsidRDefault="001C70B2" w:rsidP="001C70B2">
            <w:pPr>
              <w:pStyle w:val="Tablefigures"/>
              <w:rPr>
                <w:sz w:val="20"/>
              </w:rPr>
            </w:pPr>
            <w:r w:rsidRPr="007F3206">
              <w:t>-</w:t>
            </w:r>
          </w:p>
        </w:tc>
        <w:tc>
          <w:tcPr>
            <w:tcW w:w="1347" w:type="dxa"/>
          </w:tcPr>
          <w:p w14:paraId="7637DEFF" w14:textId="23BB7248" w:rsidR="001C70B2" w:rsidRPr="007F3206" w:rsidRDefault="001C70B2" w:rsidP="001C70B2">
            <w:pPr>
              <w:pStyle w:val="Tablefigures"/>
              <w:rPr>
                <w:sz w:val="20"/>
              </w:rPr>
            </w:pPr>
            <w:r w:rsidRPr="007F3206">
              <w:t>-</w:t>
            </w:r>
          </w:p>
        </w:tc>
      </w:tr>
      <w:tr w:rsidR="001C70B2" w:rsidRPr="007F3206" w14:paraId="7FEFFDDD" w14:textId="77777777" w:rsidTr="00244788">
        <w:trPr>
          <w:trHeight w:val="355"/>
        </w:trPr>
        <w:tc>
          <w:tcPr>
            <w:tcW w:w="3293" w:type="dxa"/>
          </w:tcPr>
          <w:p w14:paraId="1A90644B" w14:textId="691BF2DE" w:rsidR="001C70B2" w:rsidRPr="007F3206" w:rsidRDefault="001C70B2" w:rsidP="001C70B2">
            <w:pPr>
              <w:pStyle w:val="Tabletext"/>
              <w:rPr>
                <w:bCs/>
                <w:sz w:val="20"/>
              </w:rPr>
            </w:pPr>
            <w:r w:rsidRPr="007F3206">
              <w:t>Total number of vehicles</w:t>
            </w:r>
          </w:p>
        </w:tc>
        <w:tc>
          <w:tcPr>
            <w:tcW w:w="1382" w:type="dxa"/>
          </w:tcPr>
          <w:p w14:paraId="30644F83" w14:textId="7041301F" w:rsidR="001C70B2" w:rsidRPr="007F3206" w:rsidRDefault="001C70B2" w:rsidP="001C70B2">
            <w:pPr>
              <w:pStyle w:val="Tabletext"/>
              <w:rPr>
                <w:color w:val="000000"/>
                <w:sz w:val="20"/>
              </w:rPr>
            </w:pPr>
            <w:r w:rsidRPr="007F3206">
              <w:t>Number</w:t>
            </w:r>
          </w:p>
        </w:tc>
        <w:tc>
          <w:tcPr>
            <w:tcW w:w="1390" w:type="dxa"/>
          </w:tcPr>
          <w:p w14:paraId="134B2C42" w14:textId="0FE010AC" w:rsidR="001C70B2" w:rsidRPr="007F3206" w:rsidRDefault="001C70B2" w:rsidP="001C70B2">
            <w:pPr>
              <w:pStyle w:val="Tabletext"/>
              <w:jc w:val="center"/>
              <w:rPr>
                <w:color w:val="000000"/>
                <w:sz w:val="20"/>
              </w:rPr>
            </w:pPr>
            <w:r w:rsidRPr="007F3206">
              <w:t>-</w:t>
            </w:r>
          </w:p>
        </w:tc>
        <w:tc>
          <w:tcPr>
            <w:tcW w:w="1660" w:type="dxa"/>
          </w:tcPr>
          <w:p w14:paraId="45EDA762" w14:textId="21EC5042" w:rsidR="001C70B2" w:rsidRPr="007F3206" w:rsidRDefault="001C70B2" w:rsidP="001C70B2">
            <w:pPr>
              <w:pStyle w:val="Tablefigures"/>
              <w:rPr>
                <w:sz w:val="20"/>
              </w:rPr>
            </w:pPr>
            <w:r w:rsidRPr="007F3206">
              <w:t>-</w:t>
            </w:r>
          </w:p>
        </w:tc>
        <w:tc>
          <w:tcPr>
            <w:tcW w:w="1347" w:type="dxa"/>
          </w:tcPr>
          <w:p w14:paraId="493B3869" w14:textId="01CFA92E" w:rsidR="001C70B2" w:rsidRPr="007F3206" w:rsidRDefault="001C70B2" w:rsidP="001C70B2">
            <w:pPr>
              <w:pStyle w:val="Tablefigures"/>
              <w:rPr>
                <w:sz w:val="20"/>
              </w:rPr>
            </w:pPr>
            <w:r w:rsidRPr="007F3206">
              <w:t>-</w:t>
            </w:r>
          </w:p>
        </w:tc>
      </w:tr>
      <w:tr w:rsidR="001C70B2" w:rsidRPr="007F3206" w14:paraId="77C3F8F5"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0520A0F8" w14:textId="106585B4" w:rsidR="001C70B2" w:rsidRPr="007F3206" w:rsidRDefault="001C70B2" w:rsidP="001C70B2">
            <w:pPr>
              <w:pStyle w:val="Tabletext"/>
              <w:rPr>
                <w:bCs/>
                <w:sz w:val="20"/>
              </w:rPr>
            </w:pPr>
            <w:r w:rsidRPr="007F3206">
              <w:t xml:space="preserve">Fuel use – </w:t>
            </w:r>
            <w:r w:rsidR="00804CAA">
              <w:t>P</w:t>
            </w:r>
            <w:r w:rsidRPr="007F3206">
              <w:t>etrol</w:t>
            </w:r>
          </w:p>
        </w:tc>
        <w:tc>
          <w:tcPr>
            <w:tcW w:w="1382" w:type="dxa"/>
          </w:tcPr>
          <w:p w14:paraId="4FCC061C" w14:textId="2C5F2E71" w:rsidR="001C70B2" w:rsidRPr="007F3206" w:rsidRDefault="001C70B2" w:rsidP="001C70B2">
            <w:pPr>
              <w:pStyle w:val="Tabletext"/>
              <w:rPr>
                <w:color w:val="000000"/>
                <w:sz w:val="20"/>
              </w:rPr>
            </w:pPr>
            <w:r w:rsidRPr="007F3206">
              <w:t>Kilolitres</w:t>
            </w:r>
          </w:p>
        </w:tc>
        <w:tc>
          <w:tcPr>
            <w:tcW w:w="1390" w:type="dxa"/>
          </w:tcPr>
          <w:p w14:paraId="61134CF7" w14:textId="5A856C88" w:rsidR="001C70B2" w:rsidRPr="007F3206" w:rsidRDefault="001C70B2" w:rsidP="001C70B2">
            <w:pPr>
              <w:pStyle w:val="Tabletext"/>
              <w:jc w:val="center"/>
              <w:rPr>
                <w:color w:val="000000"/>
                <w:sz w:val="20"/>
              </w:rPr>
            </w:pPr>
            <w:r w:rsidRPr="007F3206">
              <w:t>-</w:t>
            </w:r>
          </w:p>
        </w:tc>
        <w:tc>
          <w:tcPr>
            <w:tcW w:w="1660" w:type="dxa"/>
          </w:tcPr>
          <w:p w14:paraId="3C7C960B" w14:textId="4BA1822F" w:rsidR="001C70B2" w:rsidRPr="007F3206" w:rsidRDefault="001C70B2" w:rsidP="001C70B2">
            <w:pPr>
              <w:pStyle w:val="Tablefigures"/>
              <w:rPr>
                <w:sz w:val="20"/>
              </w:rPr>
            </w:pPr>
            <w:r w:rsidRPr="007F3206">
              <w:t>-</w:t>
            </w:r>
          </w:p>
        </w:tc>
        <w:tc>
          <w:tcPr>
            <w:tcW w:w="1347" w:type="dxa"/>
          </w:tcPr>
          <w:p w14:paraId="1294F692" w14:textId="0E0C2AAE" w:rsidR="001C70B2" w:rsidRPr="007F3206" w:rsidRDefault="001C70B2" w:rsidP="001C70B2">
            <w:pPr>
              <w:pStyle w:val="Tablefigures"/>
              <w:rPr>
                <w:sz w:val="20"/>
              </w:rPr>
            </w:pPr>
            <w:r w:rsidRPr="007F3206">
              <w:t>-</w:t>
            </w:r>
          </w:p>
        </w:tc>
      </w:tr>
      <w:tr w:rsidR="001C70B2" w:rsidRPr="007F3206" w14:paraId="2309EA1D" w14:textId="77777777" w:rsidTr="00244788">
        <w:trPr>
          <w:trHeight w:val="355"/>
        </w:trPr>
        <w:tc>
          <w:tcPr>
            <w:tcW w:w="3293" w:type="dxa"/>
          </w:tcPr>
          <w:p w14:paraId="3D889E06" w14:textId="6AA9D7F2" w:rsidR="001C70B2" w:rsidRPr="007F3206" w:rsidRDefault="001C70B2" w:rsidP="001C70B2">
            <w:pPr>
              <w:pStyle w:val="Tabletext"/>
              <w:rPr>
                <w:bCs/>
                <w:sz w:val="20"/>
              </w:rPr>
            </w:pPr>
            <w:r w:rsidRPr="007F3206">
              <w:t xml:space="preserve">Fuel use – </w:t>
            </w:r>
            <w:r w:rsidR="00804CAA">
              <w:t>D</w:t>
            </w:r>
            <w:r w:rsidRPr="007F3206">
              <w:t>iesel</w:t>
            </w:r>
          </w:p>
        </w:tc>
        <w:tc>
          <w:tcPr>
            <w:tcW w:w="1382" w:type="dxa"/>
          </w:tcPr>
          <w:p w14:paraId="3D23281E" w14:textId="13F08570" w:rsidR="001C70B2" w:rsidRPr="007F3206" w:rsidRDefault="001C70B2" w:rsidP="001C70B2">
            <w:pPr>
              <w:pStyle w:val="Tabletext"/>
              <w:rPr>
                <w:color w:val="000000"/>
                <w:sz w:val="20"/>
              </w:rPr>
            </w:pPr>
            <w:r w:rsidRPr="007F3206">
              <w:t>Kilolitres</w:t>
            </w:r>
          </w:p>
        </w:tc>
        <w:tc>
          <w:tcPr>
            <w:tcW w:w="1390" w:type="dxa"/>
          </w:tcPr>
          <w:p w14:paraId="08C6DBDF" w14:textId="0D3BD602" w:rsidR="001C70B2" w:rsidRPr="007F3206" w:rsidRDefault="001C70B2" w:rsidP="001C70B2">
            <w:pPr>
              <w:pStyle w:val="Tabletext"/>
              <w:jc w:val="center"/>
              <w:rPr>
                <w:color w:val="000000"/>
                <w:sz w:val="20"/>
              </w:rPr>
            </w:pPr>
            <w:r w:rsidRPr="007F3206">
              <w:t>-</w:t>
            </w:r>
          </w:p>
        </w:tc>
        <w:tc>
          <w:tcPr>
            <w:tcW w:w="1660" w:type="dxa"/>
          </w:tcPr>
          <w:p w14:paraId="4FEDACBD" w14:textId="4B8DC6AB" w:rsidR="001C70B2" w:rsidRPr="007F3206" w:rsidRDefault="001C70B2" w:rsidP="001C70B2">
            <w:pPr>
              <w:pStyle w:val="Tablefigures"/>
              <w:rPr>
                <w:sz w:val="20"/>
              </w:rPr>
            </w:pPr>
            <w:r w:rsidRPr="007F3206">
              <w:t>-</w:t>
            </w:r>
          </w:p>
        </w:tc>
        <w:tc>
          <w:tcPr>
            <w:tcW w:w="1347" w:type="dxa"/>
          </w:tcPr>
          <w:p w14:paraId="6C08A75F" w14:textId="190B73F4" w:rsidR="001C70B2" w:rsidRPr="007F3206" w:rsidRDefault="001C70B2" w:rsidP="001C70B2">
            <w:pPr>
              <w:pStyle w:val="Tablefigures"/>
              <w:rPr>
                <w:sz w:val="20"/>
              </w:rPr>
            </w:pPr>
            <w:r w:rsidRPr="007F3206">
              <w:t>-</w:t>
            </w:r>
          </w:p>
        </w:tc>
      </w:tr>
      <w:tr w:rsidR="001C70B2" w:rsidRPr="007F3206" w14:paraId="0D4DD065" w14:textId="77777777" w:rsidTr="00244788">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4EC69295" w14:textId="676C0558" w:rsidR="001C70B2" w:rsidRPr="007F3206" w:rsidRDefault="001C70B2" w:rsidP="001C70B2">
            <w:pPr>
              <w:pStyle w:val="Tabletext"/>
              <w:rPr>
                <w:bCs/>
                <w:sz w:val="20"/>
              </w:rPr>
            </w:pPr>
            <w:r w:rsidRPr="007F3206">
              <w:t>Fuel use – Liquid Petroleum Gas (LPG)</w:t>
            </w:r>
          </w:p>
        </w:tc>
        <w:tc>
          <w:tcPr>
            <w:tcW w:w="1382" w:type="dxa"/>
          </w:tcPr>
          <w:p w14:paraId="32F239D8" w14:textId="3615F988" w:rsidR="001C70B2" w:rsidRPr="007F3206" w:rsidRDefault="001C70B2" w:rsidP="001C70B2">
            <w:pPr>
              <w:pStyle w:val="Tabletext"/>
              <w:rPr>
                <w:color w:val="000000"/>
                <w:sz w:val="20"/>
              </w:rPr>
            </w:pPr>
            <w:r w:rsidRPr="007F3206">
              <w:t>Kilolitres</w:t>
            </w:r>
          </w:p>
        </w:tc>
        <w:tc>
          <w:tcPr>
            <w:tcW w:w="1390" w:type="dxa"/>
          </w:tcPr>
          <w:p w14:paraId="11A1D389" w14:textId="041293DA" w:rsidR="001C70B2" w:rsidRPr="007F3206" w:rsidRDefault="001C70B2" w:rsidP="001C70B2">
            <w:pPr>
              <w:pStyle w:val="Tabletext"/>
              <w:jc w:val="center"/>
              <w:rPr>
                <w:color w:val="000000"/>
                <w:sz w:val="20"/>
              </w:rPr>
            </w:pPr>
            <w:r w:rsidRPr="007F3206">
              <w:t>-</w:t>
            </w:r>
          </w:p>
        </w:tc>
        <w:tc>
          <w:tcPr>
            <w:tcW w:w="1660" w:type="dxa"/>
          </w:tcPr>
          <w:p w14:paraId="083CEDDD" w14:textId="57BEC392" w:rsidR="001C70B2" w:rsidRPr="007F3206" w:rsidRDefault="001C70B2" w:rsidP="001C70B2">
            <w:pPr>
              <w:pStyle w:val="Tablefigures"/>
              <w:rPr>
                <w:sz w:val="20"/>
              </w:rPr>
            </w:pPr>
            <w:r w:rsidRPr="007F3206">
              <w:t>-</w:t>
            </w:r>
          </w:p>
        </w:tc>
        <w:tc>
          <w:tcPr>
            <w:tcW w:w="1347" w:type="dxa"/>
          </w:tcPr>
          <w:p w14:paraId="247DE884" w14:textId="4C61ACC7" w:rsidR="001C70B2" w:rsidRPr="007F3206" w:rsidRDefault="001C70B2" w:rsidP="001C70B2">
            <w:pPr>
              <w:pStyle w:val="Tablefigures"/>
              <w:rPr>
                <w:sz w:val="20"/>
              </w:rPr>
            </w:pPr>
            <w:r w:rsidRPr="007F3206">
              <w:t>-</w:t>
            </w:r>
          </w:p>
        </w:tc>
      </w:tr>
      <w:tr w:rsidR="001C70B2" w:rsidRPr="007F3206" w14:paraId="7A46C848" w14:textId="77777777" w:rsidTr="00244788">
        <w:trPr>
          <w:trHeight w:val="355"/>
        </w:trPr>
        <w:tc>
          <w:tcPr>
            <w:tcW w:w="3293" w:type="dxa"/>
          </w:tcPr>
          <w:p w14:paraId="2019AA74" w14:textId="5A2E27FB" w:rsidR="001C70B2" w:rsidRPr="007F3206" w:rsidRDefault="001C70B2" w:rsidP="001C70B2">
            <w:pPr>
              <w:pStyle w:val="Tabletext"/>
              <w:rPr>
                <w:bCs/>
                <w:sz w:val="20"/>
              </w:rPr>
            </w:pPr>
            <w:r w:rsidRPr="007F3206">
              <w:t>Fuel use – Compressed Natural Gas (CNG)</w:t>
            </w:r>
          </w:p>
        </w:tc>
        <w:tc>
          <w:tcPr>
            <w:tcW w:w="1382" w:type="dxa"/>
          </w:tcPr>
          <w:p w14:paraId="13ACD991" w14:textId="37C0B248" w:rsidR="001C70B2" w:rsidRPr="007F3206" w:rsidRDefault="001C70B2" w:rsidP="001C70B2">
            <w:pPr>
              <w:pStyle w:val="Tabletext"/>
              <w:rPr>
                <w:color w:val="000000"/>
                <w:sz w:val="20"/>
              </w:rPr>
            </w:pPr>
            <w:r w:rsidRPr="007F3206">
              <w:t>Gigajoules</w:t>
            </w:r>
          </w:p>
        </w:tc>
        <w:tc>
          <w:tcPr>
            <w:tcW w:w="1390" w:type="dxa"/>
          </w:tcPr>
          <w:p w14:paraId="692356B5" w14:textId="768455C9" w:rsidR="001C70B2" w:rsidRPr="007F3206" w:rsidRDefault="001C70B2" w:rsidP="001C70B2">
            <w:pPr>
              <w:pStyle w:val="Tabletext"/>
              <w:jc w:val="center"/>
              <w:rPr>
                <w:color w:val="000000"/>
                <w:sz w:val="20"/>
              </w:rPr>
            </w:pPr>
            <w:r w:rsidRPr="007F3206">
              <w:t>-</w:t>
            </w:r>
          </w:p>
        </w:tc>
        <w:tc>
          <w:tcPr>
            <w:tcW w:w="1660" w:type="dxa"/>
          </w:tcPr>
          <w:p w14:paraId="0BC23F17" w14:textId="4DDBF3DC" w:rsidR="001C70B2" w:rsidRPr="007F3206" w:rsidRDefault="001C70B2" w:rsidP="001C70B2">
            <w:pPr>
              <w:pStyle w:val="Tablefigures"/>
              <w:rPr>
                <w:sz w:val="20"/>
              </w:rPr>
            </w:pPr>
            <w:r w:rsidRPr="007F3206">
              <w:t>-</w:t>
            </w:r>
          </w:p>
        </w:tc>
        <w:tc>
          <w:tcPr>
            <w:tcW w:w="1347" w:type="dxa"/>
          </w:tcPr>
          <w:p w14:paraId="35FB06F5" w14:textId="0A2711DF" w:rsidR="001C70B2" w:rsidRPr="007F3206" w:rsidRDefault="001C70B2" w:rsidP="001C70B2">
            <w:pPr>
              <w:pStyle w:val="Tablefigures"/>
              <w:rPr>
                <w:sz w:val="20"/>
              </w:rPr>
            </w:pPr>
            <w:r w:rsidRPr="007F3206">
              <w:t>-</w:t>
            </w:r>
          </w:p>
        </w:tc>
      </w:tr>
    </w:tbl>
    <w:p w14:paraId="4AFDA928" w14:textId="3CF3CF48" w:rsidR="00CD0E0A" w:rsidRPr="007F3206" w:rsidRDefault="00CD0E0A" w:rsidP="00AD126A">
      <w:pPr>
        <w:tabs>
          <w:tab w:val="left" w:pos="9072"/>
        </w:tabs>
        <w:spacing w:after="0"/>
        <w:rPr>
          <w:sz w:val="2"/>
          <w:szCs w:val="2"/>
        </w:rPr>
      </w:pPr>
    </w:p>
    <w:tbl>
      <w:tblPr>
        <w:tblStyle w:val="ARTable"/>
        <w:tblW w:w="9072" w:type="dxa"/>
        <w:tblLook w:val="04A0" w:firstRow="1" w:lastRow="0" w:firstColumn="1" w:lastColumn="0" w:noHBand="0" w:noVBand="1"/>
      </w:tblPr>
      <w:tblGrid>
        <w:gridCol w:w="3293"/>
        <w:gridCol w:w="1669"/>
        <w:gridCol w:w="1103"/>
        <w:gridCol w:w="1660"/>
        <w:gridCol w:w="1347"/>
      </w:tblGrid>
      <w:tr w:rsidR="000D11F5" w:rsidRPr="007F3206" w14:paraId="3C5E4740" w14:textId="77777777" w:rsidTr="5B725F72">
        <w:trPr>
          <w:cnfStyle w:val="100000000000" w:firstRow="1" w:lastRow="0" w:firstColumn="0" w:lastColumn="0" w:oddVBand="0" w:evenVBand="0" w:oddHBand="0" w:evenHBand="0" w:firstRowFirstColumn="0" w:firstRowLastColumn="0" w:lastRowFirstColumn="0" w:lastRowLastColumn="0"/>
          <w:trHeight w:val="355"/>
        </w:trPr>
        <w:tc>
          <w:tcPr>
            <w:tcW w:w="3293" w:type="dxa"/>
            <w:shd w:val="clear" w:color="auto" w:fill="E8DFF5"/>
          </w:tcPr>
          <w:p w14:paraId="63C5BBDD" w14:textId="6ABBA96A" w:rsidR="000D11F5" w:rsidRPr="007F3206" w:rsidRDefault="000D11F5" w:rsidP="00393BA5">
            <w:pPr>
              <w:pStyle w:val="Tabletext"/>
            </w:pPr>
            <w:r w:rsidRPr="007F3206">
              <w:t>Water Usage</w:t>
            </w:r>
          </w:p>
        </w:tc>
        <w:tc>
          <w:tcPr>
            <w:tcW w:w="1669" w:type="dxa"/>
            <w:shd w:val="clear" w:color="auto" w:fill="E8DFF5"/>
          </w:tcPr>
          <w:p w14:paraId="33C50A57" w14:textId="77777777" w:rsidR="000D11F5" w:rsidRPr="007F3206" w:rsidRDefault="000D11F5" w:rsidP="00393BA5">
            <w:pPr>
              <w:pStyle w:val="Tabletext"/>
            </w:pPr>
          </w:p>
        </w:tc>
        <w:tc>
          <w:tcPr>
            <w:tcW w:w="1103" w:type="dxa"/>
            <w:shd w:val="clear" w:color="auto" w:fill="E8DFF5"/>
          </w:tcPr>
          <w:p w14:paraId="292A8B84" w14:textId="77777777" w:rsidR="000D11F5" w:rsidRPr="007F3206" w:rsidRDefault="000D11F5" w:rsidP="00393BA5">
            <w:pPr>
              <w:pStyle w:val="Tabletext"/>
            </w:pPr>
          </w:p>
        </w:tc>
        <w:tc>
          <w:tcPr>
            <w:tcW w:w="1660" w:type="dxa"/>
            <w:shd w:val="clear" w:color="auto" w:fill="E8DFF5"/>
          </w:tcPr>
          <w:p w14:paraId="60370D9C" w14:textId="77777777" w:rsidR="000D11F5" w:rsidRPr="007F3206" w:rsidRDefault="000D11F5" w:rsidP="00393BA5">
            <w:pPr>
              <w:pStyle w:val="Tablefigures"/>
            </w:pPr>
          </w:p>
        </w:tc>
        <w:tc>
          <w:tcPr>
            <w:tcW w:w="1347" w:type="dxa"/>
            <w:shd w:val="clear" w:color="auto" w:fill="E8DFF5"/>
          </w:tcPr>
          <w:p w14:paraId="3B11FE87" w14:textId="77777777" w:rsidR="000D11F5" w:rsidRPr="007F3206" w:rsidRDefault="000D11F5" w:rsidP="00393BA5">
            <w:pPr>
              <w:pStyle w:val="Tablefigures"/>
            </w:pPr>
          </w:p>
        </w:tc>
      </w:tr>
      <w:tr w:rsidR="00191941" w:rsidRPr="007F3206" w14:paraId="130EDFDA" w14:textId="77777777" w:rsidTr="5B725F72">
        <w:trPr>
          <w:trHeight w:val="355"/>
        </w:trPr>
        <w:tc>
          <w:tcPr>
            <w:tcW w:w="3293" w:type="dxa"/>
          </w:tcPr>
          <w:p w14:paraId="07E043A9" w14:textId="2CC7F461" w:rsidR="00191941" w:rsidRPr="007F3206" w:rsidRDefault="00191941" w:rsidP="00393BA5">
            <w:pPr>
              <w:pStyle w:val="Tabletext"/>
              <w:rPr>
                <w:bCs/>
                <w:sz w:val="20"/>
              </w:rPr>
            </w:pPr>
            <w:r w:rsidRPr="007F3206">
              <w:t>Water use</w:t>
            </w:r>
          </w:p>
        </w:tc>
        <w:tc>
          <w:tcPr>
            <w:tcW w:w="1669" w:type="dxa"/>
          </w:tcPr>
          <w:p w14:paraId="419062F7" w14:textId="56873694" w:rsidR="00191941" w:rsidRPr="007F3206" w:rsidRDefault="00191941" w:rsidP="00393BA5">
            <w:pPr>
              <w:pStyle w:val="Tabletext"/>
              <w:rPr>
                <w:color w:val="000000"/>
                <w:sz w:val="20"/>
              </w:rPr>
            </w:pPr>
            <w:r w:rsidRPr="007F3206">
              <w:t>Kilolitres</w:t>
            </w:r>
          </w:p>
        </w:tc>
        <w:tc>
          <w:tcPr>
            <w:tcW w:w="2763" w:type="dxa"/>
            <w:gridSpan w:val="2"/>
          </w:tcPr>
          <w:p w14:paraId="14910488" w14:textId="7DE428F3" w:rsidR="00191941" w:rsidRPr="007F3206" w:rsidRDefault="00191941" w:rsidP="00393BA5">
            <w:pPr>
              <w:pStyle w:val="Tablefigures"/>
              <w:rPr>
                <w:b/>
                <w:sz w:val="20"/>
              </w:rPr>
            </w:pPr>
            <w:r w:rsidRPr="007F3206">
              <w:t>Refer to the</w:t>
            </w:r>
            <w:r w:rsidRPr="007F3206">
              <w:br/>
              <w:t>CMTEDD Annual Report</w:t>
            </w:r>
          </w:p>
        </w:tc>
        <w:tc>
          <w:tcPr>
            <w:tcW w:w="1347" w:type="dxa"/>
          </w:tcPr>
          <w:p w14:paraId="1A6796BF" w14:textId="2C794F7D" w:rsidR="00191941" w:rsidRPr="007F3206" w:rsidRDefault="00191941" w:rsidP="00393BA5">
            <w:pPr>
              <w:pStyle w:val="Tablefigures"/>
              <w:rPr>
                <w:b/>
                <w:sz w:val="20"/>
              </w:rPr>
            </w:pPr>
            <w:r w:rsidRPr="007F3206">
              <w:t>N/A</w:t>
            </w:r>
          </w:p>
        </w:tc>
      </w:tr>
      <w:tr w:rsidR="000D11F5" w:rsidRPr="007A1399" w14:paraId="2BC8C322"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shd w:val="clear" w:color="auto" w:fill="E8DFF5"/>
          </w:tcPr>
          <w:p w14:paraId="745A9B27" w14:textId="6EE1F9D2" w:rsidR="000D11F5" w:rsidRPr="007F3206" w:rsidRDefault="000D11F5" w:rsidP="00393BA5">
            <w:pPr>
              <w:pStyle w:val="Tabletext"/>
            </w:pPr>
            <w:r w:rsidRPr="007F3206">
              <w:t>Resource efficiency and waste</w:t>
            </w:r>
          </w:p>
        </w:tc>
        <w:tc>
          <w:tcPr>
            <w:tcW w:w="1669" w:type="dxa"/>
            <w:shd w:val="clear" w:color="auto" w:fill="E8DFF5"/>
          </w:tcPr>
          <w:p w14:paraId="52FF1EFA" w14:textId="77777777" w:rsidR="000D11F5" w:rsidRPr="007F3206" w:rsidRDefault="000D11F5" w:rsidP="00393BA5">
            <w:pPr>
              <w:pStyle w:val="Tabletext"/>
            </w:pPr>
          </w:p>
        </w:tc>
        <w:tc>
          <w:tcPr>
            <w:tcW w:w="1103" w:type="dxa"/>
            <w:shd w:val="clear" w:color="auto" w:fill="E8DFF5"/>
          </w:tcPr>
          <w:p w14:paraId="205447BF" w14:textId="77777777" w:rsidR="000D11F5" w:rsidRPr="007F3206" w:rsidRDefault="000D11F5" w:rsidP="00393BA5">
            <w:pPr>
              <w:pStyle w:val="Tabletext"/>
            </w:pPr>
          </w:p>
        </w:tc>
        <w:tc>
          <w:tcPr>
            <w:tcW w:w="1660" w:type="dxa"/>
            <w:shd w:val="clear" w:color="auto" w:fill="E8DFF5"/>
          </w:tcPr>
          <w:p w14:paraId="5C512594" w14:textId="77777777" w:rsidR="000D11F5" w:rsidRPr="007F3206" w:rsidRDefault="000D11F5" w:rsidP="00393BA5">
            <w:pPr>
              <w:pStyle w:val="Tabletext"/>
            </w:pPr>
          </w:p>
        </w:tc>
        <w:tc>
          <w:tcPr>
            <w:tcW w:w="1347" w:type="dxa"/>
            <w:shd w:val="clear" w:color="auto" w:fill="E8DFF5"/>
          </w:tcPr>
          <w:p w14:paraId="301B8BA3" w14:textId="77777777" w:rsidR="000D11F5" w:rsidRPr="007F3206" w:rsidRDefault="000D11F5" w:rsidP="00393BA5">
            <w:pPr>
              <w:pStyle w:val="Tabletext"/>
            </w:pPr>
          </w:p>
        </w:tc>
      </w:tr>
      <w:tr w:rsidR="00FA3B25" w:rsidRPr="007A1399" w14:paraId="1DE87BA2" w14:textId="77777777" w:rsidTr="5B725F72">
        <w:trPr>
          <w:trHeight w:val="355"/>
        </w:trPr>
        <w:tc>
          <w:tcPr>
            <w:tcW w:w="3293" w:type="dxa"/>
          </w:tcPr>
          <w:p w14:paraId="5F0E28BD" w14:textId="2A2C44DA" w:rsidR="00FA3B25" w:rsidRPr="007F3206" w:rsidRDefault="00FA3B25" w:rsidP="00393BA5">
            <w:pPr>
              <w:pStyle w:val="Tabletext"/>
              <w:rPr>
                <w:bCs/>
                <w:sz w:val="20"/>
              </w:rPr>
            </w:pPr>
            <w:r w:rsidRPr="007F3206">
              <w:t>Waste to landfill</w:t>
            </w:r>
          </w:p>
        </w:tc>
        <w:tc>
          <w:tcPr>
            <w:tcW w:w="1669" w:type="dxa"/>
          </w:tcPr>
          <w:p w14:paraId="3D3DB805" w14:textId="3E90B663" w:rsidR="00FA3B25" w:rsidRPr="007F3206" w:rsidRDefault="00FA3B25" w:rsidP="00393BA5">
            <w:pPr>
              <w:pStyle w:val="Tabletext"/>
              <w:rPr>
                <w:color w:val="000000"/>
                <w:sz w:val="20"/>
              </w:rPr>
            </w:pPr>
            <w:r w:rsidRPr="007F3206">
              <w:t>Litres</w:t>
            </w:r>
          </w:p>
        </w:tc>
        <w:tc>
          <w:tcPr>
            <w:tcW w:w="2763" w:type="dxa"/>
            <w:gridSpan w:val="2"/>
            <w:vMerge w:val="restart"/>
          </w:tcPr>
          <w:p w14:paraId="03C97E19" w14:textId="3155CCAB" w:rsidR="00FA3B25" w:rsidRPr="00085638" w:rsidRDefault="00FA3B25" w:rsidP="00393BA5">
            <w:pPr>
              <w:pStyle w:val="Tablefigures"/>
              <w:rPr>
                <w:b/>
                <w:sz w:val="20"/>
              </w:rPr>
            </w:pPr>
            <w:r w:rsidRPr="00085638">
              <w:t>Refer to the</w:t>
            </w:r>
            <w:r w:rsidRPr="00085638">
              <w:br/>
              <w:t>CMTEDD Annual Report</w:t>
            </w:r>
          </w:p>
        </w:tc>
        <w:tc>
          <w:tcPr>
            <w:tcW w:w="1347" w:type="dxa"/>
            <w:vMerge w:val="restart"/>
          </w:tcPr>
          <w:p w14:paraId="63F7363C" w14:textId="3DCED5C7" w:rsidR="00FA3B25" w:rsidRPr="00085638" w:rsidRDefault="00FA3B25" w:rsidP="00393BA5">
            <w:pPr>
              <w:pStyle w:val="Tablefigures"/>
              <w:rPr>
                <w:b/>
                <w:sz w:val="20"/>
              </w:rPr>
            </w:pPr>
            <w:r w:rsidRPr="00085638">
              <w:t>N/A</w:t>
            </w:r>
          </w:p>
        </w:tc>
      </w:tr>
      <w:tr w:rsidR="00FA3B25" w:rsidRPr="007A1399" w14:paraId="59305AC7"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7258E1DD" w14:textId="1F00EE43" w:rsidR="00FA3B25" w:rsidRPr="007F3206" w:rsidRDefault="00FA3B25" w:rsidP="00393BA5">
            <w:pPr>
              <w:pStyle w:val="Tabletext"/>
              <w:rPr>
                <w:bCs/>
                <w:sz w:val="20"/>
              </w:rPr>
            </w:pPr>
            <w:r w:rsidRPr="007F3206">
              <w:t>Co-mingled material recycled</w:t>
            </w:r>
          </w:p>
        </w:tc>
        <w:tc>
          <w:tcPr>
            <w:tcW w:w="1669" w:type="dxa"/>
          </w:tcPr>
          <w:p w14:paraId="56DDC4B5" w14:textId="6FC79E3C" w:rsidR="00FA3B25" w:rsidRPr="007F3206" w:rsidRDefault="00FA3B25" w:rsidP="00393BA5">
            <w:pPr>
              <w:pStyle w:val="Tabletext"/>
              <w:rPr>
                <w:color w:val="000000"/>
                <w:sz w:val="20"/>
              </w:rPr>
            </w:pPr>
            <w:r w:rsidRPr="007F3206">
              <w:t>Litres</w:t>
            </w:r>
          </w:p>
        </w:tc>
        <w:tc>
          <w:tcPr>
            <w:tcW w:w="2763" w:type="dxa"/>
            <w:gridSpan w:val="2"/>
            <w:vMerge/>
          </w:tcPr>
          <w:p w14:paraId="14B94C21" w14:textId="3BF1134F" w:rsidR="00FA3B25" w:rsidRPr="00085638" w:rsidRDefault="00FA3B25" w:rsidP="00393BA5">
            <w:pPr>
              <w:pStyle w:val="Tablefigures"/>
            </w:pPr>
          </w:p>
        </w:tc>
        <w:tc>
          <w:tcPr>
            <w:tcW w:w="1347" w:type="dxa"/>
            <w:vMerge/>
          </w:tcPr>
          <w:p w14:paraId="23AA594B" w14:textId="2A7E9B10" w:rsidR="00FA3B25" w:rsidRPr="00085638" w:rsidRDefault="00FA3B25" w:rsidP="00393BA5">
            <w:pPr>
              <w:pStyle w:val="Tablefigures"/>
            </w:pPr>
          </w:p>
        </w:tc>
      </w:tr>
      <w:tr w:rsidR="00FA3B25" w:rsidRPr="007A1399" w14:paraId="276FE06C" w14:textId="77777777" w:rsidTr="5B725F72">
        <w:trPr>
          <w:trHeight w:val="355"/>
        </w:trPr>
        <w:tc>
          <w:tcPr>
            <w:tcW w:w="3293" w:type="dxa"/>
          </w:tcPr>
          <w:p w14:paraId="721ECBF9" w14:textId="711FCC31" w:rsidR="00FA3B25" w:rsidRPr="007F3206" w:rsidRDefault="00FA3B25" w:rsidP="00393BA5">
            <w:pPr>
              <w:pStyle w:val="Tabletext"/>
              <w:rPr>
                <w:bCs/>
                <w:sz w:val="20"/>
              </w:rPr>
            </w:pPr>
            <w:r w:rsidRPr="007F3206">
              <w:t>Paper and cardboard recycled (incl. secure paper)</w:t>
            </w:r>
          </w:p>
        </w:tc>
        <w:tc>
          <w:tcPr>
            <w:tcW w:w="1669" w:type="dxa"/>
          </w:tcPr>
          <w:p w14:paraId="2283F2F7" w14:textId="69DA9C9F" w:rsidR="00FA3B25" w:rsidRPr="007F3206" w:rsidRDefault="00FA3B25" w:rsidP="00393BA5">
            <w:pPr>
              <w:pStyle w:val="Tabletext"/>
              <w:rPr>
                <w:color w:val="000000"/>
                <w:sz w:val="20"/>
              </w:rPr>
            </w:pPr>
            <w:r w:rsidRPr="007F3206">
              <w:t>Litres</w:t>
            </w:r>
          </w:p>
        </w:tc>
        <w:tc>
          <w:tcPr>
            <w:tcW w:w="2763" w:type="dxa"/>
            <w:gridSpan w:val="2"/>
            <w:vMerge/>
          </w:tcPr>
          <w:p w14:paraId="6FD33170" w14:textId="54505CEE" w:rsidR="00FA3B25" w:rsidRPr="00085638" w:rsidRDefault="00FA3B25" w:rsidP="00393BA5">
            <w:pPr>
              <w:pStyle w:val="Tablefigures"/>
            </w:pPr>
          </w:p>
        </w:tc>
        <w:tc>
          <w:tcPr>
            <w:tcW w:w="1347" w:type="dxa"/>
            <w:vMerge/>
          </w:tcPr>
          <w:p w14:paraId="141C943F" w14:textId="2A09E6A3" w:rsidR="00FA3B25" w:rsidRPr="00085638" w:rsidRDefault="00FA3B25" w:rsidP="00393BA5">
            <w:pPr>
              <w:pStyle w:val="Tablefigures"/>
            </w:pPr>
          </w:p>
        </w:tc>
      </w:tr>
      <w:tr w:rsidR="00FA3B25" w:rsidRPr="007A1399" w14:paraId="2CD28CBD"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0A01572B" w14:textId="6A752EBB" w:rsidR="00FA3B25" w:rsidRPr="007F3206" w:rsidRDefault="00FA3B25" w:rsidP="00393BA5">
            <w:pPr>
              <w:pStyle w:val="Tabletext"/>
              <w:rPr>
                <w:bCs/>
                <w:sz w:val="20"/>
              </w:rPr>
            </w:pPr>
            <w:r w:rsidRPr="007F3206">
              <w:t>Organic material recycled</w:t>
            </w:r>
          </w:p>
        </w:tc>
        <w:tc>
          <w:tcPr>
            <w:tcW w:w="1669" w:type="dxa"/>
          </w:tcPr>
          <w:p w14:paraId="7079CE7B" w14:textId="77B82035" w:rsidR="00FA3B25" w:rsidRPr="007F3206" w:rsidRDefault="00FA3B25" w:rsidP="00393BA5">
            <w:pPr>
              <w:pStyle w:val="Tabletext"/>
              <w:rPr>
                <w:color w:val="000000"/>
                <w:sz w:val="20"/>
              </w:rPr>
            </w:pPr>
            <w:r w:rsidRPr="007F3206">
              <w:t>Litres</w:t>
            </w:r>
          </w:p>
        </w:tc>
        <w:tc>
          <w:tcPr>
            <w:tcW w:w="2763" w:type="dxa"/>
            <w:gridSpan w:val="2"/>
            <w:vMerge/>
          </w:tcPr>
          <w:p w14:paraId="0CB540AA" w14:textId="5B38781E" w:rsidR="00FA3B25" w:rsidRPr="00085638" w:rsidRDefault="00FA3B25" w:rsidP="00393BA5">
            <w:pPr>
              <w:pStyle w:val="Tablefigures"/>
            </w:pPr>
          </w:p>
        </w:tc>
        <w:tc>
          <w:tcPr>
            <w:tcW w:w="1347" w:type="dxa"/>
            <w:vMerge/>
          </w:tcPr>
          <w:p w14:paraId="207E6AC3" w14:textId="2064F323" w:rsidR="00FA3B25" w:rsidRPr="00085638" w:rsidRDefault="00FA3B25" w:rsidP="00393BA5">
            <w:pPr>
              <w:pStyle w:val="Tablefigures"/>
            </w:pPr>
          </w:p>
        </w:tc>
      </w:tr>
      <w:tr w:rsidR="000D11F5" w:rsidRPr="007A1399" w14:paraId="14FF5CDE" w14:textId="77777777" w:rsidTr="5B725F72">
        <w:trPr>
          <w:trHeight w:val="355"/>
        </w:trPr>
        <w:tc>
          <w:tcPr>
            <w:tcW w:w="3293" w:type="dxa"/>
            <w:shd w:val="clear" w:color="auto" w:fill="E8DFF5"/>
          </w:tcPr>
          <w:p w14:paraId="246DF698" w14:textId="61A156C5" w:rsidR="000D11F5" w:rsidRPr="007F3206" w:rsidRDefault="000D11F5" w:rsidP="00393BA5">
            <w:pPr>
              <w:pStyle w:val="Tabletext"/>
            </w:pPr>
            <w:r w:rsidRPr="007F3206">
              <w:t>Greenhouse gas emissions</w:t>
            </w:r>
          </w:p>
        </w:tc>
        <w:tc>
          <w:tcPr>
            <w:tcW w:w="1669" w:type="dxa"/>
            <w:shd w:val="clear" w:color="auto" w:fill="E8DFF5"/>
          </w:tcPr>
          <w:p w14:paraId="2999E715" w14:textId="058A9DC9" w:rsidR="000D11F5" w:rsidRPr="007F3206" w:rsidRDefault="000D11F5" w:rsidP="00393BA5">
            <w:pPr>
              <w:pStyle w:val="Tabletext"/>
            </w:pPr>
          </w:p>
        </w:tc>
        <w:tc>
          <w:tcPr>
            <w:tcW w:w="1103" w:type="dxa"/>
            <w:shd w:val="clear" w:color="auto" w:fill="E8DFF5"/>
          </w:tcPr>
          <w:p w14:paraId="1042DD82" w14:textId="31D3CFCF" w:rsidR="000D11F5" w:rsidRPr="00085638" w:rsidRDefault="000D11F5" w:rsidP="00393BA5">
            <w:pPr>
              <w:pStyle w:val="Tabletext"/>
            </w:pPr>
          </w:p>
        </w:tc>
        <w:tc>
          <w:tcPr>
            <w:tcW w:w="1660" w:type="dxa"/>
            <w:shd w:val="clear" w:color="auto" w:fill="E8DFF5"/>
          </w:tcPr>
          <w:p w14:paraId="703885A3" w14:textId="25D7FCFC" w:rsidR="000D11F5" w:rsidRPr="00085638" w:rsidRDefault="000D11F5" w:rsidP="00393BA5">
            <w:pPr>
              <w:pStyle w:val="Tablefigures"/>
            </w:pPr>
          </w:p>
        </w:tc>
        <w:tc>
          <w:tcPr>
            <w:tcW w:w="1347" w:type="dxa"/>
            <w:shd w:val="clear" w:color="auto" w:fill="E8DFF5"/>
          </w:tcPr>
          <w:p w14:paraId="436BAE02" w14:textId="6A111FA5" w:rsidR="000D11F5" w:rsidRPr="00085638" w:rsidRDefault="000D11F5" w:rsidP="00393BA5">
            <w:pPr>
              <w:pStyle w:val="Tablefigures"/>
            </w:pPr>
          </w:p>
        </w:tc>
      </w:tr>
      <w:tr w:rsidR="001E60AB" w:rsidRPr="007A1399" w14:paraId="43A0E306"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239A77D5" w14:textId="2D6DE99A" w:rsidR="001E60AB" w:rsidRPr="007F3206" w:rsidRDefault="001E60AB" w:rsidP="00393BA5">
            <w:pPr>
              <w:pStyle w:val="Tabletext"/>
              <w:rPr>
                <w:bCs/>
                <w:sz w:val="20"/>
              </w:rPr>
            </w:pPr>
            <w:r w:rsidRPr="007F3206">
              <w:t xml:space="preserve">Emissions from </w:t>
            </w:r>
            <w:r w:rsidR="00804CAA">
              <w:t>fossil fuel</w:t>
            </w:r>
            <w:r w:rsidRPr="007F3206">
              <w:t xml:space="preserve"> gas use (non-transport)</w:t>
            </w:r>
          </w:p>
        </w:tc>
        <w:tc>
          <w:tcPr>
            <w:tcW w:w="1669" w:type="dxa"/>
          </w:tcPr>
          <w:p w14:paraId="77F3EF48" w14:textId="68308F8D" w:rsidR="001E60AB" w:rsidRPr="007F3206" w:rsidRDefault="001E60AB" w:rsidP="00393BA5">
            <w:pPr>
              <w:pStyle w:val="Tabletext"/>
              <w:rPr>
                <w:color w:val="000000"/>
                <w:sz w:val="20"/>
              </w:rPr>
            </w:pPr>
            <w:r w:rsidRPr="007F3206">
              <w:t>Tonnes CO</w:t>
            </w:r>
            <w:r w:rsidRPr="00804CAA">
              <w:rPr>
                <w:vertAlign w:val="subscript"/>
              </w:rPr>
              <w:t>2</w:t>
            </w:r>
            <w:r w:rsidRPr="007F3206">
              <w:t>-e</w:t>
            </w:r>
          </w:p>
        </w:tc>
        <w:tc>
          <w:tcPr>
            <w:tcW w:w="2763" w:type="dxa"/>
            <w:gridSpan w:val="2"/>
            <w:vMerge w:val="restart"/>
          </w:tcPr>
          <w:p w14:paraId="1030958E" w14:textId="67B337BC" w:rsidR="001E60AB" w:rsidRPr="00085638" w:rsidRDefault="001E60AB" w:rsidP="00393BA5">
            <w:pPr>
              <w:pStyle w:val="Tablefigures"/>
              <w:rPr>
                <w:b/>
                <w:sz w:val="20"/>
              </w:rPr>
            </w:pPr>
            <w:r w:rsidRPr="00085638">
              <w:t>Refer to the</w:t>
            </w:r>
            <w:r w:rsidRPr="00085638">
              <w:br/>
              <w:t>CMTEDD Annual Report</w:t>
            </w:r>
          </w:p>
        </w:tc>
        <w:tc>
          <w:tcPr>
            <w:tcW w:w="1347" w:type="dxa"/>
            <w:vMerge w:val="restart"/>
          </w:tcPr>
          <w:p w14:paraId="32E62EDF" w14:textId="6BED6B26" w:rsidR="001E60AB" w:rsidRPr="00085638" w:rsidRDefault="001E60AB" w:rsidP="00393BA5">
            <w:pPr>
              <w:pStyle w:val="Tablefigures"/>
              <w:rPr>
                <w:b/>
                <w:sz w:val="20"/>
              </w:rPr>
            </w:pPr>
            <w:r w:rsidRPr="00085638">
              <w:t>N/A</w:t>
            </w:r>
          </w:p>
        </w:tc>
      </w:tr>
      <w:tr w:rsidR="001E60AB" w:rsidRPr="007A1399" w14:paraId="1A1C375A" w14:textId="77777777" w:rsidTr="5B725F72">
        <w:trPr>
          <w:trHeight w:val="355"/>
        </w:trPr>
        <w:tc>
          <w:tcPr>
            <w:tcW w:w="3293" w:type="dxa"/>
          </w:tcPr>
          <w:p w14:paraId="2D1539BE" w14:textId="06AE5308" w:rsidR="001E60AB" w:rsidRPr="007F3206" w:rsidRDefault="001E60AB" w:rsidP="00393BA5">
            <w:pPr>
              <w:pStyle w:val="Tabletext"/>
              <w:rPr>
                <w:bCs/>
                <w:sz w:val="20"/>
              </w:rPr>
            </w:pPr>
            <w:r w:rsidRPr="007F3206">
              <w:t xml:space="preserve">Emissions </w:t>
            </w:r>
            <w:r w:rsidR="00804CAA">
              <w:t xml:space="preserve">from </w:t>
            </w:r>
            <w:r w:rsidRPr="007F3206">
              <w:t>diesel use (non-transport)</w:t>
            </w:r>
          </w:p>
        </w:tc>
        <w:tc>
          <w:tcPr>
            <w:tcW w:w="1669" w:type="dxa"/>
          </w:tcPr>
          <w:p w14:paraId="225503D2" w14:textId="72FD2279" w:rsidR="001E60AB" w:rsidRPr="007F3206" w:rsidRDefault="001E60AB" w:rsidP="00393BA5">
            <w:pPr>
              <w:pStyle w:val="Tabletext"/>
              <w:rPr>
                <w:color w:val="000000"/>
                <w:sz w:val="20"/>
              </w:rPr>
            </w:pPr>
            <w:r w:rsidRPr="007F3206">
              <w:t>Tonnes CO</w:t>
            </w:r>
            <w:r w:rsidRPr="00804CAA">
              <w:rPr>
                <w:vertAlign w:val="subscript"/>
              </w:rPr>
              <w:t>2</w:t>
            </w:r>
            <w:r w:rsidRPr="007F3206">
              <w:t>-e</w:t>
            </w:r>
          </w:p>
        </w:tc>
        <w:tc>
          <w:tcPr>
            <w:tcW w:w="2763" w:type="dxa"/>
            <w:gridSpan w:val="2"/>
            <w:vMerge/>
          </w:tcPr>
          <w:p w14:paraId="7D6E8C4B" w14:textId="1DD7BC2D" w:rsidR="001E60AB" w:rsidRPr="007A1399" w:rsidRDefault="001E60AB" w:rsidP="00393BA5">
            <w:pPr>
              <w:pStyle w:val="Tablefigures"/>
              <w:rPr>
                <w:highlight w:val="yellow"/>
              </w:rPr>
            </w:pPr>
          </w:p>
        </w:tc>
        <w:tc>
          <w:tcPr>
            <w:tcW w:w="1347" w:type="dxa"/>
            <w:vMerge/>
          </w:tcPr>
          <w:p w14:paraId="15091FF8" w14:textId="785ADC8A" w:rsidR="001E60AB" w:rsidRPr="007A1399" w:rsidRDefault="001E60AB" w:rsidP="00393BA5">
            <w:pPr>
              <w:pStyle w:val="Tablefigures"/>
              <w:rPr>
                <w:highlight w:val="yellow"/>
              </w:rPr>
            </w:pPr>
          </w:p>
        </w:tc>
      </w:tr>
      <w:tr w:rsidR="001E60AB" w:rsidRPr="007A1399" w14:paraId="7F89E553" w14:textId="77777777" w:rsidTr="5B725F72">
        <w:trPr>
          <w:cnfStyle w:val="000000010000" w:firstRow="0" w:lastRow="0" w:firstColumn="0" w:lastColumn="0" w:oddVBand="0" w:evenVBand="0" w:oddHBand="0" w:evenHBand="1" w:firstRowFirstColumn="0" w:firstRowLastColumn="0" w:lastRowFirstColumn="0" w:lastRowLastColumn="0"/>
          <w:trHeight w:val="355"/>
        </w:trPr>
        <w:tc>
          <w:tcPr>
            <w:tcW w:w="3293" w:type="dxa"/>
          </w:tcPr>
          <w:p w14:paraId="47842B65" w14:textId="2F6AF5B7" w:rsidR="001E60AB" w:rsidRPr="007F3206" w:rsidRDefault="001E60AB" w:rsidP="00393BA5">
            <w:pPr>
              <w:pStyle w:val="Tabletext"/>
              <w:rPr>
                <w:bCs/>
                <w:sz w:val="20"/>
              </w:rPr>
            </w:pPr>
            <w:r w:rsidRPr="007F3206">
              <w:t>Emissions from transport fuel use</w:t>
            </w:r>
          </w:p>
        </w:tc>
        <w:tc>
          <w:tcPr>
            <w:tcW w:w="1669" w:type="dxa"/>
          </w:tcPr>
          <w:p w14:paraId="3481A845" w14:textId="6E421A3F" w:rsidR="001E60AB" w:rsidRPr="007F3206" w:rsidRDefault="001E60AB" w:rsidP="00393BA5">
            <w:pPr>
              <w:pStyle w:val="Tabletext"/>
              <w:rPr>
                <w:color w:val="000000"/>
                <w:sz w:val="20"/>
              </w:rPr>
            </w:pPr>
            <w:r w:rsidRPr="007F3206">
              <w:t>Tonnes CO</w:t>
            </w:r>
            <w:r w:rsidRPr="00804CAA">
              <w:rPr>
                <w:vertAlign w:val="subscript"/>
              </w:rPr>
              <w:t>2</w:t>
            </w:r>
            <w:r w:rsidRPr="007F3206">
              <w:t>-e</w:t>
            </w:r>
          </w:p>
        </w:tc>
        <w:tc>
          <w:tcPr>
            <w:tcW w:w="2763" w:type="dxa"/>
            <w:gridSpan w:val="2"/>
            <w:vMerge/>
          </w:tcPr>
          <w:p w14:paraId="2CA56412" w14:textId="08C5C12F" w:rsidR="001E60AB" w:rsidRPr="007A1399" w:rsidRDefault="001E60AB" w:rsidP="00393BA5">
            <w:pPr>
              <w:pStyle w:val="Tablefigures"/>
              <w:rPr>
                <w:highlight w:val="yellow"/>
              </w:rPr>
            </w:pPr>
          </w:p>
        </w:tc>
        <w:tc>
          <w:tcPr>
            <w:tcW w:w="1347" w:type="dxa"/>
            <w:vMerge/>
          </w:tcPr>
          <w:p w14:paraId="5FFCC7CD" w14:textId="2590CF43" w:rsidR="001E60AB" w:rsidRPr="007A1399" w:rsidRDefault="001E60AB" w:rsidP="00393BA5">
            <w:pPr>
              <w:pStyle w:val="Tablefigures"/>
              <w:rPr>
                <w:highlight w:val="yellow"/>
              </w:rPr>
            </w:pPr>
          </w:p>
        </w:tc>
      </w:tr>
      <w:tr w:rsidR="001E60AB" w:rsidRPr="007A1399" w14:paraId="56F7CCF4" w14:textId="77777777" w:rsidTr="009B6CCF">
        <w:trPr>
          <w:trHeight w:val="355"/>
        </w:trPr>
        <w:tc>
          <w:tcPr>
            <w:tcW w:w="3293" w:type="dxa"/>
          </w:tcPr>
          <w:p w14:paraId="682FA9E5" w14:textId="30BF3183" w:rsidR="001E60AB" w:rsidRPr="007F3206" w:rsidRDefault="001E60AB" w:rsidP="00393BA5">
            <w:pPr>
              <w:pStyle w:val="Tabletext"/>
              <w:rPr>
                <w:bCs/>
                <w:sz w:val="20"/>
              </w:rPr>
            </w:pPr>
            <w:r w:rsidRPr="007F3206">
              <w:t>Emissions from refrigerants</w:t>
            </w:r>
          </w:p>
        </w:tc>
        <w:tc>
          <w:tcPr>
            <w:tcW w:w="1669" w:type="dxa"/>
          </w:tcPr>
          <w:p w14:paraId="0795A311" w14:textId="45034F4C" w:rsidR="001E60AB" w:rsidRPr="007F3206" w:rsidRDefault="001E60AB" w:rsidP="00393BA5">
            <w:pPr>
              <w:pStyle w:val="Tabletext"/>
              <w:rPr>
                <w:color w:val="000000"/>
                <w:sz w:val="20"/>
              </w:rPr>
            </w:pPr>
            <w:r w:rsidRPr="007F3206">
              <w:t>Tonnes CO</w:t>
            </w:r>
            <w:r w:rsidRPr="00804CAA">
              <w:rPr>
                <w:vertAlign w:val="subscript"/>
              </w:rPr>
              <w:t>2</w:t>
            </w:r>
            <w:r w:rsidRPr="007F3206">
              <w:t>-e</w:t>
            </w:r>
          </w:p>
        </w:tc>
        <w:tc>
          <w:tcPr>
            <w:tcW w:w="2763" w:type="dxa"/>
            <w:gridSpan w:val="2"/>
            <w:vMerge/>
          </w:tcPr>
          <w:p w14:paraId="3D6D9B62" w14:textId="1C50EFB0" w:rsidR="001E60AB" w:rsidRPr="007A1399" w:rsidRDefault="001E60AB" w:rsidP="00393BA5">
            <w:pPr>
              <w:pStyle w:val="Tablefigures"/>
              <w:rPr>
                <w:highlight w:val="yellow"/>
              </w:rPr>
            </w:pPr>
          </w:p>
        </w:tc>
        <w:tc>
          <w:tcPr>
            <w:tcW w:w="1347" w:type="dxa"/>
            <w:vMerge/>
          </w:tcPr>
          <w:p w14:paraId="30EEDF43" w14:textId="6807EB95" w:rsidR="001E60AB" w:rsidRPr="007A1399" w:rsidRDefault="001E60AB" w:rsidP="00393BA5">
            <w:pPr>
              <w:pStyle w:val="Tablefigures"/>
              <w:rPr>
                <w:highlight w:val="yellow"/>
              </w:rPr>
            </w:pPr>
          </w:p>
        </w:tc>
      </w:tr>
      <w:tr w:rsidR="001E60AB" w14:paraId="3A4BDF10" w14:textId="77777777" w:rsidTr="009B6CCF">
        <w:trPr>
          <w:cnfStyle w:val="000000010000" w:firstRow="0" w:lastRow="0" w:firstColumn="0" w:lastColumn="0" w:oddVBand="0" w:evenVBand="0" w:oddHBand="0" w:evenHBand="1" w:firstRowFirstColumn="0" w:firstRowLastColumn="0" w:lastRowFirstColumn="0" w:lastRowLastColumn="0"/>
          <w:trHeight w:val="355"/>
        </w:trPr>
        <w:tc>
          <w:tcPr>
            <w:tcW w:w="3293" w:type="dxa"/>
            <w:tcBorders>
              <w:bottom w:val="single" w:sz="4" w:space="0" w:color="auto"/>
            </w:tcBorders>
          </w:tcPr>
          <w:p w14:paraId="462BFA2D" w14:textId="6DB9EB60" w:rsidR="001E60AB" w:rsidRPr="007F3206" w:rsidRDefault="001E60AB" w:rsidP="00393BA5">
            <w:pPr>
              <w:pStyle w:val="Tabletext"/>
            </w:pPr>
            <w:r w:rsidRPr="007F3206">
              <w:t>Total emissions</w:t>
            </w:r>
            <w:r w:rsidR="00804CAA">
              <w:t>*</w:t>
            </w:r>
          </w:p>
        </w:tc>
        <w:tc>
          <w:tcPr>
            <w:tcW w:w="1669" w:type="dxa"/>
            <w:tcBorders>
              <w:bottom w:val="single" w:sz="4" w:space="0" w:color="auto"/>
            </w:tcBorders>
          </w:tcPr>
          <w:p w14:paraId="202973C8" w14:textId="749AC846" w:rsidR="001E60AB" w:rsidRPr="007F3206" w:rsidRDefault="001E60AB" w:rsidP="00393BA5">
            <w:pPr>
              <w:pStyle w:val="Tabletext"/>
            </w:pPr>
            <w:r w:rsidRPr="007F3206">
              <w:t>Tonnes CO</w:t>
            </w:r>
            <w:r w:rsidRPr="00804CAA">
              <w:rPr>
                <w:vertAlign w:val="subscript"/>
              </w:rPr>
              <w:t>2</w:t>
            </w:r>
            <w:r w:rsidRPr="007F3206">
              <w:t>-e</w:t>
            </w:r>
          </w:p>
        </w:tc>
        <w:tc>
          <w:tcPr>
            <w:tcW w:w="2763" w:type="dxa"/>
            <w:gridSpan w:val="2"/>
            <w:vMerge/>
            <w:tcBorders>
              <w:bottom w:val="single" w:sz="4" w:space="0" w:color="auto"/>
            </w:tcBorders>
          </w:tcPr>
          <w:p w14:paraId="76C34E90" w14:textId="77777777" w:rsidR="001E60AB" w:rsidRDefault="001E60AB" w:rsidP="00393BA5">
            <w:pPr>
              <w:pStyle w:val="Tablefigures"/>
            </w:pPr>
          </w:p>
        </w:tc>
        <w:tc>
          <w:tcPr>
            <w:tcW w:w="1347" w:type="dxa"/>
            <w:vMerge/>
            <w:tcBorders>
              <w:bottom w:val="single" w:sz="4" w:space="0" w:color="auto"/>
            </w:tcBorders>
          </w:tcPr>
          <w:p w14:paraId="3DA9E891" w14:textId="3FA18F5E" w:rsidR="001E60AB" w:rsidRDefault="001E60AB" w:rsidP="00393BA5">
            <w:pPr>
              <w:pStyle w:val="Tablefigures"/>
            </w:pPr>
          </w:p>
        </w:tc>
      </w:tr>
    </w:tbl>
    <w:p w14:paraId="7B7E8EA5" w14:textId="7DC6C541" w:rsidR="00CD0E0A" w:rsidRPr="00804CAA" w:rsidRDefault="00804CAA" w:rsidP="00AD126A">
      <w:pPr>
        <w:tabs>
          <w:tab w:val="left" w:pos="9072"/>
        </w:tabs>
        <w:spacing w:after="0"/>
        <w:rPr>
          <w:sz w:val="18"/>
          <w:szCs w:val="18"/>
        </w:rPr>
      </w:pPr>
      <w:r w:rsidRPr="00804CAA">
        <w:rPr>
          <w:sz w:val="18"/>
          <w:szCs w:val="18"/>
        </w:rPr>
        <w:t>*Total emissions include scope 1 and scope 2 emissions and exclude scope 3 emissions.</w:t>
      </w:r>
    </w:p>
    <w:p w14:paraId="344A6A56" w14:textId="77777777" w:rsidR="00661497" w:rsidRDefault="00661497" w:rsidP="00AD126A">
      <w:pPr>
        <w:tabs>
          <w:tab w:val="left" w:pos="9072"/>
        </w:tabs>
        <w:spacing w:after="0"/>
      </w:pPr>
    </w:p>
    <w:p w14:paraId="2745650D" w14:textId="2130C993" w:rsidR="0049743C" w:rsidRDefault="0049743C">
      <w:pPr>
        <w:spacing w:after="0"/>
      </w:pPr>
      <w:r>
        <w:br w:type="page"/>
      </w:r>
    </w:p>
    <w:p w14:paraId="2D2A309C" w14:textId="2A98D03F" w:rsidR="000655EA" w:rsidRDefault="00BE0AA5">
      <w:pPr>
        <w:spacing w:after="0"/>
      </w:pPr>
      <w:r>
        <w:rPr>
          <w:noProof/>
        </w:rPr>
        <w:lastRenderedPageBreak/>
        <w:drawing>
          <wp:anchor distT="0" distB="0" distL="114300" distR="114300" simplePos="0" relativeHeight="251658245" behindDoc="1" locked="0" layoutInCell="1" allowOverlap="1" wp14:anchorId="4379D1E2" wp14:editId="093A014A">
            <wp:simplePos x="0" y="0"/>
            <wp:positionH relativeFrom="page">
              <wp:posOffset>-19473</wp:posOffset>
            </wp:positionH>
            <wp:positionV relativeFrom="paragraph">
              <wp:posOffset>-906569</wp:posOffset>
            </wp:positionV>
            <wp:extent cx="7551420" cy="99822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1420" cy="9982200"/>
                    </a:xfrm>
                    <a:prstGeom prst="rect">
                      <a:avLst/>
                    </a:prstGeom>
                  </pic:spPr>
                </pic:pic>
              </a:graphicData>
            </a:graphic>
            <wp14:sizeRelH relativeFrom="margin">
              <wp14:pctWidth>0</wp14:pctWidth>
            </wp14:sizeRelH>
            <wp14:sizeRelV relativeFrom="margin">
              <wp14:pctHeight>0</wp14:pctHeight>
            </wp14:sizeRelV>
          </wp:anchor>
        </w:drawing>
      </w:r>
    </w:p>
    <w:p w14:paraId="346FE9E1" w14:textId="0B7CFA38" w:rsidR="008F144D" w:rsidRDefault="008F144D" w:rsidP="008F144D"/>
    <w:p w14:paraId="4A384C6B" w14:textId="3400BE07" w:rsidR="0079364C" w:rsidRDefault="0079364C" w:rsidP="0079364C"/>
    <w:p w14:paraId="6CD87498" w14:textId="608B0342" w:rsidR="0079364C" w:rsidRDefault="0079364C" w:rsidP="0079364C"/>
    <w:p w14:paraId="46FDCF3F" w14:textId="5008E7FF" w:rsidR="0079364C" w:rsidRDefault="00BE0AA5" w:rsidP="0079364C">
      <w:pPr>
        <w:rPr>
          <w:rFonts w:eastAsiaTheme="majorEastAsia" w:cstheme="majorBidi"/>
          <w:b/>
          <w:color w:val="361B60" w:themeColor="accent1" w:themeShade="BF"/>
          <w:sz w:val="32"/>
          <w:szCs w:val="32"/>
        </w:rPr>
      </w:pPr>
      <w:r>
        <w:rPr>
          <w:noProof/>
        </w:rPr>
        <mc:AlternateContent>
          <mc:Choice Requires="wps">
            <w:drawing>
              <wp:anchor distT="0" distB="0" distL="114300" distR="114300" simplePos="0" relativeHeight="251658246" behindDoc="0" locked="0" layoutInCell="1" allowOverlap="1" wp14:anchorId="44741B78" wp14:editId="11501FCB">
                <wp:simplePos x="0" y="0"/>
                <wp:positionH relativeFrom="margin">
                  <wp:posOffset>152400</wp:posOffset>
                </wp:positionH>
                <wp:positionV relativeFrom="paragraph">
                  <wp:posOffset>71332</wp:posOffset>
                </wp:positionV>
                <wp:extent cx="3723640" cy="1249680"/>
                <wp:effectExtent l="0" t="0" r="0" b="762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3640" cy="1249680"/>
                        </a:xfrm>
                        <a:prstGeom prst="rect">
                          <a:avLst/>
                        </a:prstGeom>
                        <a:noFill/>
                        <a:ln w="6350">
                          <a:noFill/>
                        </a:ln>
                      </wps:spPr>
                      <wps:txbx>
                        <w:txbxContent>
                          <w:p w14:paraId="3695110F" w14:textId="553AD5FB" w:rsidR="00BE0AA5" w:rsidRPr="00DD39B6" w:rsidRDefault="00BE0AA5" w:rsidP="00BE0AA5">
                            <w:pPr>
                              <w:pStyle w:val="Chapterdivider-Parttext"/>
                              <w:rPr>
                                <w:b/>
                              </w:rPr>
                            </w:pPr>
                            <w:r>
                              <w:rPr>
                                <w:b/>
                              </w:rPr>
                              <w:t>Section</w:t>
                            </w:r>
                            <w:r w:rsidRPr="001E74B3">
                              <w:rPr>
                                <w:b/>
                              </w:rPr>
                              <w:t xml:space="preserve"> </w:t>
                            </w: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41B78" id="Text Box 13" o:spid="_x0000_s1028" type="#_x0000_t202" alt="&quot;&quot;" style="position:absolute;margin-left:12pt;margin-top:5.6pt;width:293.2pt;height:98.4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" filled="f" stroked="f" strokeweight=".5pt">
                <v:textbox>
                  <w:txbxContent>
                    <w:p w14:paraId="3695110F" w14:textId="553AD5FB" w:rsidR="00BE0AA5" w:rsidRPr="00DD39B6" w:rsidRDefault="00BE0AA5" w:rsidP="00BE0AA5">
                      <w:pPr>
                        <w:pStyle w:val="Chapterdivider-Parttext"/>
                        <w:rPr>
                          <w:b/>
                        </w:rPr>
                      </w:pPr>
                      <w:r>
                        <w:rPr>
                          <w:b/>
                        </w:rPr>
                        <w:t>Section</w:t>
                      </w:r>
                      <w:r w:rsidRPr="001E74B3">
                        <w:rPr>
                          <w:b/>
                        </w:rPr>
                        <w:t xml:space="preserve"> </w:t>
                      </w:r>
                      <w:r>
                        <w:rPr>
                          <w:b/>
                        </w:rPr>
                        <w:t>C</w:t>
                      </w:r>
                    </w:p>
                  </w:txbxContent>
                </v:textbox>
                <w10:wrap anchorx="margin"/>
              </v:shape>
            </w:pict>
          </mc:Fallback>
        </mc:AlternateContent>
      </w:r>
      <w:r w:rsidR="0079364C">
        <w:br w:type="page"/>
      </w:r>
    </w:p>
    <w:p w14:paraId="35DCBB49" w14:textId="18614C73" w:rsidR="0096094B" w:rsidRPr="00A82F72" w:rsidRDefault="00474FB1" w:rsidP="009B6CCF">
      <w:pPr>
        <w:pStyle w:val="Heading1"/>
      </w:pPr>
      <w:r>
        <w:lastRenderedPageBreak/>
        <w:t>C. Financial Management Reporting</w:t>
      </w:r>
    </w:p>
    <w:p w14:paraId="7009B576" w14:textId="1DC6E285" w:rsidR="0096094B" w:rsidRPr="00924E1F" w:rsidRDefault="00474FB1" w:rsidP="00924E1F">
      <w:pPr>
        <w:pStyle w:val="Heading2"/>
      </w:pPr>
      <w:bookmarkStart w:id="80" w:name="_Toc141174720"/>
      <w:r w:rsidRPr="00924E1F">
        <w:t>C</w:t>
      </w:r>
      <w:r w:rsidR="0096094B" w:rsidRPr="00924E1F">
        <w:t xml:space="preserve">.1 </w:t>
      </w:r>
      <w:r w:rsidRPr="00924E1F">
        <w:t>Financial Management Anal</w:t>
      </w:r>
      <w:r w:rsidR="00603BCE" w:rsidRPr="00924E1F">
        <w:t>ysis</w:t>
      </w:r>
      <w:bookmarkEnd w:id="80"/>
    </w:p>
    <w:p w14:paraId="1D074D87" w14:textId="77777777" w:rsidR="00A9146E" w:rsidRPr="00407CEB" w:rsidRDefault="00A9146E" w:rsidP="00A9146E">
      <w:pPr>
        <w:spacing w:before="200" w:after="200" w:line="264" w:lineRule="auto"/>
        <w:rPr>
          <w:rFonts w:ascii="Calibri" w:hAnsi="Calibri"/>
        </w:rPr>
      </w:pPr>
      <w:r w:rsidRPr="00407CEB">
        <w:rPr>
          <w:rFonts w:ascii="Calibri" w:hAnsi="Calibri"/>
        </w:rPr>
        <w:t>The Authority’s Financial Statements are contained in Part C.2 of this report.  The Authority’s Management Discussion and Analysis is below.</w:t>
      </w:r>
    </w:p>
    <w:p w14:paraId="3F8356D2" w14:textId="0B297A8F" w:rsidR="0096094B" w:rsidRPr="009B6CCF" w:rsidRDefault="002B1046"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w:t>
      </w:r>
      <w:r w:rsidR="0096094B" w:rsidRPr="009B6CCF">
        <w:rPr>
          <w:rFonts w:eastAsia="Times New Roman"/>
          <w:iCs/>
          <w:color w:val="492581" w:themeColor="accent1"/>
          <w:sz w:val="32"/>
          <w:szCs w:val="32"/>
        </w:rPr>
        <w:t xml:space="preserve">.1.1 </w:t>
      </w:r>
      <w:r w:rsidR="00892B7E" w:rsidRPr="009B6CCF">
        <w:rPr>
          <w:rFonts w:eastAsia="Times New Roman"/>
          <w:iCs/>
          <w:color w:val="492581" w:themeColor="accent1"/>
          <w:sz w:val="32"/>
          <w:szCs w:val="32"/>
        </w:rPr>
        <w:t>Management Discussion and Analysis for the Financial Year ended 30 June 202</w:t>
      </w:r>
      <w:r w:rsidR="00C70309">
        <w:rPr>
          <w:rFonts w:eastAsia="Times New Roman"/>
          <w:iCs/>
          <w:color w:val="492581" w:themeColor="accent1"/>
          <w:sz w:val="32"/>
          <w:szCs w:val="32"/>
        </w:rPr>
        <w:t>4</w:t>
      </w:r>
    </w:p>
    <w:p w14:paraId="66DA18D1" w14:textId="6ED35D3E" w:rsidR="00C722D3" w:rsidRDefault="00C722D3" w:rsidP="004F03FC">
      <w:pPr>
        <w:pStyle w:val="Heading5"/>
      </w:pPr>
      <w:r>
        <w:t>General Overview</w:t>
      </w:r>
    </w:p>
    <w:p w14:paraId="2EF30FDB" w14:textId="77777777" w:rsidR="00902C2E" w:rsidRPr="00407CEB" w:rsidRDefault="00902C2E" w:rsidP="00902C2E">
      <w:pPr>
        <w:spacing w:before="200" w:after="200" w:line="264" w:lineRule="auto"/>
        <w:rPr>
          <w:rFonts w:ascii="Calibri" w:hAnsi="Calibri"/>
        </w:rPr>
      </w:pPr>
      <w:r w:rsidRPr="00407CEB">
        <w:rPr>
          <w:rFonts w:ascii="Calibri" w:hAnsi="Calibri"/>
        </w:rPr>
        <w:t xml:space="preserve">The ACT Insurance Authority (the Authority) is established under the </w:t>
      </w:r>
      <w:r w:rsidRPr="00407CEB">
        <w:rPr>
          <w:rFonts w:ascii="Calibri" w:hAnsi="Calibri"/>
          <w:i/>
          <w:iCs/>
        </w:rPr>
        <w:t>Insurance Authority Act 2005</w:t>
      </w:r>
      <w:r w:rsidRPr="00407CEB">
        <w:rPr>
          <w:rFonts w:ascii="Calibri" w:hAnsi="Calibri"/>
        </w:rPr>
        <w:t>.</w:t>
      </w:r>
    </w:p>
    <w:p w14:paraId="3DB4006D" w14:textId="77777777" w:rsidR="00902C2E" w:rsidRPr="00407CEB" w:rsidRDefault="00902C2E" w:rsidP="00902C2E">
      <w:pPr>
        <w:spacing w:before="200" w:after="200" w:line="264" w:lineRule="auto"/>
        <w:rPr>
          <w:rFonts w:ascii="Calibri" w:hAnsi="Calibri"/>
        </w:rPr>
      </w:pPr>
      <w:r w:rsidRPr="00407CEB">
        <w:rPr>
          <w:rFonts w:ascii="Calibri" w:hAnsi="Calibri"/>
        </w:rPr>
        <w:t>The Authority works to protect the assets and services of the Territory by providing risk management support and insurance services to all ACT Government directorates and statutory authorities. The Authority meets the insurable claims and losses of the ACT Government.</w:t>
      </w:r>
    </w:p>
    <w:p w14:paraId="3D813475" w14:textId="77777777" w:rsidR="00902C2E" w:rsidRPr="00407CEB" w:rsidRDefault="00902C2E" w:rsidP="00902C2E">
      <w:pPr>
        <w:spacing w:before="200" w:after="200" w:line="264" w:lineRule="auto"/>
        <w:rPr>
          <w:rFonts w:ascii="Calibri" w:hAnsi="Calibri"/>
        </w:rPr>
      </w:pPr>
      <w:r w:rsidRPr="00407CEB">
        <w:rPr>
          <w:rFonts w:ascii="Calibri" w:hAnsi="Calibri"/>
        </w:rPr>
        <w:t xml:space="preserve">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rsidRPr="00407CEB">
        <w:rPr>
          <w:rFonts w:ascii="Calibri" w:hAnsi="Calibri"/>
        </w:rPr>
        <w:t>as a result of</w:t>
      </w:r>
      <w:proofErr w:type="gramEnd"/>
      <w:r w:rsidRPr="00407CEB">
        <w:rPr>
          <w:rFonts w:ascii="Calibri" w:hAnsi="Calibri"/>
        </w:rPr>
        <w:t xml:space="preserve"> the activities of Government.</w:t>
      </w:r>
    </w:p>
    <w:p w14:paraId="20C644B2" w14:textId="77777777" w:rsidR="00902C2E" w:rsidRPr="00407CEB" w:rsidRDefault="00902C2E" w:rsidP="00902C2E">
      <w:pPr>
        <w:spacing w:before="200" w:after="200" w:line="264" w:lineRule="auto"/>
        <w:rPr>
          <w:rFonts w:ascii="Calibri" w:hAnsi="Calibri"/>
        </w:rPr>
      </w:pPr>
      <w:r w:rsidRPr="00407CEB">
        <w:rPr>
          <w:rFonts w:ascii="Calibri" w:hAnsi="Calibri"/>
        </w:rPr>
        <w:t xml:space="preserve">The Authority operates on a cost recovery basis by collecting premiums from directorates and statutory authorities to meet the anticipated costs of claims.  </w:t>
      </w:r>
    </w:p>
    <w:p w14:paraId="7146327C" w14:textId="77777777" w:rsidR="00902C2E" w:rsidRPr="00407CEB" w:rsidRDefault="00902C2E" w:rsidP="00902C2E">
      <w:pPr>
        <w:spacing w:before="200" w:after="200" w:line="264" w:lineRule="auto"/>
        <w:rPr>
          <w:rFonts w:ascii="Calibri" w:hAnsi="Calibri"/>
        </w:rPr>
      </w:pPr>
      <w:r w:rsidRPr="00407CEB">
        <w:rPr>
          <w:rFonts w:ascii="Calibri" w:hAnsi="Calibri"/>
        </w:rPr>
        <w:t>The Authority manages Builders Warranty Insurance (BWI) on behalf of the Territory through the agreement in place between the Territory and QBE Insurance Group Limited (QBE) which commenced 12 March 2020.  Under the agreement, the Authority receives premium revenue from QBE for any new policies written, QBE is paid a commission and receives fees for the administration of the claims management services it provides.</w:t>
      </w:r>
    </w:p>
    <w:p w14:paraId="5D72E50D" w14:textId="788D208C" w:rsidR="00902C2E" w:rsidRPr="00407CEB" w:rsidRDefault="00902C2E" w:rsidP="00902C2E">
      <w:pPr>
        <w:spacing w:before="200" w:after="200" w:line="264" w:lineRule="auto"/>
        <w:rPr>
          <w:rFonts w:ascii="Calibri" w:hAnsi="Calibri"/>
        </w:rPr>
      </w:pPr>
      <w:r w:rsidRPr="00407CEB">
        <w:rPr>
          <w:rFonts w:ascii="Calibri" w:hAnsi="Calibri"/>
        </w:rPr>
        <w:t xml:space="preserve">The Authority also operates on a cost recovery basis by collecting indemnity fees from Community Services Directorate (CSD) to meet the costs of future asset losses and legal liabilities that occur </w:t>
      </w:r>
      <w:proofErr w:type="gramStart"/>
      <w:r w:rsidRPr="00407CEB">
        <w:rPr>
          <w:rFonts w:ascii="Calibri" w:hAnsi="Calibri"/>
        </w:rPr>
        <w:t>as a result of</w:t>
      </w:r>
      <w:proofErr w:type="gramEnd"/>
      <w:r w:rsidRPr="00407CEB">
        <w:rPr>
          <w:rFonts w:ascii="Calibri" w:hAnsi="Calibri"/>
        </w:rPr>
        <w:t xml:space="preserve"> the activities of Government. In consideration of the indemnity fees paid, the Authority provides indemnity to CSD for insurable losses and claims incurred in relation to Out of Home Care Physical and Sexual Abuse (PSA) that have been lodged against their third party providers that are actively part of the scheme.</w:t>
      </w:r>
    </w:p>
    <w:p w14:paraId="1EBDA0E7" w14:textId="6A6A0016" w:rsidR="00FC777A" w:rsidRPr="003B3357" w:rsidRDefault="00662D7E" w:rsidP="004F03FC">
      <w:pPr>
        <w:pStyle w:val="Heading5"/>
      </w:pPr>
      <w:r>
        <w:lastRenderedPageBreak/>
        <w:t>Services and Functions</w:t>
      </w:r>
    </w:p>
    <w:p w14:paraId="5E47CCD4" w14:textId="77777777" w:rsidR="00421ED6" w:rsidRPr="00407CEB" w:rsidRDefault="00421ED6" w:rsidP="00421ED6">
      <w:pPr>
        <w:pStyle w:val="BodyText"/>
        <w:spacing w:before="200"/>
        <w:rPr>
          <w:rFonts w:ascii="Calibri" w:hAnsi="Calibri"/>
        </w:rPr>
      </w:pPr>
      <w:r w:rsidRPr="00407CEB">
        <w:rPr>
          <w:rFonts w:ascii="Calibri" w:hAnsi="Calibri"/>
        </w:rPr>
        <w:t>The Authority provides insurance, claims and risk management services to directorates and statutory authorities.</w:t>
      </w:r>
    </w:p>
    <w:p w14:paraId="0389D90E" w14:textId="77777777" w:rsidR="00421ED6" w:rsidRPr="00407CEB" w:rsidRDefault="00421ED6" w:rsidP="00421ED6">
      <w:pPr>
        <w:pStyle w:val="BodyText"/>
        <w:spacing w:before="200"/>
        <w:rPr>
          <w:rFonts w:ascii="Calibri" w:hAnsi="Calibri"/>
        </w:rPr>
      </w:pPr>
      <w:r w:rsidRPr="00407CEB">
        <w:rPr>
          <w:rFonts w:ascii="Calibri" w:hAnsi="Calibri"/>
        </w:rPr>
        <w:t>The Authority’s functions are to:</w:t>
      </w:r>
    </w:p>
    <w:p w14:paraId="5A58A11C" w14:textId="77777777" w:rsidR="00421ED6" w:rsidRPr="00407CEB" w:rsidRDefault="00421ED6" w:rsidP="00A36E9A">
      <w:pPr>
        <w:pStyle w:val="BodyText"/>
        <w:numPr>
          <w:ilvl w:val="0"/>
          <w:numId w:val="45"/>
        </w:numPr>
        <w:tabs>
          <w:tab w:val="clear" w:pos="567"/>
          <w:tab w:val="num" w:pos="1134"/>
        </w:tabs>
        <w:spacing w:before="60" w:after="60" w:line="240" w:lineRule="auto"/>
        <w:ind w:left="357" w:hanging="357"/>
        <w:rPr>
          <w:iCs/>
        </w:rPr>
      </w:pPr>
      <w:r w:rsidRPr="00407CEB">
        <w:rPr>
          <w:iCs/>
        </w:rPr>
        <w:t>carry out the business of insurer of Territory risks;</w:t>
      </w:r>
    </w:p>
    <w:p w14:paraId="1529A3C3" w14:textId="77777777" w:rsidR="00421ED6" w:rsidRPr="00407CEB" w:rsidRDefault="00421ED6" w:rsidP="00A36E9A">
      <w:pPr>
        <w:pStyle w:val="BodyText"/>
        <w:numPr>
          <w:ilvl w:val="0"/>
          <w:numId w:val="45"/>
        </w:numPr>
        <w:tabs>
          <w:tab w:val="clear" w:pos="567"/>
          <w:tab w:val="num" w:pos="1134"/>
        </w:tabs>
        <w:spacing w:before="60" w:after="60" w:line="240" w:lineRule="auto"/>
        <w:ind w:left="357" w:hanging="357"/>
        <w:rPr>
          <w:iCs/>
        </w:rPr>
      </w:pPr>
      <w:r w:rsidRPr="00407CEB">
        <w:rPr>
          <w:iCs/>
        </w:rPr>
        <w:t>take out insurance of Territory risks with other entities;</w:t>
      </w:r>
    </w:p>
    <w:p w14:paraId="797C3B97" w14:textId="77777777" w:rsidR="00421ED6" w:rsidRPr="00407CEB" w:rsidRDefault="00421ED6" w:rsidP="00A36E9A">
      <w:pPr>
        <w:pStyle w:val="BodyText"/>
        <w:numPr>
          <w:ilvl w:val="0"/>
          <w:numId w:val="45"/>
        </w:numPr>
        <w:tabs>
          <w:tab w:val="clear" w:pos="567"/>
          <w:tab w:val="num" w:pos="1134"/>
        </w:tabs>
        <w:spacing w:before="60" w:after="60" w:line="240" w:lineRule="auto"/>
        <w:ind w:left="357" w:hanging="357"/>
        <w:rPr>
          <w:iCs/>
        </w:rPr>
      </w:pPr>
      <w:r w:rsidRPr="00407CEB">
        <w:rPr>
          <w:iCs/>
        </w:rPr>
        <w:t>manage and settle claims in relation to Territory risks;</w:t>
      </w:r>
    </w:p>
    <w:p w14:paraId="2E070233" w14:textId="77777777" w:rsidR="00421ED6" w:rsidRPr="00407CEB" w:rsidRDefault="00421ED6" w:rsidP="00A36E9A">
      <w:pPr>
        <w:pStyle w:val="BodyText"/>
        <w:numPr>
          <w:ilvl w:val="0"/>
          <w:numId w:val="45"/>
        </w:numPr>
        <w:tabs>
          <w:tab w:val="clear" w:pos="567"/>
          <w:tab w:val="num" w:pos="1134"/>
        </w:tabs>
        <w:spacing w:before="60" w:after="60" w:line="240" w:lineRule="auto"/>
        <w:ind w:left="357" w:hanging="357"/>
        <w:rPr>
          <w:iCs/>
        </w:rPr>
      </w:pPr>
      <w:r w:rsidRPr="00407CEB">
        <w:rPr>
          <w:iCs/>
        </w:rPr>
        <w:t>develop and promote good practices for the management of Territory risks; and</w:t>
      </w:r>
    </w:p>
    <w:p w14:paraId="5DEC1932" w14:textId="77777777" w:rsidR="00421ED6" w:rsidRPr="00407CEB" w:rsidRDefault="00421ED6" w:rsidP="00A36E9A">
      <w:pPr>
        <w:pStyle w:val="BodyText"/>
        <w:numPr>
          <w:ilvl w:val="0"/>
          <w:numId w:val="45"/>
        </w:numPr>
        <w:tabs>
          <w:tab w:val="clear" w:pos="567"/>
          <w:tab w:val="num" w:pos="1134"/>
        </w:tabs>
        <w:spacing w:before="60" w:after="60" w:line="240" w:lineRule="auto"/>
        <w:ind w:left="357" w:hanging="357"/>
        <w:rPr>
          <w:iCs/>
        </w:rPr>
      </w:pPr>
      <w:r w:rsidRPr="00407CEB">
        <w:rPr>
          <w:iCs/>
        </w:rPr>
        <w:t>give advice to the Minister about insurance and the management of Territory risks.</w:t>
      </w:r>
    </w:p>
    <w:p w14:paraId="788134D6" w14:textId="3C50DFC4" w:rsidR="00CB1B9A" w:rsidRPr="00CB1B9A" w:rsidRDefault="00CB1B9A" w:rsidP="004F03FC">
      <w:pPr>
        <w:pStyle w:val="Heading5"/>
      </w:pPr>
      <w:r>
        <w:t>Risk Management</w:t>
      </w:r>
    </w:p>
    <w:p w14:paraId="1F32E427" w14:textId="6F702C73" w:rsidR="0014605B" w:rsidRPr="00407CEB" w:rsidRDefault="0014605B" w:rsidP="0014605B">
      <w:pPr>
        <w:pStyle w:val="CM61"/>
        <w:pBdr>
          <w:top w:val="nil"/>
          <w:left w:val="nil"/>
          <w:bottom w:val="nil"/>
          <w:right w:val="nil"/>
          <w:between w:val="nil"/>
          <w:bar w:val="nil"/>
        </w:pBdr>
        <w:spacing w:before="200" w:after="200" w:line="264" w:lineRule="auto"/>
        <w:rPr>
          <w:rFonts w:ascii="Calibri" w:eastAsia="Times New Roman" w:hAnsi="Calibri"/>
        </w:rPr>
      </w:pPr>
      <w:r w:rsidRPr="00407CEB">
        <w:rPr>
          <w:rFonts w:ascii="Calibri" w:eastAsia="Times New Roman" w:hAnsi="Calibri"/>
        </w:rPr>
        <w:t>The Authority has developed and implemented a risk management plan in accordance with the Australian Standard on risk management AS ISO 31000:2018 and the ACT Government’s Risk Management Policy. The Authority’s plan identifies and details risks, control measures</w:t>
      </w:r>
      <w:r w:rsidR="00FE56C1">
        <w:rPr>
          <w:rFonts w:ascii="Calibri" w:eastAsia="Times New Roman" w:hAnsi="Calibri"/>
        </w:rPr>
        <w:t>,</w:t>
      </w:r>
      <w:r w:rsidRPr="00407CEB">
        <w:rPr>
          <w:rFonts w:ascii="Calibri" w:eastAsia="Times New Roman" w:hAnsi="Calibri"/>
        </w:rPr>
        <w:t xml:space="preserve"> and treatment action plans for financial, business</w:t>
      </w:r>
      <w:r w:rsidR="00FE56C1">
        <w:rPr>
          <w:rFonts w:ascii="Calibri" w:eastAsia="Times New Roman" w:hAnsi="Calibri"/>
        </w:rPr>
        <w:t>,</w:t>
      </w:r>
      <w:r w:rsidRPr="00407CEB">
        <w:rPr>
          <w:rFonts w:ascii="Calibri" w:eastAsia="Times New Roman" w:hAnsi="Calibri"/>
        </w:rPr>
        <w:t xml:space="preserve"> and information technology risks.</w:t>
      </w:r>
    </w:p>
    <w:p w14:paraId="7E676183" w14:textId="77777777" w:rsidR="0014605B" w:rsidRPr="00407CEB" w:rsidRDefault="0014605B" w:rsidP="0014605B">
      <w:pPr>
        <w:rPr>
          <w:rFonts w:ascii="Calibri" w:hAnsi="Calibri" w:cs="Helvetica Neue"/>
          <w:color w:val="000000"/>
          <w:bdr w:val="nil"/>
        </w:rPr>
      </w:pPr>
      <w:r w:rsidRPr="00407CEB">
        <w:rPr>
          <w:rFonts w:ascii="Calibri" w:hAnsi="Calibri" w:cs="Helvetica Neue"/>
          <w:color w:val="000000"/>
          <w:bdr w:val="nil"/>
        </w:rPr>
        <w:t>The Authority has identified the following key financial risks:</w:t>
      </w:r>
    </w:p>
    <w:p w14:paraId="5F14EB61" w14:textId="77777777" w:rsidR="0014605B" w:rsidRPr="00407CEB" w:rsidRDefault="0014605B" w:rsidP="0014605B">
      <w:pPr>
        <w:pStyle w:val="BSbullet1"/>
        <w:pBdr>
          <w:top w:val="nil"/>
          <w:left w:val="nil"/>
          <w:bottom w:val="nil"/>
          <w:right w:val="nil"/>
          <w:between w:val="nil"/>
          <w:bar w:val="nil"/>
        </w:pBdr>
        <w:spacing w:before="60" w:after="60" w:line="264" w:lineRule="auto"/>
        <w:rPr>
          <w:bdr w:val="nil"/>
        </w:rPr>
      </w:pPr>
      <w:r w:rsidRPr="00407CEB">
        <w:rPr>
          <w:bdr w:val="nil"/>
        </w:rPr>
        <w:t>insufficient and/or unsatisfactory external insurance arrangements; and</w:t>
      </w:r>
    </w:p>
    <w:p w14:paraId="4096CDC4" w14:textId="77777777" w:rsidR="0014605B" w:rsidRPr="00407CEB" w:rsidRDefault="0014605B" w:rsidP="0014605B">
      <w:pPr>
        <w:pStyle w:val="BSbullet1"/>
        <w:pBdr>
          <w:top w:val="nil"/>
          <w:left w:val="nil"/>
          <w:bottom w:val="nil"/>
          <w:right w:val="nil"/>
          <w:between w:val="nil"/>
          <w:bar w:val="nil"/>
        </w:pBdr>
        <w:spacing w:before="60" w:after="60" w:line="264" w:lineRule="auto"/>
        <w:rPr>
          <w:bdr w:val="nil"/>
        </w:rPr>
      </w:pPr>
      <w:r w:rsidRPr="00407CEB">
        <w:rPr>
          <w:bdr w:val="nil"/>
        </w:rPr>
        <w:t>annual premiums not sufficient to fully fund claims over the claim development period.</w:t>
      </w:r>
    </w:p>
    <w:p w14:paraId="7460B6C2" w14:textId="77777777" w:rsidR="0014605B" w:rsidRPr="00407CEB" w:rsidRDefault="0014605B" w:rsidP="0014605B">
      <w:pPr>
        <w:pBdr>
          <w:top w:val="nil"/>
          <w:left w:val="nil"/>
          <w:bottom w:val="nil"/>
          <w:right w:val="nil"/>
          <w:between w:val="nil"/>
          <w:bar w:val="nil"/>
        </w:pBdr>
        <w:spacing w:before="200" w:after="200" w:line="264" w:lineRule="auto"/>
        <w:rPr>
          <w:color w:val="000000"/>
        </w:rPr>
      </w:pPr>
      <w:r w:rsidRPr="00407CEB">
        <w:rPr>
          <w:rFonts w:ascii="Calibri" w:eastAsia="Calibri" w:hAnsi="Calibri" w:cs="Helvetica Neue"/>
          <w:color w:val="000000"/>
          <w:bdr w:val="nil"/>
        </w:rPr>
        <w:t>To manage these risks, the Authority engages a specialised insurance broker to provide professional</w:t>
      </w:r>
      <w:r w:rsidRPr="00407CEB">
        <w:rPr>
          <w:color w:val="000000"/>
        </w:rPr>
        <w:t xml:space="preserve"> advice and access to international and local reinsurance markets. Professional external actuaries provide support and advice that aligns agency premiums with claims experience. The Authority has an investment strategy which takes a structured and comprehensive approach to the long-term management of its financial assets to fund future claims liabilities.</w:t>
      </w:r>
    </w:p>
    <w:p w14:paraId="37C52B28" w14:textId="4177832B" w:rsidR="00165212" w:rsidRPr="00CB1B9A" w:rsidRDefault="00AF076C" w:rsidP="0026650D">
      <w:pPr>
        <w:pStyle w:val="Heading5"/>
      </w:pPr>
      <w:r>
        <w:t xml:space="preserve">Financial </w:t>
      </w:r>
      <w:r w:rsidRPr="0026650D">
        <w:t>Performance</w:t>
      </w:r>
    </w:p>
    <w:p w14:paraId="0F7F8B4B" w14:textId="77777777" w:rsidR="00663EDB" w:rsidRPr="00407CEB" w:rsidRDefault="00663EDB" w:rsidP="00663EDB">
      <w:pPr>
        <w:pStyle w:val="BodyText3"/>
        <w:spacing w:before="200" w:after="200" w:line="264" w:lineRule="auto"/>
        <w:rPr>
          <w:sz w:val="24"/>
          <w:szCs w:val="24"/>
        </w:rPr>
      </w:pPr>
      <w:r w:rsidRPr="00407CEB">
        <w:rPr>
          <w:sz w:val="24"/>
          <w:szCs w:val="24"/>
        </w:rPr>
        <w:t>The following financial information is based on audited</w:t>
      </w:r>
      <w:r w:rsidRPr="00407CEB">
        <w:rPr>
          <w:color w:val="3333FF"/>
          <w:sz w:val="24"/>
          <w:szCs w:val="24"/>
        </w:rPr>
        <w:t xml:space="preserve"> </w:t>
      </w:r>
      <w:r w:rsidRPr="00407CEB">
        <w:rPr>
          <w:sz w:val="24"/>
          <w:szCs w:val="24"/>
        </w:rPr>
        <w:t xml:space="preserve">Financial Statements for 2023-24, and the forward estimates contained in the Authority’s 2024-25 Statement of Intent. </w:t>
      </w:r>
    </w:p>
    <w:p w14:paraId="2B0F7E69" w14:textId="77777777" w:rsidR="00663EDB" w:rsidRPr="00407CEB" w:rsidRDefault="00663EDB" w:rsidP="00663EDB">
      <w:pPr>
        <w:autoSpaceDE w:val="0"/>
        <w:autoSpaceDN w:val="0"/>
        <w:adjustRightInd w:val="0"/>
        <w:spacing w:before="200" w:after="200" w:line="264" w:lineRule="auto"/>
        <w:rPr>
          <w:rFonts w:ascii="Calibri" w:eastAsia="Calibri" w:hAnsi="Calibri" w:cs="Source Sans Pro Light"/>
          <w:color w:val="000000"/>
        </w:rPr>
      </w:pPr>
      <w:r w:rsidRPr="00407CEB">
        <w:rPr>
          <w:rFonts w:ascii="Calibri" w:eastAsia="Calibri" w:hAnsi="Calibri" w:cs="Source Sans Pro Light"/>
          <w:color w:val="000000"/>
        </w:rPr>
        <w:t>During 2023-24 the Authority experienced several functional and operational events, some of the key changes and events included:</w:t>
      </w:r>
    </w:p>
    <w:p w14:paraId="0C714489" w14:textId="77777777" w:rsidR="00663EDB" w:rsidRPr="00407CEB" w:rsidRDefault="00663EDB" w:rsidP="00A36E9A">
      <w:pPr>
        <w:numPr>
          <w:ilvl w:val="0"/>
          <w:numId w:val="13"/>
        </w:numPr>
        <w:spacing w:before="60" w:after="60" w:line="264" w:lineRule="auto"/>
        <w:ind w:left="357" w:hanging="357"/>
        <w:rPr>
          <w:rFonts w:ascii="Calibri" w:hAnsi="Calibri"/>
        </w:rPr>
      </w:pPr>
      <w:r w:rsidRPr="00407CEB">
        <w:rPr>
          <w:rFonts w:ascii="Calibri" w:hAnsi="Calibri"/>
        </w:rPr>
        <w:t xml:space="preserve">Outstanding claims liabilities for the year ended 30 June 2024 continue to remain large, mainly due to large claims for significant fire events in December 2022 at the Hume Material Recovery Facility and North Canberra Hospital (formerly Calvary Public Hospital Bruce), along with deteriorating claims experience in medical malpractice and public liability insurance classes, and changes in actuarial variables such as discounting and inflation. </w:t>
      </w:r>
    </w:p>
    <w:p w14:paraId="705EECB2" w14:textId="77777777" w:rsidR="00663EDB" w:rsidRPr="00407CEB" w:rsidRDefault="00663EDB" w:rsidP="00A36E9A">
      <w:pPr>
        <w:numPr>
          <w:ilvl w:val="0"/>
          <w:numId w:val="13"/>
        </w:numPr>
        <w:spacing w:before="60" w:after="60" w:line="264" w:lineRule="auto"/>
        <w:ind w:left="357" w:hanging="357"/>
        <w:rPr>
          <w:rFonts w:ascii="Calibri" w:hAnsi="Calibri"/>
        </w:rPr>
      </w:pPr>
      <w:r w:rsidRPr="00407CEB">
        <w:rPr>
          <w:rFonts w:ascii="Calibri" w:hAnsi="Calibri"/>
        </w:rPr>
        <w:lastRenderedPageBreak/>
        <w:t xml:space="preserve">Despite increasing claims liabilities, the Authority has maintained a positive capital position with an increase of 4% in the funding ratio from 2022-23, </w:t>
      </w:r>
      <w:proofErr w:type="gramStart"/>
      <w:r w:rsidRPr="00407CEB">
        <w:rPr>
          <w:rFonts w:ascii="Calibri" w:hAnsi="Calibri"/>
        </w:rPr>
        <w:t>as a result of</w:t>
      </w:r>
      <w:proofErr w:type="gramEnd"/>
      <w:r w:rsidRPr="00407CEB">
        <w:rPr>
          <w:rFonts w:ascii="Calibri" w:hAnsi="Calibri"/>
        </w:rPr>
        <w:t xml:space="preserve"> overall higher cash and investments balances driven by recent economic conditions and higher estimated reinsurance recoveries, mainly in the medical malpractice insurance class. </w:t>
      </w:r>
    </w:p>
    <w:p w14:paraId="087B5CAB" w14:textId="334005B8" w:rsidR="00B31236" w:rsidRPr="008E5351" w:rsidRDefault="00663EDB" w:rsidP="00A36E9A">
      <w:pPr>
        <w:numPr>
          <w:ilvl w:val="0"/>
          <w:numId w:val="13"/>
        </w:numPr>
        <w:spacing w:before="60" w:after="60" w:line="264" w:lineRule="auto"/>
        <w:ind w:left="357" w:hanging="357"/>
        <w:rPr>
          <w:rFonts w:ascii="Calibri" w:hAnsi="Calibri"/>
          <w:sz w:val="22"/>
          <w:szCs w:val="22"/>
        </w:rPr>
      </w:pPr>
      <w:r w:rsidRPr="00407CEB">
        <w:rPr>
          <w:rFonts w:ascii="Calibri" w:hAnsi="Calibri"/>
        </w:rPr>
        <w:t xml:space="preserve">The first independent actuarial valuation of claims liabilities and liability adequacy test for PSA scheme was undertaken as at 30 June 2024, following </w:t>
      </w:r>
      <w:r w:rsidRPr="00407CEB">
        <w:rPr>
          <w:rFonts w:cs="Source Sans Pro Light"/>
        </w:rPr>
        <w:t>the formal establishment of the indemnity scheme effective 1 July 2023</w:t>
      </w:r>
      <w:r w:rsidRPr="00AB6CBB">
        <w:rPr>
          <w:rFonts w:cs="Source Sans Pro Light"/>
          <w:sz w:val="22"/>
          <w:szCs w:val="22"/>
        </w:rPr>
        <w:t>.</w:t>
      </w:r>
      <w:r w:rsidRPr="00AB6CBB">
        <w:t xml:space="preserve"> </w:t>
      </w:r>
    </w:p>
    <w:p w14:paraId="75D1BF66" w14:textId="4F83247E" w:rsidR="00617BFB" w:rsidRPr="00E1121F" w:rsidRDefault="00617BFB" w:rsidP="00E1121F">
      <w:pPr>
        <w:pStyle w:val="Heading5"/>
      </w:pPr>
      <w:r w:rsidRPr="00E1121F">
        <w:t>Operating Result</w:t>
      </w:r>
    </w:p>
    <w:p w14:paraId="1D0E24A4" w14:textId="38D141C6" w:rsidR="00973C0A" w:rsidRPr="00407CEB" w:rsidRDefault="00F3581D" w:rsidP="00F3581D">
      <w:pPr>
        <w:spacing w:before="200" w:after="200" w:line="264" w:lineRule="auto"/>
      </w:pPr>
      <w:r w:rsidRPr="00407CEB">
        <w:t>The Authority’s operating result for 2023-24 is a profit of</w:t>
      </w:r>
      <w:r w:rsidRPr="00407CEB">
        <w:rPr>
          <w:b/>
          <w:bCs/>
        </w:rPr>
        <w:t xml:space="preserve"> $</w:t>
      </w:r>
      <w:r w:rsidRPr="00407CEB">
        <w:rPr>
          <w:b/>
        </w:rPr>
        <w:t>17.2 million</w:t>
      </w:r>
      <w:r w:rsidRPr="00407CEB">
        <w:t xml:space="preserve">, being </w:t>
      </w:r>
      <w:r w:rsidRPr="00407CEB">
        <w:rPr>
          <w:b/>
        </w:rPr>
        <w:t>$14.5 million</w:t>
      </w:r>
      <w:r w:rsidRPr="00407CEB">
        <w:t xml:space="preserve"> higher than the original budget operating result surplus of </w:t>
      </w:r>
      <w:r w:rsidRPr="00407CEB">
        <w:rPr>
          <w:b/>
          <w:bCs/>
        </w:rPr>
        <w:t>$2.7 million</w:t>
      </w:r>
      <w:r w:rsidRPr="00407CEB">
        <w:rPr>
          <w:bCs/>
        </w:rPr>
        <w:t>, which</w:t>
      </w:r>
      <w:r w:rsidRPr="00407CEB">
        <w:rPr>
          <w:b/>
        </w:rPr>
        <w:t xml:space="preserve"> </w:t>
      </w:r>
      <w:r w:rsidRPr="00407CEB">
        <w:t>was primarily due to the fair value of investments having increased, mainly due to the recent changes in macroeconomic conditions leading to a higher than targeted return on investment capital gains and unbudgeted claims related recoveries, partially offset by higher claims expenses mainly due to recent large claims for property damage</w:t>
      </w:r>
      <w:r w:rsidR="003B4A54">
        <w:t>,</w:t>
      </w:r>
      <w:r w:rsidRPr="00407CEB">
        <w:t xml:space="preserve"> and a deteriorating claims experience for medical negligence claims than budgeted, which was based on the 2022-23 mid-year actuarial review.</w:t>
      </w:r>
    </w:p>
    <w:p w14:paraId="6684AD8E" w14:textId="6FF706EB" w:rsidR="002E71BB" w:rsidRPr="00A6306F" w:rsidRDefault="002E71BB" w:rsidP="00DA56B4">
      <w:pPr>
        <w:pStyle w:val="Heading5"/>
        <w:keepLines w:val="0"/>
        <w:tabs>
          <w:tab w:val="left" w:pos="1190"/>
        </w:tabs>
        <w:spacing w:line="240" w:lineRule="auto"/>
        <w:rPr>
          <w:rFonts w:eastAsia="Times New Roman"/>
          <w:iCs/>
          <w:color w:val="492581" w:themeColor="accent1"/>
          <w:sz w:val="28"/>
          <w:szCs w:val="28"/>
        </w:rPr>
      </w:pPr>
      <w:r w:rsidRPr="00A6306F">
        <w:rPr>
          <w:rFonts w:eastAsia="Times New Roman"/>
          <w:iCs/>
          <w:color w:val="492581" w:themeColor="accent1"/>
          <w:sz w:val="28"/>
          <w:szCs w:val="28"/>
        </w:rPr>
        <w:t xml:space="preserve">Underwriting </w:t>
      </w:r>
      <w:r w:rsidR="00A6306F" w:rsidRPr="00A6306F">
        <w:rPr>
          <w:rFonts w:eastAsia="Times New Roman"/>
          <w:iCs/>
          <w:color w:val="492581" w:themeColor="accent1"/>
          <w:sz w:val="28"/>
          <w:szCs w:val="28"/>
        </w:rPr>
        <w:t>Result</w:t>
      </w:r>
    </w:p>
    <w:p w14:paraId="0B02FFE6" w14:textId="77CA88C1" w:rsidR="002E71BB" w:rsidRPr="002B2CF0" w:rsidRDefault="002E71BB" w:rsidP="002B2CF0">
      <w:pPr>
        <w:pStyle w:val="Heading6"/>
        <w:tabs>
          <w:tab w:val="left" w:pos="1190"/>
        </w:tabs>
        <w:spacing w:before="240" w:after="120" w:line="240" w:lineRule="auto"/>
        <w:rPr>
          <w:rFonts w:ascii="Arial" w:hAnsi="Arial"/>
          <w:bCs/>
          <w:i/>
          <w:color w:val="262626" w:themeColor="text1" w:themeTint="D9"/>
        </w:rPr>
      </w:pPr>
      <w:r w:rsidRPr="00A6306F">
        <w:rPr>
          <w:rFonts w:ascii="Arial" w:hAnsi="Arial"/>
          <w:bCs/>
          <w:i/>
          <w:color w:val="262626" w:themeColor="text1" w:themeTint="D9"/>
        </w:rPr>
        <w:t xml:space="preserve">Components of Underwriting </w:t>
      </w:r>
      <w:r w:rsidR="00A6306F">
        <w:rPr>
          <w:rFonts w:ascii="Arial" w:hAnsi="Arial"/>
          <w:bCs/>
          <w:i/>
          <w:color w:val="262626" w:themeColor="text1" w:themeTint="D9"/>
        </w:rPr>
        <w:t>Result</w:t>
      </w:r>
    </w:p>
    <w:p w14:paraId="0D1FCFD5" w14:textId="2176310D" w:rsidR="002E71BB" w:rsidRPr="00407CEB" w:rsidRDefault="00AF3D8A" w:rsidP="00AF3D8A">
      <w:pPr>
        <w:spacing w:before="200" w:after="200"/>
        <w:rPr>
          <w:b/>
          <w:bCs/>
          <w:i/>
          <w:iCs/>
        </w:rPr>
      </w:pPr>
      <w:r w:rsidRPr="00407CEB">
        <w:t xml:space="preserve">For the year ended 30 June 2024, the Authority recorded a total underwriting loss of </w:t>
      </w:r>
      <w:r w:rsidRPr="00407CEB">
        <w:rPr>
          <w:b/>
        </w:rPr>
        <w:t>$9.5 million.</w:t>
      </w:r>
      <w:r w:rsidRPr="00407CEB">
        <w:t xml:space="preserve"> As shown below at </w:t>
      </w:r>
      <w:r w:rsidRPr="00407CEB">
        <w:rPr>
          <w:i/>
        </w:rPr>
        <w:t>Table C.1</w:t>
      </w:r>
      <w:r w:rsidRPr="00407CEB">
        <w:t xml:space="preserve"> the underwriting results comprise of net earned premiums less net incurred claims.</w:t>
      </w:r>
    </w:p>
    <w:p w14:paraId="1874D77A" w14:textId="4113DADC" w:rsidR="002E71BB" w:rsidRPr="009B6CCF" w:rsidRDefault="002E71BB" w:rsidP="000D0820">
      <w:pPr>
        <w:pStyle w:val="TableCaption"/>
        <w:rPr>
          <w:color w:val="262626" w:themeColor="text1" w:themeTint="D9"/>
        </w:rPr>
      </w:pPr>
      <w:r w:rsidRPr="009B6CCF">
        <w:rPr>
          <w:color w:val="262626" w:themeColor="text1" w:themeTint="D9"/>
        </w:rPr>
        <w:t>Table C.</w:t>
      </w:r>
      <w:r w:rsidRPr="009B6CCF">
        <w:rPr>
          <w:color w:val="262626" w:themeColor="text1" w:themeTint="D9"/>
        </w:rPr>
        <w:fldChar w:fldCharType="begin"/>
      </w:r>
      <w:r w:rsidRPr="009B6CCF">
        <w:rPr>
          <w:color w:val="262626" w:themeColor="text1" w:themeTint="D9"/>
        </w:rPr>
        <w:instrText>SEQ Table_C \* ARABIC</w:instrText>
      </w:r>
      <w:r w:rsidRPr="009B6CCF">
        <w:rPr>
          <w:color w:val="262626" w:themeColor="text1" w:themeTint="D9"/>
        </w:rPr>
        <w:fldChar w:fldCharType="separate"/>
      </w:r>
      <w:r w:rsidR="00CA1B45">
        <w:rPr>
          <w:noProof/>
          <w:color w:val="262626" w:themeColor="text1" w:themeTint="D9"/>
        </w:rPr>
        <w:t>1</w:t>
      </w:r>
      <w:r w:rsidRPr="009B6CCF">
        <w:rPr>
          <w:color w:val="262626" w:themeColor="text1" w:themeTint="D9"/>
        </w:rPr>
        <w:fldChar w:fldCharType="end"/>
      </w:r>
      <w:r w:rsidRPr="009B6CCF">
        <w:rPr>
          <w:color w:val="262626" w:themeColor="text1" w:themeTint="D9"/>
        </w:rPr>
        <w:t>: Underwriting (Loss)</w:t>
      </w:r>
    </w:p>
    <w:tbl>
      <w:tblPr>
        <w:tblStyle w:val="ARTable"/>
        <w:tblW w:w="9498" w:type="dxa"/>
        <w:tblLayout w:type="fixed"/>
        <w:tblLook w:val="0020" w:firstRow="1" w:lastRow="0" w:firstColumn="0" w:lastColumn="0" w:noHBand="0" w:noVBand="0"/>
      </w:tblPr>
      <w:tblGrid>
        <w:gridCol w:w="3261"/>
        <w:gridCol w:w="1417"/>
        <w:gridCol w:w="1418"/>
        <w:gridCol w:w="1559"/>
        <w:gridCol w:w="1843"/>
      </w:tblGrid>
      <w:tr w:rsidR="002E71BB" w:rsidRPr="009B6CCF" w14:paraId="01DF2C1D" w14:textId="77777777">
        <w:trPr>
          <w:cnfStyle w:val="100000000000" w:firstRow="1" w:lastRow="0" w:firstColumn="0" w:lastColumn="0" w:oddVBand="0" w:evenVBand="0" w:oddHBand="0" w:evenHBand="0" w:firstRowFirstColumn="0" w:firstRowLastColumn="0" w:lastRowFirstColumn="0" w:lastRowLastColumn="0"/>
          <w:tblHeader/>
        </w:trPr>
        <w:tc>
          <w:tcPr>
            <w:tcW w:w="3261" w:type="dxa"/>
          </w:tcPr>
          <w:p w14:paraId="557B2688" w14:textId="77777777" w:rsidR="002E71BB" w:rsidRPr="00407CEB" w:rsidRDefault="002E71BB" w:rsidP="00E23BD7">
            <w:pPr>
              <w:pStyle w:val="Tableheading"/>
            </w:pPr>
            <w:r w:rsidRPr="00407CEB">
              <w:t>Description</w:t>
            </w:r>
          </w:p>
        </w:tc>
        <w:tc>
          <w:tcPr>
            <w:tcW w:w="1417" w:type="dxa"/>
          </w:tcPr>
          <w:p w14:paraId="7082069F" w14:textId="19DA50D7" w:rsidR="002E71BB" w:rsidRPr="00407CEB" w:rsidRDefault="002E71BB" w:rsidP="00CE1B80">
            <w:pPr>
              <w:pStyle w:val="Tableheading"/>
              <w:jc w:val="right"/>
            </w:pPr>
            <w:r w:rsidRPr="00407CEB">
              <w:t>Actual</w:t>
            </w:r>
            <w:r w:rsidRPr="00407CEB">
              <w:br/>
              <w:t>202</w:t>
            </w:r>
            <w:r w:rsidR="00465C23" w:rsidRPr="00407CEB">
              <w:t>2</w:t>
            </w:r>
            <w:r w:rsidRPr="00407CEB">
              <w:t>-2</w:t>
            </w:r>
            <w:r w:rsidR="00465C23" w:rsidRPr="00407CEB">
              <w:t>3</w:t>
            </w:r>
            <w:r w:rsidRPr="00407CEB">
              <w:br/>
              <w:t>$’000</w:t>
            </w:r>
          </w:p>
        </w:tc>
        <w:tc>
          <w:tcPr>
            <w:tcW w:w="1418" w:type="dxa"/>
          </w:tcPr>
          <w:p w14:paraId="4744EC16" w14:textId="5958B6E6" w:rsidR="002E71BB" w:rsidRPr="00407CEB" w:rsidRDefault="002E71BB" w:rsidP="00CE1B80">
            <w:pPr>
              <w:pStyle w:val="Tableheading"/>
              <w:jc w:val="right"/>
            </w:pPr>
            <w:r w:rsidRPr="00407CEB">
              <w:t xml:space="preserve">Actual </w:t>
            </w:r>
            <w:r w:rsidRPr="00407CEB">
              <w:br/>
            </w:r>
            <w:r w:rsidR="00323290" w:rsidRPr="00407CEB">
              <w:t>2023-24</w:t>
            </w:r>
            <w:r w:rsidRPr="00407CEB">
              <w:br/>
              <w:t>$’000</w:t>
            </w:r>
          </w:p>
        </w:tc>
        <w:tc>
          <w:tcPr>
            <w:tcW w:w="1559" w:type="dxa"/>
          </w:tcPr>
          <w:p w14:paraId="3A21D83E" w14:textId="740EBC8E" w:rsidR="002E71BB" w:rsidRPr="00407CEB" w:rsidRDefault="002E71BB" w:rsidP="00CE1B80">
            <w:pPr>
              <w:pStyle w:val="Tableheading"/>
              <w:jc w:val="right"/>
            </w:pPr>
            <w:r w:rsidRPr="00407CEB">
              <w:t>Original Budget</w:t>
            </w:r>
            <w:r w:rsidR="00CE1B80" w:rsidRPr="00407CEB">
              <w:br/>
            </w:r>
            <w:r w:rsidR="00323290" w:rsidRPr="00407CEB">
              <w:t>2023-24</w:t>
            </w:r>
            <w:r w:rsidRPr="00407CEB">
              <w:br/>
              <w:t>$’000</w:t>
            </w:r>
          </w:p>
        </w:tc>
        <w:tc>
          <w:tcPr>
            <w:tcW w:w="1843" w:type="dxa"/>
          </w:tcPr>
          <w:p w14:paraId="3F718A9B" w14:textId="13CF6E71" w:rsidR="002E71BB" w:rsidRPr="00407CEB" w:rsidRDefault="002E71BB" w:rsidP="00CE1B80">
            <w:pPr>
              <w:pStyle w:val="Tableheading"/>
              <w:jc w:val="right"/>
            </w:pPr>
            <w:r w:rsidRPr="00407CEB">
              <w:t>Budget</w:t>
            </w:r>
            <w:r w:rsidRPr="00407CEB">
              <w:br/>
              <w:t>202</w:t>
            </w:r>
            <w:r w:rsidR="00194112" w:rsidRPr="00407CEB">
              <w:t>4</w:t>
            </w:r>
            <w:r w:rsidRPr="00407CEB">
              <w:t>-</w:t>
            </w:r>
            <w:r w:rsidRPr="00407CEB" w:rsidDel="00473D18">
              <w:t>2</w:t>
            </w:r>
            <w:r w:rsidR="00194112" w:rsidRPr="00407CEB">
              <w:t>5</w:t>
            </w:r>
            <w:r w:rsidRPr="00407CEB">
              <w:br/>
              <w:t>$’000</w:t>
            </w:r>
          </w:p>
        </w:tc>
      </w:tr>
      <w:tr w:rsidR="00AC4DFB" w:rsidRPr="00E95B72" w14:paraId="2803CB83" w14:textId="77777777">
        <w:trPr>
          <w:trHeight w:val="425"/>
        </w:trPr>
        <w:tc>
          <w:tcPr>
            <w:tcW w:w="3261" w:type="dxa"/>
          </w:tcPr>
          <w:p w14:paraId="69ABF2CE" w14:textId="77777777" w:rsidR="00AC4DFB" w:rsidRPr="00407CEB" w:rsidRDefault="00AC4DFB" w:rsidP="00AC4DFB">
            <w:pPr>
              <w:spacing w:before="80" w:after="80"/>
              <w:jc w:val="both"/>
            </w:pPr>
            <w:r w:rsidRPr="00407CEB">
              <w:t>Net Earned Premiums</w:t>
            </w:r>
          </w:p>
        </w:tc>
        <w:tc>
          <w:tcPr>
            <w:tcW w:w="1417" w:type="dxa"/>
          </w:tcPr>
          <w:p w14:paraId="048EB15E" w14:textId="091637B7" w:rsidR="00AC4DFB" w:rsidRPr="00407CEB" w:rsidRDefault="00AC4DFB" w:rsidP="00AC4DFB">
            <w:pPr>
              <w:spacing w:before="80" w:after="80"/>
              <w:jc w:val="right"/>
            </w:pPr>
            <w:r w:rsidRPr="00407CEB">
              <w:t>53,962</w:t>
            </w:r>
          </w:p>
        </w:tc>
        <w:tc>
          <w:tcPr>
            <w:tcW w:w="1418" w:type="dxa"/>
          </w:tcPr>
          <w:p w14:paraId="7137162C" w14:textId="638EDEC1" w:rsidR="00AC4DFB" w:rsidRPr="00407CEB" w:rsidRDefault="003C3292" w:rsidP="00AC4DFB">
            <w:pPr>
              <w:spacing w:before="80" w:after="80"/>
              <w:jc w:val="right"/>
              <w:rPr>
                <w:highlight w:val="yellow"/>
              </w:rPr>
            </w:pPr>
            <w:r w:rsidRPr="00407CEB">
              <w:t>68,851</w:t>
            </w:r>
          </w:p>
        </w:tc>
        <w:tc>
          <w:tcPr>
            <w:tcW w:w="1559" w:type="dxa"/>
          </w:tcPr>
          <w:p w14:paraId="695A8A92" w14:textId="485F0224" w:rsidR="00AC4DFB" w:rsidRPr="00407CEB" w:rsidRDefault="00641477" w:rsidP="00AC4DFB">
            <w:pPr>
              <w:spacing w:before="80" w:after="80"/>
              <w:jc w:val="right"/>
            </w:pPr>
            <w:r w:rsidRPr="00407CEB">
              <w:t>65</w:t>
            </w:r>
            <w:r w:rsidR="00AC4DFB" w:rsidRPr="00407CEB">
              <w:t>,</w:t>
            </w:r>
            <w:r w:rsidR="00274DD7" w:rsidRPr="00407CEB">
              <w:t>515</w:t>
            </w:r>
          </w:p>
        </w:tc>
        <w:tc>
          <w:tcPr>
            <w:tcW w:w="1843" w:type="dxa"/>
          </w:tcPr>
          <w:p w14:paraId="5182F527" w14:textId="3FB1347B" w:rsidR="00AC4DFB" w:rsidRPr="00407CEB" w:rsidRDefault="00274DD7" w:rsidP="00AC4DFB">
            <w:pPr>
              <w:spacing w:before="80" w:after="80"/>
              <w:jc w:val="right"/>
            </w:pPr>
            <w:r w:rsidRPr="00407CEB">
              <w:t>82</w:t>
            </w:r>
            <w:r w:rsidR="00AC4DFB" w:rsidRPr="00407CEB">
              <w:t>,</w:t>
            </w:r>
            <w:r w:rsidRPr="00407CEB">
              <w:t>607</w:t>
            </w:r>
          </w:p>
        </w:tc>
      </w:tr>
      <w:tr w:rsidR="00AC4DFB" w:rsidRPr="00E95B72" w14:paraId="5372FFD7" w14:textId="77777777" w:rsidTr="009B6CCF">
        <w:trPr>
          <w:cnfStyle w:val="000000010000" w:firstRow="0" w:lastRow="0" w:firstColumn="0" w:lastColumn="0" w:oddVBand="0" w:evenVBand="0" w:oddHBand="0" w:evenHBand="1" w:firstRowFirstColumn="0" w:firstRowLastColumn="0" w:lastRowFirstColumn="0" w:lastRowLastColumn="0"/>
          <w:trHeight w:val="425"/>
        </w:trPr>
        <w:tc>
          <w:tcPr>
            <w:tcW w:w="3261" w:type="dxa"/>
          </w:tcPr>
          <w:p w14:paraId="34A31B1C" w14:textId="77777777" w:rsidR="00AC4DFB" w:rsidRPr="00407CEB" w:rsidRDefault="00AC4DFB" w:rsidP="00AC4DFB">
            <w:pPr>
              <w:spacing w:before="80" w:after="80"/>
              <w:jc w:val="both"/>
            </w:pPr>
            <w:r w:rsidRPr="00407CEB">
              <w:t>Net Incurred Claims</w:t>
            </w:r>
          </w:p>
        </w:tc>
        <w:tc>
          <w:tcPr>
            <w:tcW w:w="1417" w:type="dxa"/>
          </w:tcPr>
          <w:p w14:paraId="7053D5B0" w14:textId="02257B41" w:rsidR="00AC4DFB" w:rsidRPr="00407CEB" w:rsidRDefault="00AC4DFB" w:rsidP="00AC4DFB">
            <w:pPr>
              <w:spacing w:before="80" w:after="80"/>
              <w:jc w:val="right"/>
            </w:pPr>
            <w:r w:rsidRPr="00407CEB">
              <w:t>(118,132)</w:t>
            </w:r>
          </w:p>
        </w:tc>
        <w:tc>
          <w:tcPr>
            <w:tcW w:w="1418" w:type="dxa"/>
          </w:tcPr>
          <w:p w14:paraId="5B39BCF1" w14:textId="2F9CEA65" w:rsidR="00AC4DFB" w:rsidRPr="00407CEB" w:rsidRDefault="0078646B" w:rsidP="00AC4DFB">
            <w:pPr>
              <w:spacing w:before="80" w:after="80"/>
              <w:jc w:val="right"/>
              <w:rPr>
                <w:highlight w:val="yellow"/>
              </w:rPr>
            </w:pPr>
            <w:r w:rsidRPr="00407CEB">
              <w:t>(78,369)</w:t>
            </w:r>
          </w:p>
        </w:tc>
        <w:tc>
          <w:tcPr>
            <w:tcW w:w="1559" w:type="dxa"/>
          </w:tcPr>
          <w:p w14:paraId="51125B11" w14:textId="2CBDA587" w:rsidR="00AC4DFB" w:rsidRPr="00407CEB" w:rsidRDefault="00AC4DFB" w:rsidP="00AC4DFB">
            <w:pPr>
              <w:spacing w:before="80" w:after="80"/>
              <w:jc w:val="right"/>
            </w:pPr>
            <w:r w:rsidRPr="00407CEB">
              <w:t>(</w:t>
            </w:r>
            <w:r w:rsidR="00F35F07" w:rsidRPr="00407CEB">
              <w:t>76</w:t>
            </w:r>
            <w:r w:rsidRPr="00407CEB">
              <w:t>,</w:t>
            </w:r>
            <w:r w:rsidR="00982DCA" w:rsidRPr="00407CEB">
              <w:t>480</w:t>
            </w:r>
            <w:r w:rsidRPr="00407CEB">
              <w:t>)</w:t>
            </w:r>
          </w:p>
        </w:tc>
        <w:tc>
          <w:tcPr>
            <w:tcW w:w="1843" w:type="dxa"/>
          </w:tcPr>
          <w:p w14:paraId="483C7C22" w14:textId="4874F16C" w:rsidR="00AC4DFB" w:rsidRPr="00407CEB" w:rsidRDefault="00AC4DFB" w:rsidP="00AC4DFB">
            <w:pPr>
              <w:spacing w:before="80" w:after="80"/>
              <w:jc w:val="right"/>
            </w:pPr>
            <w:r w:rsidRPr="00407CEB">
              <w:t>(</w:t>
            </w:r>
            <w:r w:rsidR="00982DCA" w:rsidRPr="00407CEB">
              <w:t>92</w:t>
            </w:r>
            <w:r w:rsidRPr="00407CEB">
              <w:t>,</w:t>
            </w:r>
            <w:r w:rsidR="006A1431" w:rsidRPr="00407CEB">
              <w:t>320</w:t>
            </w:r>
            <w:r w:rsidRPr="00407CEB">
              <w:t>)</w:t>
            </w:r>
          </w:p>
        </w:tc>
      </w:tr>
      <w:tr w:rsidR="00AC4DFB" w:rsidRPr="00E95B72" w14:paraId="731F7EA1" w14:textId="77777777" w:rsidTr="009B6CCF">
        <w:trPr>
          <w:trHeight w:val="425"/>
        </w:trPr>
        <w:tc>
          <w:tcPr>
            <w:tcW w:w="3261" w:type="dxa"/>
            <w:tcBorders>
              <w:bottom w:val="single" w:sz="4" w:space="0" w:color="auto"/>
            </w:tcBorders>
          </w:tcPr>
          <w:p w14:paraId="7DCDACA0" w14:textId="77777777" w:rsidR="00AC4DFB" w:rsidRPr="00407CEB" w:rsidRDefault="00AC4DFB" w:rsidP="00AC4DFB">
            <w:pPr>
              <w:spacing w:before="80" w:after="80"/>
              <w:jc w:val="both"/>
            </w:pPr>
            <w:r w:rsidRPr="00407CEB">
              <w:t>Underwriting (Loss) Profit</w:t>
            </w:r>
          </w:p>
        </w:tc>
        <w:tc>
          <w:tcPr>
            <w:tcW w:w="1417" w:type="dxa"/>
            <w:tcBorders>
              <w:bottom w:val="single" w:sz="4" w:space="0" w:color="auto"/>
            </w:tcBorders>
          </w:tcPr>
          <w:p w14:paraId="566467F1" w14:textId="66904BA8" w:rsidR="00AC4DFB" w:rsidRPr="00407CEB" w:rsidRDefault="00AC4DFB" w:rsidP="00AC4DFB">
            <w:pPr>
              <w:spacing w:before="80" w:after="80"/>
              <w:jc w:val="right"/>
            </w:pPr>
            <w:r w:rsidRPr="00407CEB">
              <w:t>(64,170)</w:t>
            </w:r>
          </w:p>
        </w:tc>
        <w:tc>
          <w:tcPr>
            <w:tcW w:w="1418" w:type="dxa"/>
            <w:tcBorders>
              <w:bottom w:val="single" w:sz="4" w:space="0" w:color="auto"/>
            </w:tcBorders>
          </w:tcPr>
          <w:p w14:paraId="64F45F17" w14:textId="6D67A56A" w:rsidR="00AC4DFB" w:rsidRPr="00407CEB" w:rsidRDefault="00032253" w:rsidP="00AC4DFB">
            <w:pPr>
              <w:spacing w:before="80" w:after="80"/>
              <w:jc w:val="right"/>
              <w:rPr>
                <w:highlight w:val="yellow"/>
              </w:rPr>
            </w:pPr>
            <w:r w:rsidRPr="00407CEB">
              <w:t>(9,518)</w:t>
            </w:r>
          </w:p>
        </w:tc>
        <w:tc>
          <w:tcPr>
            <w:tcW w:w="1559" w:type="dxa"/>
            <w:tcBorders>
              <w:bottom w:val="single" w:sz="4" w:space="0" w:color="auto"/>
            </w:tcBorders>
          </w:tcPr>
          <w:p w14:paraId="0DF0EDB2" w14:textId="6475D8CD" w:rsidR="00AC4DFB" w:rsidRPr="00407CEB" w:rsidRDefault="00905CB8" w:rsidP="00AC4DFB">
            <w:pPr>
              <w:spacing w:before="80" w:after="80"/>
              <w:jc w:val="right"/>
            </w:pPr>
            <w:r w:rsidRPr="00407CEB">
              <w:t>(10</w:t>
            </w:r>
            <w:r w:rsidR="00AC4DFB" w:rsidRPr="00407CEB">
              <w:t>,</w:t>
            </w:r>
            <w:r w:rsidRPr="00407CEB">
              <w:t>965)</w:t>
            </w:r>
          </w:p>
        </w:tc>
        <w:tc>
          <w:tcPr>
            <w:tcW w:w="1843" w:type="dxa"/>
            <w:tcBorders>
              <w:bottom w:val="single" w:sz="4" w:space="0" w:color="auto"/>
            </w:tcBorders>
          </w:tcPr>
          <w:p w14:paraId="6EDB6E33" w14:textId="1967E48E" w:rsidR="00AC4DFB" w:rsidRPr="00407CEB" w:rsidRDefault="00AC4DFB" w:rsidP="00AC4DFB">
            <w:pPr>
              <w:spacing w:before="80" w:after="80"/>
              <w:jc w:val="right"/>
            </w:pPr>
            <w:r w:rsidRPr="00407CEB">
              <w:t>(</w:t>
            </w:r>
            <w:r w:rsidR="000A031F" w:rsidRPr="00407CEB">
              <w:t>9</w:t>
            </w:r>
            <w:r w:rsidRPr="00407CEB">
              <w:t>,</w:t>
            </w:r>
            <w:r w:rsidR="000A031F" w:rsidRPr="00407CEB">
              <w:t>713</w:t>
            </w:r>
            <w:r w:rsidRPr="00407CEB">
              <w:t>)</w:t>
            </w:r>
          </w:p>
        </w:tc>
      </w:tr>
    </w:tbl>
    <w:p w14:paraId="1A49DA1B" w14:textId="2A613A4B" w:rsidR="002E71BB" w:rsidRPr="006E56E5" w:rsidRDefault="002E71BB" w:rsidP="006E56E5">
      <w:pPr>
        <w:pStyle w:val="Heading6"/>
        <w:tabs>
          <w:tab w:val="left" w:pos="1190"/>
        </w:tabs>
        <w:spacing w:before="240" w:after="120" w:line="240" w:lineRule="auto"/>
        <w:rPr>
          <w:rFonts w:ascii="Arial" w:hAnsi="Arial"/>
          <w:bCs/>
          <w:i/>
          <w:color w:val="262626" w:themeColor="text1" w:themeTint="D9"/>
        </w:rPr>
      </w:pPr>
      <w:r w:rsidRPr="00EE3014">
        <w:rPr>
          <w:rFonts w:ascii="Arial" w:hAnsi="Arial"/>
          <w:bCs/>
          <w:i/>
          <w:color w:val="262626" w:themeColor="text1" w:themeTint="D9"/>
        </w:rPr>
        <w:t xml:space="preserve">Comparison to </w:t>
      </w:r>
      <w:r w:rsidR="00EE3014" w:rsidRPr="00EE3014">
        <w:rPr>
          <w:rFonts w:ascii="Arial" w:hAnsi="Arial"/>
          <w:bCs/>
          <w:i/>
          <w:color w:val="262626" w:themeColor="text1" w:themeTint="D9"/>
        </w:rPr>
        <w:t xml:space="preserve">Original </w:t>
      </w:r>
      <w:r w:rsidRPr="00EE3014">
        <w:rPr>
          <w:rFonts w:ascii="Arial" w:hAnsi="Arial"/>
          <w:bCs/>
          <w:i/>
          <w:color w:val="262626" w:themeColor="text1" w:themeTint="D9"/>
        </w:rPr>
        <w:t>Budget</w:t>
      </w:r>
    </w:p>
    <w:p w14:paraId="68F1FFBA" w14:textId="77777777" w:rsidR="00606DEA" w:rsidRPr="00B73D21" w:rsidRDefault="00606DEA" w:rsidP="00606DEA">
      <w:pPr>
        <w:pStyle w:val="BodyText3"/>
        <w:spacing w:before="200" w:after="200" w:line="264" w:lineRule="auto"/>
        <w:rPr>
          <w:sz w:val="24"/>
          <w:szCs w:val="24"/>
        </w:rPr>
      </w:pPr>
      <w:r w:rsidRPr="00B73D21">
        <w:rPr>
          <w:sz w:val="24"/>
          <w:szCs w:val="24"/>
        </w:rPr>
        <w:t xml:space="preserve">The underwriting loss of </w:t>
      </w:r>
      <w:r w:rsidRPr="00B73D21">
        <w:rPr>
          <w:b/>
          <w:bCs/>
          <w:sz w:val="24"/>
          <w:szCs w:val="24"/>
        </w:rPr>
        <w:t>$9.5 million</w:t>
      </w:r>
      <w:r w:rsidRPr="00B73D21">
        <w:rPr>
          <w:sz w:val="24"/>
          <w:szCs w:val="24"/>
        </w:rPr>
        <w:t xml:space="preserve"> in 2023-24 was</w:t>
      </w:r>
      <w:r w:rsidRPr="00B73D21">
        <w:rPr>
          <w:b/>
          <w:sz w:val="24"/>
          <w:szCs w:val="24"/>
        </w:rPr>
        <w:t xml:space="preserve"> $1.4 million</w:t>
      </w:r>
      <w:r w:rsidRPr="00B73D21">
        <w:rPr>
          <w:sz w:val="24"/>
          <w:szCs w:val="24"/>
        </w:rPr>
        <w:t xml:space="preserve"> lower than the original budget underwriting loss of </w:t>
      </w:r>
      <w:r w:rsidRPr="00B73D21">
        <w:rPr>
          <w:b/>
          <w:sz w:val="24"/>
          <w:szCs w:val="24"/>
        </w:rPr>
        <w:t>$11.0 million</w:t>
      </w:r>
      <w:r w:rsidRPr="00B73D21">
        <w:rPr>
          <w:sz w:val="24"/>
          <w:szCs w:val="24"/>
        </w:rPr>
        <w:t xml:space="preserve">. </w:t>
      </w:r>
    </w:p>
    <w:p w14:paraId="26EC6C4C" w14:textId="77777777" w:rsidR="00606DEA" w:rsidRPr="00B73D21" w:rsidRDefault="00606DEA" w:rsidP="00606DEA">
      <w:pPr>
        <w:pStyle w:val="BodyText3"/>
        <w:spacing w:before="200" w:after="200" w:line="264" w:lineRule="auto"/>
        <w:rPr>
          <w:b/>
          <w:bCs/>
          <w:i/>
          <w:iCs/>
          <w:sz w:val="24"/>
          <w:szCs w:val="24"/>
        </w:rPr>
      </w:pPr>
      <w:r w:rsidRPr="00B73D21">
        <w:rPr>
          <w:sz w:val="24"/>
          <w:szCs w:val="24"/>
        </w:rPr>
        <w:t xml:space="preserve">Net incurred claims incorporate claims expense net of reinsurance recoveries and other claims related recoveries. Claims expenses were higher than the original budget by </w:t>
      </w:r>
      <w:r w:rsidRPr="00B73D21">
        <w:rPr>
          <w:b/>
          <w:bCs/>
          <w:sz w:val="24"/>
          <w:szCs w:val="24"/>
        </w:rPr>
        <w:lastRenderedPageBreak/>
        <w:t>$21.6 million</w:t>
      </w:r>
      <w:r w:rsidRPr="00B73D21">
        <w:rPr>
          <w:sz w:val="24"/>
          <w:szCs w:val="24"/>
        </w:rPr>
        <w:t xml:space="preserve"> due to the deteriorating claims experience in both the medical malpractice and property insurance classes, partially offset by claims recoveries of </w:t>
      </w:r>
      <w:r w:rsidRPr="00B73D21">
        <w:rPr>
          <w:b/>
          <w:bCs/>
          <w:sz w:val="24"/>
          <w:szCs w:val="24"/>
        </w:rPr>
        <w:t>$19.7 million</w:t>
      </w:r>
      <w:r w:rsidRPr="00B73D21">
        <w:rPr>
          <w:sz w:val="24"/>
          <w:szCs w:val="24"/>
        </w:rPr>
        <w:t xml:space="preserve"> mainly from reinsurance arrangements. The net earned premiums remain consistent with a minor increase of </w:t>
      </w:r>
      <w:r w:rsidRPr="00B73D21">
        <w:rPr>
          <w:b/>
          <w:bCs/>
          <w:sz w:val="24"/>
          <w:szCs w:val="24"/>
        </w:rPr>
        <w:t>$3.3 million</w:t>
      </w:r>
      <w:r w:rsidRPr="00B73D21">
        <w:rPr>
          <w:sz w:val="24"/>
          <w:szCs w:val="24"/>
        </w:rPr>
        <w:t xml:space="preserve">. </w:t>
      </w:r>
    </w:p>
    <w:p w14:paraId="49EDCCE2" w14:textId="0DE5EF76" w:rsidR="002E71BB" w:rsidRPr="00D31E80" w:rsidRDefault="002E71BB" w:rsidP="00D31E80">
      <w:pPr>
        <w:pStyle w:val="Heading6"/>
        <w:tabs>
          <w:tab w:val="left" w:pos="1190"/>
        </w:tabs>
        <w:spacing w:before="240" w:after="120" w:line="240" w:lineRule="auto"/>
        <w:rPr>
          <w:rFonts w:ascii="Arial" w:hAnsi="Arial"/>
          <w:bCs/>
          <w:i/>
          <w:color w:val="262626" w:themeColor="text1" w:themeTint="D9"/>
        </w:rPr>
      </w:pPr>
      <w:r w:rsidRPr="00D31E80">
        <w:rPr>
          <w:rFonts w:ascii="Arial" w:hAnsi="Arial"/>
          <w:bCs/>
          <w:i/>
          <w:color w:val="262626" w:themeColor="text1" w:themeTint="D9"/>
        </w:rPr>
        <w:t>Comparison to 202</w:t>
      </w:r>
      <w:r w:rsidR="00EE2C13" w:rsidRPr="00D31E80">
        <w:rPr>
          <w:rFonts w:ascii="Arial" w:hAnsi="Arial"/>
          <w:bCs/>
          <w:i/>
          <w:color w:val="262626" w:themeColor="text1" w:themeTint="D9"/>
        </w:rPr>
        <w:t>2</w:t>
      </w:r>
      <w:r w:rsidRPr="00D31E80">
        <w:rPr>
          <w:rFonts w:ascii="Arial" w:hAnsi="Arial"/>
          <w:bCs/>
          <w:i/>
          <w:color w:val="262626" w:themeColor="text1" w:themeTint="D9"/>
        </w:rPr>
        <w:t>-2</w:t>
      </w:r>
      <w:r w:rsidR="00EE2C13" w:rsidRPr="00D31E80">
        <w:rPr>
          <w:rFonts w:ascii="Arial" w:hAnsi="Arial"/>
          <w:bCs/>
          <w:i/>
          <w:color w:val="262626" w:themeColor="text1" w:themeTint="D9"/>
        </w:rPr>
        <w:t>3</w:t>
      </w:r>
      <w:r w:rsidRPr="00D31E80">
        <w:rPr>
          <w:rFonts w:ascii="Arial" w:hAnsi="Arial"/>
          <w:bCs/>
          <w:i/>
          <w:color w:val="262626" w:themeColor="text1" w:themeTint="D9"/>
        </w:rPr>
        <w:t xml:space="preserve"> Actual</w:t>
      </w:r>
    </w:p>
    <w:p w14:paraId="63AEB339" w14:textId="77777777" w:rsidR="00F50C88" w:rsidRPr="00F50C88" w:rsidRDefault="00F50C88" w:rsidP="00F50C88">
      <w:pPr>
        <w:pStyle w:val="BodyText3"/>
        <w:spacing w:before="200" w:after="200" w:line="264" w:lineRule="auto"/>
        <w:rPr>
          <w:sz w:val="24"/>
          <w:szCs w:val="24"/>
        </w:rPr>
      </w:pPr>
      <w:r w:rsidRPr="00F50C88">
        <w:rPr>
          <w:sz w:val="24"/>
          <w:szCs w:val="24"/>
        </w:rPr>
        <w:t xml:space="preserve">In comparison to the 2022-23 underwriting loss of </w:t>
      </w:r>
      <w:r w:rsidRPr="00F50C88">
        <w:rPr>
          <w:b/>
          <w:sz w:val="24"/>
          <w:szCs w:val="24"/>
        </w:rPr>
        <w:t>$64.2 million</w:t>
      </w:r>
      <w:r w:rsidRPr="00F50C88">
        <w:rPr>
          <w:sz w:val="24"/>
          <w:szCs w:val="24"/>
        </w:rPr>
        <w:t xml:space="preserve">, the underwriting loss decreased by </w:t>
      </w:r>
      <w:r w:rsidRPr="00F50C88">
        <w:rPr>
          <w:b/>
          <w:sz w:val="24"/>
          <w:szCs w:val="24"/>
        </w:rPr>
        <w:t xml:space="preserve">$54.7 million. </w:t>
      </w:r>
      <w:r w:rsidRPr="00F50C88">
        <w:rPr>
          <w:sz w:val="24"/>
          <w:szCs w:val="24"/>
        </w:rPr>
        <w:t>The variance was</w:t>
      </w:r>
      <w:r w:rsidRPr="00F50C88">
        <w:rPr>
          <w:b/>
          <w:sz w:val="24"/>
          <w:szCs w:val="24"/>
        </w:rPr>
        <w:t xml:space="preserve"> </w:t>
      </w:r>
      <w:r w:rsidRPr="00F50C88">
        <w:rPr>
          <w:sz w:val="24"/>
          <w:szCs w:val="24"/>
        </w:rPr>
        <w:t xml:space="preserve">due to a decrease in net incurred claims of </w:t>
      </w:r>
      <w:r w:rsidRPr="00F50C88">
        <w:rPr>
          <w:b/>
          <w:bCs/>
          <w:sz w:val="24"/>
          <w:szCs w:val="24"/>
        </w:rPr>
        <w:t>$39.8 million</w:t>
      </w:r>
      <w:r w:rsidRPr="00F50C88">
        <w:rPr>
          <w:sz w:val="24"/>
          <w:szCs w:val="24"/>
        </w:rPr>
        <w:t xml:space="preserve"> and an increase in the net earned premiums of </w:t>
      </w:r>
      <w:r w:rsidRPr="00F50C88">
        <w:rPr>
          <w:b/>
          <w:bCs/>
          <w:sz w:val="24"/>
          <w:szCs w:val="24"/>
        </w:rPr>
        <w:t>$14.9 million</w:t>
      </w:r>
      <w:r w:rsidRPr="00F50C88">
        <w:rPr>
          <w:sz w:val="24"/>
          <w:szCs w:val="24"/>
        </w:rPr>
        <w:t>. The decrease in net incurred claims was predominantly due to the expectation of claims expense and liabilities returning to the longer-term claims experience pattern, based on actuarial estimations and an increase in directorate annual insurance premiums primarily due to deteriorating claims experience in both the medical malpractice and property portfolios.</w:t>
      </w:r>
    </w:p>
    <w:p w14:paraId="3A0371F5" w14:textId="77777777" w:rsidR="002E71BB" w:rsidRPr="00D31E80" w:rsidRDefault="002E71BB" w:rsidP="00D31E80">
      <w:pPr>
        <w:pStyle w:val="Heading6"/>
        <w:tabs>
          <w:tab w:val="left" w:pos="1190"/>
        </w:tabs>
        <w:spacing w:before="240" w:after="120" w:line="240" w:lineRule="auto"/>
        <w:rPr>
          <w:rFonts w:ascii="Arial" w:hAnsi="Arial"/>
          <w:bCs/>
          <w:i/>
          <w:color w:val="262626" w:themeColor="text1" w:themeTint="D9"/>
        </w:rPr>
      </w:pPr>
      <w:r w:rsidRPr="00D31E80">
        <w:rPr>
          <w:rFonts w:ascii="Arial" w:hAnsi="Arial"/>
          <w:bCs/>
          <w:i/>
          <w:color w:val="262626" w:themeColor="text1" w:themeTint="D9"/>
        </w:rPr>
        <w:t>Future Trends</w:t>
      </w:r>
    </w:p>
    <w:p w14:paraId="3E5E1C5D" w14:textId="0FBBBC7B" w:rsidR="00CD2060" w:rsidRPr="00CD2060" w:rsidRDefault="00CD2060" w:rsidP="00CD2060">
      <w:pPr>
        <w:pStyle w:val="BodyText3"/>
        <w:spacing w:before="200" w:after="200" w:line="264" w:lineRule="auto"/>
        <w:rPr>
          <w:rFonts w:ascii="Calibri" w:hAnsi="Calibri"/>
          <w:b/>
          <w:bCs/>
          <w:i/>
          <w:iCs/>
          <w:sz w:val="24"/>
          <w:szCs w:val="24"/>
        </w:rPr>
      </w:pPr>
      <w:r w:rsidRPr="00CD2060">
        <w:rPr>
          <w:sz w:val="24"/>
          <w:szCs w:val="24"/>
        </w:rPr>
        <w:t xml:space="preserve">The future trend expected for the 2024-25 underwriting result is a budgeted underwriting loss of </w:t>
      </w:r>
      <w:r w:rsidRPr="00CD2060">
        <w:rPr>
          <w:b/>
          <w:sz w:val="24"/>
          <w:szCs w:val="24"/>
        </w:rPr>
        <w:t>$9.7 million</w:t>
      </w:r>
      <w:r w:rsidRPr="00CD2060">
        <w:rPr>
          <w:sz w:val="24"/>
          <w:szCs w:val="24"/>
        </w:rPr>
        <w:t xml:space="preserve">, which is expected to slightly increase from </w:t>
      </w:r>
      <w:r w:rsidRPr="00CD2060">
        <w:rPr>
          <w:b/>
          <w:sz w:val="24"/>
          <w:szCs w:val="24"/>
        </w:rPr>
        <w:t xml:space="preserve">$9.5 million </w:t>
      </w:r>
      <w:r w:rsidRPr="00CD2060">
        <w:rPr>
          <w:sz w:val="24"/>
          <w:szCs w:val="24"/>
        </w:rPr>
        <w:t xml:space="preserve">from the </w:t>
      </w:r>
      <w:r w:rsidR="00BC470D">
        <w:rPr>
          <w:sz w:val="24"/>
          <w:szCs w:val="24"/>
        </w:rPr>
        <w:br/>
      </w:r>
      <w:r w:rsidRPr="00CD2060">
        <w:rPr>
          <w:sz w:val="24"/>
          <w:szCs w:val="24"/>
        </w:rPr>
        <w:t>2023</w:t>
      </w:r>
      <w:r w:rsidR="0074398F">
        <w:rPr>
          <w:sz w:val="24"/>
          <w:szCs w:val="24"/>
        </w:rPr>
        <w:t>-</w:t>
      </w:r>
      <w:r w:rsidRPr="00CD2060">
        <w:rPr>
          <w:sz w:val="24"/>
          <w:szCs w:val="24"/>
        </w:rPr>
        <w:t>24 actual loss result</w:t>
      </w:r>
      <w:r w:rsidRPr="00CD2060">
        <w:rPr>
          <w:b/>
          <w:sz w:val="24"/>
          <w:szCs w:val="24"/>
        </w:rPr>
        <w:t>.</w:t>
      </w:r>
      <w:r w:rsidRPr="00CD2060">
        <w:rPr>
          <w:sz w:val="24"/>
          <w:szCs w:val="24"/>
        </w:rPr>
        <w:t xml:space="preserve"> This is due to an expected increase in net incurred claims of </w:t>
      </w:r>
      <w:r w:rsidRPr="00CD2060">
        <w:rPr>
          <w:b/>
          <w:bCs/>
          <w:sz w:val="24"/>
          <w:szCs w:val="24"/>
        </w:rPr>
        <w:t>$14 million</w:t>
      </w:r>
      <w:r w:rsidRPr="00CD2060">
        <w:rPr>
          <w:sz w:val="24"/>
          <w:szCs w:val="24"/>
        </w:rPr>
        <w:t xml:space="preserve"> for 2023-24 due to lower budgeted reinsurance recoveries based on the December 2023 actuarial valuation, partially offset by an increase in the net earned premiums of </w:t>
      </w:r>
      <w:r w:rsidRPr="00CD2060">
        <w:rPr>
          <w:b/>
          <w:bCs/>
          <w:sz w:val="24"/>
          <w:szCs w:val="24"/>
        </w:rPr>
        <w:t xml:space="preserve">$13.8 million </w:t>
      </w:r>
      <w:proofErr w:type="gramStart"/>
      <w:r w:rsidRPr="00CD2060">
        <w:rPr>
          <w:sz w:val="24"/>
          <w:szCs w:val="24"/>
        </w:rPr>
        <w:t>as a result of</w:t>
      </w:r>
      <w:proofErr w:type="gramEnd"/>
      <w:r w:rsidRPr="00CD2060">
        <w:rPr>
          <w:sz w:val="24"/>
          <w:szCs w:val="24"/>
        </w:rPr>
        <w:t xml:space="preserve"> an increase in annual insurance premiums primarily due to deteriorating claims experience in both the medical malpractice and property portfolios.</w:t>
      </w:r>
    </w:p>
    <w:p w14:paraId="3A7BFE00" w14:textId="77777777" w:rsidR="002E71BB" w:rsidRPr="000E3E7C" w:rsidRDefault="002E71BB" w:rsidP="002A1862">
      <w:pPr>
        <w:spacing w:before="144" w:after="144" w:line="264" w:lineRule="auto"/>
        <w:outlineLvl w:val="3"/>
        <w:rPr>
          <w:rFonts w:cstheme="minorHAnsi"/>
          <w:b/>
          <w:i/>
          <w:color w:val="262626" w:themeColor="text1" w:themeTint="D9"/>
          <w:sz w:val="26"/>
          <w:szCs w:val="26"/>
        </w:rPr>
      </w:pPr>
      <w:r w:rsidRPr="00D819F7">
        <w:rPr>
          <w:rFonts w:ascii="Arial" w:eastAsia="Times New Roman" w:hAnsi="Arial" w:cs="Arial"/>
          <w:b/>
          <w:iCs/>
          <w:color w:val="492581" w:themeColor="accent1"/>
          <w:sz w:val="28"/>
          <w:szCs w:val="28"/>
        </w:rPr>
        <w:t>Investment Performance</w:t>
      </w:r>
    </w:p>
    <w:p w14:paraId="7BCD0EDD" w14:textId="77777777" w:rsidR="00692B28" w:rsidRPr="00692B28" w:rsidRDefault="00692B28" w:rsidP="00692B28">
      <w:pPr>
        <w:spacing w:before="200" w:after="200"/>
        <w:rPr>
          <w:b/>
          <w:bCs/>
          <w:i/>
          <w:iCs/>
        </w:rPr>
      </w:pPr>
      <w:r w:rsidRPr="00692B28">
        <w:t xml:space="preserve">For the year ended 30 June 2024, the Authority’s investment performance is a net gain of </w:t>
      </w:r>
      <w:r w:rsidRPr="00692B28">
        <w:rPr>
          <w:b/>
        </w:rPr>
        <w:t>$35.1 million.</w:t>
      </w:r>
      <w:r w:rsidRPr="00692B28">
        <w:t xml:space="preserve"> As shown below at </w:t>
      </w:r>
      <w:r w:rsidRPr="00692B28">
        <w:rPr>
          <w:i/>
        </w:rPr>
        <w:t>Table C.2</w:t>
      </w:r>
      <w:r w:rsidRPr="00692B28">
        <w:t xml:space="preserve"> the investment performance is measured as a combination of the distribution revenue from the investment portfolio and the gain/(loss) on the remeasurement of investments reflecting the movement in the market value of the investment portfolio.</w:t>
      </w:r>
    </w:p>
    <w:p w14:paraId="4CA6C708" w14:textId="0E3EEB34" w:rsidR="002E71BB" w:rsidRPr="009B6CCF" w:rsidRDefault="002E71BB" w:rsidP="00130A0B">
      <w:pPr>
        <w:pStyle w:val="TableCaption"/>
        <w:rPr>
          <w:color w:val="262626" w:themeColor="text1" w:themeTint="D9"/>
        </w:rPr>
      </w:pPr>
      <w:r w:rsidRPr="009B6CCF">
        <w:rPr>
          <w:color w:val="262626" w:themeColor="text1" w:themeTint="D9"/>
        </w:rPr>
        <w:t xml:space="preserve">Table C.2: </w:t>
      </w:r>
      <w:r w:rsidR="00130A0B" w:rsidRPr="009B6CCF">
        <w:rPr>
          <w:color w:val="262626" w:themeColor="text1" w:themeTint="D9"/>
        </w:rPr>
        <w:t xml:space="preserve">Investment Performance </w:t>
      </w:r>
    </w:p>
    <w:tbl>
      <w:tblPr>
        <w:tblStyle w:val="ARTable"/>
        <w:tblW w:w="9639" w:type="dxa"/>
        <w:tblLayout w:type="fixed"/>
        <w:tblLook w:val="0020" w:firstRow="1" w:lastRow="0" w:firstColumn="0" w:lastColumn="0" w:noHBand="0" w:noVBand="0"/>
      </w:tblPr>
      <w:tblGrid>
        <w:gridCol w:w="3828"/>
        <w:gridCol w:w="1134"/>
        <w:gridCol w:w="1275"/>
        <w:gridCol w:w="1843"/>
        <w:gridCol w:w="1559"/>
      </w:tblGrid>
      <w:tr w:rsidR="0099117B" w:rsidRPr="00667C96" w14:paraId="129403A8" w14:textId="77777777" w:rsidTr="005630FF">
        <w:trPr>
          <w:cnfStyle w:val="100000000000" w:firstRow="1" w:lastRow="0" w:firstColumn="0" w:lastColumn="0" w:oddVBand="0" w:evenVBand="0" w:oddHBand="0" w:evenHBand="0" w:firstRowFirstColumn="0" w:firstRowLastColumn="0" w:lastRowFirstColumn="0" w:lastRowLastColumn="0"/>
        </w:trPr>
        <w:tc>
          <w:tcPr>
            <w:tcW w:w="3828" w:type="dxa"/>
          </w:tcPr>
          <w:p w14:paraId="352E4FE1" w14:textId="77777777" w:rsidR="002E71BB" w:rsidRPr="00667C96" w:rsidRDefault="002E71BB" w:rsidP="00ED1D31">
            <w:pPr>
              <w:pStyle w:val="Tableheading"/>
            </w:pPr>
            <w:r w:rsidRPr="00667C96">
              <w:t>Description</w:t>
            </w:r>
          </w:p>
        </w:tc>
        <w:tc>
          <w:tcPr>
            <w:tcW w:w="1134" w:type="dxa"/>
          </w:tcPr>
          <w:p w14:paraId="4CBB39A3" w14:textId="049D6693" w:rsidR="002E71BB" w:rsidRPr="00667C96" w:rsidRDefault="002E71BB" w:rsidP="00CE1B80">
            <w:pPr>
              <w:pStyle w:val="Tableheading"/>
              <w:jc w:val="right"/>
            </w:pPr>
            <w:r w:rsidRPr="00667C96">
              <w:t>Actual</w:t>
            </w:r>
            <w:r w:rsidRPr="00667C96">
              <w:br/>
              <w:t>202</w:t>
            </w:r>
            <w:r w:rsidR="003E37D5" w:rsidRPr="00667C96">
              <w:t>2</w:t>
            </w:r>
            <w:r w:rsidRPr="00667C96">
              <w:t>-2</w:t>
            </w:r>
            <w:r w:rsidR="003E37D5" w:rsidRPr="00667C96">
              <w:t>3</w:t>
            </w:r>
            <w:r w:rsidRPr="00667C96">
              <w:br/>
              <w:t>$’000</w:t>
            </w:r>
          </w:p>
        </w:tc>
        <w:tc>
          <w:tcPr>
            <w:tcW w:w="1275" w:type="dxa"/>
          </w:tcPr>
          <w:p w14:paraId="459F0652" w14:textId="375BA369" w:rsidR="002E71BB" w:rsidRPr="00667C96" w:rsidRDefault="002E71BB" w:rsidP="00CE1B80">
            <w:pPr>
              <w:pStyle w:val="Tableheading"/>
              <w:jc w:val="right"/>
            </w:pPr>
            <w:r w:rsidRPr="00667C96">
              <w:t xml:space="preserve">Actual </w:t>
            </w:r>
            <w:r w:rsidRPr="00667C96">
              <w:br/>
            </w:r>
            <w:r w:rsidR="00323290" w:rsidRPr="00667C96">
              <w:t>2023-24</w:t>
            </w:r>
            <w:r w:rsidRPr="00667C96">
              <w:br/>
              <w:t>$’000</w:t>
            </w:r>
          </w:p>
        </w:tc>
        <w:tc>
          <w:tcPr>
            <w:tcW w:w="1843" w:type="dxa"/>
          </w:tcPr>
          <w:p w14:paraId="00C2450B" w14:textId="6F5B6170" w:rsidR="002E71BB" w:rsidRPr="00667C96" w:rsidRDefault="002E71BB" w:rsidP="00CE1B80">
            <w:pPr>
              <w:pStyle w:val="Tableheading"/>
              <w:jc w:val="right"/>
            </w:pPr>
            <w:r w:rsidRPr="00667C96">
              <w:t>Original</w:t>
            </w:r>
            <w:r w:rsidR="00436BD8" w:rsidRPr="00667C96">
              <w:br/>
            </w:r>
            <w:r w:rsidRPr="00667C96">
              <w:t>Budget</w:t>
            </w:r>
            <w:r w:rsidR="00D753F1" w:rsidRPr="00667C96">
              <w:br/>
            </w:r>
            <w:r w:rsidR="00323290" w:rsidRPr="00667C96">
              <w:t>2023-24</w:t>
            </w:r>
            <w:r w:rsidRPr="00667C96">
              <w:br/>
              <w:t>$’000</w:t>
            </w:r>
          </w:p>
        </w:tc>
        <w:tc>
          <w:tcPr>
            <w:tcW w:w="1559" w:type="dxa"/>
          </w:tcPr>
          <w:p w14:paraId="37DF74E3" w14:textId="5D814E33" w:rsidR="002E71BB" w:rsidRPr="00667C96" w:rsidRDefault="002E71BB" w:rsidP="00CE1B80">
            <w:pPr>
              <w:pStyle w:val="Tableheading"/>
              <w:jc w:val="right"/>
            </w:pPr>
            <w:r w:rsidRPr="00667C96">
              <w:t>Budget</w:t>
            </w:r>
            <w:r w:rsidRPr="00667C96">
              <w:br/>
              <w:t>202</w:t>
            </w:r>
            <w:r w:rsidR="003E37D5" w:rsidRPr="00667C96">
              <w:t>4</w:t>
            </w:r>
            <w:r w:rsidRPr="00667C96">
              <w:t>-2</w:t>
            </w:r>
            <w:r w:rsidR="003E37D5" w:rsidRPr="00667C96">
              <w:t>5</w:t>
            </w:r>
            <w:r w:rsidRPr="00667C96">
              <w:br/>
              <w:t>$’000</w:t>
            </w:r>
          </w:p>
        </w:tc>
      </w:tr>
      <w:tr w:rsidR="002D21CC" w:rsidRPr="00667C96" w14:paraId="05402155" w14:textId="77777777" w:rsidTr="005630FF">
        <w:trPr>
          <w:trHeight w:val="425"/>
        </w:trPr>
        <w:tc>
          <w:tcPr>
            <w:tcW w:w="3828" w:type="dxa"/>
          </w:tcPr>
          <w:p w14:paraId="535D0525" w14:textId="77777777" w:rsidR="002D21CC" w:rsidRPr="00667C96" w:rsidRDefault="002D21CC" w:rsidP="002D21CC">
            <w:pPr>
              <w:spacing w:before="80" w:after="80"/>
              <w:jc w:val="both"/>
            </w:pPr>
            <w:r w:rsidRPr="00667C96">
              <w:t>Investment and Interest Revenue</w:t>
            </w:r>
          </w:p>
        </w:tc>
        <w:tc>
          <w:tcPr>
            <w:tcW w:w="1134" w:type="dxa"/>
          </w:tcPr>
          <w:p w14:paraId="329B305D" w14:textId="1CF8F783" w:rsidR="002D21CC" w:rsidRPr="00667C96" w:rsidRDefault="002D21CC" w:rsidP="002D21CC">
            <w:pPr>
              <w:spacing w:before="80" w:after="80"/>
              <w:jc w:val="right"/>
            </w:pPr>
            <w:r w:rsidRPr="00667C96">
              <w:t>9,658</w:t>
            </w:r>
          </w:p>
        </w:tc>
        <w:tc>
          <w:tcPr>
            <w:tcW w:w="1275" w:type="dxa"/>
          </w:tcPr>
          <w:p w14:paraId="069B240C" w14:textId="01286213" w:rsidR="002D21CC" w:rsidRPr="00667C96" w:rsidRDefault="00C87193" w:rsidP="002D21CC">
            <w:pPr>
              <w:spacing w:before="80" w:after="80"/>
              <w:jc w:val="right"/>
              <w:rPr>
                <w:highlight w:val="yellow"/>
              </w:rPr>
            </w:pPr>
            <w:r w:rsidRPr="00667C96">
              <w:t>14,498</w:t>
            </w:r>
          </w:p>
        </w:tc>
        <w:tc>
          <w:tcPr>
            <w:tcW w:w="1843" w:type="dxa"/>
          </w:tcPr>
          <w:p w14:paraId="08C2A60C" w14:textId="5F18905E" w:rsidR="002D21CC" w:rsidRPr="00667C96" w:rsidRDefault="002D21CC" w:rsidP="002D21CC">
            <w:pPr>
              <w:spacing w:before="80" w:after="80"/>
              <w:jc w:val="right"/>
            </w:pPr>
            <w:r w:rsidRPr="00667C96">
              <w:t>14,000</w:t>
            </w:r>
          </w:p>
        </w:tc>
        <w:tc>
          <w:tcPr>
            <w:tcW w:w="1559" w:type="dxa"/>
          </w:tcPr>
          <w:p w14:paraId="2E68CAFD" w14:textId="0D50F85F" w:rsidR="002D21CC" w:rsidRPr="00667C96" w:rsidRDefault="002D21CC" w:rsidP="002D21CC">
            <w:pPr>
              <w:spacing w:before="80" w:after="80"/>
              <w:jc w:val="right"/>
            </w:pPr>
            <w:r w:rsidRPr="00667C96">
              <w:t>1</w:t>
            </w:r>
            <w:r w:rsidR="00594358" w:rsidRPr="00667C96">
              <w:t>6</w:t>
            </w:r>
            <w:r w:rsidRPr="00667C96">
              <w:t>,</w:t>
            </w:r>
            <w:r w:rsidR="00594358" w:rsidRPr="00667C96">
              <w:t>195</w:t>
            </w:r>
          </w:p>
        </w:tc>
      </w:tr>
      <w:tr w:rsidR="002D21CC" w:rsidRPr="00667C96" w14:paraId="0CBA6EE3" w14:textId="77777777" w:rsidTr="005630FF">
        <w:trPr>
          <w:cnfStyle w:val="000000010000" w:firstRow="0" w:lastRow="0" w:firstColumn="0" w:lastColumn="0" w:oddVBand="0" w:evenVBand="0" w:oddHBand="0" w:evenHBand="1" w:firstRowFirstColumn="0" w:firstRowLastColumn="0" w:lastRowFirstColumn="0" w:lastRowLastColumn="0"/>
          <w:trHeight w:val="425"/>
        </w:trPr>
        <w:tc>
          <w:tcPr>
            <w:tcW w:w="3828" w:type="dxa"/>
          </w:tcPr>
          <w:p w14:paraId="084B700E" w14:textId="77777777" w:rsidR="002D21CC" w:rsidRPr="00667C96" w:rsidRDefault="002D21CC" w:rsidP="002D21CC">
            <w:pPr>
              <w:spacing w:before="80" w:after="80"/>
              <w:jc w:val="both"/>
            </w:pPr>
            <w:r w:rsidRPr="00667C96">
              <w:t xml:space="preserve">Gain / (Loss) on Investment </w:t>
            </w:r>
          </w:p>
        </w:tc>
        <w:tc>
          <w:tcPr>
            <w:tcW w:w="1134" w:type="dxa"/>
          </w:tcPr>
          <w:p w14:paraId="51168913" w14:textId="1B6ED4C3" w:rsidR="002D21CC" w:rsidRPr="00667C96" w:rsidRDefault="002D21CC" w:rsidP="002D21CC">
            <w:pPr>
              <w:spacing w:before="80" w:after="80"/>
              <w:jc w:val="right"/>
            </w:pPr>
            <w:r w:rsidRPr="00667C96">
              <w:t>22,596</w:t>
            </w:r>
          </w:p>
        </w:tc>
        <w:tc>
          <w:tcPr>
            <w:tcW w:w="1275" w:type="dxa"/>
          </w:tcPr>
          <w:p w14:paraId="68957C63" w14:textId="6D56069C" w:rsidR="002D21CC" w:rsidRPr="00667C96" w:rsidRDefault="00A66579" w:rsidP="002D21CC">
            <w:pPr>
              <w:spacing w:before="80" w:after="80"/>
              <w:jc w:val="right"/>
              <w:rPr>
                <w:highlight w:val="yellow"/>
              </w:rPr>
            </w:pPr>
            <w:r w:rsidRPr="00667C96">
              <w:t>20,571</w:t>
            </w:r>
          </w:p>
        </w:tc>
        <w:tc>
          <w:tcPr>
            <w:tcW w:w="1843" w:type="dxa"/>
          </w:tcPr>
          <w:p w14:paraId="49D1BDAD" w14:textId="30145E53" w:rsidR="002D21CC" w:rsidRPr="00667C96" w:rsidRDefault="002D21CC" w:rsidP="002D21CC">
            <w:pPr>
              <w:spacing w:before="80" w:after="80"/>
              <w:jc w:val="right"/>
            </w:pPr>
            <w:r w:rsidRPr="00667C96">
              <w:t>5,898</w:t>
            </w:r>
          </w:p>
        </w:tc>
        <w:tc>
          <w:tcPr>
            <w:tcW w:w="1559" w:type="dxa"/>
          </w:tcPr>
          <w:p w14:paraId="0E667C47" w14:textId="58284F61" w:rsidR="002D21CC" w:rsidRPr="00667C96" w:rsidRDefault="00594358" w:rsidP="002D21CC">
            <w:pPr>
              <w:spacing w:before="80" w:after="80"/>
              <w:jc w:val="right"/>
            </w:pPr>
            <w:r w:rsidRPr="00667C96">
              <w:t>4</w:t>
            </w:r>
            <w:r w:rsidR="002D21CC" w:rsidRPr="00667C96">
              <w:t>,</w:t>
            </w:r>
            <w:r w:rsidRPr="00667C96">
              <w:t>195</w:t>
            </w:r>
          </w:p>
        </w:tc>
      </w:tr>
      <w:tr w:rsidR="002D21CC" w:rsidRPr="00667C96" w14:paraId="6F1821EC" w14:textId="77777777" w:rsidTr="005630FF">
        <w:trPr>
          <w:trHeight w:val="425"/>
        </w:trPr>
        <w:tc>
          <w:tcPr>
            <w:tcW w:w="3828" w:type="dxa"/>
            <w:tcBorders>
              <w:bottom w:val="single" w:sz="4" w:space="0" w:color="auto"/>
            </w:tcBorders>
          </w:tcPr>
          <w:p w14:paraId="673CABB1" w14:textId="77777777" w:rsidR="002D21CC" w:rsidRPr="00667C96" w:rsidRDefault="002D21CC" w:rsidP="002D21CC">
            <w:pPr>
              <w:spacing w:before="80" w:after="80"/>
              <w:jc w:val="both"/>
            </w:pPr>
            <w:r w:rsidRPr="00667C96">
              <w:t>Total Investment Revenue/(Net loss)</w:t>
            </w:r>
          </w:p>
        </w:tc>
        <w:tc>
          <w:tcPr>
            <w:tcW w:w="1134" w:type="dxa"/>
            <w:tcBorders>
              <w:bottom w:val="single" w:sz="4" w:space="0" w:color="auto"/>
            </w:tcBorders>
          </w:tcPr>
          <w:p w14:paraId="1D938C1B" w14:textId="3BBE9B45" w:rsidR="002D21CC" w:rsidRPr="00667C96" w:rsidRDefault="002D21CC" w:rsidP="002D21CC">
            <w:pPr>
              <w:spacing w:before="80" w:after="80"/>
              <w:jc w:val="right"/>
            </w:pPr>
            <w:r w:rsidRPr="00667C96">
              <w:t>32,254</w:t>
            </w:r>
          </w:p>
        </w:tc>
        <w:tc>
          <w:tcPr>
            <w:tcW w:w="1275" w:type="dxa"/>
            <w:tcBorders>
              <w:bottom w:val="single" w:sz="4" w:space="0" w:color="auto"/>
            </w:tcBorders>
          </w:tcPr>
          <w:p w14:paraId="4072A360" w14:textId="70142556" w:rsidR="002D21CC" w:rsidRPr="00667C96" w:rsidRDefault="00667C96" w:rsidP="002D21CC">
            <w:pPr>
              <w:spacing w:before="80" w:after="80"/>
              <w:jc w:val="right"/>
              <w:rPr>
                <w:highlight w:val="yellow"/>
              </w:rPr>
            </w:pPr>
            <w:r w:rsidRPr="00667C96">
              <w:t>35,069</w:t>
            </w:r>
          </w:p>
        </w:tc>
        <w:tc>
          <w:tcPr>
            <w:tcW w:w="1843" w:type="dxa"/>
            <w:tcBorders>
              <w:bottom w:val="single" w:sz="4" w:space="0" w:color="auto"/>
            </w:tcBorders>
          </w:tcPr>
          <w:p w14:paraId="08F2833A" w14:textId="1E4EC3F3" w:rsidR="002D21CC" w:rsidRPr="00667C96" w:rsidRDefault="002D21CC" w:rsidP="002D21CC">
            <w:pPr>
              <w:spacing w:before="80" w:after="80"/>
              <w:jc w:val="right"/>
            </w:pPr>
            <w:r w:rsidRPr="00667C96">
              <w:t>19,898</w:t>
            </w:r>
          </w:p>
        </w:tc>
        <w:tc>
          <w:tcPr>
            <w:tcW w:w="1559" w:type="dxa"/>
            <w:tcBorders>
              <w:bottom w:val="single" w:sz="4" w:space="0" w:color="auto"/>
            </w:tcBorders>
          </w:tcPr>
          <w:p w14:paraId="5AA10A61" w14:textId="67D09F89" w:rsidR="002D21CC" w:rsidRPr="00667C96" w:rsidRDefault="00706F9C" w:rsidP="002D21CC">
            <w:pPr>
              <w:spacing w:before="80" w:after="80"/>
              <w:jc w:val="right"/>
            </w:pPr>
            <w:r w:rsidRPr="00667C96">
              <w:t>20</w:t>
            </w:r>
            <w:r w:rsidR="002D21CC" w:rsidRPr="00667C96">
              <w:t>,</w:t>
            </w:r>
            <w:r w:rsidRPr="00667C96">
              <w:t>390</w:t>
            </w:r>
          </w:p>
        </w:tc>
      </w:tr>
    </w:tbl>
    <w:p w14:paraId="0BDA5027" w14:textId="6A164EAF" w:rsidR="002E71BB" w:rsidRPr="00FF06F3" w:rsidRDefault="002E71BB" w:rsidP="00FF06F3">
      <w:pPr>
        <w:pStyle w:val="Heading6"/>
        <w:tabs>
          <w:tab w:val="left" w:pos="1190"/>
        </w:tabs>
        <w:spacing w:before="240" w:after="120" w:line="240" w:lineRule="auto"/>
        <w:rPr>
          <w:rFonts w:ascii="Arial" w:hAnsi="Arial"/>
          <w:bCs/>
          <w:i/>
          <w:color w:val="262626" w:themeColor="text1" w:themeTint="D9"/>
        </w:rPr>
      </w:pPr>
      <w:r w:rsidRPr="00FF06F3">
        <w:rPr>
          <w:rFonts w:ascii="Arial" w:hAnsi="Arial"/>
          <w:bCs/>
          <w:i/>
          <w:color w:val="262626" w:themeColor="text1" w:themeTint="D9"/>
        </w:rPr>
        <w:lastRenderedPageBreak/>
        <w:t xml:space="preserve">Comparison to </w:t>
      </w:r>
      <w:r w:rsidR="0024537C">
        <w:rPr>
          <w:rFonts w:ascii="Arial" w:hAnsi="Arial"/>
          <w:bCs/>
          <w:i/>
          <w:color w:val="262626" w:themeColor="text1" w:themeTint="D9"/>
        </w:rPr>
        <w:t xml:space="preserve">Original </w:t>
      </w:r>
      <w:r w:rsidRPr="00FF06F3">
        <w:rPr>
          <w:rFonts w:ascii="Arial" w:hAnsi="Arial"/>
          <w:bCs/>
          <w:i/>
          <w:color w:val="262626" w:themeColor="text1" w:themeTint="D9"/>
        </w:rPr>
        <w:t>Budget</w:t>
      </w:r>
    </w:p>
    <w:p w14:paraId="3FAED2D8" w14:textId="77777777" w:rsidR="008925B4" w:rsidRPr="00CD204A" w:rsidRDefault="008925B4" w:rsidP="008925B4">
      <w:pPr>
        <w:pStyle w:val="BodyText3"/>
        <w:spacing w:before="200" w:after="200" w:line="264" w:lineRule="auto"/>
        <w:rPr>
          <w:sz w:val="24"/>
          <w:szCs w:val="24"/>
        </w:rPr>
      </w:pPr>
      <w:r w:rsidRPr="00CD204A">
        <w:rPr>
          <w:sz w:val="24"/>
          <w:szCs w:val="24"/>
        </w:rPr>
        <w:t xml:space="preserve">The total investment revenue of </w:t>
      </w:r>
      <w:r w:rsidRPr="00CD204A">
        <w:rPr>
          <w:b/>
          <w:bCs/>
          <w:sz w:val="24"/>
          <w:szCs w:val="24"/>
        </w:rPr>
        <w:t>$35.1 million</w:t>
      </w:r>
      <w:r w:rsidRPr="00CD204A">
        <w:rPr>
          <w:sz w:val="24"/>
          <w:szCs w:val="24"/>
        </w:rPr>
        <w:t xml:space="preserve"> which was</w:t>
      </w:r>
      <w:r w:rsidRPr="00CD204A">
        <w:rPr>
          <w:b/>
          <w:sz w:val="24"/>
          <w:szCs w:val="24"/>
        </w:rPr>
        <w:t xml:space="preserve"> $15.2 million</w:t>
      </w:r>
      <w:r w:rsidRPr="00CD204A">
        <w:rPr>
          <w:sz w:val="24"/>
          <w:szCs w:val="24"/>
        </w:rPr>
        <w:t xml:space="preserve"> higher than the original budget of </w:t>
      </w:r>
      <w:r w:rsidRPr="00CD204A">
        <w:rPr>
          <w:b/>
          <w:sz w:val="24"/>
          <w:szCs w:val="24"/>
        </w:rPr>
        <w:t>$19.9 million</w:t>
      </w:r>
      <w:r w:rsidRPr="00CD204A">
        <w:rPr>
          <w:sz w:val="24"/>
          <w:szCs w:val="24"/>
        </w:rPr>
        <w:t xml:space="preserve">. </w:t>
      </w:r>
    </w:p>
    <w:p w14:paraId="678B7704" w14:textId="393110AE" w:rsidR="00CD204A" w:rsidRPr="007B52FF" w:rsidRDefault="008925B4" w:rsidP="00C0277C">
      <w:r w:rsidRPr="007B52FF">
        <w:t>The increase in the investment revenue was mainly due to the investment portfolio delivering an overall annual gain of 9.9 per cent compared to the budget target of 5.29</w:t>
      </w:r>
      <w:r w:rsidR="00483D98">
        <w:t> </w:t>
      </w:r>
      <w:r w:rsidRPr="007B52FF">
        <w:t xml:space="preserve">per cent gain, representing a higher-than-expected gain on the remeasurement of investments of </w:t>
      </w:r>
      <w:r w:rsidRPr="006D7B0C">
        <w:rPr>
          <w:b/>
          <w:bCs/>
        </w:rPr>
        <w:t>$14.7 million</w:t>
      </w:r>
      <w:r w:rsidRPr="007B52FF">
        <w:t xml:space="preserve"> and </w:t>
      </w:r>
      <w:r w:rsidRPr="006D7B0C">
        <w:rPr>
          <w:b/>
          <w:bCs/>
        </w:rPr>
        <w:t>$1.7 million</w:t>
      </w:r>
      <w:r w:rsidRPr="007B52FF">
        <w:t xml:space="preserve"> higher in cash interest earned in the Westpac operating bank account, partially offset by a lower-than-expected investment distribution of </w:t>
      </w:r>
      <w:r w:rsidRPr="00F86071">
        <w:rPr>
          <w:b/>
          <w:bCs/>
        </w:rPr>
        <w:t>$1.2 million</w:t>
      </w:r>
      <w:r w:rsidRPr="007B52FF">
        <w:t xml:space="preserve"> due to a decrease in amount of distributable income from the Authority’s investment portfolio</w:t>
      </w:r>
      <w:r w:rsidR="00CD204A" w:rsidRPr="007B52FF">
        <w:t>.</w:t>
      </w:r>
    </w:p>
    <w:p w14:paraId="6FA5CEFA" w14:textId="6431DA2A" w:rsidR="002E71BB" w:rsidRPr="00904456" w:rsidRDefault="002E71BB" w:rsidP="008925B4">
      <w:pPr>
        <w:pStyle w:val="Heading6"/>
        <w:tabs>
          <w:tab w:val="left" w:pos="1190"/>
        </w:tabs>
        <w:spacing w:before="240" w:after="120" w:line="240" w:lineRule="auto"/>
        <w:rPr>
          <w:rFonts w:ascii="Arial" w:hAnsi="Arial"/>
          <w:bCs/>
          <w:i/>
          <w:color w:val="262626" w:themeColor="text1" w:themeTint="D9"/>
        </w:rPr>
      </w:pPr>
      <w:r w:rsidRPr="00904456">
        <w:rPr>
          <w:rFonts w:ascii="Arial" w:hAnsi="Arial"/>
          <w:bCs/>
          <w:i/>
          <w:color w:val="262626" w:themeColor="text1" w:themeTint="D9"/>
        </w:rPr>
        <w:t>Comparison to 202</w:t>
      </w:r>
      <w:r w:rsidR="008D43FF" w:rsidRPr="00904456">
        <w:rPr>
          <w:rFonts w:ascii="Arial" w:hAnsi="Arial"/>
          <w:bCs/>
          <w:i/>
          <w:color w:val="262626" w:themeColor="text1" w:themeTint="D9"/>
        </w:rPr>
        <w:t>2</w:t>
      </w:r>
      <w:r w:rsidRPr="00904456">
        <w:rPr>
          <w:rFonts w:ascii="Arial" w:hAnsi="Arial"/>
          <w:bCs/>
          <w:i/>
          <w:color w:val="262626" w:themeColor="text1" w:themeTint="D9"/>
        </w:rPr>
        <w:t>-2</w:t>
      </w:r>
      <w:r w:rsidR="008D43FF" w:rsidRPr="00904456">
        <w:rPr>
          <w:rFonts w:ascii="Arial" w:hAnsi="Arial"/>
          <w:bCs/>
          <w:i/>
          <w:color w:val="262626" w:themeColor="text1" w:themeTint="D9"/>
        </w:rPr>
        <w:t>3</w:t>
      </w:r>
      <w:r w:rsidRPr="00904456">
        <w:rPr>
          <w:rFonts w:ascii="Arial" w:hAnsi="Arial"/>
          <w:bCs/>
          <w:i/>
          <w:color w:val="262626" w:themeColor="text1" w:themeTint="D9"/>
        </w:rPr>
        <w:t xml:space="preserve"> Actual</w:t>
      </w:r>
    </w:p>
    <w:p w14:paraId="59CE06E0" w14:textId="77777777" w:rsidR="000E4D81" w:rsidRDefault="000E4D81" w:rsidP="000E4D81">
      <w:r w:rsidRPr="000E4D81">
        <w:t xml:space="preserve">The investment revenue in 2023-24 was </w:t>
      </w:r>
      <w:r w:rsidRPr="000E4D81">
        <w:rPr>
          <w:b/>
          <w:bCs/>
        </w:rPr>
        <w:t xml:space="preserve">$35.1 million, </w:t>
      </w:r>
      <w:r w:rsidRPr="00F86071">
        <w:t>an in</w:t>
      </w:r>
      <w:r w:rsidRPr="000E4D81">
        <w:t xml:space="preserve">crease of </w:t>
      </w:r>
      <w:r w:rsidRPr="000E4D81">
        <w:rPr>
          <w:b/>
          <w:bCs/>
        </w:rPr>
        <w:t>$2.8 million</w:t>
      </w:r>
      <w:r w:rsidRPr="000E4D81">
        <w:t xml:space="preserve"> compared with </w:t>
      </w:r>
      <w:r w:rsidRPr="000E4D81">
        <w:rPr>
          <w:b/>
          <w:bCs/>
        </w:rPr>
        <w:t xml:space="preserve">$32.3 million </w:t>
      </w:r>
      <w:r w:rsidRPr="000E4D81">
        <w:t xml:space="preserve">in 2022-23. The variance was mainly due to an increase in the distribution revenue of </w:t>
      </w:r>
      <w:r w:rsidRPr="000E4D81">
        <w:rPr>
          <w:b/>
          <w:bCs/>
        </w:rPr>
        <w:t>$3.4 million</w:t>
      </w:r>
      <w:r w:rsidRPr="000E4D81">
        <w:t xml:space="preserve"> due to an overall annual gain of 9.9 per cent compared to the annual gain of 9.4 per cent for 2022-23, and </w:t>
      </w:r>
      <w:r w:rsidRPr="000E4D81">
        <w:rPr>
          <w:b/>
          <w:bCs/>
        </w:rPr>
        <w:t>$1.7 million</w:t>
      </w:r>
      <w:r w:rsidRPr="000E4D81">
        <w:t xml:space="preserve"> higher interest revenue earned due to the increase in bank interest rates and the higher-than-average cash balance in the Westpac operating bank account</w:t>
      </w:r>
      <w:r w:rsidRPr="000816CC">
        <w:rPr>
          <w:sz w:val="22"/>
          <w:szCs w:val="22"/>
        </w:rPr>
        <w:t>.</w:t>
      </w:r>
    </w:p>
    <w:p w14:paraId="3D859A09" w14:textId="51834581" w:rsidR="002E71BB" w:rsidRPr="00904456" w:rsidRDefault="002E71BB" w:rsidP="00904456">
      <w:pPr>
        <w:pStyle w:val="Heading6"/>
        <w:tabs>
          <w:tab w:val="left" w:pos="1190"/>
        </w:tabs>
        <w:spacing w:before="240" w:after="120" w:line="240" w:lineRule="auto"/>
        <w:rPr>
          <w:rFonts w:ascii="Arial" w:hAnsi="Arial"/>
          <w:bCs/>
          <w:i/>
          <w:color w:val="262626" w:themeColor="text1" w:themeTint="D9"/>
        </w:rPr>
      </w:pPr>
      <w:r w:rsidRPr="00904456">
        <w:rPr>
          <w:rFonts w:ascii="Arial" w:hAnsi="Arial"/>
          <w:bCs/>
          <w:i/>
          <w:color w:val="262626" w:themeColor="text1" w:themeTint="D9"/>
        </w:rPr>
        <w:t>Future Trends</w:t>
      </w:r>
    </w:p>
    <w:p w14:paraId="5BF36F50" w14:textId="41F3FE25" w:rsidR="00C0444F" w:rsidRPr="00C0444F" w:rsidRDefault="00C0444F" w:rsidP="00C0444F">
      <w:r w:rsidRPr="00C0444F">
        <w:t xml:space="preserve">The future trend expected for the 2024-25 investment revenue is a budget of </w:t>
      </w:r>
      <w:r w:rsidRPr="00C0444F">
        <w:rPr>
          <w:b/>
        </w:rPr>
        <w:t>$20.4 million</w:t>
      </w:r>
      <w:r w:rsidRPr="00C0444F">
        <w:t xml:space="preserve">. This is a decrease of </w:t>
      </w:r>
      <w:r w:rsidRPr="00C0444F">
        <w:rPr>
          <w:b/>
        </w:rPr>
        <w:t xml:space="preserve">$14.7 million </w:t>
      </w:r>
      <w:r w:rsidRPr="00C0444F">
        <w:t>from the 2023-24 actual investment revenue</w:t>
      </w:r>
      <w:r w:rsidRPr="00C0444F">
        <w:rPr>
          <w:b/>
        </w:rPr>
        <w:t>.</w:t>
      </w:r>
      <w:r w:rsidRPr="00C0444F">
        <w:t xml:space="preserve"> This decrease is due to the investment return target of (long term average CPI+2.5%) remaining unchanged for the 2024-25 budget based on expectation of a return to normal investment market conditions. However, the 2023-24 overall annual return on investment of 9.9</w:t>
      </w:r>
      <w:r w:rsidR="00F95DE0">
        <w:t> </w:t>
      </w:r>
      <w:r w:rsidRPr="00C0444F">
        <w:t>per</w:t>
      </w:r>
      <w:r w:rsidR="00F95DE0">
        <w:t> </w:t>
      </w:r>
      <w:r w:rsidRPr="00C0444F">
        <w:t xml:space="preserve">cent was significantly higher than the investment return target. </w:t>
      </w:r>
    </w:p>
    <w:p w14:paraId="6E6A7AD8" w14:textId="77777777" w:rsidR="00B31236" w:rsidRDefault="00B31236" w:rsidP="008226B1">
      <w:pPr>
        <w:spacing w:before="144" w:after="144" w:line="264" w:lineRule="auto"/>
        <w:outlineLvl w:val="3"/>
        <w:rPr>
          <w:rFonts w:ascii="Arial" w:eastAsia="Times New Roman" w:hAnsi="Arial" w:cs="Arial"/>
          <w:b/>
          <w:iCs/>
          <w:color w:val="492581" w:themeColor="accent1"/>
          <w:sz w:val="28"/>
          <w:szCs w:val="28"/>
        </w:rPr>
      </w:pPr>
    </w:p>
    <w:p w14:paraId="6356DF65" w14:textId="0A54B32D" w:rsidR="002E71BB" w:rsidRPr="008226B1" w:rsidRDefault="002E71BB" w:rsidP="008226B1">
      <w:pPr>
        <w:spacing w:before="144" w:after="144" w:line="264" w:lineRule="auto"/>
        <w:outlineLvl w:val="3"/>
        <w:rPr>
          <w:rFonts w:ascii="Arial" w:eastAsia="Times New Roman" w:hAnsi="Arial" w:cs="Arial"/>
          <w:b/>
          <w:iCs/>
          <w:color w:val="492581" w:themeColor="accent1"/>
          <w:sz w:val="28"/>
          <w:szCs w:val="28"/>
        </w:rPr>
      </w:pPr>
      <w:r w:rsidRPr="008226B1">
        <w:rPr>
          <w:rFonts w:ascii="Arial" w:eastAsia="Times New Roman" w:hAnsi="Arial" w:cs="Arial"/>
          <w:b/>
          <w:iCs/>
          <w:color w:val="492581" w:themeColor="accent1"/>
          <w:sz w:val="28"/>
          <w:szCs w:val="28"/>
        </w:rPr>
        <w:t xml:space="preserve">Other </w:t>
      </w:r>
      <w:r w:rsidR="004F7387" w:rsidRPr="008226B1">
        <w:rPr>
          <w:rFonts w:ascii="Arial" w:eastAsia="Times New Roman" w:hAnsi="Arial" w:cs="Arial"/>
          <w:b/>
          <w:iCs/>
          <w:color w:val="492581" w:themeColor="accent1"/>
          <w:sz w:val="28"/>
          <w:szCs w:val="28"/>
        </w:rPr>
        <w:t>Income</w:t>
      </w:r>
    </w:p>
    <w:p w14:paraId="16C51D34" w14:textId="4D90B5DA" w:rsidR="002E71BB" w:rsidRPr="00573C5D" w:rsidRDefault="002E71BB" w:rsidP="00573C5D">
      <w:pPr>
        <w:pStyle w:val="Heading6"/>
        <w:tabs>
          <w:tab w:val="left" w:pos="1190"/>
        </w:tabs>
        <w:spacing w:before="240" w:after="120" w:line="240" w:lineRule="auto"/>
        <w:rPr>
          <w:rFonts w:ascii="Arial" w:hAnsi="Arial"/>
          <w:bCs/>
          <w:i/>
          <w:color w:val="262626" w:themeColor="text1" w:themeTint="D9"/>
        </w:rPr>
      </w:pPr>
      <w:r w:rsidRPr="00573C5D">
        <w:rPr>
          <w:rFonts w:ascii="Arial" w:hAnsi="Arial"/>
          <w:bCs/>
          <w:i/>
          <w:color w:val="262626" w:themeColor="text1" w:themeTint="D9"/>
        </w:rPr>
        <w:t xml:space="preserve">Components of Other </w:t>
      </w:r>
      <w:r w:rsidR="004F7387" w:rsidRPr="00573C5D">
        <w:rPr>
          <w:rFonts w:ascii="Arial" w:hAnsi="Arial"/>
          <w:bCs/>
          <w:i/>
          <w:color w:val="262626" w:themeColor="text1" w:themeTint="D9"/>
        </w:rPr>
        <w:t>Income</w:t>
      </w:r>
    </w:p>
    <w:p w14:paraId="2F4082EE" w14:textId="1286A89A" w:rsidR="00EE68EF" w:rsidRPr="00EE68EF" w:rsidRDefault="00EE68EF" w:rsidP="00EE68EF">
      <w:pPr>
        <w:pStyle w:val="BodyText3"/>
        <w:spacing w:before="200" w:after="200" w:line="264" w:lineRule="auto"/>
        <w:rPr>
          <w:sz w:val="24"/>
          <w:szCs w:val="24"/>
        </w:rPr>
      </w:pPr>
      <w:r w:rsidRPr="00EE68EF">
        <w:rPr>
          <w:sz w:val="24"/>
          <w:szCs w:val="24"/>
        </w:rPr>
        <w:t xml:space="preserve">For the year ended 30 June 2024 the Authority recorded other </w:t>
      </w:r>
      <w:r w:rsidR="00065A30">
        <w:rPr>
          <w:sz w:val="24"/>
          <w:szCs w:val="24"/>
        </w:rPr>
        <w:t>income</w:t>
      </w:r>
      <w:r w:rsidRPr="00EE68EF">
        <w:rPr>
          <w:sz w:val="24"/>
          <w:szCs w:val="24"/>
        </w:rPr>
        <w:t xml:space="preserve"> of </w:t>
      </w:r>
      <w:r w:rsidRPr="00EE68EF">
        <w:rPr>
          <w:b/>
          <w:sz w:val="24"/>
          <w:szCs w:val="24"/>
        </w:rPr>
        <w:t xml:space="preserve">$6.5 million. </w:t>
      </w:r>
      <w:r w:rsidRPr="00EE68EF">
        <w:rPr>
          <w:sz w:val="24"/>
          <w:szCs w:val="24"/>
        </w:rPr>
        <w:t xml:space="preserve">The main sources of other </w:t>
      </w:r>
      <w:r w:rsidR="00065A30">
        <w:rPr>
          <w:sz w:val="24"/>
          <w:szCs w:val="24"/>
        </w:rPr>
        <w:t>income</w:t>
      </w:r>
      <w:r w:rsidRPr="00EE68EF">
        <w:rPr>
          <w:sz w:val="24"/>
          <w:szCs w:val="24"/>
        </w:rPr>
        <w:t xml:space="preserve"> are BWI premiums, income from support services, PSA related revenue</w:t>
      </w:r>
      <w:r w:rsidR="00953980">
        <w:rPr>
          <w:sz w:val="24"/>
          <w:szCs w:val="24"/>
        </w:rPr>
        <w:t>,</w:t>
      </w:r>
      <w:r w:rsidRPr="00EE68EF">
        <w:rPr>
          <w:sz w:val="24"/>
          <w:szCs w:val="24"/>
        </w:rPr>
        <w:t xml:space="preserve"> and contract works insurance as shown in the </w:t>
      </w:r>
      <w:r w:rsidRPr="00EE68EF">
        <w:rPr>
          <w:i/>
          <w:sz w:val="24"/>
          <w:szCs w:val="24"/>
        </w:rPr>
        <w:t>Figure C.1</w:t>
      </w:r>
      <w:r w:rsidRPr="00EE68EF">
        <w:rPr>
          <w:sz w:val="24"/>
          <w:szCs w:val="24"/>
        </w:rPr>
        <w:t xml:space="preserve">. </w:t>
      </w:r>
    </w:p>
    <w:p w14:paraId="0A8C635C" w14:textId="602A8451" w:rsidR="002E71BB" w:rsidRPr="008113A0" w:rsidRDefault="00747817" w:rsidP="002E71BB">
      <w:pPr>
        <w:keepNext/>
        <w:spacing w:before="144" w:after="144"/>
        <w:outlineLvl w:val="5"/>
        <w:rPr>
          <w:rFonts w:cs="Calibri"/>
          <w:bCs/>
          <w:caps/>
          <w:color w:val="262626" w:themeColor="text1" w:themeTint="D9"/>
          <w:szCs w:val="22"/>
        </w:rPr>
      </w:pPr>
      <w:r w:rsidRPr="00E733B8">
        <w:rPr>
          <w:rFonts w:ascii="Calibri" w:hAnsi="Calibri" w:cs="Calibri"/>
          <w:bCs/>
          <w:caps/>
          <w:noProof/>
          <w:color w:val="00B0F0"/>
          <w:sz w:val="22"/>
          <w:szCs w:val="22"/>
        </w:rPr>
        <w:lastRenderedPageBreak/>
        <w:drawing>
          <wp:anchor distT="0" distB="0" distL="114300" distR="114300" simplePos="0" relativeHeight="251658248" behindDoc="0" locked="0" layoutInCell="1" allowOverlap="1" wp14:anchorId="5681E9DA" wp14:editId="12E38091">
            <wp:simplePos x="0" y="0"/>
            <wp:positionH relativeFrom="column">
              <wp:posOffset>3175</wp:posOffset>
            </wp:positionH>
            <wp:positionV relativeFrom="paragraph">
              <wp:posOffset>467360</wp:posOffset>
            </wp:positionV>
            <wp:extent cx="5768340" cy="2900045"/>
            <wp:effectExtent l="0" t="0" r="3810" b="14605"/>
            <wp:wrapTopAndBottom/>
            <wp:docPr id="671464299" name="Chart 671464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2E71BB" w:rsidRPr="00E733B8">
        <w:rPr>
          <w:b/>
          <w:bCs/>
          <w:color w:val="262626" w:themeColor="text1" w:themeTint="D9"/>
        </w:rPr>
        <w:t xml:space="preserve">Figure C.1: Components of </w:t>
      </w:r>
      <w:r w:rsidR="00875433" w:rsidRPr="00E733B8">
        <w:rPr>
          <w:b/>
          <w:bCs/>
          <w:color w:val="262626" w:themeColor="text1" w:themeTint="D9"/>
        </w:rPr>
        <w:t>O</w:t>
      </w:r>
      <w:r w:rsidR="002E71BB" w:rsidRPr="00E733B8">
        <w:rPr>
          <w:b/>
          <w:bCs/>
          <w:color w:val="262626" w:themeColor="text1" w:themeTint="D9"/>
        </w:rPr>
        <w:t xml:space="preserve">ther </w:t>
      </w:r>
      <w:r w:rsidR="00875433" w:rsidRPr="00E733B8">
        <w:rPr>
          <w:b/>
          <w:bCs/>
          <w:color w:val="262626" w:themeColor="text1" w:themeTint="D9"/>
        </w:rPr>
        <w:t>Income</w:t>
      </w:r>
      <w:r w:rsidR="002E71BB" w:rsidRPr="00E733B8">
        <w:rPr>
          <w:b/>
          <w:bCs/>
          <w:color w:val="262626" w:themeColor="text1" w:themeTint="D9"/>
        </w:rPr>
        <w:t xml:space="preserve"> </w:t>
      </w:r>
      <w:r w:rsidR="00323290" w:rsidRPr="00E733B8">
        <w:rPr>
          <w:b/>
          <w:bCs/>
          <w:color w:val="262626" w:themeColor="text1" w:themeTint="D9"/>
        </w:rPr>
        <w:t>2023-24</w:t>
      </w:r>
    </w:p>
    <w:p w14:paraId="2D3B4F08" w14:textId="5E238E47" w:rsidR="002E4F69" w:rsidRPr="0060381C" w:rsidRDefault="002E4F69" w:rsidP="002E4F69">
      <w:pPr>
        <w:spacing w:after="0"/>
        <w:rPr>
          <w:i/>
          <w:sz w:val="18"/>
          <w:szCs w:val="18"/>
        </w:rPr>
      </w:pPr>
      <w:r w:rsidRPr="0060381C">
        <w:rPr>
          <w:i/>
          <w:sz w:val="18"/>
          <w:szCs w:val="18"/>
        </w:rPr>
        <w:t xml:space="preserve">Source: ACT Insurance Authority’s </w:t>
      </w:r>
      <w:r w:rsidR="00323290">
        <w:rPr>
          <w:i/>
          <w:sz w:val="18"/>
          <w:szCs w:val="18"/>
        </w:rPr>
        <w:t>2023-24</w:t>
      </w:r>
      <w:r w:rsidRPr="0060381C">
        <w:rPr>
          <w:i/>
          <w:sz w:val="18"/>
          <w:szCs w:val="18"/>
        </w:rPr>
        <w:t xml:space="preserve"> Financial Statements.</w:t>
      </w:r>
      <w:r w:rsidRPr="0070585D">
        <w:rPr>
          <w:rFonts w:ascii="Calibri" w:hAnsi="Calibri" w:cs="Calibri"/>
          <w:bCs/>
          <w:caps/>
          <w:noProof/>
          <w:color w:val="00B0F0"/>
          <w:sz w:val="22"/>
          <w:szCs w:val="22"/>
        </w:rPr>
        <w:t xml:space="preserve"> </w:t>
      </w:r>
    </w:p>
    <w:p w14:paraId="0F2F862E" w14:textId="77777777" w:rsidR="002E4F69" w:rsidRDefault="002E4F69">
      <w:pPr>
        <w:spacing w:after="0" w:line="240" w:lineRule="auto"/>
        <w:rPr>
          <w:rFonts w:asciiTheme="majorHAnsi" w:hAnsiTheme="majorHAnsi" w:cstheme="majorHAnsi"/>
          <w:b/>
          <w:i/>
          <w:color w:val="262626" w:themeColor="text1" w:themeTint="D9"/>
        </w:rPr>
      </w:pPr>
    </w:p>
    <w:p w14:paraId="02C27B95" w14:textId="31231877" w:rsidR="003F49AB" w:rsidRPr="00EB1643" w:rsidRDefault="002E71BB" w:rsidP="00EB1643">
      <w:pPr>
        <w:pStyle w:val="Heading6"/>
        <w:tabs>
          <w:tab w:val="left" w:pos="1190"/>
        </w:tabs>
        <w:spacing w:before="240" w:after="120" w:line="240" w:lineRule="auto"/>
        <w:rPr>
          <w:rFonts w:ascii="Arial" w:hAnsi="Arial"/>
          <w:bCs/>
          <w:i/>
          <w:color w:val="262626" w:themeColor="text1" w:themeTint="D9"/>
        </w:rPr>
      </w:pPr>
      <w:r w:rsidRPr="008B3B3B">
        <w:rPr>
          <w:rFonts w:ascii="Arial" w:hAnsi="Arial"/>
          <w:bCs/>
          <w:i/>
          <w:color w:val="262626" w:themeColor="text1" w:themeTint="D9"/>
        </w:rPr>
        <w:t xml:space="preserve">Comparison to </w:t>
      </w:r>
      <w:r w:rsidR="008B3B3B" w:rsidRPr="008B3B3B">
        <w:rPr>
          <w:rFonts w:ascii="Arial" w:hAnsi="Arial"/>
          <w:bCs/>
          <w:i/>
          <w:color w:val="262626" w:themeColor="text1" w:themeTint="D9"/>
        </w:rPr>
        <w:t xml:space="preserve">Original </w:t>
      </w:r>
      <w:r w:rsidRPr="008B3B3B">
        <w:rPr>
          <w:rFonts w:ascii="Arial" w:hAnsi="Arial"/>
          <w:bCs/>
          <w:i/>
          <w:color w:val="262626" w:themeColor="text1" w:themeTint="D9"/>
        </w:rPr>
        <w:t>Budget</w:t>
      </w:r>
    </w:p>
    <w:p w14:paraId="30F38A8D" w14:textId="0D743975" w:rsidR="00EB1643" w:rsidRPr="00EB1643" w:rsidRDefault="00EB1643" w:rsidP="00EB1643">
      <w:pPr>
        <w:pStyle w:val="BodyText3"/>
        <w:spacing w:before="200" w:after="200" w:line="264" w:lineRule="auto"/>
        <w:rPr>
          <w:sz w:val="24"/>
          <w:szCs w:val="24"/>
        </w:rPr>
      </w:pPr>
      <w:r w:rsidRPr="00EB1643">
        <w:rPr>
          <w:sz w:val="24"/>
          <w:szCs w:val="24"/>
        </w:rPr>
        <w:t xml:space="preserve">Other </w:t>
      </w:r>
      <w:r w:rsidR="0084142E">
        <w:rPr>
          <w:sz w:val="24"/>
          <w:szCs w:val="24"/>
        </w:rPr>
        <w:t>income</w:t>
      </w:r>
      <w:r w:rsidRPr="00EB1643">
        <w:rPr>
          <w:sz w:val="24"/>
          <w:szCs w:val="24"/>
        </w:rPr>
        <w:t xml:space="preserve"> of </w:t>
      </w:r>
      <w:r w:rsidRPr="00EB1643">
        <w:rPr>
          <w:b/>
          <w:bCs/>
          <w:sz w:val="24"/>
          <w:szCs w:val="24"/>
        </w:rPr>
        <w:t>$6.5 million</w:t>
      </w:r>
      <w:r w:rsidRPr="00EB1643">
        <w:rPr>
          <w:sz w:val="24"/>
          <w:szCs w:val="24"/>
        </w:rPr>
        <w:t xml:space="preserve"> was</w:t>
      </w:r>
      <w:r w:rsidRPr="00EB1643">
        <w:rPr>
          <w:bCs/>
          <w:sz w:val="24"/>
          <w:szCs w:val="24"/>
        </w:rPr>
        <w:t xml:space="preserve"> </w:t>
      </w:r>
      <w:r w:rsidRPr="00EB1643">
        <w:rPr>
          <w:b/>
          <w:sz w:val="24"/>
          <w:szCs w:val="24"/>
        </w:rPr>
        <w:t xml:space="preserve">$4.0 million </w:t>
      </w:r>
      <w:r w:rsidRPr="00EB1643">
        <w:rPr>
          <w:sz w:val="24"/>
          <w:szCs w:val="24"/>
        </w:rPr>
        <w:t xml:space="preserve">higher </w:t>
      </w:r>
      <w:r w:rsidRPr="00EB1643">
        <w:rPr>
          <w:bCs/>
          <w:sz w:val="24"/>
          <w:szCs w:val="24"/>
        </w:rPr>
        <w:t>than</w:t>
      </w:r>
      <w:r w:rsidRPr="00EB1643">
        <w:rPr>
          <w:sz w:val="24"/>
          <w:szCs w:val="24"/>
        </w:rPr>
        <w:t xml:space="preserve"> the original budget of </w:t>
      </w:r>
      <w:r w:rsidRPr="00EB1643">
        <w:rPr>
          <w:b/>
          <w:sz w:val="24"/>
          <w:szCs w:val="24"/>
        </w:rPr>
        <w:t xml:space="preserve">$2.6 million. </w:t>
      </w:r>
      <w:r w:rsidRPr="00EB1643">
        <w:rPr>
          <w:sz w:val="24"/>
          <w:szCs w:val="24"/>
        </w:rPr>
        <w:t>This is mainly due to higher insurance premium revenue for the BWI scheme due to the deteriorating claims experience in the residential building sector and indemnity fees collected from out of home care providers under the PSA scheme.</w:t>
      </w:r>
    </w:p>
    <w:p w14:paraId="7A6FB9B0" w14:textId="71A253FC" w:rsidR="002E71BB" w:rsidRPr="004657C1" w:rsidRDefault="002E71BB" w:rsidP="004657C1">
      <w:pPr>
        <w:pStyle w:val="Heading6"/>
        <w:tabs>
          <w:tab w:val="left" w:pos="1190"/>
        </w:tabs>
        <w:spacing w:before="240" w:after="120" w:line="240" w:lineRule="auto"/>
        <w:rPr>
          <w:rFonts w:ascii="Arial" w:hAnsi="Arial"/>
          <w:bCs/>
          <w:i/>
          <w:color w:val="262626" w:themeColor="text1" w:themeTint="D9"/>
        </w:rPr>
      </w:pPr>
      <w:r w:rsidRPr="004657C1">
        <w:rPr>
          <w:rFonts w:ascii="Arial" w:hAnsi="Arial"/>
          <w:bCs/>
          <w:i/>
          <w:color w:val="262626" w:themeColor="text1" w:themeTint="D9"/>
        </w:rPr>
        <w:t>Comparison to 202</w:t>
      </w:r>
      <w:r w:rsidR="007838CE" w:rsidRPr="004657C1">
        <w:rPr>
          <w:rFonts w:ascii="Arial" w:hAnsi="Arial"/>
          <w:bCs/>
          <w:i/>
          <w:color w:val="262626" w:themeColor="text1" w:themeTint="D9"/>
        </w:rPr>
        <w:t>2</w:t>
      </w:r>
      <w:r w:rsidRPr="004657C1">
        <w:rPr>
          <w:rFonts w:ascii="Arial" w:hAnsi="Arial"/>
          <w:bCs/>
          <w:i/>
          <w:color w:val="262626" w:themeColor="text1" w:themeTint="D9"/>
        </w:rPr>
        <w:t>-2</w:t>
      </w:r>
      <w:r w:rsidR="007838CE" w:rsidRPr="004657C1">
        <w:rPr>
          <w:rFonts w:ascii="Arial" w:hAnsi="Arial"/>
          <w:bCs/>
          <w:i/>
          <w:color w:val="262626" w:themeColor="text1" w:themeTint="D9"/>
        </w:rPr>
        <w:t>3</w:t>
      </w:r>
      <w:r w:rsidRPr="004657C1">
        <w:rPr>
          <w:rFonts w:ascii="Arial" w:hAnsi="Arial"/>
          <w:bCs/>
          <w:i/>
          <w:color w:val="262626" w:themeColor="text1" w:themeTint="D9"/>
        </w:rPr>
        <w:t xml:space="preserve"> Actual</w:t>
      </w:r>
    </w:p>
    <w:p w14:paraId="14525391" w14:textId="4D4E828D" w:rsidR="001679E3" w:rsidRPr="001679E3" w:rsidRDefault="001679E3" w:rsidP="001679E3">
      <w:pPr>
        <w:pStyle w:val="BodyText3"/>
        <w:spacing w:before="200" w:after="200" w:line="264" w:lineRule="auto"/>
        <w:rPr>
          <w:sz w:val="24"/>
          <w:szCs w:val="24"/>
        </w:rPr>
      </w:pPr>
      <w:r w:rsidRPr="001679E3">
        <w:rPr>
          <w:sz w:val="24"/>
          <w:szCs w:val="24"/>
        </w:rPr>
        <w:t xml:space="preserve">In comparison to the 2022-23 actual result of </w:t>
      </w:r>
      <w:r w:rsidRPr="001679E3">
        <w:rPr>
          <w:b/>
          <w:sz w:val="24"/>
          <w:szCs w:val="24"/>
        </w:rPr>
        <w:t>$4.4 million</w:t>
      </w:r>
      <w:r w:rsidRPr="001679E3">
        <w:rPr>
          <w:sz w:val="24"/>
          <w:szCs w:val="24"/>
        </w:rPr>
        <w:t xml:space="preserve">, other </w:t>
      </w:r>
      <w:r w:rsidR="003B030F">
        <w:rPr>
          <w:sz w:val="24"/>
          <w:szCs w:val="24"/>
        </w:rPr>
        <w:t>income</w:t>
      </w:r>
      <w:r w:rsidRPr="001679E3">
        <w:rPr>
          <w:sz w:val="24"/>
          <w:szCs w:val="24"/>
        </w:rPr>
        <w:t xml:space="preserve"> increased by </w:t>
      </w:r>
      <w:r w:rsidRPr="001679E3">
        <w:rPr>
          <w:b/>
          <w:sz w:val="24"/>
          <w:szCs w:val="24"/>
        </w:rPr>
        <w:t>$2.1 million</w:t>
      </w:r>
      <w:r w:rsidRPr="001679E3">
        <w:rPr>
          <w:sz w:val="24"/>
          <w:szCs w:val="24"/>
        </w:rPr>
        <w:t>. This is mainly due to higher insurance premium revenue for the BWI scheme due to the deteriorating claims experience in the residential building sector and indemnity fees collected from the out of home care providers under the PSA scheme.</w:t>
      </w:r>
    </w:p>
    <w:p w14:paraId="7585B0E5" w14:textId="1ECF47DC" w:rsidR="002E71BB" w:rsidRPr="004657C1" w:rsidRDefault="002E71BB" w:rsidP="004657C1">
      <w:pPr>
        <w:pStyle w:val="Heading6"/>
        <w:tabs>
          <w:tab w:val="left" w:pos="1190"/>
        </w:tabs>
        <w:spacing w:before="240" w:after="120" w:line="240" w:lineRule="auto"/>
        <w:rPr>
          <w:rFonts w:ascii="Arial" w:hAnsi="Arial"/>
          <w:bCs/>
          <w:i/>
          <w:color w:val="262626" w:themeColor="text1" w:themeTint="D9"/>
        </w:rPr>
      </w:pPr>
      <w:r w:rsidRPr="004657C1">
        <w:rPr>
          <w:rFonts w:ascii="Arial" w:hAnsi="Arial"/>
          <w:bCs/>
          <w:i/>
          <w:color w:val="262626" w:themeColor="text1" w:themeTint="D9"/>
        </w:rPr>
        <w:t>Future Trends</w:t>
      </w:r>
    </w:p>
    <w:p w14:paraId="32E2D2C2" w14:textId="77777777" w:rsidR="00005AB5" w:rsidRDefault="00005AB5" w:rsidP="00005AB5">
      <w:pPr>
        <w:pStyle w:val="BodyText3"/>
        <w:spacing w:before="200" w:after="200" w:line="264" w:lineRule="auto"/>
        <w:rPr>
          <w:sz w:val="22"/>
          <w:szCs w:val="22"/>
        </w:rPr>
      </w:pPr>
      <w:r w:rsidRPr="00005AB5">
        <w:rPr>
          <w:sz w:val="24"/>
          <w:szCs w:val="24"/>
        </w:rPr>
        <w:t xml:space="preserve">The future trend expected for the 2024-25 budget for other income is </w:t>
      </w:r>
      <w:r w:rsidRPr="00005AB5">
        <w:rPr>
          <w:b/>
          <w:sz w:val="24"/>
          <w:szCs w:val="24"/>
        </w:rPr>
        <w:t>$4.3 million</w:t>
      </w:r>
      <w:r w:rsidRPr="00005AB5">
        <w:rPr>
          <w:sz w:val="24"/>
          <w:szCs w:val="24"/>
        </w:rPr>
        <w:t xml:space="preserve">. This is a decrease of </w:t>
      </w:r>
      <w:r w:rsidRPr="00005AB5">
        <w:rPr>
          <w:b/>
          <w:sz w:val="24"/>
          <w:szCs w:val="24"/>
        </w:rPr>
        <w:t xml:space="preserve">$2.3 million </w:t>
      </w:r>
      <w:r w:rsidRPr="00005AB5">
        <w:rPr>
          <w:sz w:val="24"/>
          <w:szCs w:val="24"/>
        </w:rPr>
        <w:t>from the 2023-24 actual result due to the BWI premium budget being reallocated from other income to the gross earned insurance premiums line in the budget to improve the presentation and disclosure for future financial statements, partially offset by higher revenue in external insurance contracts due to the Territory’s fleet insurance arrangements which the Authority took over management of from 31 March 2024</w:t>
      </w:r>
      <w:r>
        <w:rPr>
          <w:sz w:val="22"/>
          <w:szCs w:val="22"/>
        </w:rPr>
        <w:t>.</w:t>
      </w:r>
    </w:p>
    <w:p w14:paraId="462BE033" w14:textId="58753199" w:rsidR="002E71BB" w:rsidRPr="00682414" w:rsidRDefault="002E71BB" w:rsidP="00682414">
      <w:pPr>
        <w:pStyle w:val="Heading5"/>
        <w:keepLines w:val="0"/>
        <w:tabs>
          <w:tab w:val="left" w:pos="1190"/>
        </w:tabs>
        <w:spacing w:line="240" w:lineRule="auto"/>
        <w:rPr>
          <w:rFonts w:eastAsia="Times New Roman"/>
          <w:iCs/>
          <w:color w:val="492581" w:themeColor="accent1"/>
          <w:sz w:val="28"/>
          <w:szCs w:val="28"/>
        </w:rPr>
      </w:pPr>
      <w:r w:rsidRPr="00682414">
        <w:rPr>
          <w:rFonts w:eastAsia="Times New Roman"/>
          <w:iCs/>
          <w:color w:val="492581" w:themeColor="accent1"/>
          <w:sz w:val="28"/>
          <w:szCs w:val="28"/>
        </w:rPr>
        <w:lastRenderedPageBreak/>
        <w:t>Other Expenses</w:t>
      </w:r>
    </w:p>
    <w:p w14:paraId="1C44E364" w14:textId="31F4F748" w:rsidR="002E71BB" w:rsidRPr="00682414" w:rsidRDefault="002E71BB" w:rsidP="00682414">
      <w:pPr>
        <w:pStyle w:val="Heading6"/>
        <w:tabs>
          <w:tab w:val="left" w:pos="1190"/>
        </w:tabs>
        <w:spacing w:before="240" w:after="120" w:line="240" w:lineRule="auto"/>
        <w:rPr>
          <w:rFonts w:ascii="Arial" w:hAnsi="Arial"/>
          <w:bCs/>
          <w:i/>
          <w:color w:val="262626" w:themeColor="text1" w:themeTint="D9"/>
        </w:rPr>
      </w:pPr>
      <w:r w:rsidRPr="00682414">
        <w:rPr>
          <w:rFonts w:ascii="Arial" w:hAnsi="Arial"/>
          <w:bCs/>
          <w:i/>
          <w:color w:val="262626" w:themeColor="text1" w:themeTint="D9"/>
        </w:rPr>
        <w:t>Components of Other Expenses</w:t>
      </w:r>
    </w:p>
    <w:p w14:paraId="64235420" w14:textId="1C23A338" w:rsidR="00631A13" w:rsidRDefault="00631A13" w:rsidP="00E85D97">
      <w:pPr>
        <w:rPr>
          <w:i/>
        </w:rPr>
      </w:pPr>
      <w:r w:rsidRPr="008309AF">
        <w:t>For the year ended 30 June 202</w:t>
      </w:r>
      <w:r>
        <w:t>4</w:t>
      </w:r>
      <w:r w:rsidRPr="008309AF">
        <w:t xml:space="preserve"> the Authority recorded other expenses </w:t>
      </w:r>
      <w:r w:rsidRPr="00AF44D2">
        <w:t xml:space="preserve">of </w:t>
      </w:r>
      <w:r w:rsidRPr="00AF44D2">
        <w:rPr>
          <w:b/>
        </w:rPr>
        <w:t>$</w:t>
      </w:r>
      <w:r>
        <w:rPr>
          <w:b/>
        </w:rPr>
        <w:t>8.8</w:t>
      </w:r>
      <w:r w:rsidRPr="00AF44D2">
        <w:rPr>
          <w:b/>
        </w:rPr>
        <w:t> million</w:t>
      </w:r>
      <w:r w:rsidRPr="00AF44D2">
        <w:t>.</w:t>
      </w:r>
      <w:r w:rsidRPr="008309AF">
        <w:t xml:space="preserve"> The main </w:t>
      </w:r>
      <w:r w:rsidRPr="00E85D97">
        <w:t>sources of other expenses are the BWI claims and commission, PSA claims, agency contracts works</w:t>
      </w:r>
      <w:r>
        <w:t xml:space="preserve"> and agency external insurance contracts </w:t>
      </w:r>
      <w:r w:rsidRPr="008309AF">
        <w:t xml:space="preserve">premiums as shown in </w:t>
      </w:r>
      <w:r w:rsidRPr="008309AF">
        <w:rPr>
          <w:i/>
        </w:rPr>
        <w:t>Figure C</w:t>
      </w:r>
      <w:r>
        <w:rPr>
          <w:i/>
        </w:rPr>
        <w:t>.</w:t>
      </w:r>
      <w:r w:rsidRPr="008309AF">
        <w:rPr>
          <w:i/>
        </w:rPr>
        <w:t>2</w:t>
      </w:r>
      <w:r w:rsidR="00A3527C">
        <w:rPr>
          <w:i/>
        </w:rPr>
        <w:t>.</w:t>
      </w:r>
    </w:p>
    <w:p w14:paraId="7AA2415A" w14:textId="45338287" w:rsidR="002E71BB" w:rsidRPr="00F5295F" w:rsidRDefault="002E71BB" w:rsidP="002E71BB">
      <w:pPr>
        <w:keepNext/>
        <w:spacing w:before="144" w:after="144"/>
        <w:outlineLvl w:val="5"/>
        <w:rPr>
          <w:rFonts w:cs="Calibri"/>
          <w:bCs/>
          <w:caps/>
          <w:color w:val="262626" w:themeColor="text1" w:themeTint="D9"/>
          <w:szCs w:val="22"/>
        </w:rPr>
      </w:pPr>
      <w:r w:rsidRPr="00631A13">
        <w:rPr>
          <w:b/>
          <w:bCs/>
          <w:color w:val="262626" w:themeColor="text1" w:themeTint="D9"/>
        </w:rPr>
        <w:t xml:space="preserve">Figure C.2: Components of </w:t>
      </w:r>
      <w:r w:rsidR="00042D3D" w:rsidRPr="00631A13">
        <w:rPr>
          <w:b/>
          <w:bCs/>
          <w:color w:val="262626" w:themeColor="text1" w:themeTint="D9"/>
        </w:rPr>
        <w:t>O</w:t>
      </w:r>
      <w:r w:rsidRPr="00631A13">
        <w:rPr>
          <w:b/>
          <w:bCs/>
          <w:color w:val="262626" w:themeColor="text1" w:themeTint="D9"/>
        </w:rPr>
        <w:t xml:space="preserve">ther </w:t>
      </w:r>
      <w:r w:rsidR="00042D3D" w:rsidRPr="00631A13">
        <w:rPr>
          <w:b/>
          <w:bCs/>
          <w:color w:val="262626" w:themeColor="text1" w:themeTint="D9"/>
        </w:rPr>
        <w:t>E</w:t>
      </w:r>
      <w:r w:rsidR="0065784A" w:rsidRPr="00631A13">
        <w:rPr>
          <w:b/>
          <w:bCs/>
          <w:color w:val="262626" w:themeColor="text1" w:themeTint="D9"/>
        </w:rPr>
        <w:t>xpenses</w:t>
      </w:r>
      <w:r w:rsidRPr="00631A13">
        <w:rPr>
          <w:b/>
          <w:bCs/>
          <w:color w:val="262626" w:themeColor="text1" w:themeTint="D9"/>
        </w:rPr>
        <w:t xml:space="preserve"> </w:t>
      </w:r>
      <w:r w:rsidR="00323290" w:rsidRPr="00631A13">
        <w:rPr>
          <w:b/>
          <w:bCs/>
          <w:color w:val="262626" w:themeColor="text1" w:themeTint="D9"/>
        </w:rPr>
        <w:t>2023-24</w:t>
      </w:r>
      <w:r w:rsidRPr="00F5295F">
        <w:rPr>
          <w:rFonts w:cs="Calibri"/>
          <w:bCs/>
          <w:caps/>
          <w:color w:val="262626" w:themeColor="text1" w:themeTint="D9"/>
          <w:szCs w:val="22"/>
        </w:rPr>
        <w:t xml:space="preserve"> </w:t>
      </w:r>
    </w:p>
    <w:p w14:paraId="3BE43C33" w14:textId="644B1577" w:rsidR="00BD2C20" w:rsidRDefault="00E45CAB">
      <w:pPr>
        <w:spacing w:after="0" w:line="240" w:lineRule="auto"/>
        <w:rPr>
          <w:rFonts w:asciiTheme="majorHAnsi" w:hAnsiTheme="majorHAnsi" w:cstheme="majorHAnsi"/>
          <w:b/>
          <w:i/>
          <w:color w:val="262626" w:themeColor="text1" w:themeTint="D9"/>
        </w:rPr>
      </w:pPr>
      <w:r w:rsidRPr="008309AF">
        <w:rPr>
          <w:rFonts w:ascii="Calibri" w:hAnsi="Calibri" w:cs="Calibri"/>
          <w:bCs/>
          <w:caps/>
          <w:noProof/>
          <w:color w:val="00B0F0"/>
          <w:sz w:val="22"/>
          <w:szCs w:val="22"/>
        </w:rPr>
        <w:drawing>
          <wp:anchor distT="0" distB="0" distL="114300" distR="114300" simplePos="0" relativeHeight="251658249" behindDoc="0" locked="0" layoutInCell="1" allowOverlap="1" wp14:anchorId="2F8369FF" wp14:editId="3CC804EE">
            <wp:simplePos x="0" y="0"/>
            <wp:positionH relativeFrom="column">
              <wp:posOffset>3175</wp:posOffset>
            </wp:positionH>
            <wp:positionV relativeFrom="paragraph">
              <wp:posOffset>187325</wp:posOffset>
            </wp:positionV>
            <wp:extent cx="5759450" cy="3130550"/>
            <wp:effectExtent l="0" t="0" r="12700" b="12700"/>
            <wp:wrapTopAndBottom/>
            <wp:docPr id="2" name="Char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287D20A" w14:textId="65792D5B" w:rsidR="001E456D" w:rsidRPr="00F5295F" w:rsidRDefault="001E456D" w:rsidP="001E456D">
      <w:pPr>
        <w:rPr>
          <w:i/>
          <w:sz w:val="18"/>
          <w:szCs w:val="18"/>
        </w:rPr>
      </w:pPr>
      <w:r w:rsidRPr="00F5295F">
        <w:rPr>
          <w:i/>
          <w:sz w:val="18"/>
          <w:szCs w:val="18"/>
        </w:rPr>
        <w:t xml:space="preserve">Source: ACT Insurance Authority’s </w:t>
      </w:r>
      <w:r w:rsidR="00323290">
        <w:rPr>
          <w:i/>
          <w:sz w:val="18"/>
          <w:szCs w:val="18"/>
        </w:rPr>
        <w:t>2023-24</w:t>
      </w:r>
      <w:r w:rsidRPr="00F5295F">
        <w:rPr>
          <w:i/>
          <w:sz w:val="18"/>
          <w:szCs w:val="18"/>
        </w:rPr>
        <w:t xml:space="preserve"> Financial Statements.</w:t>
      </w:r>
    </w:p>
    <w:p w14:paraId="70DE093C" w14:textId="68610BE9" w:rsidR="002E71BB" w:rsidRPr="008F623C" w:rsidRDefault="002E71BB" w:rsidP="008F623C">
      <w:pPr>
        <w:pStyle w:val="Heading6"/>
        <w:tabs>
          <w:tab w:val="left" w:pos="1190"/>
        </w:tabs>
        <w:spacing w:before="240" w:after="120" w:line="240" w:lineRule="auto"/>
        <w:rPr>
          <w:rFonts w:ascii="Arial" w:hAnsi="Arial"/>
          <w:bCs/>
          <w:i/>
          <w:color w:val="262626" w:themeColor="text1" w:themeTint="D9"/>
        </w:rPr>
      </w:pPr>
      <w:r w:rsidRPr="00982CB4">
        <w:rPr>
          <w:rFonts w:ascii="Arial" w:hAnsi="Arial"/>
          <w:bCs/>
          <w:i/>
          <w:color w:val="262626" w:themeColor="text1" w:themeTint="D9"/>
        </w:rPr>
        <w:t xml:space="preserve">Comparison to </w:t>
      </w:r>
      <w:r w:rsidR="00982CB4" w:rsidRPr="00982CB4">
        <w:rPr>
          <w:rFonts w:ascii="Arial" w:hAnsi="Arial"/>
          <w:bCs/>
          <w:i/>
          <w:color w:val="262626" w:themeColor="text1" w:themeTint="D9"/>
        </w:rPr>
        <w:t xml:space="preserve">Original </w:t>
      </w:r>
      <w:r w:rsidRPr="00982CB4">
        <w:rPr>
          <w:rFonts w:ascii="Arial" w:hAnsi="Arial"/>
          <w:bCs/>
          <w:i/>
          <w:color w:val="262626" w:themeColor="text1" w:themeTint="D9"/>
        </w:rPr>
        <w:t>Budget</w:t>
      </w:r>
    </w:p>
    <w:p w14:paraId="4921C2D5" w14:textId="77777777" w:rsidR="00A154DD" w:rsidRPr="00A154DD" w:rsidRDefault="00A154DD" w:rsidP="00A154DD">
      <w:pPr>
        <w:pStyle w:val="BodyText3"/>
        <w:spacing w:before="200" w:after="200" w:line="264" w:lineRule="auto"/>
        <w:rPr>
          <w:sz w:val="24"/>
          <w:szCs w:val="24"/>
        </w:rPr>
      </w:pPr>
      <w:r w:rsidRPr="00A154DD">
        <w:rPr>
          <w:sz w:val="24"/>
          <w:szCs w:val="24"/>
        </w:rPr>
        <w:t xml:space="preserve">Other expenses of </w:t>
      </w:r>
      <w:r w:rsidRPr="00A154DD">
        <w:rPr>
          <w:b/>
          <w:bCs/>
          <w:sz w:val="24"/>
          <w:szCs w:val="24"/>
        </w:rPr>
        <w:t>$8.8 million</w:t>
      </w:r>
      <w:r w:rsidRPr="00A154DD">
        <w:rPr>
          <w:sz w:val="24"/>
          <w:szCs w:val="24"/>
        </w:rPr>
        <w:t xml:space="preserve"> was</w:t>
      </w:r>
      <w:r w:rsidRPr="00A154DD">
        <w:rPr>
          <w:bCs/>
          <w:sz w:val="24"/>
          <w:szCs w:val="24"/>
        </w:rPr>
        <w:t xml:space="preserve"> </w:t>
      </w:r>
      <w:r w:rsidRPr="00A154DD">
        <w:rPr>
          <w:b/>
          <w:sz w:val="24"/>
          <w:szCs w:val="24"/>
        </w:rPr>
        <w:t>$7.2 million</w:t>
      </w:r>
      <w:r w:rsidRPr="00A154DD">
        <w:rPr>
          <w:bCs/>
          <w:sz w:val="24"/>
          <w:szCs w:val="24"/>
        </w:rPr>
        <w:t xml:space="preserve"> higher than </w:t>
      </w:r>
      <w:r w:rsidRPr="00A154DD">
        <w:rPr>
          <w:sz w:val="24"/>
          <w:szCs w:val="24"/>
        </w:rPr>
        <w:t xml:space="preserve">the original budget of </w:t>
      </w:r>
      <w:r w:rsidRPr="00A154DD">
        <w:rPr>
          <w:b/>
          <w:sz w:val="24"/>
          <w:szCs w:val="24"/>
        </w:rPr>
        <w:t>$1.6 million</w:t>
      </w:r>
      <w:r w:rsidRPr="00A154DD">
        <w:rPr>
          <w:sz w:val="24"/>
          <w:szCs w:val="24"/>
        </w:rPr>
        <w:t xml:space="preserve"> mainly due to the recognition of the first independent actuarial valuation of claims liabilities for the PSA scheme undertaken as at 30 June 2024 and an increase in BWI claims expenses due to a deteriorating claims experience. </w:t>
      </w:r>
    </w:p>
    <w:p w14:paraId="76C3D3D0" w14:textId="6943AFA4" w:rsidR="002E71BB" w:rsidRPr="008F623C" w:rsidRDefault="002E71BB" w:rsidP="008F623C">
      <w:pPr>
        <w:pStyle w:val="Heading6"/>
        <w:tabs>
          <w:tab w:val="left" w:pos="1190"/>
        </w:tabs>
        <w:spacing w:before="240" w:after="120" w:line="240" w:lineRule="auto"/>
        <w:rPr>
          <w:rFonts w:ascii="Arial" w:hAnsi="Arial"/>
          <w:bCs/>
          <w:i/>
          <w:color w:val="262626" w:themeColor="text1" w:themeTint="D9"/>
        </w:rPr>
      </w:pPr>
      <w:r w:rsidRPr="008F623C">
        <w:rPr>
          <w:rFonts w:ascii="Arial" w:hAnsi="Arial"/>
          <w:bCs/>
          <w:i/>
          <w:color w:val="262626" w:themeColor="text1" w:themeTint="D9"/>
        </w:rPr>
        <w:t>Comparison to 202</w:t>
      </w:r>
      <w:r w:rsidR="009A25AC" w:rsidRPr="008F623C">
        <w:rPr>
          <w:rFonts w:ascii="Arial" w:hAnsi="Arial"/>
          <w:bCs/>
          <w:i/>
          <w:color w:val="262626" w:themeColor="text1" w:themeTint="D9"/>
        </w:rPr>
        <w:t>2</w:t>
      </w:r>
      <w:r w:rsidRPr="008F623C">
        <w:rPr>
          <w:rFonts w:ascii="Arial" w:hAnsi="Arial"/>
          <w:bCs/>
          <w:i/>
          <w:color w:val="262626" w:themeColor="text1" w:themeTint="D9"/>
        </w:rPr>
        <w:t>-2</w:t>
      </w:r>
      <w:r w:rsidR="009A25AC" w:rsidRPr="008F623C">
        <w:rPr>
          <w:rFonts w:ascii="Arial" w:hAnsi="Arial"/>
          <w:bCs/>
          <w:i/>
          <w:color w:val="262626" w:themeColor="text1" w:themeTint="D9"/>
        </w:rPr>
        <w:t>3</w:t>
      </w:r>
      <w:r w:rsidRPr="008F623C">
        <w:rPr>
          <w:rFonts w:ascii="Arial" w:hAnsi="Arial"/>
          <w:bCs/>
          <w:i/>
          <w:color w:val="262626" w:themeColor="text1" w:themeTint="D9"/>
        </w:rPr>
        <w:t xml:space="preserve"> Actual</w:t>
      </w:r>
    </w:p>
    <w:p w14:paraId="0A376C61" w14:textId="5B990C16" w:rsidR="00976114" w:rsidRDefault="00976114" w:rsidP="00976114">
      <w:pPr>
        <w:pStyle w:val="BodyText3"/>
        <w:spacing w:before="200" w:after="200" w:line="264" w:lineRule="auto"/>
        <w:rPr>
          <w:sz w:val="22"/>
          <w:szCs w:val="22"/>
        </w:rPr>
      </w:pPr>
      <w:r w:rsidRPr="00976114">
        <w:rPr>
          <w:sz w:val="24"/>
          <w:szCs w:val="24"/>
        </w:rPr>
        <w:t xml:space="preserve">In comparison to the 2022-23 actual result of </w:t>
      </w:r>
      <w:r w:rsidRPr="00976114">
        <w:rPr>
          <w:b/>
          <w:bCs/>
          <w:sz w:val="24"/>
          <w:szCs w:val="24"/>
        </w:rPr>
        <w:t>$3</w:t>
      </w:r>
      <w:r w:rsidR="00A85920">
        <w:rPr>
          <w:b/>
          <w:bCs/>
          <w:sz w:val="24"/>
          <w:szCs w:val="24"/>
        </w:rPr>
        <w:t>.0</w:t>
      </w:r>
      <w:r w:rsidRPr="00976114">
        <w:rPr>
          <w:b/>
          <w:bCs/>
          <w:sz w:val="24"/>
          <w:szCs w:val="24"/>
        </w:rPr>
        <w:t xml:space="preserve"> million</w:t>
      </w:r>
      <w:r w:rsidRPr="00976114">
        <w:rPr>
          <w:sz w:val="24"/>
          <w:szCs w:val="24"/>
        </w:rPr>
        <w:t xml:space="preserve">, other expenses increased by </w:t>
      </w:r>
      <w:r w:rsidRPr="00976114">
        <w:rPr>
          <w:b/>
          <w:bCs/>
          <w:sz w:val="24"/>
          <w:szCs w:val="24"/>
        </w:rPr>
        <w:t>$5.8</w:t>
      </w:r>
      <w:r w:rsidR="002F7F02">
        <w:rPr>
          <w:b/>
          <w:bCs/>
          <w:sz w:val="24"/>
          <w:szCs w:val="24"/>
        </w:rPr>
        <w:t> </w:t>
      </w:r>
      <w:r w:rsidRPr="00976114">
        <w:rPr>
          <w:b/>
          <w:bCs/>
          <w:sz w:val="24"/>
          <w:szCs w:val="24"/>
        </w:rPr>
        <w:t>million</w:t>
      </w:r>
      <w:r w:rsidRPr="00976114">
        <w:rPr>
          <w:sz w:val="24"/>
          <w:szCs w:val="24"/>
        </w:rPr>
        <w:t>. This is predominantly due to the recognition of the first independent actuarial valuation of claims liabilities for the PSA scheme undertaken as at 30 June 2024 and an increase in BWI claims expenses due to a deteriorating claims experience</w:t>
      </w:r>
      <w:r w:rsidRPr="00343FB9">
        <w:rPr>
          <w:sz w:val="22"/>
          <w:szCs w:val="22"/>
        </w:rPr>
        <w:t xml:space="preserve">. </w:t>
      </w:r>
    </w:p>
    <w:p w14:paraId="4525BD4C" w14:textId="4447A1B8" w:rsidR="002E71BB" w:rsidRPr="008F623C" w:rsidRDefault="002E71BB" w:rsidP="008F623C">
      <w:pPr>
        <w:pStyle w:val="Heading6"/>
        <w:tabs>
          <w:tab w:val="left" w:pos="1190"/>
        </w:tabs>
        <w:spacing w:before="240" w:after="120" w:line="240" w:lineRule="auto"/>
        <w:rPr>
          <w:rFonts w:ascii="Arial" w:hAnsi="Arial"/>
          <w:bCs/>
          <w:i/>
          <w:color w:val="262626" w:themeColor="text1" w:themeTint="D9"/>
        </w:rPr>
      </w:pPr>
      <w:r w:rsidRPr="008F623C">
        <w:rPr>
          <w:rFonts w:ascii="Arial" w:hAnsi="Arial"/>
          <w:bCs/>
          <w:i/>
          <w:color w:val="262626" w:themeColor="text1" w:themeTint="D9"/>
        </w:rPr>
        <w:t>Future Trends</w:t>
      </w:r>
    </w:p>
    <w:p w14:paraId="1CB66674" w14:textId="621C57FA" w:rsidR="00A96D08" w:rsidRPr="00A96D08" w:rsidRDefault="00A96D08" w:rsidP="00A96D08">
      <w:pPr>
        <w:pStyle w:val="BodyText3"/>
        <w:spacing w:before="200" w:after="200" w:line="264" w:lineRule="auto"/>
        <w:rPr>
          <w:sz w:val="24"/>
          <w:szCs w:val="24"/>
        </w:rPr>
      </w:pPr>
      <w:r w:rsidRPr="00A96D08">
        <w:rPr>
          <w:sz w:val="24"/>
          <w:szCs w:val="24"/>
        </w:rPr>
        <w:t xml:space="preserve">The future trend expected for the 2024-25 budget for other expenses is </w:t>
      </w:r>
      <w:r w:rsidRPr="00A96D08">
        <w:rPr>
          <w:b/>
          <w:sz w:val="24"/>
          <w:szCs w:val="24"/>
        </w:rPr>
        <w:t xml:space="preserve">$3.3 million. </w:t>
      </w:r>
      <w:r w:rsidRPr="00A96D08">
        <w:rPr>
          <w:sz w:val="24"/>
          <w:szCs w:val="24"/>
        </w:rPr>
        <w:t xml:space="preserve">This is a decrease of </w:t>
      </w:r>
      <w:r w:rsidRPr="00A96D08">
        <w:rPr>
          <w:b/>
          <w:sz w:val="24"/>
          <w:szCs w:val="24"/>
        </w:rPr>
        <w:t xml:space="preserve">$5.5 million </w:t>
      </w:r>
      <w:r w:rsidRPr="00A96D08">
        <w:rPr>
          <w:sz w:val="24"/>
          <w:szCs w:val="24"/>
        </w:rPr>
        <w:t>from the 2023-24 actual result mainly due to the first independent actuarial valuation for the PSA scheme undertaken as at 30 June 2024</w:t>
      </w:r>
      <w:r w:rsidR="00CE5213">
        <w:rPr>
          <w:sz w:val="24"/>
          <w:szCs w:val="24"/>
        </w:rPr>
        <w:t>,</w:t>
      </w:r>
      <w:r w:rsidRPr="00A96D08">
        <w:rPr>
          <w:sz w:val="24"/>
          <w:szCs w:val="24"/>
        </w:rPr>
        <w:t xml:space="preserve"> and BWI </w:t>
      </w:r>
      <w:r w:rsidRPr="00A96D08">
        <w:rPr>
          <w:sz w:val="24"/>
          <w:szCs w:val="24"/>
        </w:rPr>
        <w:lastRenderedPageBreak/>
        <w:t xml:space="preserve">budget reallocation align with the claims expenses budget in order to improve the presentation and disclosure for future financial statements, offset by higher in external insurance contracts due to the Territory’s fleet insurance arrangement the Authority took over management of from 31 March 2024. </w:t>
      </w:r>
    </w:p>
    <w:p w14:paraId="475E5E4E" w14:textId="77777777" w:rsidR="00B31236" w:rsidRPr="00A452F5" w:rsidRDefault="00B31236" w:rsidP="00837B6C">
      <w:pPr>
        <w:rPr>
          <w:rFonts w:ascii="Arial" w:hAnsi="Arial" w:cs="Arial"/>
          <w:b/>
          <w:bCs/>
        </w:rPr>
      </w:pPr>
    </w:p>
    <w:p w14:paraId="0530732D" w14:textId="425EBBFB" w:rsidR="002E71BB" w:rsidRPr="00713BE3" w:rsidRDefault="002E71BB" w:rsidP="00713BE3">
      <w:pPr>
        <w:pStyle w:val="Heading5"/>
        <w:rPr>
          <w:color w:val="492581" w:themeColor="accent1"/>
        </w:rPr>
      </w:pPr>
      <w:r w:rsidRPr="00713BE3">
        <w:rPr>
          <w:color w:val="492581" w:themeColor="accent1"/>
        </w:rPr>
        <w:t>General and Administration Expenses</w:t>
      </w:r>
    </w:p>
    <w:p w14:paraId="2EBF2B30" w14:textId="1E5093B2" w:rsidR="002E71BB" w:rsidRPr="009A3356" w:rsidRDefault="002E71BB" w:rsidP="009A3356">
      <w:pPr>
        <w:pStyle w:val="Heading6"/>
        <w:tabs>
          <w:tab w:val="left" w:pos="1190"/>
        </w:tabs>
        <w:spacing w:before="240" w:after="120" w:line="240" w:lineRule="auto"/>
        <w:rPr>
          <w:rFonts w:ascii="Arial" w:hAnsi="Arial"/>
          <w:bCs/>
          <w:i/>
          <w:color w:val="262626" w:themeColor="text1" w:themeTint="D9"/>
        </w:rPr>
      </w:pPr>
      <w:r w:rsidRPr="009A3356">
        <w:rPr>
          <w:rFonts w:ascii="Arial" w:hAnsi="Arial"/>
          <w:bCs/>
          <w:i/>
          <w:color w:val="262626" w:themeColor="text1" w:themeTint="D9"/>
        </w:rPr>
        <w:t>Components of General and Administration Expenses</w:t>
      </w:r>
    </w:p>
    <w:p w14:paraId="42854869" w14:textId="1E395078" w:rsidR="003B7469" w:rsidRPr="00031925" w:rsidRDefault="003B7469" w:rsidP="002E71BB">
      <w:pPr>
        <w:keepNext/>
        <w:spacing w:before="144" w:after="144"/>
        <w:outlineLvl w:val="5"/>
      </w:pPr>
      <w:r w:rsidRPr="00031925">
        <w:t xml:space="preserve">General and administration expenses totalled </w:t>
      </w:r>
      <w:r w:rsidRPr="00031925">
        <w:rPr>
          <w:b/>
        </w:rPr>
        <w:t>$6.1 million</w:t>
      </w:r>
      <w:r w:rsidRPr="00031925">
        <w:t xml:space="preserve"> for the Authority in 2023-24. As shown in </w:t>
      </w:r>
      <w:r w:rsidRPr="00031925">
        <w:rPr>
          <w:i/>
        </w:rPr>
        <w:t>Figure C.3</w:t>
      </w:r>
      <w:r w:rsidRPr="00031925">
        <w:t>, the main components of these expenses relate to employee and supplies and services expenses</w:t>
      </w:r>
      <w:r w:rsidR="00A3527C">
        <w:t>.</w:t>
      </w:r>
    </w:p>
    <w:p w14:paraId="5549A971" w14:textId="5EB6DC12" w:rsidR="002E71BB" w:rsidRPr="00660B46" w:rsidRDefault="002E71BB" w:rsidP="002E71BB">
      <w:pPr>
        <w:keepNext/>
        <w:spacing w:before="144" w:after="144"/>
        <w:outlineLvl w:val="5"/>
        <w:rPr>
          <w:rFonts w:cs="Calibri"/>
          <w:bCs/>
          <w:caps/>
          <w:color w:val="262626" w:themeColor="text1" w:themeTint="D9"/>
          <w:szCs w:val="22"/>
        </w:rPr>
      </w:pPr>
      <w:r w:rsidRPr="00370D68">
        <w:rPr>
          <w:b/>
          <w:bCs/>
          <w:color w:val="262626" w:themeColor="text1" w:themeTint="D9"/>
        </w:rPr>
        <w:t xml:space="preserve">Figure C.3: Components of General and </w:t>
      </w:r>
      <w:r w:rsidR="00660B46" w:rsidRPr="00370D68">
        <w:rPr>
          <w:b/>
          <w:bCs/>
          <w:color w:val="262626" w:themeColor="text1" w:themeTint="D9"/>
        </w:rPr>
        <w:t>A</w:t>
      </w:r>
      <w:r w:rsidRPr="00370D68">
        <w:rPr>
          <w:b/>
          <w:bCs/>
          <w:color w:val="262626" w:themeColor="text1" w:themeTint="D9"/>
        </w:rPr>
        <w:t xml:space="preserve">dministration </w:t>
      </w:r>
      <w:r w:rsidR="00660B46" w:rsidRPr="00370D68">
        <w:rPr>
          <w:b/>
          <w:bCs/>
          <w:color w:val="262626" w:themeColor="text1" w:themeTint="D9"/>
        </w:rPr>
        <w:t>E</w:t>
      </w:r>
      <w:r w:rsidR="00F86511" w:rsidRPr="00370D68">
        <w:rPr>
          <w:b/>
          <w:bCs/>
          <w:color w:val="262626" w:themeColor="text1" w:themeTint="D9"/>
        </w:rPr>
        <w:t>xpenses</w:t>
      </w:r>
      <w:r w:rsidRPr="00370D68">
        <w:rPr>
          <w:b/>
          <w:bCs/>
          <w:color w:val="262626" w:themeColor="text1" w:themeTint="D9"/>
        </w:rPr>
        <w:t xml:space="preserve"> </w:t>
      </w:r>
      <w:r w:rsidR="00323290" w:rsidRPr="00370D68">
        <w:rPr>
          <w:b/>
          <w:bCs/>
          <w:color w:val="262626" w:themeColor="text1" w:themeTint="D9"/>
        </w:rPr>
        <w:t>2023-24</w:t>
      </w:r>
    </w:p>
    <w:p w14:paraId="78EC91BD" w14:textId="3272C588" w:rsidR="009226A8" w:rsidRDefault="009E4F4A">
      <w:pPr>
        <w:spacing w:after="0" w:line="240" w:lineRule="auto"/>
        <w:rPr>
          <w:rFonts w:asciiTheme="majorHAnsi" w:hAnsiTheme="majorHAnsi" w:cstheme="majorHAnsi"/>
          <w:b/>
          <w:i/>
          <w:color w:val="262626" w:themeColor="text1" w:themeTint="D9"/>
        </w:rPr>
      </w:pPr>
      <w:r>
        <w:rPr>
          <w:b/>
          <w:bCs/>
          <w:i/>
          <w:iCs/>
          <w:noProof/>
          <w:lang w:eastAsia="en-AU"/>
        </w:rPr>
        <w:drawing>
          <wp:anchor distT="0" distB="0" distL="114300" distR="114300" simplePos="0" relativeHeight="251658250" behindDoc="0" locked="0" layoutInCell="1" allowOverlap="1" wp14:anchorId="7810B11E" wp14:editId="6071F886">
            <wp:simplePos x="0" y="0"/>
            <wp:positionH relativeFrom="column">
              <wp:posOffset>3175</wp:posOffset>
            </wp:positionH>
            <wp:positionV relativeFrom="paragraph">
              <wp:posOffset>187325</wp:posOffset>
            </wp:positionV>
            <wp:extent cx="5759450" cy="3009265"/>
            <wp:effectExtent l="0" t="0" r="12700" b="635"/>
            <wp:wrapTopAndBottom/>
            <wp:docPr id="3" name="Char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269FF50A" w14:textId="42F4D6FA" w:rsidR="009226A8" w:rsidRPr="00EF60ED" w:rsidRDefault="009226A8" w:rsidP="009226A8">
      <w:pPr>
        <w:spacing w:before="120" w:after="120"/>
        <w:rPr>
          <w:i/>
          <w:sz w:val="18"/>
          <w:szCs w:val="18"/>
        </w:rPr>
      </w:pPr>
      <w:r w:rsidRPr="00EF60ED">
        <w:rPr>
          <w:i/>
          <w:sz w:val="18"/>
          <w:szCs w:val="18"/>
        </w:rPr>
        <w:t xml:space="preserve">Source: ACT Insurance Authority’s </w:t>
      </w:r>
      <w:r w:rsidR="00323290">
        <w:rPr>
          <w:i/>
          <w:sz w:val="18"/>
          <w:szCs w:val="18"/>
        </w:rPr>
        <w:t>2023-24</w:t>
      </w:r>
      <w:r w:rsidRPr="00EF60ED">
        <w:rPr>
          <w:i/>
          <w:sz w:val="18"/>
          <w:szCs w:val="18"/>
        </w:rPr>
        <w:t xml:space="preserve"> Financial Statements.</w:t>
      </w:r>
    </w:p>
    <w:p w14:paraId="4FD85AAC" w14:textId="59F06640" w:rsidR="002E71BB" w:rsidRPr="00575457" w:rsidRDefault="002E71BB" w:rsidP="00575457">
      <w:pPr>
        <w:pStyle w:val="Heading6"/>
        <w:tabs>
          <w:tab w:val="left" w:pos="1190"/>
        </w:tabs>
        <w:spacing w:before="240" w:after="120" w:line="240" w:lineRule="auto"/>
        <w:rPr>
          <w:rFonts w:ascii="Arial" w:hAnsi="Arial"/>
          <w:bCs/>
          <w:i/>
          <w:color w:val="262626" w:themeColor="text1" w:themeTint="D9"/>
        </w:rPr>
      </w:pPr>
      <w:r w:rsidRPr="002240E8">
        <w:rPr>
          <w:rFonts w:ascii="Arial" w:hAnsi="Arial"/>
          <w:bCs/>
          <w:i/>
          <w:color w:val="262626" w:themeColor="text1" w:themeTint="D9"/>
        </w:rPr>
        <w:t xml:space="preserve">Comparison to </w:t>
      </w:r>
      <w:r w:rsidR="002240E8" w:rsidRPr="002240E8">
        <w:rPr>
          <w:rFonts w:ascii="Arial" w:hAnsi="Arial"/>
          <w:bCs/>
          <w:i/>
          <w:color w:val="262626" w:themeColor="text1" w:themeTint="D9"/>
        </w:rPr>
        <w:t xml:space="preserve">Original </w:t>
      </w:r>
      <w:r w:rsidRPr="002240E8">
        <w:rPr>
          <w:rFonts w:ascii="Arial" w:hAnsi="Arial"/>
          <w:bCs/>
          <w:i/>
          <w:color w:val="262626" w:themeColor="text1" w:themeTint="D9"/>
        </w:rPr>
        <w:t>Budget</w:t>
      </w:r>
    </w:p>
    <w:p w14:paraId="44B0B6E8" w14:textId="77777777" w:rsidR="00AB2E2B" w:rsidRPr="00AB2E2B" w:rsidRDefault="00AB2E2B" w:rsidP="00AB2E2B">
      <w:pPr>
        <w:pStyle w:val="BodyText3"/>
        <w:spacing w:before="200" w:after="200" w:line="264" w:lineRule="auto"/>
        <w:rPr>
          <w:sz w:val="24"/>
          <w:szCs w:val="24"/>
        </w:rPr>
      </w:pPr>
      <w:r w:rsidRPr="00AB2E2B">
        <w:rPr>
          <w:sz w:val="24"/>
          <w:szCs w:val="24"/>
        </w:rPr>
        <w:t xml:space="preserve">In 2023-24, general and administration expenses were </w:t>
      </w:r>
      <w:r w:rsidRPr="00AB2E2B">
        <w:rPr>
          <w:b/>
          <w:bCs/>
          <w:sz w:val="24"/>
          <w:szCs w:val="24"/>
        </w:rPr>
        <w:t>$1.1 million</w:t>
      </w:r>
      <w:r w:rsidRPr="00AB2E2B">
        <w:rPr>
          <w:sz w:val="24"/>
          <w:szCs w:val="24"/>
        </w:rPr>
        <w:t xml:space="preserve"> lower than the original budget</w:t>
      </w:r>
      <w:r w:rsidRPr="00AB2E2B">
        <w:rPr>
          <w:bCs/>
          <w:sz w:val="24"/>
          <w:szCs w:val="24"/>
        </w:rPr>
        <w:t xml:space="preserve"> </w:t>
      </w:r>
      <w:r w:rsidRPr="00AB2E2B">
        <w:rPr>
          <w:sz w:val="24"/>
          <w:szCs w:val="24"/>
        </w:rPr>
        <w:t xml:space="preserve">of </w:t>
      </w:r>
      <w:r w:rsidRPr="00AB2E2B">
        <w:rPr>
          <w:b/>
          <w:sz w:val="24"/>
          <w:szCs w:val="24"/>
        </w:rPr>
        <w:t>$7.1 million</w:t>
      </w:r>
      <w:r w:rsidRPr="00AB2E2B">
        <w:rPr>
          <w:sz w:val="24"/>
          <w:szCs w:val="24"/>
        </w:rPr>
        <w:t xml:space="preserve">. This is predominantly due to lower than expected expenses in supplies and services. </w:t>
      </w:r>
    </w:p>
    <w:p w14:paraId="46D5B8F1" w14:textId="799F7745" w:rsidR="002E71BB" w:rsidRPr="00575457" w:rsidRDefault="002E71BB" w:rsidP="00575457">
      <w:pPr>
        <w:pStyle w:val="Heading6"/>
        <w:tabs>
          <w:tab w:val="left" w:pos="1190"/>
        </w:tabs>
        <w:spacing w:before="240" w:after="120" w:line="240" w:lineRule="auto"/>
        <w:rPr>
          <w:rFonts w:ascii="Arial" w:hAnsi="Arial"/>
          <w:bCs/>
          <w:i/>
          <w:color w:val="262626" w:themeColor="text1" w:themeTint="D9"/>
        </w:rPr>
      </w:pPr>
      <w:r w:rsidRPr="00575457">
        <w:rPr>
          <w:rFonts w:ascii="Arial" w:hAnsi="Arial"/>
          <w:bCs/>
          <w:i/>
          <w:color w:val="262626" w:themeColor="text1" w:themeTint="D9"/>
        </w:rPr>
        <w:t>Comparison to 202</w:t>
      </w:r>
      <w:r w:rsidR="001E7505" w:rsidRPr="00575457">
        <w:rPr>
          <w:rFonts w:ascii="Arial" w:hAnsi="Arial"/>
          <w:bCs/>
          <w:i/>
          <w:color w:val="262626" w:themeColor="text1" w:themeTint="D9"/>
        </w:rPr>
        <w:t>2</w:t>
      </w:r>
      <w:r w:rsidRPr="00575457">
        <w:rPr>
          <w:rFonts w:ascii="Arial" w:hAnsi="Arial"/>
          <w:bCs/>
          <w:i/>
          <w:color w:val="262626" w:themeColor="text1" w:themeTint="D9"/>
        </w:rPr>
        <w:t>-2</w:t>
      </w:r>
      <w:r w:rsidR="001E7505" w:rsidRPr="00575457">
        <w:rPr>
          <w:rFonts w:ascii="Arial" w:hAnsi="Arial"/>
          <w:bCs/>
          <w:i/>
          <w:color w:val="262626" w:themeColor="text1" w:themeTint="D9"/>
        </w:rPr>
        <w:t>3</w:t>
      </w:r>
      <w:r w:rsidRPr="00575457">
        <w:rPr>
          <w:rFonts w:ascii="Arial" w:hAnsi="Arial"/>
          <w:bCs/>
          <w:i/>
          <w:color w:val="262626" w:themeColor="text1" w:themeTint="D9"/>
        </w:rPr>
        <w:t xml:space="preserve"> Actual</w:t>
      </w:r>
    </w:p>
    <w:p w14:paraId="556610D9" w14:textId="5830CCFC" w:rsidR="003E2E4D" w:rsidRPr="003E2E4D" w:rsidRDefault="003E2E4D" w:rsidP="00B07F98">
      <w:r w:rsidRPr="003E2E4D">
        <w:t xml:space="preserve">In comparison to the 2022-23 actual result of </w:t>
      </w:r>
      <w:r w:rsidRPr="00B07F98">
        <w:rPr>
          <w:b/>
          <w:bCs/>
        </w:rPr>
        <w:t>$5.8 million</w:t>
      </w:r>
      <w:r w:rsidRPr="003E2E4D">
        <w:t xml:space="preserve">, general and administration expenses have not had a significant movement, with a minor increase of </w:t>
      </w:r>
      <w:r w:rsidRPr="00B07F98">
        <w:rPr>
          <w:b/>
          <w:bCs/>
        </w:rPr>
        <w:t>$0.2 million</w:t>
      </w:r>
      <w:r w:rsidR="00B07F98">
        <w:t>.</w:t>
      </w:r>
    </w:p>
    <w:p w14:paraId="70F56CD3" w14:textId="0BCD1332" w:rsidR="002E71BB" w:rsidRPr="00575457" w:rsidRDefault="002E71BB" w:rsidP="00575457">
      <w:pPr>
        <w:pStyle w:val="Heading6"/>
        <w:tabs>
          <w:tab w:val="left" w:pos="1190"/>
        </w:tabs>
        <w:spacing w:before="240" w:after="120" w:line="240" w:lineRule="auto"/>
        <w:rPr>
          <w:rFonts w:ascii="Arial" w:hAnsi="Arial"/>
          <w:bCs/>
          <w:i/>
          <w:color w:val="262626" w:themeColor="text1" w:themeTint="D9"/>
        </w:rPr>
      </w:pPr>
      <w:r w:rsidRPr="00575457">
        <w:rPr>
          <w:rFonts w:ascii="Arial" w:hAnsi="Arial"/>
          <w:bCs/>
          <w:i/>
          <w:color w:val="262626" w:themeColor="text1" w:themeTint="D9"/>
        </w:rPr>
        <w:lastRenderedPageBreak/>
        <w:t>Future Trends</w:t>
      </w:r>
    </w:p>
    <w:p w14:paraId="049813E6" w14:textId="46963F9C" w:rsidR="0038288C" w:rsidRDefault="0038288C" w:rsidP="00806472">
      <w:pPr>
        <w:pStyle w:val="BodyText3"/>
        <w:spacing w:before="200" w:after="200" w:line="264" w:lineRule="auto"/>
        <w:rPr>
          <w:bCs/>
          <w:sz w:val="24"/>
          <w:szCs w:val="24"/>
        </w:rPr>
      </w:pPr>
      <w:r w:rsidRPr="0038288C">
        <w:rPr>
          <w:sz w:val="24"/>
          <w:szCs w:val="24"/>
        </w:rPr>
        <w:t xml:space="preserve">The future trend expected for the 2024-25 budget for general and administration expenses is </w:t>
      </w:r>
      <w:r w:rsidRPr="0038288C">
        <w:rPr>
          <w:b/>
          <w:sz w:val="24"/>
          <w:szCs w:val="24"/>
        </w:rPr>
        <w:t xml:space="preserve">$8.6 million. </w:t>
      </w:r>
      <w:r w:rsidRPr="0038288C">
        <w:rPr>
          <w:bCs/>
          <w:sz w:val="24"/>
          <w:szCs w:val="24"/>
        </w:rPr>
        <w:t xml:space="preserve">This is an increase of </w:t>
      </w:r>
      <w:r w:rsidRPr="0038288C">
        <w:rPr>
          <w:b/>
          <w:sz w:val="24"/>
          <w:szCs w:val="24"/>
        </w:rPr>
        <w:t>$2.6 million</w:t>
      </w:r>
      <w:r w:rsidRPr="0038288C">
        <w:rPr>
          <w:bCs/>
          <w:sz w:val="24"/>
          <w:szCs w:val="24"/>
        </w:rPr>
        <w:t xml:space="preserve"> from the 2023-24 actual result mainly due to higher expenses anticipated in supplies and services mainly due to information management system procurement activities.</w:t>
      </w:r>
    </w:p>
    <w:p w14:paraId="74C9D966" w14:textId="77777777" w:rsidR="00E96224" w:rsidRPr="00806472" w:rsidRDefault="00E96224" w:rsidP="00806472">
      <w:pPr>
        <w:pStyle w:val="BodyText3"/>
        <w:spacing w:before="200" w:after="200" w:line="264" w:lineRule="auto"/>
        <w:rPr>
          <w:bCs/>
          <w:sz w:val="24"/>
          <w:szCs w:val="24"/>
        </w:rPr>
      </w:pPr>
    </w:p>
    <w:p w14:paraId="2658F8C6" w14:textId="3E274BEA" w:rsidR="002E71BB" w:rsidRPr="0038288C" w:rsidRDefault="002E71BB" w:rsidP="0038288C">
      <w:pPr>
        <w:pStyle w:val="Heading5"/>
        <w:keepLines w:val="0"/>
        <w:tabs>
          <w:tab w:val="left" w:pos="1190"/>
        </w:tabs>
        <w:spacing w:line="240" w:lineRule="auto"/>
        <w:rPr>
          <w:rFonts w:eastAsia="Times New Roman"/>
          <w:iCs/>
          <w:color w:val="492581" w:themeColor="accent1"/>
          <w:sz w:val="28"/>
          <w:szCs w:val="28"/>
        </w:rPr>
      </w:pPr>
      <w:r w:rsidRPr="0038288C">
        <w:rPr>
          <w:rFonts w:eastAsia="Times New Roman"/>
          <w:iCs/>
          <w:color w:val="492581" w:themeColor="accent1"/>
          <w:sz w:val="28"/>
          <w:szCs w:val="28"/>
        </w:rPr>
        <w:t>Total Assets</w:t>
      </w:r>
    </w:p>
    <w:p w14:paraId="7DDF2CD8" w14:textId="3185CD0F" w:rsidR="00E96224" w:rsidRPr="00E96224" w:rsidRDefault="002E71BB" w:rsidP="00E96224">
      <w:pPr>
        <w:pStyle w:val="Heading6"/>
        <w:tabs>
          <w:tab w:val="left" w:pos="1190"/>
        </w:tabs>
        <w:spacing w:before="240" w:after="120" w:line="240" w:lineRule="auto"/>
        <w:rPr>
          <w:rFonts w:ascii="Arial" w:hAnsi="Arial"/>
          <w:bCs/>
          <w:i/>
          <w:color w:val="262626" w:themeColor="text1" w:themeTint="D9"/>
        </w:rPr>
      </w:pPr>
      <w:r w:rsidRPr="00936D4F">
        <w:rPr>
          <w:rFonts w:ascii="Arial" w:hAnsi="Arial"/>
          <w:bCs/>
          <w:i/>
          <w:color w:val="262626" w:themeColor="text1" w:themeTint="D9"/>
        </w:rPr>
        <w:t>Components of Total Assets</w:t>
      </w:r>
    </w:p>
    <w:p w14:paraId="47C662B1" w14:textId="77777777" w:rsidR="00D45C05" w:rsidRPr="00D45C05" w:rsidRDefault="00D45C05" w:rsidP="00D45C05">
      <w:pPr>
        <w:pStyle w:val="BodyText3"/>
        <w:spacing w:before="200" w:after="200" w:line="264" w:lineRule="auto"/>
        <w:rPr>
          <w:sz w:val="24"/>
          <w:szCs w:val="24"/>
        </w:rPr>
      </w:pPr>
      <w:r w:rsidRPr="00D45C05">
        <w:rPr>
          <w:sz w:val="24"/>
          <w:szCs w:val="24"/>
        </w:rPr>
        <w:t xml:space="preserve">The total assets position of the Authority as at 30 June 2024 is </w:t>
      </w:r>
      <w:r w:rsidRPr="00D45C05">
        <w:rPr>
          <w:b/>
          <w:sz w:val="24"/>
          <w:szCs w:val="24"/>
        </w:rPr>
        <w:t>$476.4 million</w:t>
      </w:r>
      <w:r w:rsidRPr="00D45C05">
        <w:rPr>
          <w:sz w:val="24"/>
          <w:szCs w:val="24"/>
        </w:rPr>
        <w:t xml:space="preserve">. </w:t>
      </w:r>
      <w:r w:rsidRPr="00D45C05">
        <w:rPr>
          <w:i/>
          <w:sz w:val="24"/>
          <w:szCs w:val="24"/>
        </w:rPr>
        <w:t>Figure C.4</w:t>
      </w:r>
      <w:r w:rsidRPr="00D45C05">
        <w:rPr>
          <w:sz w:val="24"/>
          <w:szCs w:val="24"/>
        </w:rPr>
        <w:t xml:space="preserve"> below indicates that </w:t>
      </w:r>
      <w:proofErr w:type="gramStart"/>
      <w:r w:rsidRPr="00D45C05">
        <w:rPr>
          <w:sz w:val="24"/>
          <w:szCs w:val="24"/>
        </w:rPr>
        <w:t>the majority of</w:t>
      </w:r>
      <w:proofErr w:type="gramEnd"/>
      <w:r w:rsidRPr="00D45C05">
        <w:rPr>
          <w:sz w:val="24"/>
          <w:szCs w:val="24"/>
        </w:rPr>
        <w:t xml:space="preserve"> the assets are held in Cash and Investments (</w:t>
      </w:r>
      <w:r w:rsidRPr="00D45C05">
        <w:rPr>
          <w:b/>
          <w:bCs/>
          <w:sz w:val="24"/>
          <w:szCs w:val="24"/>
        </w:rPr>
        <w:t>86%</w:t>
      </w:r>
      <w:r w:rsidRPr="00D45C05">
        <w:rPr>
          <w:sz w:val="24"/>
          <w:szCs w:val="24"/>
        </w:rPr>
        <w:t>).</w:t>
      </w:r>
    </w:p>
    <w:p w14:paraId="032343FC" w14:textId="32294DA5" w:rsidR="002E71BB" w:rsidRPr="00B33A02" w:rsidRDefault="002E71BB" w:rsidP="002E71BB">
      <w:pPr>
        <w:keepNext/>
        <w:spacing w:before="144" w:after="144"/>
        <w:outlineLvl w:val="5"/>
        <w:rPr>
          <w:b/>
          <w:bCs/>
          <w:color w:val="262626" w:themeColor="text1" w:themeTint="D9"/>
        </w:rPr>
      </w:pPr>
      <w:r w:rsidRPr="00D45C05">
        <w:rPr>
          <w:b/>
          <w:bCs/>
          <w:color w:val="262626" w:themeColor="text1" w:themeTint="D9"/>
        </w:rPr>
        <w:t xml:space="preserve">Figure C.4: Components of </w:t>
      </w:r>
      <w:r w:rsidR="00B33A02" w:rsidRPr="00D45C05">
        <w:rPr>
          <w:b/>
          <w:bCs/>
          <w:color w:val="262626" w:themeColor="text1" w:themeTint="D9"/>
        </w:rPr>
        <w:t>T</w:t>
      </w:r>
      <w:r w:rsidRPr="00D45C05">
        <w:rPr>
          <w:b/>
          <w:bCs/>
          <w:color w:val="262626" w:themeColor="text1" w:themeTint="D9"/>
        </w:rPr>
        <w:t xml:space="preserve">otal Assets </w:t>
      </w:r>
      <w:r w:rsidR="00323290" w:rsidRPr="00D45C05">
        <w:rPr>
          <w:b/>
          <w:bCs/>
          <w:color w:val="262626" w:themeColor="text1" w:themeTint="D9"/>
        </w:rPr>
        <w:t>2023-24</w:t>
      </w:r>
    </w:p>
    <w:p w14:paraId="7D21353F" w14:textId="5F649A56" w:rsidR="00A35E2B" w:rsidRDefault="00450B6C">
      <w:pPr>
        <w:spacing w:after="0" w:line="240" w:lineRule="auto"/>
        <w:rPr>
          <w:b/>
          <w:i/>
          <w:highlight w:val="yellow"/>
        </w:rPr>
      </w:pPr>
      <w:r w:rsidRPr="00E746D5">
        <w:rPr>
          <w:noProof/>
          <w:lang w:eastAsia="en-AU"/>
        </w:rPr>
        <w:drawing>
          <wp:inline distT="0" distB="0" distL="0" distR="0" wp14:anchorId="3181C363" wp14:editId="24530807">
            <wp:extent cx="5760720" cy="3195732"/>
            <wp:effectExtent l="0" t="0" r="11430" b="5080"/>
            <wp:docPr id="103614474" name="Chart 103614474" descr="Pie chart of Total Assets breaking it down into percenta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C833CC" w14:textId="5DE41218" w:rsidR="00A35E2B" w:rsidRPr="0027016A" w:rsidRDefault="00A35E2B" w:rsidP="00A35E2B">
      <w:pPr>
        <w:pStyle w:val="BodyText3"/>
        <w:rPr>
          <w:i/>
          <w:sz w:val="18"/>
          <w:szCs w:val="18"/>
        </w:rPr>
      </w:pPr>
      <w:r w:rsidRPr="0027016A">
        <w:rPr>
          <w:i/>
          <w:sz w:val="18"/>
          <w:szCs w:val="18"/>
        </w:rPr>
        <w:t xml:space="preserve">Source: ACT Insurance Authority’s </w:t>
      </w:r>
      <w:r w:rsidR="00323290">
        <w:rPr>
          <w:i/>
          <w:sz w:val="18"/>
          <w:szCs w:val="18"/>
        </w:rPr>
        <w:t>2023-24</w:t>
      </w:r>
      <w:r w:rsidRPr="0027016A">
        <w:rPr>
          <w:i/>
          <w:sz w:val="18"/>
          <w:szCs w:val="18"/>
        </w:rPr>
        <w:t xml:space="preserve"> Financial Statements.</w:t>
      </w:r>
    </w:p>
    <w:p w14:paraId="0196E479" w14:textId="39BBB01D" w:rsidR="002E71BB" w:rsidRPr="0082079C" w:rsidRDefault="002E71BB" w:rsidP="0082079C">
      <w:pPr>
        <w:pStyle w:val="Heading6"/>
        <w:tabs>
          <w:tab w:val="left" w:pos="1190"/>
        </w:tabs>
        <w:spacing w:before="240" w:after="120" w:line="240" w:lineRule="auto"/>
        <w:rPr>
          <w:rFonts w:ascii="Arial" w:hAnsi="Arial"/>
          <w:bCs/>
          <w:i/>
          <w:color w:val="262626" w:themeColor="text1" w:themeTint="D9"/>
        </w:rPr>
      </w:pPr>
      <w:r w:rsidRPr="00A52BEB">
        <w:rPr>
          <w:rFonts w:ascii="Arial" w:hAnsi="Arial"/>
          <w:bCs/>
          <w:i/>
          <w:color w:val="262626" w:themeColor="text1" w:themeTint="D9"/>
        </w:rPr>
        <w:t xml:space="preserve">Comparison to </w:t>
      </w:r>
      <w:r w:rsidR="00A52BEB" w:rsidRPr="00A52BEB">
        <w:rPr>
          <w:rFonts w:ascii="Arial" w:hAnsi="Arial"/>
          <w:bCs/>
          <w:i/>
          <w:color w:val="262626" w:themeColor="text1" w:themeTint="D9"/>
        </w:rPr>
        <w:t xml:space="preserve">Original </w:t>
      </w:r>
      <w:r w:rsidRPr="00A52BEB">
        <w:rPr>
          <w:rFonts w:ascii="Arial" w:hAnsi="Arial"/>
          <w:bCs/>
          <w:i/>
          <w:color w:val="262626" w:themeColor="text1" w:themeTint="D9"/>
        </w:rPr>
        <w:t>Budget</w:t>
      </w:r>
    </w:p>
    <w:p w14:paraId="5EB1DBC1" w14:textId="77777777" w:rsidR="00EA020A" w:rsidRPr="00EA020A" w:rsidRDefault="00EA020A" w:rsidP="00EA020A">
      <w:pPr>
        <w:pStyle w:val="BodyText3"/>
        <w:spacing w:before="200" w:after="200" w:line="264" w:lineRule="auto"/>
        <w:rPr>
          <w:sz w:val="24"/>
          <w:szCs w:val="24"/>
        </w:rPr>
      </w:pPr>
      <w:r w:rsidRPr="00EA020A">
        <w:rPr>
          <w:sz w:val="24"/>
          <w:szCs w:val="24"/>
        </w:rPr>
        <w:t>Total assets as at 30 June 2024 of</w:t>
      </w:r>
      <w:r w:rsidRPr="00EA020A">
        <w:rPr>
          <w:b/>
          <w:bCs/>
          <w:sz w:val="24"/>
          <w:szCs w:val="24"/>
        </w:rPr>
        <w:t xml:space="preserve"> $476.4 million</w:t>
      </w:r>
      <w:r w:rsidRPr="00EA020A">
        <w:rPr>
          <w:sz w:val="24"/>
          <w:szCs w:val="24"/>
        </w:rPr>
        <w:t xml:space="preserve"> is</w:t>
      </w:r>
      <w:r w:rsidRPr="00EA020A">
        <w:rPr>
          <w:b/>
          <w:bCs/>
          <w:sz w:val="24"/>
          <w:szCs w:val="24"/>
        </w:rPr>
        <w:t xml:space="preserve"> $48.5 million</w:t>
      </w:r>
      <w:r w:rsidRPr="00EA020A">
        <w:rPr>
          <w:sz w:val="24"/>
          <w:szCs w:val="24"/>
        </w:rPr>
        <w:t xml:space="preserve"> higher than the original budget of </w:t>
      </w:r>
      <w:r w:rsidRPr="00EA020A">
        <w:rPr>
          <w:b/>
          <w:bCs/>
          <w:sz w:val="24"/>
          <w:szCs w:val="24"/>
        </w:rPr>
        <w:t xml:space="preserve">$427.9 million </w:t>
      </w:r>
      <w:r w:rsidRPr="00B3316C">
        <w:rPr>
          <w:sz w:val="24"/>
          <w:szCs w:val="24"/>
        </w:rPr>
        <w:t>for 2023-24</w:t>
      </w:r>
      <w:r w:rsidRPr="00EA020A">
        <w:rPr>
          <w:sz w:val="24"/>
          <w:szCs w:val="24"/>
        </w:rPr>
        <w:t xml:space="preserve">. This is predominantly due to higher-than-expected claims related recoveries of </w:t>
      </w:r>
      <w:r w:rsidRPr="00EA020A">
        <w:rPr>
          <w:b/>
          <w:bCs/>
          <w:sz w:val="24"/>
          <w:szCs w:val="24"/>
        </w:rPr>
        <w:t>$28.3 million</w:t>
      </w:r>
      <w:r w:rsidRPr="00EA020A">
        <w:rPr>
          <w:sz w:val="24"/>
          <w:szCs w:val="24"/>
        </w:rPr>
        <w:t xml:space="preserve"> due to the movement of actuarial estimated claims recoveries and a higher cash balance of </w:t>
      </w:r>
      <w:r w:rsidRPr="00EA020A">
        <w:rPr>
          <w:b/>
          <w:bCs/>
          <w:sz w:val="24"/>
          <w:szCs w:val="24"/>
        </w:rPr>
        <w:t>$29.0 million</w:t>
      </w:r>
      <w:r w:rsidRPr="00EA020A">
        <w:rPr>
          <w:sz w:val="24"/>
          <w:szCs w:val="24"/>
        </w:rPr>
        <w:t xml:space="preserve"> held at Westpac Bank, partially offset by the decrease in book value of investments of </w:t>
      </w:r>
      <w:r w:rsidRPr="00EA020A">
        <w:rPr>
          <w:b/>
          <w:bCs/>
          <w:sz w:val="24"/>
          <w:szCs w:val="24"/>
        </w:rPr>
        <w:t>$12.3 million</w:t>
      </w:r>
      <w:r w:rsidRPr="00EA020A">
        <w:rPr>
          <w:sz w:val="24"/>
          <w:szCs w:val="24"/>
        </w:rPr>
        <w:t>. The Authority aims to maintain its long-term investment strategy of achieving a growth of long-term average CPI+2.5%.</w:t>
      </w:r>
    </w:p>
    <w:p w14:paraId="48B95025" w14:textId="03E01330" w:rsidR="002E71BB" w:rsidRPr="0030031D" w:rsidRDefault="002E71BB" w:rsidP="0030031D">
      <w:pPr>
        <w:pStyle w:val="Heading6"/>
        <w:tabs>
          <w:tab w:val="left" w:pos="1190"/>
        </w:tabs>
        <w:spacing w:before="240" w:after="120" w:line="240" w:lineRule="auto"/>
        <w:rPr>
          <w:rFonts w:ascii="Arial" w:hAnsi="Arial"/>
          <w:bCs/>
          <w:i/>
          <w:color w:val="262626" w:themeColor="text1" w:themeTint="D9"/>
        </w:rPr>
      </w:pPr>
      <w:r w:rsidRPr="0030031D">
        <w:rPr>
          <w:rFonts w:ascii="Arial" w:hAnsi="Arial"/>
          <w:bCs/>
          <w:i/>
          <w:color w:val="262626" w:themeColor="text1" w:themeTint="D9"/>
        </w:rPr>
        <w:lastRenderedPageBreak/>
        <w:t>Comparison to 202</w:t>
      </w:r>
      <w:r w:rsidR="001E7505" w:rsidRPr="0030031D">
        <w:rPr>
          <w:rFonts w:ascii="Arial" w:hAnsi="Arial"/>
          <w:bCs/>
          <w:i/>
          <w:color w:val="262626" w:themeColor="text1" w:themeTint="D9"/>
        </w:rPr>
        <w:t>2</w:t>
      </w:r>
      <w:r w:rsidRPr="0030031D">
        <w:rPr>
          <w:rFonts w:ascii="Arial" w:hAnsi="Arial"/>
          <w:bCs/>
          <w:i/>
          <w:color w:val="262626" w:themeColor="text1" w:themeTint="D9"/>
        </w:rPr>
        <w:t>-2</w:t>
      </w:r>
      <w:r w:rsidR="001E7505" w:rsidRPr="0030031D">
        <w:rPr>
          <w:rFonts w:ascii="Arial" w:hAnsi="Arial"/>
          <w:bCs/>
          <w:i/>
          <w:color w:val="262626" w:themeColor="text1" w:themeTint="D9"/>
        </w:rPr>
        <w:t>3</w:t>
      </w:r>
      <w:r w:rsidRPr="0030031D">
        <w:rPr>
          <w:rFonts w:ascii="Arial" w:hAnsi="Arial"/>
          <w:bCs/>
          <w:i/>
          <w:color w:val="262626" w:themeColor="text1" w:themeTint="D9"/>
        </w:rPr>
        <w:t xml:space="preserve"> Actual</w:t>
      </w:r>
    </w:p>
    <w:p w14:paraId="0844891A" w14:textId="1DEC742C" w:rsidR="002E71BB" w:rsidRDefault="00E708E1" w:rsidP="00E708E1">
      <w:pPr>
        <w:pStyle w:val="BodyText"/>
        <w:spacing w:before="200" w:after="200" w:line="264" w:lineRule="auto"/>
      </w:pPr>
      <w:r w:rsidRPr="00E708E1">
        <w:t xml:space="preserve">Total assets for 2023-24 are </w:t>
      </w:r>
      <w:r w:rsidRPr="00E708E1">
        <w:rPr>
          <w:b/>
          <w:bCs/>
        </w:rPr>
        <w:t>$52.8 million</w:t>
      </w:r>
      <w:r w:rsidRPr="00E708E1">
        <w:t xml:space="preserve"> higher than the 2022-23 actual position of </w:t>
      </w:r>
      <w:r w:rsidRPr="00E708E1">
        <w:rPr>
          <w:b/>
        </w:rPr>
        <w:t>$423.6 million</w:t>
      </w:r>
      <w:r w:rsidRPr="00E708E1">
        <w:t>. This is predominantly due to higher-than-expected claims related recoveries due to the movement of actuarial estimated claims recoveries and a higher cash balance held at Westpac Bank.</w:t>
      </w:r>
    </w:p>
    <w:p w14:paraId="6E5967D3" w14:textId="77777777" w:rsidR="00E708E1" w:rsidRPr="003D37EE" w:rsidRDefault="00E708E1" w:rsidP="00E708E1">
      <w:pPr>
        <w:pStyle w:val="BodyText"/>
        <w:spacing w:before="200" w:after="200" w:line="264" w:lineRule="auto"/>
      </w:pPr>
    </w:p>
    <w:p w14:paraId="36A1C28D" w14:textId="6CAC9A78" w:rsidR="002E71BB" w:rsidRPr="0030031D" w:rsidRDefault="002E71BB" w:rsidP="0030031D">
      <w:pPr>
        <w:pStyle w:val="Heading5"/>
        <w:keepLines w:val="0"/>
        <w:tabs>
          <w:tab w:val="left" w:pos="1190"/>
        </w:tabs>
        <w:spacing w:line="240" w:lineRule="auto"/>
        <w:rPr>
          <w:rFonts w:eastAsia="Times New Roman"/>
          <w:iCs/>
          <w:color w:val="492581" w:themeColor="accent1"/>
          <w:sz w:val="28"/>
          <w:szCs w:val="28"/>
        </w:rPr>
      </w:pPr>
      <w:r w:rsidRPr="0030031D">
        <w:rPr>
          <w:rFonts w:eastAsia="Times New Roman"/>
          <w:iCs/>
          <w:color w:val="492581" w:themeColor="accent1"/>
          <w:sz w:val="28"/>
          <w:szCs w:val="28"/>
        </w:rPr>
        <w:t>Total Liabilities</w:t>
      </w:r>
    </w:p>
    <w:p w14:paraId="76B16EB1" w14:textId="4252B297" w:rsidR="002E71BB" w:rsidRPr="0030031D" w:rsidRDefault="002E71BB" w:rsidP="0030031D">
      <w:pPr>
        <w:pStyle w:val="Heading6"/>
        <w:tabs>
          <w:tab w:val="left" w:pos="1190"/>
        </w:tabs>
        <w:spacing w:before="240" w:after="120" w:line="240" w:lineRule="auto"/>
        <w:rPr>
          <w:rFonts w:ascii="Arial" w:hAnsi="Arial"/>
          <w:bCs/>
          <w:i/>
          <w:color w:val="262626" w:themeColor="text1" w:themeTint="D9"/>
        </w:rPr>
      </w:pPr>
      <w:r w:rsidRPr="0030031D">
        <w:rPr>
          <w:rFonts w:ascii="Arial" w:hAnsi="Arial"/>
          <w:bCs/>
          <w:i/>
          <w:color w:val="262626" w:themeColor="text1" w:themeTint="D9"/>
        </w:rPr>
        <w:t>Components of Total Liabilities</w:t>
      </w:r>
    </w:p>
    <w:p w14:paraId="40A7BB34" w14:textId="20063B81" w:rsidR="00E34B23" w:rsidRPr="00E34B23" w:rsidRDefault="00E34B23" w:rsidP="00E34B23">
      <w:pPr>
        <w:pStyle w:val="BodyText"/>
        <w:spacing w:before="200" w:after="200" w:line="264" w:lineRule="auto"/>
      </w:pPr>
      <w:r w:rsidRPr="00E34B23">
        <w:t xml:space="preserve">The total liabilities position of the Authority as at 30 June 2024 is </w:t>
      </w:r>
      <w:r w:rsidRPr="00E34B23">
        <w:rPr>
          <w:b/>
          <w:bCs/>
        </w:rPr>
        <w:t>$426.6 million</w:t>
      </w:r>
      <w:r w:rsidRPr="00E34B23">
        <w:t xml:space="preserve">. Figure C.5 below shows that </w:t>
      </w:r>
      <w:proofErr w:type="gramStart"/>
      <w:r w:rsidRPr="00E34B23">
        <w:t>the majority of</w:t>
      </w:r>
      <w:proofErr w:type="gramEnd"/>
      <w:r w:rsidRPr="00E34B23">
        <w:t xml:space="preserve"> liabilities relate to outstanding claims.</w:t>
      </w:r>
    </w:p>
    <w:p w14:paraId="0241089D" w14:textId="304E2329" w:rsidR="00907F3C" w:rsidRPr="006F661A" w:rsidRDefault="00907F3C" w:rsidP="00907F3C">
      <w:pPr>
        <w:keepNext/>
        <w:spacing w:before="144" w:after="144"/>
        <w:outlineLvl w:val="5"/>
        <w:rPr>
          <w:b/>
          <w:bCs/>
          <w:color w:val="262626" w:themeColor="text1" w:themeTint="D9"/>
        </w:rPr>
      </w:pPr>
      <w:r w:rsidRPr="00E34B23">
        <w:rPr>
          <w:b/>
          <w:bCs/>
          <w:color w:val="262626" w:themeColor="text1" w:themeTint="D9"/>
        </w:rPr>
        <w:t>Figure C.</w:t>
      </w:r>
      <w:r w:rsidR="006F661A" w:rsidRPr="00E34B23">
        <w:rPr>
          <w:b/>
          <w:bCs/>
          <w:color w:val="262626" w:themeColor="text1" w:themeTint="D9"/>
        </w:rPr>
        <w:t>5</w:t>
      </w:r>
      <w:r w:rsidRPr="00E34B23">
        <w:rPr>
          <w:b/>
          <w:bCs/>
          <w:color w:val="262626" w:themeColor="text1" w:themeTint="D9"/>
        </w:rPr>
        <w:t xml:space="preserve">: Components of </w:t>
      </w:r>
      <w:r w:rsidR="006F661A" w:rsidRPr="00E34B23">
        <w:rPr>
          <w:b/>
          <w:bCs/>
          <w:color w:val="262626" w:themeColor="text1" w:themeTint="D9"/>
        </w:rPr>
        <w:t>T</w:t>
      </w:r>
      <w:r w:rsidRPr="00E34B23">
        <w:rPr>
          <w:b/>
          <w:bCs/>
          <w:color w:val="262626" w:themeColor="text1" w:themeTint="D9"/>
        </w:rPr>
        <w:t xml:space="preserve">otal Liabilities </w:t>
      </w:r>
      <w:r w:rsidR="00323290" w:rsidRPr="00E34B23">
        <w:rPr>
          <w:b/>
          <w:bCs/>
          <w:color w:val="262626" w:themeColor="text1" w:themeTint="D9"/>
        </w:rPr>
        <w:t>2023-24</w:t>
      </w:r>
    </w:p>
    <w:p w14:paraId="5E6E1511" w14:textId="6793B111" w:rsidR="0098258F" w:rsidRDefault="00F5165A">
      <w:pPr>
        <w:spacing w:after="0" w:line="240" w:lineRule="auto"/>
        <w:rPr>
          <w:rFonts w:asciiTheme="majorHAnsi" w:hAnsiTheme="majorHAnsi" w:cstheme="majorHAnsi"/>
          <w:b/>
          <w:i/>
          <w:color w:val="262626" w:themeColor="text1" w:themeTint="D9"/>
        </w:rPr>
      </w:pPr>
      <w:r>
        <w:rPr>
          <w:b/>
          <w:bCs/>
          <w:i/>
          <w:iCs/>
          <w:noProof/>
          <w:lang w:eastAsia="en-AU"/>
        </w:rPr>
        <w:drawing>
          <wp:inline distT="0" distB="0" distL="0" distR="0" wp14:anchorId="27FCD8EE" wp14:editId="69F7B2D1">
            <wp:extent cx="5760720" cy="3211287"/>
            <wp:effectExtent l="0" t="0" r="11430" b="8255"/>
            <wp:docPr id="615097124" name="Chart 615097124" descr="Pie chart of Total liabilities broken down into percenta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200A64" w14:textId="4AABA69B" w:rsidR="00634A2E" w:rsidRPr="0084611F" w:rsidRDefault="00634A2E" w:rsidP="00634A2E">
      <w:pPr>
        <w:pStyle w:val="BodyText"/>
        <w:rPr>
          <w:i/>
          <w:sz w:val="18"/>
          <w:szCs w:val="18"/>
        </w:rPr>
      </w:pPr>
      <w:r w:rsidRPr="0084611F">
        <w:rPr>
          <w:i/>
          <w:sz w:val="18"/>
          <w:szCs w:val="18"/>
        </w:rPr>
        <w:t xml:space="preserve">Source: ACT Insurance Authority’s </w:t>
      </w:r>
      <w:r w:rsidR="00323290">
        <w:rPr>
          <w:i/>
          <w:sz w:val="18"/>
          <w:szCs w:val="18"/>
        </w:rPr>
        <w:t>2023-24</w:t>
      </w:r>
      <w:r w:rsidRPr="0084611F">
        <w:rPr>
          <w:i/>
          <w:sz w:val="18"/>
          <w:szCs w:val="18"/>
        </w:rPr>
        <w:t xml:space="preserve"> Financial Statements.</w:t>
      </w:r>
    </w:p>
    <w:p w14:paraId="64604E11" w14:textId="3189D276" w:rsidR="00C538E2" w:rsidRPr="00C538E2" w:rsidRDefault="002E71BB" w:rsidP="00C538E2">
      <w:pPr>
        <w:pStyle w:val="Heading6"/>
        <w:tabs>
          <w:tab w:val="left" w:pos="1190"/>
        </w:tabs>
        <w:spacing w:before="240" w:after="120" w:line="240" w:lineRule="auto"/>
        <w:rPr>
          <w:rFonts w:ascii="Arial" w:hAnsi="Arial"/>
          <w:bCs/>
          <w:i/>
          <w:color w:val="262626" w:themeColor="text1" w:themeTint="D9"/>
        </w:rPr>
      </w:pPr>
      <w:r w:rsidRPr="00660600">
        <w:rPr>
          <w:rFonts w:ascii="Arial" w:hAnsi="Arial"/>
          <w:bCs/>
          <w:i/>
          <w:color w:val="262626" w:themeColor="text1" w:themeTint="D9"/>
        </w:rPr>
        <w:t xml:space="preserve">Comparison to </w:t>
      </w:r>
      <w:r w:rsidR="00660600" w:rsidRPr="00660600">
        <w:rPr>
          <w:rFonts w:ascii="Arial" w:hAnsi="Arial"/>
          <w:bCs/>
          <w:i/>
          <w:color w:val="262626" w:themeColor="text1" w:themeTint="D9"/>
        </w:rPr>
        <w:t xml:space="preserve">Original </w:t>
      </w:r>
      <w:r w:rsidRPr="00660600">
        <w:rPr>
          <w:rFonts w:ascii="Arial" w:hAnsi="Arial"/>
          <w:bCs/>
          <w:i/>
          <w:color w:val="262626" w:themeColor="text1" w:themeTint="D9"/>
        </w:rPr>
        <w:t>Budget</w:t>
      </w:r>
    </w:p>
    <w:p w14:paraId="5B3C6F6F" w14:textId="72E1ABB2" w:rsidR="00B14A60" w:rsidRDefault="00EC0B79" w:rsidP="00EC0B79">
      <w:pPr>
        <w:pStyle w:val="BodyText3"/>
        <w:spacing w:before="200" w:after="200" w:line="264" w:lineRule="auto"/>
        <w:rPr>
          <w:sz w:val="24"/>
          <w:szCs w:val="24"/>
        </w:rPr>
      </w:pPr>
      <w:r w:rsidRPr="00EC0B79">
        <w:rPr>
          <w:sz w:val="24"/>
          <w:szCs w:val="24"/>
        </w:rPr>
        <w:t>Total liabilities as at 30 June 2024 of</w:t>
      </w:r>
      <w:r w:rsidRPr="00EC0B79">
        <w:rPr>
          <w:b/>
          <w:bCs/>
          <w:sz w:val="24"/>
          <w:szCs w:val="24"/>
        </w:rPr>
        <w:t xml:space="preserve"> </w:t>
      </w:r>
      <w:r w:rsidRPr="00EC0B79">
        <w:rPr>
          <w:b/>
          <w:sz w:val="24"/>
          <w:szCs w:val="24"/>
        </w:rPr>
        <w:t>$426.6 million</w:t>
      </w:r>
      <w:r w:rsidRPr="00EC0B79">
        <w:rPr>
          <w:bCs/>
          <w:sz w:val="24"/>
          <w:szCs w:val="24"/>
        </w:rPr>
        <w:t xml:space="preserve"> is</w:t>
      </w:r>
      <w:r w:rsidRPr="00EC0B79">
        <w:rPr>
          <w:b/>
          <w:bCs/>
          <w:sz w:val="24"/>
          <w:szCs w:val="24"/>
        </w:rPr>
        <w:t xml:space="preserve"> $62.4 million</w:t>
      </w:r>
      <w:r w:rsidRPr="00EC0B79">
        <w:rPr>
          <w:sz w:val="24"/>
          <w:szCs w:val="24"/>
        </w:rPr>
        <w:t xml:space="preserve"> higher than the original budget of </w:t>
      </w:r>
      <w:r w:rsidRPr="00EC0B79">
        <w:rPr>
          <w:b/>
          <w:bCs/>
          <w:sz w:val="24"/>
          <w:szCs w:val="24"/>
        </w:rPr>
        <w:t xml:space="preserve">$364.2 million. </w:t>
      </w:r>
      <w:r w:rsidRPr="00EC0B79">
        <w:rPr>
          <w:bCs/>
          <w:sz w:val="24"/>
          <w:szCs w:val="24"/>
        </w:rPr>
        <w:t xml:space="preserve">The increase is predominantly </w:t>
      </w:r>
      <w:r w:rsidRPr="00EC0B79">
        <w:rPr>
          <w:sz w:val="24"/>
          <w:szCs w:val="24"/>
        </w:rPr>
        <w:t>due to an increase in outstanding claims liabilities mainly due to large claims for significant fire events in December 2022 at the Hume Material Recovery Facility and North Canberra Hospital (formerly Calvary Public Hospital Bruce), along with deteriorating claims experience in medical malpractice and public liability, and the changes in actuarial variables such as discounting and inflation.</w:t>
      </w:r>
    </w:p>
    <w:p w14:paraId="5684B709" w14:textId="77777777" w:rsidR="00B14A60" w:rsidRDefault="00B14A60">
      <w:pPr>
        <w:spacing w:after="0" w:line="240" w:lineRule="auto"/>
      </w:pPr>
      <w:r>
        <w:br w:type="page"/>
      </w:r>
    </w:p>
    <w:p w14:paraId="3C16FA0D" w14:textId="5501ADB4" w:rsidR="002E71BB" w:rsidRDefault="002E71BB" w:rsidP="0030031D">
      <w:pPr>
        <w:pStyle w:val="Heading6"/>
        <w:tabs>
          <w:tab w:val="left" w:pos="1190"/>
        </w:tabs>
        <w:spacing w:before="240" w:after="120" w:line="240" w:lineRule="auto"/>
        <w:rPr>
          <w:rFonts w:ascii="Arial" w:hAnsi="Arial"/>
          <w:bCs/>
          <w:i/>
          <w:color w:val="262626" w:themeColor="text1" w:themeTint="D9"/>
        </w:rPr>
      </w:pPr>
      <w:r w:rsidRPr="0030031D">
        <w:rPr>
          <w:rFonts w:ascii="Arial" w:hAnsi="Arial"/>
          <w:bCs/>
          <w:i/>
          <w:color w:val="262626" w:themeColor="text1" w:themeTint="D9"/>
        </w:rPr>
        <w:lastRenderedPageBreak/>
        <w:t>Comparison to 202</w:t>
      </w:r>
      <w:r w:rsidR="00787987" w:rsidRPr="0030031D">
        <w:rPr>
          <w:rFonts w:ascii="Arial" w:hAnsi="Arial"/>
          <w:bCs/>
          <w:i/>
          <w:color w:val="262626" w:themeColor="text1" w:themeTint="D9"/>
        </w:rPr>
        <w:t>2</w:t>
      </w:r>
      <w:r w:rsidRPr="0030031D">
        <w:rPr>
          <w:rFonts w:ascii="Arial" w:hAnsi="Arial"/>
          <w:bCs/>
          <w:i/>
          <w:color w:val="262626" w:themeColor="text1" w:themeTint="D9"/>
        </w:rPr>
        <w:t>-2</w:t>
      </w:r>
      <w:r w:rsidR="00787987" w:rsidRPr="0030031D">
        <w:rPr>
          <w:rFonts w:ascii="Arial" w:hAnsi="Arial"/>
          <w:bCs/>
          <w:i/>
          <w:color w:val="262626" w:themeColor="text1" w:themeTint="D9"/>
        </w:rPr>
        <w:t>3</w:t>
      </w:r>
      <w:r w:rsidRPr="0030031D">
        <w:rPr>
          <w:rFonts w:ascii="Arial" w:hAnsi="Arial"/>
          <w:bCs/>
          <w:i/>
          <w:color w:val="262626" w:themeColor="text1" w:themeTint="D9"/>
        </w:rPr>
        <w:t xml:space="preserve"> Actual</w:t>
      </w:r>
    </w:p>
    <w:p w14:paraId="2087F458" w14:textId="77777777" w:rsidR="009A5464" w:rsidRPr="009A5464" w:rsidRDefault="009A5464" w:rsidP="009A5464">
      <w:pPr>
        <w:pStyle w:val="BodyText3"/>
        <w:spacing w:before="200" w:after="200" w:line="264" w:lineRule="auto"/>
        <w:rPr>
          <w:sz w:val="24"/>
          <w:szCs w:val="24"/>
        </w:rPr>
      </w:pPr>
      <w:r w:rsidRPr="009A5464">
        <w:rPr>
          <w:sz w:val="24"/>
          <w:szCs w:val="24"/>
        </w:rPr>
        <w:t xml:space="preserve">Total liabilities are </w:t>
      </w:r>
      <w:r w:rsidRPr="0001471C">
        <w:rPr>
          <w:b/>
          <w:bCs/>
          <w:sz w:val="24"/>
          <w:szCs w:val="24"/>
        </w:rPr>
        <w:t>$35.6 million</w:t>
      </w:r>
      <w:r w:rsidRPr="009A5464">
        <w:rPr>
          <w:sz w:val="24"/>
          <w:szCs w:val="24"/>
        </w:rPr>
        <w:t xml:space="preserve"> higher than the 2022-23 actual position of </w:t>
      </w:r>
      <w:r w:rsidRPr="0001471C">
        <w:rPr>
          <w:b/>
          <w:bCs/>
          <w:sz w:val="24"/>
          <w:szCs w:val="24"/>
        </w:rPr>
        <w:t>$391 million</w:t>
      </w:r>
      <w:r w:rsidRPr="009A5464">
        <w:rPr>
          <w:sz w:val="24"/>
          <w:szCs w:val="24"/>
        </w:rPr>
        <w:t xml:space="preserve"> mainly due to an increase in outstanding claims liabilities mainly due to large claims for significant fire events in December 2022 at the Hume Material Recovery Facility and North Canberra Hospital (formerly Calvary Public Hospital Bruce), along with deteriorating claims experience in medical malpractice and public liability, and the changes in actuarial variables such as discounting and inflation.</w:t>
      </w:r>
    </w:p>
    <w:p w14:paraId="015CE0E7" w14:textId="77777777" w:rsidR="009A5464" w:rsidRDefault="009A5464" w:rsidP="00C578C0"/>
    <w:p w14:paraId="49FF3B53" w14:textId="5D86399B" w:rsidR="002E71BB" w:rsidRPr="0030031D" w:rsidRDefault="002E71BB" w:rsidP="0030031D">
      <w:pPr>
        <w:pStyle w:val="Heading5"/>
        <w:keepLines w:val="0"/>
        <w:tabs>
          <w:tab w:val="left" w:pos="1190"/>
        </w:tabs>
        <w:spacing w:line="240" w:lineRule="auto"/>
        <w:rPr>
          <w:rFonts w:eastAsia="Times New Roman"/>
          <w:iCs/>
          <w:color w:val="492581" w:themeColor="accent1"/>
          <w:sz w:val="28"/>
          <w:szCs w:val="28"/>
        </w:rPr>
      </w:pPr>
      <w:r w:rsidRPr="0030031D">
        <w:rPr>
          <w:rFonts w:eastAsia="Times New Roman"/>
          <w:iCs/>
          <w:color w:val="492581" w:themeColor="accent1"/>
          <w:sz w:val="28"/>
          <w:szCs w:val="28"/>
        </w:rPr>
        <w:t>Capital Funding Ratio</w:t>
      </w:r>
    </w:p>
    <w:p w14:paraId="279F1488" w14:textId="77777777" w:rsidR="00D944C9" w:rsidRPr="00D944C9" w:rsidRDefault="00D944C9" w:rsidP="00D944C9">
      <w:pPr>
        <w:pStyle w:val="NormalWeb"/>
        <w:spacing w:before="200" w:beforeAutospacing="0" w:after="200" w:afterAutospacing="0" w:line="264" w:lineRule="auto"/>
        <w:rPr>
          <w:rFonts w:ascii="Calibri" w:hAnsi="Calibri"/>
        </w:rPr>
      </w:pPr>
      <w:r w:rsidRPr="00D944C9">
        <w:rPr>
          <w:rFonts w:ascii="Calibri" w:hAnsi="Calibri"/>
        </w:rPr>
        <w:t>The Authority’s capital management plan takes into consideration the variability of the Authority’s capital position that may result from changes in claims experience, investment returns, the opportunity cost of holding capital in the Authority’s captive fund and the funding ratio targets of other similar captive insurers in the public sector.</w:t>
      </w:r>
    </w:p>
    <w:p w14:paraId="1CE3785B" w14:textId="77777777" w:rsidR="00D944C9" w:rsidRPr="00D944C9" w:rsidRDefault="00D944C9" w:rsidP="00D944C9">
      <w:pPr>
        <w:pStyle w:val="BodyText2"/>
        <w:spacing w:after="200" w:line="264" w:lineRule="auto"/>
        <w:rPr>
          <w:sz w:val="24"/>
          <w:szCs w:val="24"/>
        </w:rPr>
      </w:pPr>
      <w:r w:rsidRPr="00D944C9">
        <w:rPr>
          <w:sz w:val="24"/>
          <w:szCs w:val="24"/>
        </w:rPr>
        <w:t>Each year, the Authority prepares a capital management plan which outlines a structured and comprehensive approach to the long-term management of the Authority’s financial assets.</w:t>
      </w:r>
    </w:p>
    <w:p w14:paraId="5D8CF174" w14:textId="77777777" w:rsidR="00D944C9" w:rsidRPr="00D944C9" w:rsidRDefault="00D944C9" w:rsidP="00D944C9">
      <w:pPr>
        <w:pStyle w:val="BodyText2"/>
        <w:spacing w:after="200" w:line="264" w:lineRule="auto"/>
        <w:rPr>
          <w:sz w:val="24"/>
          <w:szCs w:val="24"/>
        </w:rPr>
      </w:pPr>
      <w:r w:rsidRPr="00D944C9">
        <w:rPr>
          <w:rFonts w:asciiTheme="minorHAnsi" w:hAnsiTheme="minorHAnsi"/>
          <w:sz w:val="24"/>
          <w:szCs w:val="24"/>
        </w:rPr>
        <w:t>Under this plan the Authority aims to maintain its funding ratio between 100 – 120 per cent.</w:t>
      </w:r>
      <w:r w:rsidRPr="00D944C9">
        <w:rPr>
          <w:sz w:val="24"/>
          <w:szCs w:val="24"/>
        </w:rPr>
        <w:t xml:space="preserve"> These parameters guide decision making to address a capital position outside this targeted ratio range. This would include considering action to seek capital injections (in a deficit situation) or surrendering excess capital (in a surplus situation) if assessed as necessary after considering various factors including future market conditions.</w:t>
      </w:r>
    </w:p>
    <w:p w14:paraId="3495F388" w14:textId="77777777" w:rsidR="002E71BB" w:rsidRPr="009B6CCF" w:rsidRDefault="002E71BB" w:rsidP="00EB3CB7">
      <w:pPr>
        <w:pStyle w:val="TableCaption"/>
        <w:rPr>
          <w:color w:val="262626" w:themeColor="text1" w:themeTint="D9"/>
        </w:rPr>
      </w:pPr>
      <w:r w:rsidRPr="009B6CCF">
        <w:rPr>
          <w:color w:val="262626" w:themeColor="text1" w:themeTint="D9"/>
        </w:rPr>
        <w:t>Table C.3: Funding Ratio</w:t>
      </w:r>
    </w:p>
    <w:tbl>
      <w:tblPr>
        <w:tblStyle w:val="ARTable1"/>
        <w:tblW w:w="9498" w:type="dxa"/>
        <w:tblLayout w:type="fixed"/>
        <w:tblLook w:val="0020" w:firstRow="1" w:lastRow="0" w:firstColumn="0" w:lastColumn="0" w:noHBand="0" w:noVBand="0"/>
      </w:tblPr>
      <w:tblGrid>
        <w:gridCol w:w="3828"/>
        <w:gridCol w:w="1417"/>
        <w:gridCol w:w="1418"/>
        <w:gridCol w:w="1417"/>
        <w:gridCol w:w="1418"/>
      </w:tblGrid>
      <w:tr w:rsidR="002E71BB" w:rsidRPr="009B6CCF" w14:paraId="4B9EDCB1" w14:textId="77777777" w:rsidTr="008441D2">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492581" w:themeFill="accent1"/>
            <w:vAlign w:val="bottom"/>
          </w:tcPr>
          <w:p w14:paraId="77AC6C23" w14:textId="77777777" w:rsidR="002E71BB" w:rsidRPr="009B6CCF" w:rsidRDefault="002E71BB" w:rsidP="00EB3CB7">
            <w:pPr>
              <w:pStyle w:val="Tableheading"/>
            </w:pPr>
            <w:r w:rsidRPr="009B6CCF">
              <w:t>Description</w:t>
            </w:r>
          </w:p>
        </w:tc>
        <w:tc>
          <w:tcPr>
            <w:tcW w:w="1417" w:type="dxa"/>
            <w:shd w:val="clear" w:color="auto" w:fill="492581" w:themeFill="accent1"/>
            <w:vAlign w:val="bottom"/>
          </w:tcPr>
          <w:p w14:paraId="52C59162" w14:textId="77777777" w:rsidR="00E55568" w:rsidRPr="009B6CCF" w:rsidRDefault="002E71BB" w:rsidP="00116060">
            <w:pPr>
              <w:pStyle w:val="Tableheading"/>
              <w:jc w:val="right"/>
            </w:pPr>
            <w:r w:rsidRPr="009B6CCF">
              <w:t>Actual</w:t>
            </w:r>
          </w:p>
          <w:p w14:paraId="7D4C4DAA" w14:textId="4800A689" w:rsidR="002E71BB" w:rsidRPr="009B6CCF" w:rsidRDefault="002E71BB" w:rsidP="00116060">
            <w:pPr>
              <w:pStyle w:val="Tableheading"/>
              <w:jc w:val="right"/>
            </w:pPr>
            <w:r w:rsidRPr="009B6CCF">
              <w:t xml:space="preserve"> at 30</w:t>
            </w:r>
            <w:r w:rsidR="00116060" w:rsidRPr="009B6CCF">
              <w:t xml:space="preserve"> J</w:t>
            </w:r>
            <w:r w:rsidRPr="009B6CCF">
              <w:t>une</w:t>
            </w:r>
            <w:r w:rsidR="00116060" w:rsidRPr="009B6CCF">
              <w:t xml:space="preserve"> </w:t>
            </w:r>
            <w:r w:rsidRPr="009B6CCF">
              <w:t>202</w:t>
            </w:r>
            <w:r w:rsidR="00A973C5">
              <w:t>3</w:t>
            </w:r>
          </w:p>
          <w:p w14:paraId="734C72E2" w14:textId="77777777" w:rsidR="002E71BB" w:rsidRPr="009B6CCF" w:rsidRDefault="002E71BB" w:rsidP="00116060">
            <w:pPr>
              <w:pStyle w:val="Tableheading"/>
              <w:jc w:val="right"/>
            </w:pPr>
            <w:r w:rsidRPr="009B6CCF">
              <w:t>$’000</w:t>
            </w:r>
          </w:p>
        </w:tc>
        <w:tc>
          <w:tcPr>
            <w:tcW w:w="1418" w:type="dxa"/>
            <w:shd w:val="clear" w:color="auto" w:fill="492581" w:themeFill="accent1"/>
            <w:vAlign w:val="bottom"/>
          </w:tcPr>
          <w:p w14:paraId="4D8E0D86" w14:textId="77777777" w:rsidR="00E55568" w:rsidRPr="009B6CCF" w:rsidRDefault="002C1E21" w:rsidP="00116060">
            <w:pPr>
              <w:pStyle w:val="Tableheading"/>
              <w:jc w:val="right"/>
            </w:pPr>
            <w:r w:rsidRPr="009B6CCF">
              <w:t>A</w:t>
            </w:r>
            <w:r w:rsidR="002E71BB" w:rsidRPr="009B6CCF">
              <w:t>ctual</w:t>
            </w:r>
          </w:p>
          <w:p w14:paraId="7303C3F2" w14:textId="4A304905" w:rsidR="002E71BB" w:rsidRPr="009B6CCF" w:rsidRDefault="002C1E21" w:rsidP="00116060">
            <w:pPr>
              <w:pStyle w:val="Tableheading"/>
              <w:jc w:val="right"/>
            </w:pPr>
            <w:r w:rsidRPr="009B6CCF">
              <w:t xml:space="preserve"> </w:t>
            </w:r>
            <w:r w:rsidR="002E71BB" w:rsidRPr="009B6CCF">
              <w:t>at 30 June 202</w:t>
            </w:r>
            <w:r w:rsidR="00A973C5">
              <w:t>4</w:t>
            </w:r>
          </w:p>
          <w:p w14:paraId="72810DDA" w14:textId="77777777" w:rsidR="002E71BB" w:rsidRPr="009B6CCF" w:rsidRDefault="002E71BB" w:rsidP="00116060">
            <w:pPr>
              <w:pStyle w:val="Tableheading"/>
              <w:jc w:val="right"/>
            </w:pPr>
            <w:r w:rsidRPr="009B6CCF">
              <w:t>$’000</w:t>
            </w:r>
          </w:p>
        </w:tc>
        <w:tc>
          <w:tcPr>
            <w:tcW w:w="1417" w:type="dxa"/>
            <w:shd w:val="clear" w:color="auto" w:fill="492581" w:themeFill="accent1"/>
            <w:vAlign w:val="bottom"/>
          </w:tcPr>
          <w:p w14:paraId="5BFD569C" w14:textId="77777777" w:rsidR="002E71BB" w:rsidRPr="009B6CCF" w:rsidRDefault="002E71BB" w:rsidP="00116060">
            <w:pPr>
              <w:pStyle w:val="Tableheading"/>
              <w:jc w:val="right"/>
            </w:pPr>
            <w:r w:rsidRPr="00C53A7E">
              <w:t>Budget</w:t>
            </w:r>
            <w:r w:rsidRPr="009B6CCF">
              <w:t xml:space="preserve"> </w:t>
            </w:r>
          </w:p>
          <w:p w14:paraId="20F0869A" w14:textId="5344260D" w:rsidR="002E71BB" w:rsidRPr="009B6CCF" w:rsidRDefault="002E71BB" w:rsidP="00116060">
            <w:pPr>
              <w:pStyle w:val="Tableheading"/>
              <w:jc w:val="right"/>
            </w:pPr>
            <w:r w:rsidRPr="009B6CCF">
              <w:t>at 30 June 202</w:t>
            </w:r>
            <w:r w:rsidR="00A973C5">
              <w:t>4</w:t>
            </w:r>
          </w:p>
          <w:p w14:paraId="466872F3" w14:textId="77777777" w:rsidR="002E71BB" w:rsidRPr="009B6CCF" w:rsidRDefault="002E71BB" w:rsidP="00116060">
            <w:pPr>
              <w:pStyle w:val="Tableheading"/>
              <w:jc w:val="right"/>
            </w:pPr>
            <w:r w:rsidRPr="009B6CCF">
              <w:t>$’000</w:t>
            </w:r>
          </w:p>
        </w:tc>
        <w:tc>
          <w:tcPr>
            <w:tcW w:w="1418" w:type="dxa"/>
            <w:shd w:val="clear" w:color="auto" w:fill="492581" w:themeFill="accent1"/>
          </w:tcPr>
          <w:p w14:paraId="300EA62D" w14:textId="77777777" w:rsidR="002E71BB" w:rsidRPr="009B6CCF" w:rsidRDefault="002E71BB" w:rsidP="00116060">
            <w:pPr>
              <w:pStyle w:val="Tableheading"/>
              <w:jc w:val="right"/>
            </w:pPr>
            <w:r w:rsidRPr="009B6CCF">
              <w:t xml:space="preserve">Budget </w:t>
            </w:r>
          </w:p>
          <w:p w14:paraId="3D09D448" w14:textId="16C18DF7" w:rsidR="002E71BB" w:rsidRPr="009B6CCF" w:rsidRDefault="002E71BB" w:rsidP="00116060">
            <w:pPr>
              <w:pStyle w:val="Tableheading"/>
              <w:jc w:val="right"/>
            </w:pPr>
            <w:r w:rsidRPr="009B6CCF">
              <w:t>at 30 June 202</w:t>
            </w:r>
            <w:r w:rsidR="00330F79">
              <w:t>5</w:t>
            </w:r>
          </w:p>
          <w:p w14:paraId="3D219005" w14:textId="77777777" w:rsidR="002E71BB" w:rsidRPr="009B6CCF" w:rsidRDefault="002E71BB" w:rsidP="00116060">
            <w:pPr>
              <w:pStyle w:val="Tableheading"/>
              <w:jc w:val="right"/>
            </w:pPr>
            <w:r w:rsidRPr="009B6CCF">
              <w:t>$’000</w:t>
            </w:r>
          </w:p>
        </w:tc>
      </w:tr>
      <w:tr w:rsidR="00761AD2" w:rsidRPr="00CA5B4F" w14:paraId="43727EEE" w14:textId="77777777" w:rsidTr="008441D2">
        <w:tc>
          <w:tcPr>
            <w:tcW w:w="3828" w:type="dxa"/>
          </w:tcPr>
          <w:p w14:paraId="28855A14" w14:textId="77777777" w:rsidR="00761AD2" w:rsidRPr="00510D2E" w:rsidRDefault="00761AD2" w:rsidP="00761AD2">
            <w:pPr>
              <w:spacing w:before="120" w:after="120"/>
              <w:jc w:val="both"/>
              <w:rPr>
                <w:sz w:val="24"/>
                <w:szCs w:val="24"/>
              </w:rPr>
            </w:pPr>
            <w:r w:rsidRPr="00510D2E">
              <w:rPr>
                <w:sz w:val="24"/>
                <w:szCs w:val="24"/>
              </w:rPr>
              <w:t>Total Assets</w:t>
            </w:r>
          </w:p>
        </w:tc>
        <w:tc>
          <w:tcPr>
            <w:tcW w:w="1417" w:type="dxa"/>
          </w:tcPr>
          <w:p w14:paraId="1EDD7AB3" w14:textId="1B0AAE32" w:rsidR="00761AD2" w:rsidRPr="00510D2E" w:rsidRDefault="00761AD2" w:rsidP="00761AD2">
            <w:pPr>
              <w:spacing w:before="120" w:after="120"/>
              <w:jc w:val="right"/>
              <w:rPr>
                <w:sz w:val="24"/>
                <w:szCs w:val="24"/>
              </w:rPr>
            </w:pPr>
            <w:r w:rsidRPr="00510D2E">
              <w:rPr>
                <w:sz w:val="24"/>
                <w:szCs w:val="24"/>
              </w:rPr>
              <w:t>423,612</w:t>
            </w:r>
          </w:p>
        </w:tc>
        <w:tc>
          <w:tcPr>
            <w:tcW w:w="1418" w:type="dxa"/>
          </w:tcPr>
          <w:p w14:paraId="31B8D8CE" w14:textId="04AA8EAE" w:rsidR="00761AD2" w:rsidRPr="00510D2E" w:rsidRDefault="00B23100" w:rsidP="00761AD2">
            <w:pPr>
              <w:spacing w:before="120" w:after="120"/>
              <w:jc w:val="right"/>
              <w:rPr>
                <w:sz w:val="24"/>
                <w:szCs w:val="24"/>
                <w:highlight w:val="yellow"/>
              </w:rPr>
            </w:pPr>
            <w:r w:rsidRPr="00510D2E">
              <w:rPr>
                <w:sz w:val="24"/>
                <w:szCs w:val="24"/>
              </w:rPr>
              <w:t>476,392</w:t>
            </w:r>
          </w:p>
        </w:tc>
        <w:tc>
          <w:tcPr>
            <w:tcW w:w="1417" w:type="dxa"/>
          </w:tcPr>
          <w:p w14:paraId="1B621E05" w14:textId="2342DC6B" w:rsidR="00761AD2" w:rsidRPr="00510D2E" w:rsidRDefault="00761AD2" w:rsidP="00761AD2">
            <w:pPr>
              <w:spacing w:before="120" w:after="120"/>
              <w:jc w:val="right"/>
              <w:rPr>
                <w:sz w:val="24"/>
                <w:szCs w:val="24"/>
              </w:rPr>
            </w:pPr>
            <w:r w:rsidRPr="00510D2E">
              <w:rPr>
                <w:sz w:val="24"/>
                <w:szCs w:val="24"/>
              </w:rPr>
              <w:t>4</w:t>
            </w:r>
            <w:r w:rsidR="003B28B9" w:rsidRPr="00510D2E">
              <w:rPr>
                <w:sz w:val="24"/>
                <w:szCs w:val="24"/>
              </w:rPr>
              <w:t>27</w:t>
            </w:r>
            <w:r w:rsidRPr="00510D2E">
              <w:rPr>
                <w:sz w:val="24"/>
                <w:szCs w:val="24"/>
              </w:rPr>
              <w:t>,</w:t>
            </w:r>
            <w:r w:rsidR="003B28B9" w:rsidRPr="00510D2E">
              <w:rPr>
                <w:sz w:val="24"/>
                <w:szCs w:val="24"/>
              </w:rPr>
              <w:t>860</w:t>
            </w:r>
          </w:p>
        </w:tc>
        <w:tc>
          <w:tcPr>
            <w:tcW w:w="1418" w:type="dxa"/>
          </w:tcPr>
          <w:p w14:paraId="1E266EB9" w14:textId="24B3FFD6" w:rsidR="00761AD2" w:rsidRPr="00510D2E" w:rsidRDefault="00761AD2" w:rsidP="00761AD2">
            <w:pPr>
              <w:spacing w:before="120" w:after="120"/>
              <w:jc w:val="right"/>
              <w:rPr>
                <w:sz w:val="24"/>
                <w:szCs w:val="24"/>
              </w:rPr>
            </w:pPr>
            <w:r w:rsidRPr="00510D2E">
              <w:rPr>
                <w:sz w:val="24"/>
                <w:szCs w:val="24"/>
              </w:rPr>
              <w:t>4</w:t>
            </w:r>
            <w:r w:rsidR="00A11046" w:rsidRPr="00510D2E">
              <w:rPr>
                <w:sz w:val="24"/>
                <w:szCs w:val="24"/>
              </w:rPr>
              <w:t>82</w:t>
            </w:r>
            <w:r w:rsidRPr="00510D2E">
              <w:rPr>
                <w:sz w:val="24"/>
                <w:szCs w:val="24"/>
              </w:rPr>
              <w:t>,</w:t>
            </w:r>
            <w:r w:rsidR="00A11046" w:rsidRPr="00510D2E">
              <w:rPr>
                <w:sz w:val="24"/>
                <w:szCs w:val="24"/>
              </w:rPr>
              <w:t>389</w:t>
            </w:r>
          </w:p>
        </w:tc>
      </w:tr>
      <w:tr w:rsidR="00761AD2" w:rsidRPr="00CA5B4F" w14:paraId="2CA6D591" w14:textId="77777777" w:rsidTr="009B6CCF">
        <w:trPr>
          <w:cnfStyle w:val="000000010000" w:firstRow="0" w:lastRow="0" w:firstColumn="0" w:lastColumn="0" w:oddVBand="0" w:evenVBand="0" w:oddHBand="0" w:evenHBand="1" w:firstRowFirstColumn="0" w:firstRowLastColumn="0" w:lastRowFirstColumn="0" w:lastRowLastColumn="0"/>
        </w:trPr>
        <w:tc>
          <w:tcPr>
            <w:tcW w:w="3828" w:type="dxa"/>
          </w:tcPr>
          <w:p w14:paraId="1A7C547E" w14:textId="77777777" w:rsidR="00761AD2" w:rsidRPr="00510D2E" w:rsidRDefault="00761AD2" w:rsidP="00761AD2">
            <w:pPr>
              <w:spacing w:before="120" w:after="120"/>
              <w:jc w:val="both"/>
              <w:rPr>
                <w:sz w:val="24"/>
                <w:szCs w:val="24"/>
              </w:rPr>
            </w:pPr>
            <w:r w:rsidRPr="00510D2E">
              <w:rPr>
                <w:sz w:val="24"/>
                <w:szCs w:val="24"/>
              </w:rPr>
              <w:t>Total Liabilities</w:t>
            </w:r>
          </w:p>
        </w:tc>
        <w:tc>
          <w:tcPr>
            <w:tcW w:w="1417" w:type="dxa"/>
          </w:tcPr>
          <w:p w14:paraId="2EC22C0F" w14:textId="61B94351" w:rsidR="00761AD2" w:rsidRPr="00510D2E" w:rsidRDefault="00761AD2" w:rsidP="00761AD2">
            <w:pPr>
              <w:spacing w:before="120" w:after="120"/>
              <w:jc w:val="right"/>
              <w:rPr>
                <w:sz w:val="24"/>
                <w:szCs w:val="24"/>
              </w:rPr>
            </w:pPr>
            <w:r w:rsidRPr="00510D2E">
              <w:rPr>
                <w:sz w:val="24"/>
                <w:szCs w:val="24"/>
              </w:rPr>
              <w:t>391,044</w:t>
            </w:r>
          </w:p>
        </w:tc>
        <w:tc>
          <w:tcPr>
            <w:tcW w:w="1418" w:type="dxa"/>
          </w:tcPr>
          <w:p w14:paraId="6A20FD75" w14:textId="69FF4176" w:rsidR="00761AD2" w:rsidRPr="00510D2E" w:rsidRDefault="00222CB3" w:rsidP="00761AD2">
            <w:pPr>
              <w:spacing w:before="120" w:after="120"/>
              <w:jc w:val="right"/>
              <w:rPr>
                <w:sz w:val="24"/>
                <w:szCs w:val="24"/>
                <w:highlight w:val="yellow"/>
              </w:rPr>
            </w:pPr>
            <w:r w:rsidRPr="00510D2E">
              <w:rPr>
                <w:sz w:val="24"/>
                <w:szCs w:val="24"/>
              </w:rPr>
              <w:t>426,608</w:t>
            </w:r>
          </w:p>
        </w:tc>
        <w:tc>
          <w:tcPr>
            <w:tcW w:w="1417" w:type="dxa"/>
          </w:tcPr>
          <w:p w14:paraId="0EA872AF" w14:textId="1CEEA2CE" w:rsidR="00761AD2" w:rsidRPr="00510D2E" w:rsidRDefault="00761AD2" w:rsidP="00761AD2">
            <w:pPr>
              <w:spacing w:before="120" w:after="120"/>
              <w:jc w:val="right"/>
              <w:rPr>
                <w:sz w:val="24"/>
                <w:szCs w:val="24"/>
              </w:rPr>
            </w:pPr>
            <w:r w:rsidRPr="00510D2E">
              <w:rPr>
                <w:sz w:val="24"/>
                <w:szCs w:val="24"/>
              </w:rPr>
              <w:t>3</w:t>
            </w:r>
            <w:r w:rsidR="00FB49F3" w:rsidRPr="00510D2E">
              <w:rPr>
                <w:sz w:val="24"/>
                <w:szCs w:val="24"/>
              </w:rPr>
              <w:t>64</w:t>
            </w:r>
            <w:r w:rsidRPr="00510D2E">
              <w:rPr>
                <w:sz w:val="24"/>
                <w:szCs w:val="24"/>
              </w:rPr>
              <w:t>,</w:t>
            </w:r>
            <w:r w:rsidR="00FB49F3" w:rsidRPr="00510D2E">
              <w:rPr>
                <w:sz w:val="24"/>
                <w:szCs w:val="24"/>
              </w:rPr>
              <w:t>166</w:t>
            </w:r>
          </w:p>
        </w:tc>
        <w:tc>
          <w:tcPr>
            <w:tcW w:w="1418" w:type="dxa"/>
          </w:tcPr>
          <w:p w14:paraId="6F445CBE" w14:textId="21CC6F19" w:rsidR="00761AD2" w:rsidRPr="00510D2E" w:rsidRDefault="00A11046" w:rsidP="00761AD2">
            <w:pPr>
              <w:spacing w:before="120" w:after="120"/>
              <w:jc w:val="right"/>
              <w:rPr>
                <w:sz w:val="24"/>
                <w:szCs w:val="24"/>
              </w:rPr>
            </w:pPr>
            <w:r w:rsidRPr="00510D2E">
              <w:rPr>
                <w:sz w:val="24"/>
                <w:szCs w:val="24"/>
              </w:rPr>
              <w:t>450</w:t>
            </w:r>
            <w:r w:rsidR="00761AD2" w:rsidRPr="00510D2E">
              <w:rPr>
                <w:sz w:val="24"/>
                <w:szCs w:val="24"/>
              </w:rPr>
              <w:t>,</w:t>
            </w:r>
            <w:r w:rsidRPr="00510D2E">
              <w:rPr>
                <w:sz w:val="24"/>
                <w:szCs w:val="24"/>
              </w:rPr>
              <w:t>527</w:t>
            </w:r>
          </w:p>
        </w:tc>
      </w:tr>
      <w:tr w:rsidR="00761AD2" w:rsidRPr="00CA5B4F" w14:paraId="065C3072" w14:textId="77777777" w:rsidTr="009B6CCF">
        <w:tc>
          <w:tcPr>
            <w:tcW w:w="3828" w:type="dxa"/>
            <w:tcBorders>
              <w:bottom w:val="single" w:sz="4" w:space="0" w:color="auto"/>
            </w:tcBorders>
          </w:tcPr>
          <w:p w14:paraId="175BEEED" w14:textId="77777777" w:rsidR="00761AD2" w:rsidRPr="00510D2E" w:rsidRDefault="00761AD2" w:rsidP="00761AD2">
            <w:pPr>
              <w:spacing w:before="120" w:after="120"/>
              <w:jc w:val="both"/>
              <w:rPr>
                <w:sz w:val="24"/>
                <w:szCs w:val="24"/>
              </w:rPr>
            </w:pPr>
            <w:r w:rsidRPr="00510D2E">
              <w:rPr>
                <w:sz w:val="24"/>
                <w:szCs w:val="24"/>
              </w:rPr>
              <w:t>Funding Ratio</w:t>
            </w:r>
          </w:p>
        </w:tc>
        <w:tc>
          <w:tcPr>
            <w:tcW w:w="1417" w:type="dxa"/>
            <w:tcBorders>
              <w:bottom w:val="single" w:sz="4" w:space="0" w:color="auto"/>
            </w:tcBorders>
          </w:tcPr>
          <w:p w14:paraId="3CE9A602" w14:textId="280FB615" w:rsidR="00761AD2" w:rsidRPr="00510D2E" w:rsidRDefault="00761AD2" w:rsidP="00761AD2">
            <w:pPr>
              <w:spacing w:before="120" w:after="120"/>
              <w:jc w:val="right"/>
              <w:rPr>
                <w:sz w:val="24"/>
                <w:szCs w:val="24"/>
              </w:rPr>
            </w:pPr>
            <w:r w:rsidRPr="00510D2E">
              <w:rPr>
                <w:sz w:val="24"/>
                <w:szCs w:val="24"/>
              </w:rPr>
              <w:t>108%</w:t>
            </w:r>
          </w:p>
        </w:tc>
        <w:tc>
          <w:tcPr>
            <w:tcW w:w="1418" w:type="dxa"/>
            <w:tcBorders>
              <w:bottom w:val="single" w:sz="4" w:space="0" w:color="auto"/>
            </w:tcBorders>
          </w:tcPr>
          <w:p w14:paraId="6A925F22" w14:textId="4467D1A6" w:rsidR="00761AD2" w:rsidRPr="00510D2E" w:rsidRDefault="00510D2E" w:rsidP="00761AD2">
            <w:pPr>
              <w:spacing w:before="120" w:after="120"/>
              <w:jc w:val="right"/>
              <w:rPr>
                <w:sz w:val="24"/>
                <w:szCs w:val="24"/>
              </w:rPr>
            </w:pPr>
            <w:r w:rsidRPr="00510D2E">
              <w:rPr>
                <w:sz w:val="24"/>
                <w:szCs w:val="24"/>
              </w:rPr>
              <w:t>112%</w:t>
            </w:r>
          </w:p>
        </w:tc>
        <w:tc>
          <w:tcPr>
            <w:tcW w:w="1417" w:type="dxa"/>
            <w:tcBorders>
              <w:bottom w:val="single" w:sz="4" w:space="0" w:color="auto"/>
            </w:tcBorders>
          </w:tcPr>
          <w:p w14:paraId="0C589557" w14:textId="4C55ADAF" w:rsidR="00761AD2" w:rsidRPr="00510D2E" w:rsidRDefault="00761AD2" w:rsidP="00761AD2">
            <w:pPr>
              <w:spacing w:before="120" w:after="120"/>
              <w:jc w:val="right"/>
              <w:rPr>
                <w:sz w:val="24"/>
                <w:szCs w:val="24"/>
              </w:rPr>
            </w:pPr>
            <w:r w:rsidRPr="00510D2E">
              <w:rPr>
                <w:sz w:val="24"/>
                <w:szCs w:val="24"/>
              </w:rPr>
              <w:t>1</w:t>
            </w:r>
            <w:r w:rsidR="00C22AEC" w:rsidRPr="00510D2E">
              <w:rPr>
                <w:sz w:val="24"/>
                <w:szCs w:val="24"/>
              </w:rPr>
              <w:t>17</w:t>
            </w:r>
            <w:r w:rsidRPr="00510D2E">
              <w:rPr>
                <w:sz w:val="24"/>
                <w:szCs w:val="24"/>
              </w:rPr>
              <w:t>%</w:t>
            </w:r>
          </w:p>
        </w:tc>
        <w:tc>
          <w:tcPr>
            <w:tcW w:w="1418" w:type="dxa"/>
            <w:tcBorders>
              <w:bottom w:val="single" w:sz="4" w:space="0" w:color="auto"/>
            </w:tcBorders>
          </w:tcPr>
          <w:p w14:paraId="3D65D2FE" w14:textId="4B400CB7" w:rsidR="00761AD2" w:rsidRPr="00510D2E" w:rsidRDefault="00761AD2" w:rsidP="00761AD2">
            <w:pPr>
              <w:spacing w:before="120" w:after="120"/>
              <w:jc w:val="right"/>
              <w:rPr>
                <w:sz w:val="24"/>
                <w:szCs w:val="24"/>
              </w:rPr>
            </w:pPr>
            <w:r w:rsidRPr="00510D2E">
              <w:rPr>
                <w:sz w:val="24"/>
                <w:szCs w:val="24"/>
              </w:rPr>
              <w:t>1</w:t>
            </w:r>
            <w:r w:rsidR="004A02E4" w:rsidRPr="00510D2E">
              <w:rPr>
                <w:sz w:val="24"/>
                <w:szCs w:val="24"/>
              </w:rPr>
              <w:t>0</w:t>
            </w:r>
            <w:r w:rsidRPr="00510D2E">
              <w:rPr>
                <w:sz w:val="24"/>
                <w:szCs w:val="24"/>
              </w:rPr>
              <w:t>7%</w:t>
            </w:r>
          </w:p>
        </w:tc>
      </w:tr>
    </w:tbl>
    <w:p w14:paraId="23D8DC19" w14:textId="77777777" w:rsidR="00EA315C" w:rsidRDefault="00DB5A85" w:rsidP="00EA315C">
      <w:pPr>
        <w:autoSpaceDE w:val="0"/>
        <w:autoSpaceDN w:val="0"/>
        <w:adjustRightInd w:val="0"/>
        <w:spacing w:before="200" w:after="0" w:line="264" w:lineRule="auto"/>
        <w:rPr>
          <w:lang w:val="en-US"/>
        </w:rPr>
      </w:pPr>
      <w:bookmarkStart w:id="81" w:name="_Toc53391324"/>
      <w:bookmarkStart w:id="82" w:name="_Toc55483064"/>
      <w:bookmarkStart w:id="83" w:name="_Toc141174721"/>
      <w:r w:rsidRPr="00DB5A85">
        <w:rPr>
          <w:lang w:val="en-US"/>
        </w:rPr>
        <w:t xml:space="preserve">The Authority’s funding ratio as at 30 June 2024 is </w:t>
      </w:r>
      <w:r w:rsidRPr="00DB5A85">
        <w:rPr>
          <w:b/>
          <w:bCs/>
          <w:lang w:val="en-US"/>
        </w:rPr>
        <w:t xml:space="preserve">112 per cent. </w:t>
      </w:r>
      <w:r w:rsidRPr="00DB5A85">
        <w:rPr>
          <w:lang w:val="en-US"/>
        </w:rPr>
        <w:t xml:space="preserve">This is lower than the </w:t>
      </w:r>
    </w:p>
    <w:p w14:paraId="4D30139A" w14:textId="550E622B" w:rsidR="00DB5A85" w:rsidRPr="00DB5A85" w:rsidRDefault="00DB5A85" w:rsidP="00EA315C">
      <w:pPr>
        <w:autoSpaceDE w:val="0"/>
        <w:autoSpaceDN w:val="0"/>
        <w:adjustRightInd w:val="0"/>
        <w:spacing w:after="200" w:line="264" w:lineRule="auto"/>
        <w:rPr>
          <w:lang w:val="en-US"/>
        </w:rPr>
      </w:pPr>
      <w:r w:rsidRPr="00DB5A85">
        <w:rPr>
          <w:lang w:val="en-US"/>
        </w:rPr>
        <w:t xml:space="preserve">2023-24 budget funding ratio of </w:t>
      </w:r>
      <w:r w:rsidRPr="00DB5A85">
        <w:rPr>
          <w:b/>
          <w:lang w:val="en-US"/>
        </w:rPr>
        <w:t>117 per cent</w:t>
      </w:r>
      <w:r w:rsidRPr="00DB5A85">
        <w:rPr>
          <w:lang w:val="en-US"/>
        </w:rPr>
        <w:t xml:space="preserve"> due to the increase in outstanding claims liabilities related to deteriorating claims experience</w:t>
      </w:r>
      <w:r w:rsidRPr="00DB5A85">
        <w:t xml:space="preserve"> in both the medical malpractice and property insurance classes</w:t>
      </w:r>
      <w:r w:rsidRPr="00DB5A85">
        <w:rPr>
          <w:lang w:val="en-US"/>
        </w:rPr>
        <w:t>.</w:t>
      </w:r>
    </w:p>
    <w:p w14:paraId="715380AC" w14:textId="0DBFC97B" w:rsidR="006963F6" w:rsidRDefault="00DB5A85" w:rsidP="00DB5A85">
      <w:pPr>
        <w:spacing w:after="0" w:line="240" w:lineRule="auto"/>
      </w:pPr>
      <w:r w:rsidRPr="00DB5A85">
        <w:lastRenderedPageBreak/>
        <w:t xml:space="preserve">The Authority’s budget forecast for 2024-25 is a funding ratio of </w:t>
      </w:r>
      <w:r w:rsidRPr="00DB5A85">
        <w:rPr>
          <w:b/>
        </w:rPr>
        <w:t>107 per cent</w:t>
      </w:r>
      <w:r w:rsidRPr="00DB5A85">
        <w:rPr>
          <w:bCs/>
        </w:rPr>
        <w:t xml:space="preserve">.  </w:t>
      </w:r>
      <w:r w:rsidRPr="00DB5A85">
        <w:t>This is mainly based on a stable return on investment portfolio as per its long-term investment objectives, lower projected reinsurance recoveries and relatively stable claims experience.</w:t>
      </w:r>
    </w:p>
    <w:p w14:paraId="67C00287" w14:textId="77777777" w:rsidR="00527F98" w:rsidRDefault="00527F98" w:rsidP="00DB5A85">
      <w:pPr>
        <w:spacing w:after="0" w:line="240" w:lineRule="auto"/>
        <w:rPr>
          <w:rFonts w:ascii="Arial" w:eastAsiaTheme="majorEastAsia" w:hAnsi="Arial" w:cs="Arial"/>
          <w:b/>
          <w:color w:val="262626" w:themeColor="text1" w:themeTint="D9"/>
          <w:sz w:val="40"/>
          <w:szCs w:val="40"/>
        </w:rPr>
      </w:pPr>
    </w:p>
    <w:p w14:paraId="6FE94C4A" w14:textId="1ED876D5" w:rsidR="002E71BB" w:rsidRPr="005D025B" w:rsidRDefault="002E71BB" w:rsidP="002E71BB">
      <w:pPr>
        <w:pStyle w:val="Heading2"/>
      </w:pPr>
      <w:r w:rsidRPr="005D025B">
        <w:t>C.2 Financial Statements</w:t>
      </w:r>
      <w:bookmarkEnd w:id="81"/>
      <w:bookmarkEnd w:id="82"/>
      <w:bookmarkEnd w:id="83"/>
    </w:p>
    <w:p w14:paraId="6420B16F" w14:textId="3F621500" w:rsidR="002E71BB" w:rsidRPr="001C4E66" w:rsidRDefault="002E71BB" w:rsidP="001C4E66">
      <w:pPr>
        <w:rPr>
          <w:rFonts w:ascii="Arial" w:hAnsi="Arial" w:cs="Arial"/>
          <w:b/>
          <w:bCs/>
          <w:color w:val="262626" w:themeColor="text1" w:themeTint="D9"/>
          <w:sz w:val="30"/>
          <w:szCs w:val="30"/>
        </w:rPr>
      </w:pPr>
      <w:r w:rsidRPr="001C4E66">
        <w:rPr>
          <w:rFonts w:ascii="Arial" w:hAnsi="Arial" w:cs="Arial"/>
          <w:b/>
          <w:bCs/>
          <w:color w:val="262626" w:themeColor="text1" w:themeTint="D9"/>
          <w:sz w:val="30"/>
          <w:szCs w:val="30"/>
        </w:rPr>
        <w:t>For the Financial Year Ended 30 June 202</w:t>
      </w:r>
      <w:r w:rsidR="005F1712">
        <w:rPr>
          <w:rFonts w:ascii="Arial" w:hAnsi="Arial" w:cs="Arial"/>
          <w:b/>
          <w:bCs/>
          <w:color w:val="262626" w:themeColor="text1" w:themeTint="D9"/>
          <w:sz w:val="30"/>
          <w:szCs w:val="30"/>
        </w:rPr>
        <w:t>4</w:t>
      </w:r>
    </w:p>
    <w:p w14:paraId="5543E795" w14:textId="6D12AEA8" w:rsidR="002E71BB" w:rsidRPr="005D025B" w:rsidRDefault="002E71BB" w:rsidP="00F2277E">
      <w:pPr>
        <w:sectPr w:rsidR="002E71BB" w:rsidRPr="005D025B" w:rsidSect="00AD126A">
          <w:headerReference w:type="even" r:id="rId44"/>
          <w:headerReference w:type="default" r:id="rId45"/>
          <w:footerReference w:type="default" r:id="rId46"/>
          <w:headerReference w:type="first" r:id="rId47"/>
          <w:pgSz w:w="11906" w:h="16838"/>
          <w:pgMar w:top="1418" w:right="1558" w:bottom="1559" w:left="1276" w:header="567" w:footer="295" w:gutter="0"/>
          <w:cols w:space="708"/>
          <w:docGrid w:linePitch="360"/>
        </w:sectPr>
      </w:pPr>
      <w:r w:rsidRPr="00CC286C">
        <w:t xml:space="preserve">The Authority’s Financial Statements are reported on page </w:t>
      </w:r>
      <w:r w:rsidR="00CC286C" w:rsidRPr="00CC286C">
        <w:t>49</w:t>
      </w:r>
      <w:r w:rsidRPr="00CC286C">
        <w:t xml:space="preserve"> of the </w:t>
      </w:r>
      <w:r w:rsidR="00323290" w:rsidRPr="00CC286C">
        <w:rPr>
          <w:i/>
          <w:iCs/>
        </w:rPr>
        <w:t>2023-24</w:t>
      </w:r>
      <w:r w:rsidRPr="00CC286C">
        <w:rPr>
          <w:i/>
          <w:iCs/>
        </w:rPr>
        <w:t xml:space="preserve"> ACT Insurance</w:t>
      </w:r>
      <w:r w:rsidRPr="005D025B">
        <w:rPr>
          <w:i/>
          <w:iCs/>
        </w:rPr>
        <w:t xml:space="preserve"> Authority Annual Report</w:t>
      </w:r>
      <w:r w:rsidRPr="005D025B">
        <w:t>.</w:t>
      </w:r>
    </w:p>
    <w:p w14:paraId="0B103E7B" w14:textId="77777777" w:rsidR="00220F5C" w:rsidRPr="00220F5C" w:rsidRDefault="00220F5C" w:rsidP="008307B2">
      <w:pPr>
        <w:widowControl w:val="0"/>
        <w:autoSpaceDE w:val="0"/>
        <w:autoSpaceDN w:val="0"/>
        <w:spacing w:after="0" w:line="240" w:lineRule="auto"/>
        <w:ind w:left="100"/>
        <w:jc w:val="center"/>
        <w:rPr>
          <w:rFonts w:ascii="Times New Roman" w:eastAsia="Calibri" w:hAnsi="Calibri" w:cs="Calibri"/>
          <w:sz w:val="20"/>
          <w:szCs w:val="21"/>
          <w:lang w:val="en-US"/>
        </w:rPr>
      </w:pPr>
      <w:r w:rsidRPr="00220F5C">
        <w:rPr>
          <w:rFonts w:ascii="Times New Roman" w:eastAsia="Calibri" w:hAnsi="Calibri" w:cs="Calibri"/>
          <w:noProof/>
          <w:sz w:val="20"/>
          <w:szCs w:val="21"/>
          <w:lang w:val="en-US"/>
        </w:rPr>
        <w:lastRenderedPageBreak/>
        <w:drawing>
          <wp:inline distT="0" distB="0" distL="0" distR="0" wp14:anchorId="6B1707E4" wp14:editId="30759C67">
            <wp:extent cx="5666329" cy="658368"/>
            <wp:effectExtent l="0" t="0" r="0" b="8890"/>
            <wp:docPr id="19" name="Picture 19" descr="ACT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CT Audit Office logo"/>
                    <pic:cNvPicPr/>
                  </pic:nvPicPr>
                  <pic:blipFill>
                    <a:blip r:embed="rId48" cstate="print"/>
                    <a:stretch>
                      <a:fillRect/>
                    </a:stretch>
                  </pic:blipFill>
                  <pic:spPr>
                    <a:xfrm>
                      <a:off x="0" y="0"/>
                      <a:ext cx="5666329" cy="658368"/>
                    </a:xfrm>
                    <a:prstGeom prst="rect">
                      <a:avLst/>
                    </a:prstGeom>
                  </pic:spPr>
                </pic:pic>
              </a:graphicData>
            </a:graphic>
          </wp:inline>
        </w:drawing>
      </w:r>
    </w:p>
    <w:p w14:paraId="09399B80" w14:textId="77777777" w:rsidR="00220F5C" w:rsidRPr="00220F5C" w:rsidRDefault="00220F5C" w:rsidP="00220F5C">
      <w:pPr>
        <w:widowControl w:val="0"/>
        <w:autoSpaceDE w:val="0"/>
        <w:autoSpaceDN w:val="0"/>
        <w:spacing w:after="0" w:line="240" w:lineRule="auto"/>
        <w:rPr>
          <w:rFonts w:ascii="Times New Roman" w:eastAsia="Calibri" w:hAnsi="Calibri" w:cs="Calibri"/>
          <w:sz w:val="20"/>
          <w:szCs w:val="21"/>
          <w:lang w:val="en-US"/>
        </w:rPr>
      </w:pPr>
    </w:p>
    <w:p w14:paraId="020F346D" w14:textId="77777777" w:rsidR="00220F5C" w:rsidRPr="00220F5C" w:rsidRDefault="00220F5C" w:rsidP="00220F5C">
      <w:pPr>
        <w:widowControl w:val="0"/>
        <w:autoSpaceDE w:val="0"/>
        <w:autoSpaceDN w:val="0"/>
        <w:spacing w:before="6" w:after="0" w:line="240" w:lineRule="auto"/>
        <w:rPr>
          <w:rFonts w:ascii="Times New Roman" w:eastAsia="Calibri" w:hAnsi="Calibri" w:cs="Calibri"/>
          <w:sz w:val="23"/>
          <w:szCs w:val="21"/>
          <w:lang w:val="en-US"/>
        </w:rPr>
      </w:pPr>
    </w:p>
    <w:p w14:paraId="1C5AF28C" w14:textId="77777777" w:rsidR="00220F5C" w:rsidRPr="00220F5C" w:rsidRDefault="00220F5C" w:rsidP="00220F5C">
      <w:pPr>
        <w:widowControl w:val="0"/>
        <w:autoSpaceDE w:val="0"/>
        <w:autoSpaceDN w:val="0"/>
        <w:spacing w:before="50" w:after="0" w:line="240" w:lineRule="auto"/>
        <w:ind w:left="2617" w:right="2529"/>
        <w:jc w:val="center"/>
        <w:rPr>
          <w:rFonts w:ascii="Calibri" w:eastAsia="Calibri" w:hAnsi="Calibri" w:cs="Calibri"/>
          <w:b/>
          <w:bCs/>
          <w:sz w:val="27"/>
          <w:szCs w:val="27"/>
          <w:lang w:val="en-US"/>
        </w:rPr>
      </w:pPr>
      <w:r w:rsidRPr="00220F5C">
        <w:rPr>
          <w:rFonts w:ascii="Calibri" w:eastAsia="Calibri" w:hAnsi="Calibri" w:cs="Calibri"/>
          <w:b/>
          <w:bCs/>
          <w:sz w:val="27"/>
          <w:szCs w:val="27"/>
          <w:lang w:val="en-US"/>
        </w:rPr>
        <w:t>INDEPENDENT</w:t>
      </w:r>
      <w:r w:rsidRPr="00220F5C">
        <w:rPr>
          <w:rFonts w:ascii="Calibri" w:eastAsia="Calibri" w:hAnsi="Calibri" w:cs="Calibri"/>
          <w:b/>
          <w:bCs/>
          <w:spacing w:val="58"/>
          <w:sz w:val="27"/>
          <w:szCs w:val="27"/>
          <w:lang w:val="en-US"/>
        </w:rPr>
        <w:t xml:space="preserve"> </w:t>
      </w:r>
      <w:r w:rsidRPr="00220F5C">
        <w:rPr>
          <w:rFonts w:ascii="Calibri" w:eastAsia="Calibri" w:hAnsi="Calibri" w:cs="Calibri"/>
          <w:b/>
          <w:bCs/>
          <w:sz w:val="27"/>
          <w:szCs w:val="27"/>
          <w:lang w:val="en-US"/>
        </w:rPr>
        <w:t>AUDITOR’S</w:t>
      </w:r>
      <w:r w:rsidRPr="00220F5C">
        <w:rPr>
          <w:rFonts w:ascii="Calibri" w:eastAsia="Calibri" w:hAnsi="Calibri" w:cs="Calibri"/>
          <w:b/>
          <w:bCs/>
          <w:spacing w:val="33"/>
          <w:sz w:val="27"/>
          <w:szCs w:val="27"/>
          <w:lang w:val="en-US"/>
        </w:rPr>
        <w:t xml:space="preserve"> </w:t>
      </w:r>
      <w:r w:rsidRPr="00220F5C">
        <w:rPr>
          <w:rFonts w:ascii="Calibri" w:eastAsia="Calibri" w:hAnsi="Calibri" w:cs="Calibri"/>
          <w:b/>
          <w:bCs/>
          <w:spacing w:val="-2"/>
          <w:sz w:val="27"/>
          <w:szCs w:val="27"/>
          <w:lang w:val="en-US"/>
        </w:rPr>
        <w:t>REPORT</w:t>
      </w:r>
    </w:p>
    <w:p w14:paraId="68179A22" w14:textId="77777777" w:rsidR="00220F5C" w:rsidRPr="00220F5C" w:rsidRDefault="00220F5C" w:rsidP="00220F5C">
      <w:pPr>
        <w:widowControl w:val="0"/>
        <w:autoSpaceDE w:val="0"/>
        <w:autoSpaceDN w:val="0"/>
        <w:spacing w:after="0" w:line="240" w:lineRule="auto"/>
        <w:rPr>
          <w:rFonts w:ascii="Calibri" w:eastAsia="Calibri" w:hAnsi="Calibri" w:cs="Calibri"/>
          <w:b/>
          <w:sz w:val="28"/>
          <w:szCs w:val="21"/>
          <w:lang w:val="en-US"/>
        </w:rPr>
      </w:pPr>
    </w:p>
    <w:p w14:paraId="6C8100D0" w14:textId="77777777" w:rsidR="00220F5C" w:rsidRPr="00CC286C" w:rsidRDefault="00220F5C" w:rsidP="00220F5C">
      <w:pPr>
        <w:widowControl w:val="0"/>
        <w:autoSpaceDE w:val="0"/>
        <w:autoSpaceDN w:val="0"/>
        <w:spacing w:before="178" w:after="0" w:line="360" w:lineRule="auto"/>
        <w:ind w:left="221" w:right="4503"/>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 xml:space="preserve">To the Members of the ACT Legislative Assembly </w:t>
      </w:r>
      <w:r w:rsidRPr="00CC286C">
        <w:rPr>
          <w:rFonts w:ascii="Calibri" w:eastAsia="Calibri" w:hAnsi="Calibri" w:cs="Calibri"/>
          <w:b/>
          <w:bCs/>
          <w:spacing w:val="-2"/>
          <w:sz w:val="21"/>
          <w:szCs w:val="21"/>
          <w:lang w:val="en-US"/>
        </w:rPr>
        <w:t>Opinion</w:t>
      </w:r>
    </w:p>
    <w:p w14:paraId="2C090C12" w14:textId="097AE4A6" w:rsidR="00220F5C" w:rsidRPr="00CC286C" w:rsidRDefault="00220F5C" w:rsidP="00220F5C">
      <w:pPr>
        <w:widowControl w:val="0"/>
        <w:autoSpaceDE w:val="0"/>
        <w:autoSpaceDN w:val="0"/>
        <w:spacing w:after="0" w:line="254" w:lineRule="auto"/>
        <w:ind w:left="221" w:right="138"/>
        <w:jc w:val="both"/>
        <w:rPr>
          <w:rFonts w:ascii="Calibri" w:eastAsia="Calibri" w:hAnsi="Calibri" w:cs="Calibri"/>
          <w:sz w:val="21"/>
          <w:szCs w:val="21"/>
          <w:lang w:val="en-US"/>
        </w:rPr>
      </w:pPr>
      <w:r w:rsidRPr="00CC286C">
        <w:rPr>
          <w:rFonts w:ascii="Calibri" w:eastAsia="Calibri" w:hAnsi="Calibri" w:cs="Calibri"/>
          <w:sz w:val="21"/>
          <w:szCs w:val="21"/>
          <w:lang w:val="en-US"/>
        </w:rPr>
        <w:t>I</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have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financial</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ACT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Insurance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Authority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(Authority)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year ended</w:t>
      </w:r>
      <w:r w:rsidRPr="00CC286C">
        <w:rPr>
          <w:rFonts w:ascii="Calibri" w:eastAsia="Calibri" w:hAnsi="Calibri" w:cs="Calibri"/>
          <w:spacing w:val="35"/>
          <w:sz w:val="21"/>
          <w:szCs w:val="21"/>
          <w:lang w:val="en-US"/>
        </w:rPr>
        <w:t xml:space="preserve"> </w:t>
      </w:r>
      <w:r w:rsidRPr="00CC286C">
        <w:rPr>
          <w:rFonts w:ascii="Calibri" w:eastAsia="Calibri" w:hAnsi="Calibri" w:cs="Calibri"/>
          <w:sz w:val="21"/>
          <w:szCs w:val="21"/>
          <w:lang w:val="en-US"/>
        </w:rPr>
        <w:t>30 June</w:t>
      </w:r>
      <w:r w:rsidRPr="00CC286C">
        <w:rPr>
          <w:rFonts w:ascii="Calibri" w:eastAsia="Calibri" w:hAnsi="Calibri" w:cs="Calibri"/>
          <w:spacing w:val="27"/>
          <w:sz w:val="21"/>
          <w:szCs w:val="21"/>
          <w:lang w:val="en-US"/>
        </w:rPr>
        <w:t xml:space="preserve"> </w:t>
      </w:r>
      <w:r w:rsidRPr="00CC286C">
        <w:rPr>
          <w:rFonts w:ascii="Calibri" w:eastAsia="Calibri" w:hAnsi="Calibri" w:cs="Calibri"/>
          <w:sz w:val="21"/>
          <w:szCs w:val="21"/>
          <w:lang w:val="en-US"/>
        </w:rPr>
        <w:t>202</w:t>
      </w:r>
      <w:r w:rsidR="005F50DF" w:rsidRPr="00CC286C">
        <w:rPr>
          <w:rFonts w:ascii="Calibri" w:eastAsia="Calibri" w:hAnsi="Calibri" w:cs="Calibri"/>
          <w:sz w:val="21"/>
          <w:szCs w:val="21"/>
          <w:lang w:val="en-US"/>
        </w:rPr>
        <w:t>4</w:t>
      </w:r>
      <w:r w:rsidRPr="00CC286C">
        <w:rPr>
          <w:rFonts w:ascii="Calibri" w:eastAsia="Calibri" w:hAnsi="Calibri" w:cs="Calibri"/>
          <w:sz w:val="21"/>
          <w:szCs w:val="21"/>
          <w:lang w:val="en-US"/>
        </w:rPr>
        <w:t xml:space="preserve"> which</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comprise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operating</w:t>
      </w:r>
      <w:r w:rsidRPr="00CC286C">
        <w:rPr>
          <w:rFonts w:ascii="Calibri" w:eastAsia="Calibri" w:hAnsi="Calibri" w:cs="Calibri"/>
          <w:spacing w:val="32"/>
          <w:sz w:val="21"/>
          <w:szCs w:val="21"/>
          <w:lang w:val="en-US"/>
        </w:rPr>
        <w:t xml:space="preserve"> </w:t>
      </w:r>
      <w:r w:rsidRPr="00CC286C">
        <w:rPr>
          <w:rFonts w:ascii="Calibri" w:eastAsia="Calibri" w:hAnsi="Calibri" w:cs="Calibri"/>
          <w:sz w:val="21"/>
          <w:szCs w:val="21"/>
          <w:lang w:val="en-US"/>
        </w:rPr>
        <w:t>statement,</w:t>
      </w:r>
      <w:r w:rsidRPr="00CC286C">
        <w:rPr>
          <w:rFonts w:ascii="Calibri" w:eastAsia="Calibri" w:hAnsi="Calibri" w:cs="Calibri"/>
          <w:spacing w:val="31"/>
          <w:sz w:val="21"/>
          <w:szCs w:val="21"/>
          <w:lang w:val="en-US"/>
        </w:rPr>
        <w:t xml:space="preserve"> </w:t>
      </w:r>
      <w:r w:rsidRPr="00CC286C">
        <w:rPr>
          <w:rFonts w:ascii="Calibri" w:eastAsia="Calibri" w:hAnsi="Calibri" w:cs="Calibri"/>
          <w:sz w:val="21"/>
          <w:szCs w:val="21"/>
          <w:lang w:val="en-US"/>
        </w:rPr>
        <w:t>balance sheet,</w:t>
      </w:r>
      <w:r w:rsidRPr="00CC286C">
        <w:rPr>
          <w:rFonts w:ascii="Calibri" w:eastAsia="Calibri" w:hAnsi="Calibri" w:cs="Calibri"/>
          <w:spacing w:val="31"/>
          <w:sz w:val="21"/>
          <w:szCs w:val="21"/>
          <w:lang w:val="en-US"/>
        </w:rPr>
        <w:t xml:space="preserve"> </w:t>
      </w:r>
      <w:r w:rsidRPr="00CC286C">
        <w:rPr>
          <w:rFonts w:ascii="Calibri" w:eastAsia="Calibri" w:hAnsi="Calibri" w:cs="Calibri"/>
          <w:sz w:val="21"/>
          <w:szCs w:val="21"/>
          <w:lang w:val="en-US"/>
        </w:rPr>
        <w:t>statement</w:t>
      </w:r>
      <w:r w:rsidRPr="00CC286C">
        <w:rPr>
          <w:rFonts w:ascii="Calibri" w:eastAsia="Calibri" w:hAnsi="Calibri" w:cs="Calibri"/>
          <w:spacing w:val="24"/>
          <w:sz w:val="21"/>
          <w:szCs w:val="21"/>
          <w:lang w:val="en-US"/>
        </w:rPr>
        <w:t xml:space="preserve"> </w:t>
      </w:r>
      <w:r w:rsidRPr="00CC286C">
        <w:rPr>
          <w:rFonts w:ascii="Calibri" w:eastAsia="Calibri" w:hAnsi="Calibri" w:cs="Calibri"/>
          <w:sz w:val="21"/>
          <w:szCs w:val="21"/>
          <w:lang w:val="en-US"/>
        </w:rPr>
        <w:t>of changes in equity, statement of cash flows, and notes to the financial statements, including a summary of significant accounting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policies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and other explanatory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information.</w:t>
      </w:r>
    </w:p>
    <w:p w14:paraId="7220E694" w14:textId="77777777" w:rsidR="00220F5C" w:rsidRPr="00CC286C" w:rsidRDefault="00220F5C" w:rsidP="00220F5C">
      <w:pPr>
        <w:widowControl w:val="0"/>
        <w:autoSpaceDE w:val="0"/>
        <w:autoSpaceDN w:val="0"/>
        <w:spacing w:before="113"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In</w:t>
      </w:r>
      <w:r w:rsidRPr="00CC286C">
        <w:rPr>
          <w:rFonts w:ascii="Calibri" w:eastAsia="Calibri" w:hAnsi="Calibri" w:cs="Calibri"/>
          <w:spacing w:val="-2"/>
          <w:sz w:val="21"/>
          <w:szCs w:val="21"/>
          <w:lang w:val="en-US"/>
        </w:rPr>
        <w:t xml:space="preserve"> </w:t>
      </w:r>
      <w:r w:rsidRPr="00CC286C">
        <w:rPr>
          <w:rFonts w:ascii="Calibri" w:eastAsia="Calibri" w:hAnsi="Calibri" w:cs="Calibri"/>
          <w:sz w:val="21"/>
          <w:szCs w:val="21"/>
          <w:lang w:val="en-US"/>
        </w:rPr>
        <w:t>my</w:t>
      </w:r>
      <w:r w:rsidRPr="00CC286C">
        <w:rPr>
          <w:rFonts w:ascii="Calibri" w:eastAsia="Calibri" w:hAnsi="Calibri" w:cs="Calibri"/>
          <w:spacing w:val="15"/>
          <w:sz w:val="21"/>
          <w:szCs w:val="21"/>
          <w:lang w:val="en-US"/>
        </w:rPr>
        <w:t xml:space="preserve"> </w:t>
      </w:r>
      <w:r w:rsidRPr="00CC286C">
        <w:rPr>
          <w:rFonts w:ascii="Calibri" w:eastAsia="Calibri" w:hAnsi="Calibri" w:cs="Calibri"/>
          <w:sz w:val="21"/>
          <w:szCs w:val="21"/>
          <w:lang w:val="en-US"/>
        </w:rPr>
        <w:t>opinion,</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17"/>
          <w:sz w:val="21"/>
          <w:szCs w:val="21"/>
          <w:lang w:val="en-US"/>
        </w:rPr>
        <w:t xml:space="preserve"> </w:t>
      </w:r>
      <w:r w:rsidRPr="00CC286C">
        <w:rPr>
          <w:rFonts w:ascii="Calibri" w:eastAsia="Calibri" w:hAnsi="Calibri" w:cs="Calibri"/>
          <w:sz w:val="21"/>
          <w:szCs w:val="21"/>
          <w:lang w:val="en-US"/>
        </w:rPr>
        <w:t>financial</w:t>
      </w:r>
      <w:r w:rsidRPr="00CC286C">
        <w:rPr>
          <w:rFonts w:ascii="Calibri" w:eastAsia="Calibri" w:hAnsi="Calibri" w:cs="Calibri"/>
          <w:spacing w:val="15"/>
          <w:sz w:val="21"/>
          <w:szCs w:val="21"/>
          <w:lang w:val="en-US"/>
        </w:rPr>
        <w:t xml:space="preserve"> </w:t>
      </w:r>
      <w:r w:rsidRPr="00CC286C">
        <w:rPr>
          <w:rFonts w:ascii="Calibri" w:eastAsia="Calibri" w:hAnsi="Calibri" w:cs="Calibri"/>
          <w:spacing w:val="-2"/>
          <w:sz w:val="21"/>
          <w:szCs w:val="21"/>
          <w:lang w:val="en-US"/>
        </w:rPr>
        <w:t>statements:</w:t>
      </w:r>
    </w:p>
    <w:p w14:paraId="733AA603" w14:textId="37D12092" w:rsidR="00220F5C" w:rsidRPr="00CC286C" w:rsidRDefault="00220F5C" w:rsidP="00A36E9A">
      <w:pPr>
        <w:widowControl w:val="0"/>
        <w:numPr>
          <w:ilvl w:val="0"/>
          <w:numId w:val="41"/>
        </w:numPr>
        <w:tabs>
          <w:tab w:val="left" w:pos="784"/>
          <w:tab w:val="left" w:pos="786"/>
        </w:tabs>
        <w:autoSpaceDE w:val="0"/>
        <w:autoSpaceDN w:val="0"/>
        <w:spacing w:before="128" w:after="0" w:line="259" w:lineRule="auto"/>
        <w:ind w:right="145"/>
        <w:jc w:val="both"/>
        <w:rPr>
          <w:rFonts w:ascii="Calibri" w:eastAsia="Calibri" w:hAnsi="Calibri" w:cs="Calibri"/>
          <w:sz w:val="21"/>
          <w:szCs w:val="22"/>
          <w:lang w:val="en-US"/>
        </w:rPr>
      </w:pPr>
      <w:r w:rsidRPr="00CC286C">
        <w:rPr>
          <w:rFonts w:ascii="Calibri" w:eastAsia="Calibri" w:hAnsi="Calibri" w:cs="Calibri"/>
          <w:sz w:val="21"/>
          <w:szCs w:val="22"/>
          <w:lang w:val="en-US"/>
        </w:rPr>
        <w:t>present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fairly,</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in</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all material</w:t>
      </w:r>
      <w:r w:rsidRPr="00CC286C">
        <w:rPr>
          <w:rFonts w:ascii="Calibri" w:eastAsia="Calibri" w:hAnsi="Calibri" w:cs="Calibri"/>
          <w:spacing w:val="32"/>
          <w:sz w:val="21"/>
          <w:szCs w:val="22"/>
          <w:lang w:val="en-US"/>
        </w:rPr>
        <w:t xml:space="preserve"> </w:t>
      </w:r>
      <w:r w:rsidRPr="00CC286C">
        <w:rPr>
          <w:rFonts w:ascii="Calibri" w:eastAsia="Calibri" w:hAnsi="Calibri" w:cs="Calibri"/>
          <w:sz w:val="21"/>
          <w:szCs w:val="22"/>
          <w:lang w:val="en-US"/>
        </w:rPr>
        <w:t>respects,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2"/>
          <w:sz w:val="21"/>
          <w:szCs w:val="22"/>
          <w:lang w:val="en-US"/>
        </w:rPr>
        <w:t xml:space="preserve"> </w:t>
      </w:r>
      <w:r w:rsidRPr="00CC286C">
        <w:rPr>
          <w:rFonts w:ascii="Calibri" w:eastAsia="Calibri" w:hAnsi="Calibri" w:cs="Calibri"/>
          <w:sz w:val="21"/>
          <w:szCs w:val="22"/>
          <w:lang w:val="en-US"/>
        </w:rPr>
        <w:t>position</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as at</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30 June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202</w:t>
      </w:r>
      <w:r w:rsidR="005F4400" w:rsidRPr="00CC286C">
        <w:rPr>
          <w:rFonts w:ascii="Calibri" w:eastAsia="Calibri" w:hAnsi="Calibri" w:cs="Calibri"/>
          <w:sz w:val="21"/>
          <w:szCs w:val="22"/>
          <w:lang w:val="en-US"/>
        </w:rPr>
        <w:t>4</w:t>
      </w:r>
      <w:r w:rsidRPr="00CC286C">
        <w:rPr>
          <w:rFonts w:ascii="Calibri" w:eastAsia="Calibri" w:hAnsi="Calibri" w:cs="Calibri"/>
          <w:sz w:val="21"/>
          <w:szCs w:val="22"/>
          <w:lang w:val="en-US"/>
        </w:rPr>
        <w:t>, and</w:t>
      </w:r>
      <w:r w:rsidRPr="00CC286C">
        <w:rPr>
          <w:rFonts w:ascii="Calibri" w:eastAsia="Calibri" w:hAnsi="Calibri" w:cs="Calibri"/>
          <w:spacing w:val="30"/>
          <w:sz w:val="21"/>
          <w:szCs w:val="22"/>
          <w:lang w:val="en-US"/>
        </w:rPr>
        <w:t xml:space="preserve"> </w:t>
      </w:r>
      <w:r w:rsidRPr="00CC286C">
        <w:rPr>
          <w:rFonts w:ascii="Calibri" w:eastAsia="Calibri" w:hAnsi="Calibri" w:cs="Calibri"/>
          <w:sz w:val="21"/>
          <w:szCs w:val="22"/>
          <w:lang w:val="en-US"/>
        </w:rPr>
        <w:t>its</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performance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30"/>
          <w:sz w:val="21"/>
          <w:szCs w:val="22"/>
          <w:lang w:val="en-US"/>
        </w:rPr>
        <w:t xml:space="preserve"> </w:t>
      </w:r>
      <w:r w:rsidRPr="00CC286C">
        <w:rPr>
          <w:rFonts w:ascii="Calibri" w:eastAsia="Calibri" w:hAnsi="Calibri" w:cs="Calibri"/>
          <w:sz w:val="21"/>
          <w:szCs w:val="22"/>
          <w:lang w:val="en-US"/>
        </w:rPr>
        <w:t>cash flows for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year</w:t>
      </w:r>
      <w:r w:rsidRPr="00CC286C">
        <w:rPr>
          <w:rFonts w:ascii="Calibri" w:eastAsia="Calibri" w:hAnsi="Calibri" w:cs="Calibri"/>
          <w:spacing w:val="33"/>
          <w:sz w:val="21"/>
          <w:szCs w:val="22"/>
          <w:lang w:val="en-US"/>
        </w:rPr>
        <w:t xml:space="preserve"> </w:t>
      </w:r>
      <w:r w:rsidRPr="00CC286C">
        <w:rPr>
          <w:rFonts w:ascii="Calibri" w:eastAsia="Calibri" w:hAnsi="Calibri" w:cs="Calibri"/>
          <w:sz w:val="21"/>
          <w:szCs w:val="22"/>
          <w:lang w:val="en-US"/>
        </w:rPr>
        <w:t>then</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ended;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p>
    <w:p w14:paraId="2BFFB0CF" w14:textId="77777777" w:rsidR="00220F5C" w:rsidRPr="00CC286C" w:rsidRDefault="00220F5C" w:rsidP="00A36E9A">
      <w:pPr>
        <w:widowControl w:val="0"/>
        <w:numPr>
          <w:ilvl w:val="0"/>
          <w:numId w:val="41"/>
        </w:numPr>
        <w:tabs>
          <w:tab w:val="left" w:pos="783"/>
          <w:tab w:val="left" w:pos="786"/>
        </w:tabs>
        <w:autoSpaceDE w:val="0"/>
        <w:autoSpaceDN w:val="0"/>
        <w:spacing w:before="107" w:after="0" w:line="247" w:lineRule="auto"/>
        <w:ind w:right="137"/>
        <w:jc w:val="both"/>
        <w:rPr>
          <w:rFonts w:ascii="Calibri" w:eastAsia="Calibri" w:hAnsi="Calibri" w:cs="Calibri"/>
          <w:sz w:val="21"/>
          <w:szCs w:val="22"/>
          <w:lang w:val="en-US"/>
        </w:rPr>
      </w:pPr>
      <w:r w:rsidRPr="00CC286C">
        <w:rPr>
          <w:rFonts w:ascii="Calibri" w:eastAsia="Calibri" w:hAnsi="Calibri" w:cs="Calibri"/>
          <w:sz w:val="21"/>
          <w:szCs w:val="22"/>
          <w:lang w:val="en-US"/>
        </w:rPr>
        <w:t xml:space="preserve">are presented in accordance with the </w:t>
      </w:r>
      <w:r w:rsidRPr="00CC286C">
        <w:rPr>
          <w:rFonts w:ascii="Calibri" w:eastAsia="Calibri" w:hAnsi="Calibri" w:cs="Calibri"/>
          <w:i/>
          <w:sz w:val="21"/>
          <w:szCs w:val="22"/>
          <w:lang w:val="en-US"/>
        </w:rPr>
        <w:t xml:space="preserve">Financial Management Act 1996 </w:t>
      </w:r>
      <w:r w:rsidRPr="00CC286C">
        <w:rPr>
          <w:rFonts w:ascii="Calibri" w:eastAsia="Calibri" w:hAnsi="Calibri" w:cs="Calibri"/>
          <w:sz w:val="21"/>
          <w:szCs w:val="22"/>
          <w:lang w:val="en-US"/>
        </w:rPr>
        <w:t>and comply with Australian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Accounting Standards.</w:t>
      </w:r>
    </w:p>
    <w:p w14:paraId="0B2EC873" w14:textId="77777777" w:rsidR="00220F5C" w:rsidRPr="00CC286C" w:rsidRDefault="00220F5C" w:rsidP="00220F5C">
      <w:pPr>
        <w:widowControl w:val="0"/>
        <w:autoSpaceDE w:val="0"/>
        <w:autoSpaceDN w:val="0"/>
        <w:spacing w:before="133"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Basis</w:t>
      </w:r>
      <w:r w:rsidRPr="00CC286C">
        <w:rPr>
          <w:rFonts w:ascii="Calibri" w:eastAsia="Calibri" w:hAnsi="Calibri" w:cs="Calibri"/>
          <w:b/>
          <w:bCs/>
          <w:spacing w:val="28"/>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
          <w:sz w:val="21"/>
          <w:szCs w:val="21"/>
          <w:lang w:val="en-US"/>
        </w:rPr>
        <w:t xml:space="preserve"> </w:t>
      </w:r>
      <w:r w:rsidRPr="00CC286C">
        <w:rPr>
          <w:rFonts w:ascii="Calibri" w:eastAsia="Calibri" w:hAnsi="Calibri" w:cs="Calibri"/>
          <w:b/>
          <w:bCs/>
          <w:spacing w:val="-2"/>
          <w:sz w:val="21"/>
          <w:szCs w:val="21"/>
          <w:lang w:val="en-US"/>
        </w:rPr>
        <w:t>opinion</w:t>
      </w:r>
    </w:p>
    <w:p w14:paraId="1CCC8FB0" w14:textId="77777777" w:rsidR="00220F5C" w:rsidRPr="00CC286C" w:rsidRDefault="00220F5C" w:rsidP="00220F5C">
      <w:pPr>
        <w:widowControl w:val="0"/>
        <w:autoSpaceDE w:val="0"/>
        <w:autoSpaceDN w:val="0"/>
        <w:spacing w:before="128" w:after="0" w:line="252" w:lineRule="auto"/>
        <w:ind w:left="221" w:right="157"/>
        <w:jc w:val="both"/>
        <w:rPr>
          <w:rFonts w:ascii="Calibri" w:eastAsia="Calibri" w:hAnsi="Calibri" w:cs="Calibri"/>
          <w:sz w:val="21"/>
          <w:szCs w:val="21"/>
          <w:lang w:val="en-US"/>
        </w:rPr>
      </w:pPr>
      <w:r w:rsidRPr="00CC286C">
        <w:rPr>
          <w:rFonts w:ascii="Calibri" w:eastAsia="Calibri" w:hAnsi="Calibri" w:cs="Calibri"/>
          <w:sz w:val="21"/>
          <w:szCs w:val="21"/>
          <w:lang w:val="en-US"/>
        </w:rPr>
        <w:t>I conducted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 accordance with 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Australian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My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responsibilities under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are further described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 the ‘Auditor’s responsibilities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the audit of the financial 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section of this report.</w:t>
      </w:r>
    </w:p>
    <w:p w14:paraId="6EB11758" w14:textId="77777777" w:rsidR="00220F5C" w:rsidRPr="00CC286C" w:rsidRDefault="00220F5C" w:rsidP="00220F5C">
      <w:pPr>
        <w:widowControl w:val="0"/>
        <w:autoSpaceDE w:val="0"/>
        <w:autoSpaceDN w:val="0"/>
        <w:spacing w:before="117" w:after="0" w:line="252" w:lineRule="auto"/>
        <w:ind w:left="221" w:right="136"/>
        <w:jc w:val="both"/>
        <w:rPr>
          <w:rFonts w:ascii="Calibri" w:eastAsia="Calibri" w:hAnsi="Calibri" w:cs="Calibri"/>
          <w:sz w:val="21"/>
          <w:szCs w:val="22"/>
          <w:lang w:val="en-US"/>
        </w:rPr>
      </w:pPr>
      <w:r w:rsidRPr="00CC286C">
        <w:rPr>
          <w:rFonts w:ascii="Calibri" w:eastAsia="Calibri" w:hAnsi="Calibri" w:cs="Calibri"/>
          <w:sz w:val="21"/>
          <w:szCs w:val="22"/>
          <w:lang w:val="en-US"/>
        </w:rPr>
        <w:t>I am independent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 Authority in accordance with the ethical requirements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 xml:space="preserve">of the Accounting Professional and Ethical Standards Board’s APES 110 </w:t>
      </w:r>
      <w:r w:rsidRPr="00CC286C">
        <w:rPr>
          <w:rFonts w:ascii="Calibri" w:eastAsia="Calibri" w:hAnsi="Calibri" w:cs="Calibri"/>
          <w:i/>
          <w:sz w:val="21"/>
          <w:szCs w:val="22"/>
          <w:lang w:val="en-US"/>
        </w:rPr>
        <w:t>Code of Ethics for Professional Accountants (including Independence Standards)</w:t>
      </w:r>
      <w:r w:rsidRPr="00CC286C">
        <w:rPr>
          <w:rFonts w:ascii="Calibri" w:eastAsia="Calibri" w:hAnsi="Calibri" w:cs="Calibri"/>
          <w:i/>
          <w:spacing w:val="40"/>
          <w:sz w:val="21"/>
          <w:szCs w:val="22"/>
          <w:lang w:val="en-US"/>
        </w:rPr>
        <w:t xml:space="preserve"> </w:t>
      </w:r>
      <w:r w:rsidRPr="00CC286C">
        <w:rPr>
          <w:rFonts w:ascii="Calibri" w:eastAsia="Calibri" w:hAnsi="Calibri" w:cs="Calibri"/>
          <w:sz w:val="21"/>
          <w:szCs w:val="22"/>
          <w:lang w:val="en-US"/>
        </w:rPr>
        <w:t>(Code). I have also fulfilled my other ethical responsibilities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 accordance with the Code.</w:t>
      </w:r>
    </w:p>
    <w:p w14:paraId="1AD984F4" w14:textId="77777777" w:rsidR="00220F5C" w:rsidRPr="00CC286C" w:rsidRDefault="00220F5C" w:rsidP="00220F5C">
      <w:pPr>
        <w:widowControl w:val="0"/>
        <w:autoSpaceDE w:val="0"/>
        <w:autoSpaceDN w:val="0"/>
        <w:spacing w:before="124" w:after="0" w:line="247" w:lineRule="auto"/>
        <w:ind w:left="221" w:right="155"/>
        <w:jc w:val="both"/>
        <w:rPr>
          <w:rFonts w:ascii="Calibri" w:eastAsia="Calibri" w:hAnsi="Calibri" w:cs="Calibri"/>
          <w:sz w:val="21"/>
          <w:szCs w:val="21"/>
          <w:lang w:val="en-US"/>
        </w:rPr>
      </w:pPr>
      <w:r w:rsidRPr="00CC286C">
        <w:rPr>
          <w:rFonts w:ascii="Calibri" w:eastAsia="Calibri" w:hAnsi="Calibri" w:cs="Calibri"/>
          <w:sz w:val="21"/>
          <w:szCs w:val="21"/>
          <w:lang w:val="en-US"/>
        </w:rPr>
        <w:t xml:space="preserve">I believe that the audit evidence obtained is sufficient and appropriate to provide a basis for my </w:t>
      </w:r>
      <w:r w:rsidRPr="00CC286C">
        <w:rPr>
          <w:rFonts w:ascii="Calibri" w:eastAsia="Calibri" w:hAnsi="Calibri" w:cs="Calibri"/>
          <w:spacing w:val="-2"/>
          <w:sz w:val="21"/>
          <w:szCs w:val="21"/>
          <w:lang w:val="en-US"/>
        </w:rPr>
        <w:t>opinion.</w:t>
      </w:r>
    </w:p>
    <w:p w14:paraId="25CE5364" w14:textId="77777777" w:rsidR="00220F5C" w:rsidRPr="00CC286C" w:rsidRDefault="00220F5C" w:rsidP="00220F5C">
      <w:pPr>
        <w:widowControl w:val="0"/>
        <w:autoSpaceDE w:val="0"/>
        <w:autoSpaceDN w:val="0"/>
        <w:spacing w:before="132"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Responsibilities</w:t>
      </w:r>
      <w:r w:rsidRPr="00CC286C">
        <w:rPr>
          <w:rFonts w:ascii="Calibri" w:eastAsia="Calibri" w:hAnsi="Calibri" w:cs="Calibri"/>
          <w:b/>
          <w:bCs/>
          <w:spacing w:val="56"/>
          <w:sz w:val="21"/>
          <w:szCs w:val="21"/>
          <w:lang w:val="en-US"/>
        </w:rPr>
        <w:t xml:space="preserve"> </w:t>
      </w:r>
      <w:r w:rsidRPr="00CC286C">
        <w:rPr>
          <w:rFonts w:ascii="Calibri" w:eastAsia="Calibri" w:hAnsi="Calibri" w:cs="Calibri"/>
          <w:b/>
          <w:bCs/>
          <w:sz w:val="21"/>
          <w:szCs w:val="21"/>
          <w:lang w:val="en-US"/>
        </w:rPr>
        <w:t>of</w:t>
      </w:r>
      <w:r w:rsidRPr="00CC286C">
        <w:rPr>
          <w:rFonts w:ascii="Calibri" w:eastAsia="Calibri" w:hAnsi="Calibri" w:cs="Calibri"/>
          <w:b/>
          <w:bCs/>
          <w:spacing w:val="10"/>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9"/>
          <w:sz w:val="21"/>
          <w:szCs w:val="21"/>
          <w:lang w:val="en-US"/>
        </w:rPr>
        <w:t xml:space="preserve"> </w:t>
      </w:r>
      <w:r w:rsidRPr="00CC286C">
        <w:rPr>
          <w:rFonts w:ascii="Calibri" w:eastAsia="Calibri" w:hAnsi="Calibri" w:cs="Calibri"/>
          <w:b/>
          <w:bCs/>
          <w:sz w:val="21"/>
          <w:szCs w:val="21"/>
          <w:lang w:val="en-US"/>
        </w:rPr>
        <w:t>Authority</w:t>
      </w:r>
      <w:r w:rsidRPr="00CC286C">
        <w:rPr>
          <w:rFonts w:ascii="Calibri" w:eastAsia="Calibri" w:hAnsi="Calibri" w:cs="Calibri"/>
          <w:b/>
          <w:bCs/>
          <w:spacing w:val="41"/>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financial</w:t>
      </w:r>
      <w:r w:rsidRPr="00CC286C">
        <w:rPr>
          <w:rFonts w:ascii="Calibri" w:eastAsia="Calibri" w:hAnsi="Calibri" w:cs="Calibri"/>
          <w:b/>
          <w:bCs/>
          <w:spacing w:val="14"/>
          <w:sz w:val="21"/>
          <w:szCs w:val="21"/>
          <w:lang w:val="en-US"/>
        </w:rPr>
        <w:t xml:space="preserve"> </w:t>
      </w:r>
      <w:r w:rsidRPr="00CC286C">
        <w:rPr>
          <w:rFonts w:ascii="Calibri" w:eastAsia="Calibri" w:hAnsi="Calibri" w:cs="Calibri"/>
          <w:b/>
          <w:bCs/>
          <w:spacing w:val="-2"/>
          <w:sz w:val="21"/>
          <w:szCs w:val="21"/>
          <w:lang w:val="en-US"/>
        </w:rPr>
        <w:t>statements</w:t>
      </w:r>
    </w:p>
    <w:p w14:paraId="7761F97E" w14:textId="77777777" w:rsidR="00220F5C" w:rsidRPr="00CC286C" w:rsidRDefault="00220F5C" w:rsidP="00220F5C">
      <w:pPr>
        <w:widowControl w:val="0"/>
        <w:autoSpaceDE w:val="0"/>
        <w:autoSpaceDN w:val="0"/>
        <w:spacing w:before="128"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The</w:t>
      </w:r>
      <w:r w:rsidRPr="00CC286C">
        <w:rPr>
          <w:rFonts w:ascii="Calibri" w:eastAsia="Calibri" w:hAnsi="Calibri" w:cs="Calibri"/>
          <w:spacing w:val="14"/>
          <w:sz w:val="21"/>
          <w:szCs w:val="21"/>
          <w:lang w:val="en-US"/>
        </w:rPr>
        <w:t xml:space="preserve"> </w:t>
      </w:r>
      <w:r w:rsidRPr="00CC286C">
        <w:rPr>
          <w:rFonts w:ascii="Calibri" w:eastAsia="Calibri" w:hAnsi="Calibri" w:cs="Calibri"/>
          <w:sz w:val="21"/>
          <w:szCs w:val="21"/>
          <w:lang w:val="en-US"/>
        </w:rPr>
        <w:t>Under</w:t>
      </w:r>
      <w:r w:rsidRPr="00CC286C">
        <w:rPr>
          <w:rFonts w:ascii="Calibri" w:eastAsia="Calibri" w:hAnsi="Calibri" w:cs="Calibri"/>
          <w:spacing w:val="11"/>
          <w:sz w:val="21"/>
          <w:szCs w:val="21"/>
          <w:lang w:val="en-US"/>
        </w:rPr>
        <w:t xml:space="preserve"> </w:t>
      </w:r>
      <w:r w:rsidRPr="00CC286C">
        <w:rPr>
          <w:rFonts w:ascii="Calibri" w:eastAsia="Calibri" w:hAnsi="Calibri" w:cs="Calibri"/>
          <w:sz w:val="21"/>
          <w:szCs w:val="21"/>
          <w:lang w:val="en-US"/>
        </w:rPr>
        <w:t>Treasurer</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
          <w:sz w:val="21"/>
          <w:szCs w:val="21"/>
          <w:lang w:val="en-US"/>
        </w:rPr>
        <w:t xml:space="preserve"> </w:t>
      </w:r>
      <w:r w:rsidRPr="00CC286C">
        <w:rPr>
          <w:rFonts w:ascii="Calibri" w:eastAsia="Calibri" w:hAnsi="Calibri" w:cs="Calibri"/>
          <w:sz w:val="21"/>
          <w:szCs w:val="21"/>
          <w:lang w:val="en-US"/>
        </w:rPr>
        <w:t>responsible</w:t>
      </w:r>
      <w:r w:rsidRPr="00CC286C">
        <w:rPr>
          <w:rFonts w:ascii="Calibri" w:eastAsia="Calibri" w:hAnsi="Calibri" w:cs="Calibri"/>
          <w:spacing w:val="38"/>
          <w:sz w:val="21"/>
          <w:szCs w:val="21"/>
          <w:lang w:val="en-US"/>
        </w:rPr>
        <w:t xml:space="preserve"> </w:t>
      </w:r>
      <w:r w:rsidRPr="00CC286C">
        <w:rPr>
          <w:rFonts w:ascii="Calibri" w:eastAsia="Calibri" w:hAnsi="Calibri" w:cs="Calibri"/>
          <w:spacing w:val="-4"/>
          <w:sz w:val="21"/>
          <w:szCs w:val="21"/>
          <w:lang w:val="en-US"/>
        </w:rPr>
        <w:t>for:</w:t>
      </w:r>
    </w:p>
    <w:p w14:paraId="0847CE12" w14:textId="4812955B" w:rsidR="00220F5C" w:rsidRPr="00CC286C" w:rsidRDefault="00220F5C" w:rsidP="00A36E9A">
      <w:pPr>
        <w:widowControl w:val="0"/>
        <w:numPr>
          <w:ilvl w:val="0"/>
          <w:numId w:val="40"/>
        </w:numPr>
        <w:tabs>
          <w:tab w:val="left" w:pos="785"/>
          <w:tab w:val="left" w:pos="4058"/>
        </w:tabs>
        <w:autoSpaceDE w:val="0"/>
        <w:autoSpaceDN w:val="0"/>
        <w:spacing w:before="20" w:after="0" w:line="240" w:lineRule="auto"/>
        <w:ind w:hanging="564"/>
        <w:jc w:val="both"/>
        <w:rPr>
          <w:rFonts w:ascii="Calibri" w:eastAsia="Calibri" w:hAnsi="Calibri" w:cs="Calibri"/>
          <w:sz w:val="21"/>
          <w:szCs w:val="22"/>
          <w:lang w:val="en-US"/>
        </w:rPr>
      </w:pPr>
      <w:r w:rsidRPr="00CC286C">
        <w:rPr>
          <w:rFonts w:ascii="Calibri" w:eastAsia="Calibri" w:hAnsi="Calibri" w:cs="Calibri"/>
          <w:sz w:val="21"/>
          <w:szCs w:val="22"/>
          <w:lang w:val="en-US"/>
        </w:rPr>
        <w:t>preparing</w:t>
      </w:r>
      <w:r w:rsidRPr="00CC286C">
        <w:rPr>
          <w:rFonts w:ascii="Calibri" w:eastAsia="Calibri" w:hAnsi="Calibri" w:cs="Calibri"/>
          <w:spacing w:val="52"/>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fairly</w:t>
      </w:r>
      <w:r w:rsidRPr="00CC286C">
        <w:rPr>
          <w:rFonts w:ascii="Calibri" w:eastAsia="Calibri" w:hAnsi="Calibri" w:cs="Calibri"/>
          <w:spacing w:val="36"/>
          <w:sz w:val="21"/>
          <w:szCs w:val="22"/>
          <w:lang w:val="en-US"/>
        </w:rPr>
        <w:t xml:space="preserve"> </w:t>
      </w:r>
      <w:r w:rsidRPr="00CC286C">
        <w:rPr>
          <w:rFonts w:ascii="Calibri" w:eastAsia="Calibri" w:hAnsi="Calibri" w:cs="Calibri"/>
          <w:spacing w:val="-2"/>
          <w:sz w:val="21"/>
          <w:szCs w:val="22"/>
          <w:lang w:val="en-US"/>
        </w:rPr>
        <w:t>presenting</w:t>
      </w:r>
      <w:r w:rsidRPr="00CC286C">
        <w:rPr>
          <w:rFonts w:ascii="Calibri" w:eastAsia="Calibri" w:hAnsi="Calibri" w:cs="Calibri"/>
          <w:sz w:val="21"/>
          <w:szCs w:val="22"/>
          <w:lang w:val="en-US"/>
        </w:rPr>
        <w:t xml:space="preserve"> the</w:t>
      </w:r>
      <w:r w:rsidRPr="00CC286C">
        <w:rPr>
          <w:rFonts w:ascii="Calibri" w:eastAsia="Calibri" w:hAnsi="Calibri" w:cs="Calibri"/>
          <w:spacing w:val="41"/>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46"/>
          <w:sz w:val="21"/>
          <w:szCs w:val="22"/>
          <w:lang w:val="en-US"/>
        </w:rPr>
        <w:t xml:space="preserve"> </w:t>
      </w:r>
      <w:r w:rsidRPr="00CC286C">
        <w:rPr>
          <w:rFonts w:ascii="Calibri" w:eastAsia="Calibri" w:hAnsi="Calibri" w:cs="Calibri"/>
          <w:sz w:val="21"/>
          <w:szCs w:val="22"/>
          <w:lang w:val="en-US"/>
        </w:rPr>
        <w:t>statements</w:t>
      </w:r>
      <w:r w:rsidRPr="00CC286C">
        <w:rPr>
          <w:rFonts w:ascii="Calibri" w:eastAsia="Calibri" w:hAnsi="Calibri" w:cs="Calibri"/>
          <w:spacing w:val="53"/>
          <w:sz w:val="21"/>
          <w:szCs w:val="22"/>
          <w:lang w:val="en-US"/>
        </w:rPr>
        <w:t xml:space="preserve"> </w:t>
      </w:r>
      <w:r w:rsidRPr="00CC286C">
        <w:rPr>
          <w:rFonts w:ascii="Calibri" w:eastAsia="Calibri" w:hAnsi="Calibri" w:cs="Calibri"/>
          <w:sz w:val="21"/>
          <w:szCs w:val="22"/>
          <w:lang w:val="en-US"/>
        </w:rPr>
        <w:t>in</w:t>
      </w:r>
      <w:r w:rsidRPr="00CC286C">
        <w:rPr>
          <w:rFonts w:ascii="Calibri" w:eastAsia="Calibri" w:hAnsi="Calibri" w:cs="Calibri"/>
          <w:spacing w:val="44"/>
          <w:sz w:val="21"/>
          <w:szCs w:val="22"/>
          <w:lang w:val="en-US"/>
        </w:rPr>
        <w:t xml:space="preserve"> </w:t>
      </w:r>
      <w:r w:rsidRPr="00CC286C">
        <w:rPr>
          <w:rFonts w:ascii="Calibri" w:eastAsia="Calibri" w:hAnsi="Calibri" w:cs="Calibri"/>
          <w:sz w:val="21"/>
          <w:szCs w:val="22"/>
          <w:lang w:val="en-US"/>
        </w:rPr>
        <w:t>accordance</w:t>
      </w:r>
      <w:r w:rsidRPr="00CC286C">
        <w:rPr>
          <w:rFonts w:ascii="Calibri" w:eastAsia="Calibri" w:hAnsi="Calibri" w:cs="Calibri"/>
          <w:spacing w:val="41"/>
          <w:sz w:val="21"/>
          <w:szCs w:val="22"/>
          <w:lang w:val="en-US"/>
        </w:rPr>
        <w:t xml:space="preserve"> </w:t>
      </w:r>
      <w:r w:rsidRPr="00CC286C">
        <w:rPr>
          <w:rFonts w:ascii="Calibri" w:eastAsia="Calibri" w:hAnsi="Calibri" w:cs="Calibri"/>
          <w:sz w:val="21"/>
          <w:szCs w:val="22"/>
          <w:lang w:val="en-US"/>
        </w:rPr>
        <w:t>with</w:t>
      </w:r>
      <w:r w:rsidRPr="00CC286C">
        <w:rPr>
          <w:rFonts w:ascii="Calibri" w:eastAsia="Calibri" w:hAnsi="Calibri" w:cs="Calibri"/>
          <w:spacing w:val="37"/>
          <w:sz w:val="21"/>
          <w:szCs w:val="22"/>
          <w:lang w:val="en-US"/>
        </w:rPr>
        <w:t xml:space="preserve"> </w:t>
      </w:r>
      <w:r w:rsidRPr="00CC286C">
        <w:rPr>
          <w:rFonts w:ascii="Calibri" w:eastAsia="Calibri" w:hAnsi="Calibri" w:cs="Calibri"/>
          <w:spacing w:val="-5"/>
          <w:sz w:val="21"/>
          <w:szCs w:val="22"/>
          <w:lang w:val="en-US"/>
        </w:rPr>
        <w:t xml:space="preserve">the </w:t>
      </w:r>
      <w:r w:rsidRPr="00CC286C">
        <w:rPr>
          <w:rFonts w:ascii="Calibri" w:eastAsia="Calibri" w:hAnsi="Calibri" w:cs="Calibri"/>
          <w:i/>
          <w:sz w:val="21"/>
          <w:szCs w:val="22"/>
          <w:lang w:val="en-US"/>
        </w:rPr>
        <w:t>Financial</w:t>
      </w:r>
      <w:r w:rsidRPr="00CC286C">
        <w:rPr>
          <w:rFonts w:ascii="Calibri" w:eastAsia="Calibri" w:hAnsi="Calibri" w:cs="Calibri"/>
          <w:i/>
          <w:spacing w:val="26"/>
          <w:sz w:val="21"/>
          <w:szCs w:val="22"/>
          <w:lang w:val="en-US"/>
        </w:rPr>
        <w:t xml:space="preserve"> </w:t>
      </w:r>
      <w:r w:rsidRPr="00CC286C">
        <w:rPr>
          <w:rFonts w:ascii="Calibri" w:eastAsia="Calibri" w:hAnsi="Calibri" w:cs="Calibri"/>
          <w:i/>
          <w:sz w:val="21"/>
          <w:szCs w:val="22"/>
          <w:lang w:val="en-US"/>
        </w:rPr>
        <w:t>Management</w:t>
      </w:r>
      <w:r w:rsidRPr="00CC286C">
        <w:rPr>
          <w:rFonts w:ascii="Calibri" w:eastAsia="Calibri" w:hAnsi="Calibri" w:cs="Calibri"/>
          <w:i/>
          <w:spacing w:val="54"/>
          <w:sz w:val="21"/>
          <w:szCs w:val="22"/>
          <w:lang w:val="en-US"/>
        </w:rPr>
        <w:t xml:space="preserve"> </w:t>
      </w:r>
      <w:r w:rsidRPr="00CC286C">
        <w:rPr>
          <w:rFonts w:ascii="Calibri" w:eastAsia="Calibri" w:hAnsi="Calibri" w:cs="Calibri"/>
          <w:i/>
          <w:sz w:val="21"/>
          <w:szCs w:val="22"/>
          <w:lang w:val="en-US"/>
        </w:rPr>
        <w:t>Act</w:t>
      </w:r>
      <w:r w:rsidRPr="00CC286C">
        <w:rPr>
          <w:rFonts w:ascii="Calibri" w:eastAsia="Calibri" w:hAnsi="Calibri" w:cs="Calibri"/>
          <w:i/>
          <w:spacing w:val="3"/>
          <w:sz w:val="21"/>
          <w:szCs w:val="22"/>
          <w:lang w:val="en-US"/>
        </w:rPr>
        <w:t xml:space="preserve"> </w:t>
      </w:r>
      <w:r w:rsidRPr="00CC286C">
        <w:rPr>
          <w:rFonts w:ascii="Calibri" w:eastAsia="Calibri" w:hAnsi="Calibri" w:cs="Calibri"/>
          <w:i/>
          <w:sz w:val="21"/>
          <w:szCs w:val="22"/>
          <w:lang w:val="en-US"/>
        </w:rPr>
        <w:t>1996</w:t>
      </w:r>
      <w:r w:rsidRPr="00CC286C">
        <w:rPr>
          <w:rFonts w:ascii="Calibri" w:eastAsia="Calibri" w:hAnsi="Calibri" w:cs="Calibri"/>
          <w:i/>
          <w:spacing w:val="14"/>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21"/>
          <w:sz w:val="21"/>
          <w:szCs w:val="22"/>
          <w:lang w:val="en-US"/>
        </w:rPr>
        <w:t xml:space="preserve"> </w:t>
      </w:r>
      <w:r w:rsidRPr="00CC286C">
        <w:rPr>
          <w:rFonts w:ascii="Calibri" w:eastAsia="Calibri" w:hAnsi="Calibri" w:cs="Calibri"/>
          <w:sz w:val="21"/>
          <w:szCs w:val="22"/>
          <w:lang w:val="en-US"/>
        </w:rPr>
        <w:t>relevant</w:t>
      </w:r>
      <w:r w:rsidRPr="00CC286C">
        <w:rPr>
          <w:rFonts w:ascii="Calibri" w:eastAsia="Calibri" w:hAnsi="Calibri" w:cs="Calibri"/>
          <w:spacing w:val="14"/>
          <w:sz w:val="21"/>
          <w:szCs w:val="22"/>
          <w:lang w:val="en-US"/>
        </w:rPr>
        <w:t xml:space="preserve"> </w:t>
      </w:r>
      <w:r w:rsidRPr="00CC286C">
        <w:rPr>
          <w:rFonts w:ascii="Calibri" w:eastAsia="Calibri" w:hAnsi="Calibri" w:cs="Calibri"/>
          <w:sz w:val="21"/>
          <w:szCs w:val="22"/>
          <w:lang w:val="en-US"/>
        </w:rPr>
        <w:t>Australian</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Accounting</w:t>
      </w:r>
      <w:r w:rsidRPr="00CC286C">
        <w:rPr>
          <w:rFonts w:ascii="Calibri" w:eastAsia="Calibri" w:hAnsi="Calibri" w:cs="Calibri"/>
          <w:spacing w:val="33"/>
          <w:sz w:val="21"/>
          <w:szCs w:val="22"/>
          <w:lang w:val="en-US"/>
        </w:rPr>
        <w:t xml:space="preserve"> </w:t>
      </w:r>
      <w:r w:rsidRPr="00CC286C">
        <w:rPr>
          <w:rFonts w:ascii="Calibri" w:eastAsia="Calibri" w:hAnsi="Calibri" w:cs="Calibri"/>
          <w:spacing w:val="-2"/>
          <w:sz w:val="21"/>
          <w:szCs w:val="22"/>
          <w:lang w:val="en-US"/>
        </w:rPr>
        <w:t>Standards;</w:t>
      </w:r>
    </w:p>
    <w:p w14:paraId="45B94B60" w14:textId="77777777" w:rsidR="00220F5C" w:rsidRPr="00CC286C" w:rsidRDefault="00220F5C" w:rsidP="00A36E9A">
      <w:pPr>
        <w:widowControl w:val="0"/>
        <w:numPr>
          <w:ilvl w:val="0"/>
          <w:numId w:val="40"/>
        </w:numPr>
        <w:tabs>
          <w:tab w:val="left" w:pos="784"/>
          <w:tab w:val="left" w:pos="786"/>
        </w:tabs>
        <w:autoSpaceDE w:val="0"/>
        <w:autoSpaceDN w:val="0"/>
        <w:spacing w:before="129" w:after="0" w:line="252" w:lineRule="auto"/>
        <w:ind w:right="140"/>
        <w:jc w:val="both"/>
        <w:rPr>
          <w:rFonts w:ascii="Calibri" w:eastAsia="Calibri" w:hAnsi="Calibri" w:cs="Calibri"/>
          <w:sz w:val="21"/>
          <w:szCs w:val="22"/>
          <w:lang w:val="en-US"/>
        </w:rPr>
      </w:pPr>
      <w:r w:rsidRPr="00CC286C">
        <w:rPr>
          <w:rFonts w:ascii="Calibri" w:eastAsia="Calibri" w:hAnsi="Calibri" w:cs="Calibri"/>
          <w:sz w:val="21"/>
          <w:szCs w:val="22"/>
          <w:lang w:val="en-US"/>
        </w:rPr>
        <w:t>determining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 internal controls necessary for the preparation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fair presentation of the financial 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so that they are free from</w:t>
      </w:r>
      <w:r w:rsidRPr="00CC286C">
        <w:rPr>
          <w:rFonts w:ascii="Calibri" w:eastAsia="Calibri" w:hAnsi="Calibri" w:cs="Calibri"/>
          <w:spacing w:val="-8"/>
          <w:sz w:val="21"/>
          <w:szCs w:val="22"/>
          <w:lang w:val="en-US"/>
        </w:rPr>
        <w:t xml:space="preserve"> </w:t>
      </w:r>
      <w:r w:rsidRPr="00CC286C">
        <w:rPr>
          <w:rFonts w:ascii="Calibri" w:eastAsia="Calibri" w:hAnsi="Calibri" w:cs="Calibri"/>
          <w:sz w:val="21"/>
          <w:szCs w:val="22"/>
          <w:lang w:val="en-US"/>
        </w:rPr>
        <w:t>material</w:t>
      </w:r>
      <w:r w:rsidRPr="00CC286C">
        <w:rPr>
          <w:rFonts w:ascii="Calibri" w:eastAsia="Calibri" w:hAnsi="Calibri" w:cs="Calibri"/>
          <w:spacing w:val="25"/>
          <w:sz w:val="21"/>
          <w:szCs w:val="22"/>
          <w:lang w:val="en-US"/>
        </w:rPr>
        <w:t xml:space="preserve"> </w:t>
      </w:r>
      <w:r w:rsidRPr="00CC286C">
        <w:rPr>
          <w:rFonts w:ascii="Calibri" w:eastAsia="Calibri" w:hAnsi="Calibri" w:cs="Calibri"/>
          <w:sz w:val="21"/>
          <w:szCs w:val="22"/>
          <w:lang w:val="en-US"/>
        </w:rPr>
        <w:t>misstatements,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whether</w:t>
      </w:r>
      <w:r w:rsidRPr="00CC286C">
        <w:rPr>
          <w:rFonts w:ascii="Calibri" w:eastAsia="Calibri" w:hAnsi="Calibri" w:cs="Calibri"/>
          <w:spacing w:val="23"/>
          <w:sz w:val="21"/>
          <w:szCs w:val="22"/>
          <w:lang w:val="en-US"/>
        </w:rPr>
        <w:t xml:space="preserve"> </w:t>
      </w:r>
      <w:r w:rsidRPr="00CC286C">
        <w:rPr>
          <w:rFonts w:ascii="Calibri" w:eastAsia="Calibri" w:hAnsi="Calibri" w:cs="Calibri"/>
          <w:sz w:val="21"/>
          <w:szCs w:val="22"/>
          <w:lang w:val="en-US"/>
        </w:rPr>
        <w:t>due</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to error or fraud; and</w:t>
      </w:r>
    </w:p>
    <w:p w14:paraId="708D7C9C" w14:textId="77777777" w:rsidR="00220F5C" w:rsidRPr="00CC286C" w:rsidRDefault="00220F5C" w:rsidP="00A36E9A">
      <w:pPr>
        <w:widowControl w:val="0"/>
        <w:numPr>
          <w:ilvl w:val="0"/>
          <w:numId w:val="40"/>
        </w:numPr>
        <w:tabs>
          <w:tab w:val="left" w:pos="784"/>
          <w:tab w:val="left" w:pos="786"/>
        </w:tabs>
        <w:autoSpaceDE w:val="0"/>
        <w:autoSpaceDN w:val="0"/>
        <w:spacing w:before="118" w:after="0" w:line="252" w:lineRule="auto"/>
        <w:ind w:right="148"/>
        <w:jc w:val="both"/>
        <w:rPr>
          <w:rFonts w:ascii="Calibri" w:eastAsia="Calibri" w:hAnsi="Calibri" w:cs="Calibri"/>
          <w:sz w:val="21"/>
          <w:szCs w:val="22"/>
          <w:lang w:val="en-US"/>
        </w:rPr>
      </w:pPr>
      <w:r w:rsidRPr="00CC286C">
        <w:rPr>
          <w:rFonts w:ascii="Calibri" w:eastAsia="Calibri" w:hAnsi="Calibri" w:cs="Calibri"/>
          <w:sz w:val="21"/>
          <w:szCs w:val="22"/>
          <w:lang w:val="en-US"/>
        </w:rPr>
        <w:t>assessing the ability of the Authority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continue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as a going concern and disclosing, as applicable,</w:t>
      </w:r>
      <w:r w:rsidRPr="00CC286C">
        <w:rPr>
          <w:rFonts w:ascii="Calibri" w:eastAsia="Calibri" w:hAnsi="Calibri" w:cs="Calibri"/>
          <w:spacing w:val="35"/>
          <w:sz w:val="21"/>
          <w:szCs w:val="22"/>
          <w:lang w:val="en-US"/>
        </w:rPr>
        <w:t xml:space="preserve"> </w:t>
      </w:r>
      <w:r w:rsidRPr="00CC286C">
        <w:rPr>
          <w:rFonts w:ascii="Calibri" w:eastAsia="Calibri" w:hAnsi="Calibri" w:cs="Calibri"/>
          <w:sz w:val="21"/>
          <w:szCs w:val="22"/>
          <w:lang w:val="en-US"/>
        </w:rPr>
        <w:t>matters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relating</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to</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going concern and</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using</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going concern basis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of accounting in preparing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 financial statements.</w:t>
      </w:r>
    </w:p>
    <w:p w14:paraId="7EF26B99" w14:textId="77777777" w:rsidR="00220F5C" w:rsidRPr="00CC286C" w:rsidRDefault="00220F5C" w:rsidP="00220F5C">
      <w:pPr>
        <w:widowControl w:val="0"/>
        <w:autoSpaceDE w:val="0"/>
        <w:autoSpaceDN w:val="0"/>
        <w:spacing w:after="0" w:line="240" w:lineRule="auto"/>
        <w:rPr>
          <w:rFonts w:ascii="Calibri" w:eastAsia="Calibri" w:hAnsi="Calibri" w:cs="Calibri"/>
          <w:sz w:val="20"/>
          <w:szCs w:val="21"/>
          <w:lang w:val="en-US"/>
        </w:rPr>
      </w:pPr>
    </w:p>
    <w:p w14:paraId="3D4714BD" w14:textId="77777777" w:rsidR="00220F5C" w:rsidRPr="00CC286C" w:rsidRDefault="00220F5C" w:rsidP="00220F5C">
      <w:pPr>
        <w:widowControl w:val="0"/>
        <w:autoSpaceDE w:val="0"/>
        <w:autoSpaceDN w:val="0"/>
        <w:spacing w:after="0" w:line="240" w:lineRule="auto"/>
        <w:rPr>
          <w:rFonts w:ascii="Calibri" w:eastAsia="Calibri" w:hAnsi="Calibri" w:cs="Calibri"/>
          <w:sz w:val="20"/>
          <w:szCs w:val="21"/>
          <w:lang w:val="en-US"/>
        </w:rPr>
      </w:pPr>
    </w:p>
    <w:p w14:paraId="7F431365" w14:textId="77777777" w:rsidR="00AB1B3B" w:rsidRPr="00CC286C" w:rsidRDefault="00AB1B3B" w:rsidP="00220F5C">
      <w:pPr>
        <w:widowControl w:val="0"/>
        <w:autoSpaceDE w:val="0"/>
        <w:autoSpaceDN w:val="0"/>
        <w:spacing w:after="0" w:line="240" w:lineRule="auto"/>
        <w:rPr>
          <w:rFonts w:ascii="Calibri" w:eastAsia="Calibri" w:hAnsi="Calibri" w:cs="Calibri"/>
          <w:sz w:val="20"/>
          <w:szCs w:val="21"/>
          <w:lang w:val="en-US"/>
        </w:rPr>
      </w:pPr>
    </w:p>
    <w:p w14:paraId="6AF3627C" w14:textId="77777777" w:rsidR="00220F5C" w:rsidRPr="00CC286C" w:rsidRDefault="00220F5C" w:rsidP="008307B2">
      <w:pPr>
        <w:widowControl w:val="0"/>
        <w:autoSpaceDE w:val="0"/>
        <w:autoSpaceDN w:val="0"/>
        <w:spacing w:before="3" w:after="0" w:line="240" w:lineRule="auto"/>
        <w:jc w:val="center"/>
        <w:rPr>
          <w:rFonts w:ascii="Calibri" w:eastAsia="Calibri" w:hAnsi="Calibri" w:cs="Calibri"/>
          <w:sz w:val="14"/>
          <w:szCs w:val="21"/>
          <w:lang w:val="en-US"/>
        </w:rPr>
      </w:pPr>
      <w:r w:rsidRPr="00CC286C">
        <w:rPr>
          <w:rFonts w:ascii="Calibri" w:eastAsia="Calibri" w:hAnsi="Calibri" w:cs="Calibri"/>
          <w:noProof/>
          <w:sz w:val="21"/>
          <w:szCs w:val="21"/>
          <w:lang w:val="en-US"/>
        </w:rPr>
        <w:drawing>
          <wp:inline distT="0" distB="0" distL="0" distR="0" wp14:anchorId="4A1FBF3C" wp14:editId="2C40AE6C">
            <wp:extent cx="5560494" cy="485394"/>
            <wp:effectExtent l="0" t="0" r="2540" b="0"/>
            <wp:docPr id="20" name="Picture 20" descr="ACT Audit Office letterhead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CT Audit Office letterhead foot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60494" cy="485394"/>
                    </a:xfrm>
                    <a:prstGeom prst="rect">
                      <a:avLst/>
                    </a:prstGeom>
                  </pic:spPr>
                </pic:pic>
              </a:graphicData>
            </a:graphic>
          </wp:inline>
        </w:drawing>
      </w:r>
    </w:p>
    <w:p w14:paraId="1616285C" w14:textId="77777777" w:rsidR="00220F5C" w:rsidRPr="00CC286C" w:rsidRDefault="00220F5C" w:rsidP="00220F5C">
      <w:pPr>
        <w:widowControl w:val="0"/>
        <w:autoSpaceDE w:val="0"/>
        <w:autoSpaceDN w:val="0"/>
        <w:spacing w:after="0" w:line="240" w:lineRule="auto"/>
        <w:rPr>
          <w:rFonts w:ascii="Calibri" w:eastAsia="Calibri" w:hAnsi="Calibri" w:cs="Calibri"/>
          <w:sz w:val="14"/>
          <w:szCs w:val="22"/>
          <w:lang w:val="en-US"/>
        </w:rPr>
        <w:sectPr w:rsidR="00220F5C" w:rsidRPr="00CC286C" w:rsidSect="00220F5C">
          <w:footerReference w:type="default" r:id="rId50"/>
          <w:pgSz w:w="11910" w:h="16840"/>
          <w:pgMar w:top="1020" w:right="1420" w:bottom="0" w:left="1340" w:header="720" w:footer="720" w:gutter="0"/>
          <w:cols w:space="720"/>
        </w:sectPr>
      </w:pPr>
    </w:p>
    <w:p w14:paraId="115646D4" w14:textId="29A51F48" w:rsidR="00B63B7F" w:rsidRPr="00CC286C" w:rsidRDefault="00B63B7F" w:rsidP="006219EC">
      <w:pPr>
        <w:spacing w:after="0" w:line="240" w:lineRule="auto"/>
        <w:ind w:left="426"/>
        <w:rPr>
          <w:iCs/>
        </w:rPr>
      </w:pPr>
    </w:p>
    <w:p w14:paraId="4CFBE0D4" w14:textId="77777777" w:rsidR="00BB6A87" w:rsidRPr="00CC286C" w:rsidRDefault="00BB6A87" w:rsidP="006219EC">
      <w:pPr>
        <w:spacing w:after="0" w:line="240" w:lineRule="auto"/>
        <w:ind w:left="426"/>
        <w:rPr>
          <w:iCs/>
        </w:rPr>
      </w:pPr>
    </w:p>
    <w:p w14:paraId="58D92E80" w14:textId="77777777" w:rsidR="00BB6A87" w:rsidRPr="00CC286C" w:rsidRDefault="00BB6A87" w:rsidP="00BB6A87">
      <w:pPr>
        <w:widowControl w:val="0"/>
        <w:autoSpaceDE w:val="0"/>
        <w:autoSpaceDN w:val="0"/>
        <w:spacing w:before="33"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Auditor’s</w:t>
      </w:r>
      <w:r w:rsidRPr="00CC286C">
        <w:rPr>
          <w:rFonts w:ascii="Calibri" w:eastAsia="Calibri" w:hAnsi="Calibri" w:cs="Calibri"/>
          <w:b/>
          <w:bCs/>
          <w:spacing w:val="18"/>
          <w:sz w:val="21"/>
          <w:szCs w:val="21"/>
          <w:lang w:val="en-US"/>
        </w:rPr>
        <w:t xml:space="preserve"> </w:t>
      </w:r>
      <w:r w:rsidRPr="00CC286C">
        <w:rPr>
          <w:rFonts w:ascii="Calibri" w:eastAsia="Calibri" w:hAnsi="Calibri" w:cs="Calibri"/>
          <w:b/>
          <w:bCs/>
          <w:sz w:val="21"/>
          <w:szCs w:val="21"/>
          <w:lang w:val="en-US"/>
        </w:rPr>
        <w:t>responsibilities</w:t>
      </w:r>
      <w:r w:rsidRPr="00CC286C">
        <w:rPr>
          <w:rFonts w:ascii="Calibri" w:eastAsia="Calibri" w:hAnsi="Calibri" w:cs="Calibri"/>
          <w:b/>
          <w:bCs/>
          <w:spacing w:val="58"/>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5"/>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audit</w:t>
      </w:r>
      <w:r w:rsidRPr="00CC286C">
        <w:rPr>
          <w:rFonts w:ascii="Calibri" w:eastAsia="Calibri" w:hAnsi="Calibri" w:cs="Calibri"/>
          <w:b/>
          <w:bCs/>
          <w:spacing w:val="17"/>
          <w:sz w:val="21"/>
          <w:szCs w:val="21"/>
          <w:lang w:val="en-US"/>
        </w:rPr>
        <w:t xml:space="preserve"> </w:t>
      </w:r>
      <w:r w:rsidRPr="00CC286C">
        <w:rPr>
          <w:rFonts w:ascii="Calibri" w:eastAsia="Calibri" w:hAnsi="Calibri" w:cs="Calibri"/>
          <w:b/>
          <w:bCs/>
          <w:sz w:val="21"/>
          <w:szCs w:val="21"/>
          <w:lang w:val="en-US"/>
        </w:rPr>
        <w:t>of</w:t>
      </w:r>
      <w:r w:rsidRPr="00CC286C">
        <w:rPr>
          <w:rFonts w:ascii="Calibri" w:eastAsia="Calibri" w:hAnsi="Calibri" w:cs="Calibri"/>
          <w:b/>
          <w:bCs/>
          <w:spacing w:val="11"/>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financial</w:t>
      </w:r>
      <w:r w:rsidRPr="00CC286C">
        <w:rPr>
          <w:rFonts w:ascii="Calibri" w:eastAsia="Calibri" w:hAnsi="Calibri" w:cs="Calibri"/>
          <w:b/>
          <w:bCs/>
          <w:spacing w:val="15"/>
          <w:sz w:val="21"/>
          <w:szCs w:val="21"/>
          <w:lang w:val="en-US"/>
        </w:rPr>
        <w:t xml:space="preserve"> </w:t>
      </w:r>
      <w:r w:rsidRPr="00CC286C">
        <w:rPr>
          <w:rFonts w:ascii="Calibri" w:eastAsia="Calibri" w:hAnsi="Calibri" w:cs="Calibri"/>
          <w:b/>
          <w:bCs/>
          <w:spacing w:val="-2"/>
          <w:sz w:val="21"/>
          <w:szCs w:val="21"/>
          <w:lang w:val="en-US"/>
        </w:rPr>
        <w:t>statements</w:t>
      </w:r>
    </w:p>
    <w:p w14:paraId="1ED9CF80" w14:textId="65A93E41" w:rsidR="00BB6A87" w:rsidRPr="00CC286C" w:rsidRDefault="00BB6A87" w:rsidP="00BB6A87">
      <w:pPr>
        <w:widowControl w:val="0"/>
        <w:autoSpaceDE w:val="0"/>
        <w:autoSpaceDN w:val="0"/>
        <w:spacing w:before="128" w:after="0" w:line="259" w:lineRule="auto"/>
        <w:ind w:left="221" w:right="145"/>
        <w:jc w:val="both"/>
        <w:rPr>
          <w:rFonts w:ascii="Calibri" w:eastAsia="Calibri" w:hAnsi="Calibri" w:cs="Calibri"/>
          <w:sz w:val="21"/>
          <w:szCs w:val="21"/>
          <w:lang w:val="en-US"/>
        </w:rPr>
      </w:pPr>
      <w:r w:rsidRPr="00CC286C">
        <w:rPr>
          <w:rFonts w:ascii="Calibri" w:eastAsia="Calibri" w:hAnsi="Calibri" w:cs="Calibri"/>
          <w:sz w:val="21"/>
          <w:szCs w:val="21"/>
          <w:lang w:val="en-US"/>
        </w:rPr>
        <w:t>Under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i/>
          <w:sz w:val="21"/>
          <w:szCs w:val="21"/>
          <w:lang w:val="en-US"/>
        </w:rPr>
        <w:t>Financial</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Management</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Act</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1996,</w:t>
      </w:r>
      <w:r w:rsidRPr="00CC286C">
        <w:rPr>
          <w:rFonts w:ascii="Calibri" w:eastAsia="Calibri" w:hAnsi="Calibri" w:cs="Calibri"/>
          <w:i/>
          <w:spacing w:val="40"/>
          <w:sz w:val="21"/>
          <w:szCs w:val="21"/>
          <w:lang w:val="en-US"/>
        </w:rPr>
        <w:t xml:space="preserve"> </w:t>
      </w:r>
      <w:r w:rsidR="0067404C" w:rsidRPr="00CC286C">
        <w:rPr>
          <w:rFonts w:ascii="Calibri" w:eastAsia="Calibri" w:hAnsi="Calibri" w:cs="Calibri"/>
          <w:sz w:val="21"/>
          <w:szCs w:val="21"/>
          <w:lang w:val="en-US"/>
        </w:rPr>
        <w:t xml:space="preserve">the </w:t>
      </w:r>
      <w:r w:rsidR="00B71455" w:rsidRPr="00CC286C">
        <w:rPr>
          <w:rFonts w:ascii="Calibri" w:eastAsia="Calibri" w:hAnsi="Calibri" w:cs="Calibri"/>
          <w:sz w:val="21"/>
          <w:szCs w:val="21"/>
          <w:lang w:val="en-US"/>
        </w:rPr>
        <w:t>Auditor-General</w:t>
      </w:r>
      <w:r w:rsidR="00AB3F0E" w:rsidRPr="00CC286C">
        <w:rPr>
          <w:rFonts w:ascii="Calibri" w:eastAsia="Calibri" w:hAnsi="Calibri" w:cs="Calibri"/>
          <w:sz w:val="21"/>
          <w:szCs w:val="21"/>
          <w:lang w:val="en-US"/>
        </w:rPr>
        <w:t xml:space="preserve"> is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responsible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issuing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report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that includes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 independent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opinion on the</w:t>
      </w:r>
      <w:r w:rsidRPr="00CC286C">
        <w:rPr>
          <w:rFonts w:ascii="Calibri" w:eastAsia="Calibri" w:hAnsi="Calibri" w:cs="Calibri"/>
          <w:spacing w:val="34"/>
          <w:sz w:val="21"/>
          <w:szCs w:val="21"/>
          <w:lang w:val="en-US"/>
        </w:rPr>
        <w:t xml:space="preserve"> </w:t>
      </w:r>
      <w:r w:rsidRPr="00CC286C">
        <w:rPr>
          <w:rFonts w:ascii="Calibri" w:eastAsia="Calibri" w:hAnsi="Calibri" w:cs="Calibri"/>
          <w:sz w:val="21"/>
          <w:szCs w:val="21"/>
          <w:lang w:val="en-US"/>
        </w:rPr>
        <w:t>financial 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Authority.</w:t>
      </w:r>
    </w:p>
    <w:p w14:paraId="24FA23AA" w14:textId="77777777" w:rsidR="00BB6A87" w:rsidRPr="00CC286C" w:rsidRDefault="00BB6A87" w:rsidP="00BB6A87">
      <w:pPr>
        <w:widowControl w:val="0"/>
        <w:autoSpaceDE w:val="0"/>
        <w:autoSpaceDN w:val="0"/>
        <w:spacing w:before="107" w:after="0" w:line="252" w:lineRule="auto"/>
        <w:ind w:left="221" w:right="147"/>
        <w:jc w:val="both"/>
        <w:rPr>
          <w:rFonts w:ascii="Calibri" w:eastAsia="Calibri" w:hAnsi="Calibri" w:cs="Calibri"/>
          <w:sz w:val="21"/>
          <w:szCs w:val="21"/>
          <w:lang w:val="en-US"/>
        </w:rPr>
      </w:pPr>
      <w:r w:rsidRPr="00CC286C">
        <w:rPr>
          <w:rFonts w:ascii="Calibri" w:eastAsia="Calibri" w:hAnsi="Calibri" w:cs="Calibri"/>
          <w:sz w:val="21"/>
          <w:szCs w:val="21"/>
          <w:lang w:val="en-US"/>
        </w:rPr>
        <w:t>My objective</w:t>
      </w:r>
      <w:r w:rsidRPr="00CC286C">
        <w:rPr>
          <w:rFonts w:ascii="Calibri" w:eastAsia="Calibri" w:hAnsi="Calibri" w:cs="Calibri"/>
          <w:spacing w:val="39"/>
          <w:sz w:val="21"/>
          <w:szCs w:val="21"/>
          <w:lang w:val="en-US"/>
        </w:rPr>
        <w:t xml:space="preserve"> </w:t>
      </w:r>
      <w:r w:rsidRPr="00CC286C">
        <w:rPr>
          <w:rFonts w:ascii="Calibri" w:eastAsia="Calibri" w:hAnsi="Calibri" w:cs="Calibri"/>
          <w:sz w:val="21"/>
          <w:szCs w:val="21"/>
          <w:lang w:val="en-US"/>
        </w:rPr>
        <w:t>is to obtain reasonable</w:t>
      </w:r>
      <w:r w:rsidRPr="00CC286C">
        <w:rPr>
          <w:rFonts w:ascii="Calibri" w:eastAsia="Calibri" w:hAnsi="Calibri" w:cs="Calibri"/>
          <w:spacing w:val="39"/>
          <w:sz w:val="21"/>
          <w:szCs w:val="21"/>
          <w:lang w:val="en-US"/>
        </w:rPr>
        <w:t xml:space="preserve"> </w:t>
      </w:r>
      <w:r w:rsidRPr="00CC286C">
        <w:rPr>
          <w:rFonts w:ascii="Calibri" w:eastAsia="Calibri" w:hAnsi="Calibri" w:cs="Calibri"/>
          <w:sz w:val="21"/>
          <w:szCs w:val="21"/>
          <w:lang w:val="en-US"/>
        </w:rPr>
        <w:t>assurance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about</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whether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financial statements</w:t>
      </w:r>
      <w:r w:rsidRPr="00CC286C">
        <w:rPr>
          <w:rFonts w:ascii="Calibri" w:eastAsia="Calibri" w:hAnsi="Calibri" w:cs="Calibri"/>
          <w:spacing w:val="38"/>
          <w:sz w:val="21"/>
          <w:szCs w:val="21"/>
          <w:lang w:val="en-US"/>
        </w:rPr>
        <w:t xml:space="preserve"> </w:t>
      </w:r>
      <w:proofErr w:type="gramStart"/>
      <w:r w:rsidRPr="00CC286C">
        <w:rPr>
          <w:rFonts w:ascii="Calibri" w:eastAsia="Calibri" w:hAnsi="Calibri" w:cs="Calibri"/>
          <w:sz w:val="21"/>
          <w:szCs w:val="21"/>
          <w:lang w:val="en-US"/>
        </w:rPr>
        <w:t>as a whole are</w:t>
      </w:r>
      <w:proofErr w:type="gramEnd"/>
      <w:r w:rsidRPr="00CC286C">
        <w:rPr>
          <w:rFonts w:ascii="Calibri" w:eastAsia="Calibri" w:hAnsi="Calibri" w:cs="Calibri"/>
          <w:sz w:val="21"/>
          <w:szCs w:val="21"/>
          <w:lang w:val="en-US"/>
        </w:rPr>
        <w:t xml:space="preserve"> free</w:t>
      </w:r>
      <w:r w:rsidRPr="00CC286C">
        <w:rPr>
          <w:rFonts w:ascii="Calibri" w:eastAsia="Calibri" w:hAnsi="Calibri" w:cs="Calibri"/>
          <w:spacing w:val="-3"/>
          <w:sz w:val="21"/>
          <w:szCs w:val="21"/>
          <w:lang w:val="en-US"/>
        </w:rPr>
        <w:t xml:space="preserve"> </w:t>
      </w:r>
      <w:r w:rsidRPr="00CC286C">
        <w:rPr>
          <w:rFonts w:ascii="Calibri" w:eastAsia="Calibri" w:hAnsi="Calibri" w:cs="Calibri"/>
          <w:sz w:val="21"/>
          <w:szCs w:val="21"/>
          <w:lang w:val="en-US"/>
        </w:rPr>
        <w:t>from material misstatement,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whether due to fraud or</w:t>
      </w:r>
      <w:r w:rsidRPr="00CC286C">
        <w:rPr>
          <w:rFonts w:ascii="Calibri" w:eastAsia="Calibri" w:hAnsi="Calibri" w:cs="Calibri"/>
          <w:spacing w:val="-8"/>
          <w:sz w:val="21"/>
          <w:szCs w:val="21"/>
          <w:lang w:val="en-US"/>
        </w:rPr>
        <w:t xml:space="preserve"> </w:t>
      </w:r>
      <w:r w:rsidRPr="00CC286C">
        <w:rPr>
          <w:rFonts w:ascii="Calibri" w:eastAsia="Calibri" w:hAnsi="Calibri" w:cs="Calibri"/>
          <w:sz w:val="21"/>
          <w:szCs w:val="21"/>
          <w:lang w:val="en-US"/>
        </w:rPr>
        <w:t>error, and to issue an auditor’s report that includes my opinion.</w:t>
      </w:r>
    </w:p>
    <w:p w14:paraId="2B36F325" w14:textId="77777777" w:rsidR="00BB6A87" w:rsidRPr="00CC286C" w:rsidRDefault="00BB6A87" w:rsidP="00BB6A87">
      <w:pPr>
        <w:widowControl w:val="0"/>
        <w:autoSpaceDE w:val="0"/>
        <w:autoSpaceDN w:val="0"/>
        <w:spacing w:before="117" w:after="0" w:line="252" w:lineRule="auto"/>
        <w:ind w:left="221" w:right="137"/>
        <w:jc w:val="both"/>
        <w:rPr>
          <w:rFonts w:ascii="Calibri" w:eastAsia="Calibri" w:hAnsi="Calibri" w:cs="Calibri"/>
          <w:sz w:val="21"/>
          <w:szCs w:val="21"/>
          <w:lang w:val="en-US"/>
        </w:rPr>
      </w:pPr>
      <w:r w:rsidRPr="00CC286C">
        <w:rPr>
          <w:rFonts w:ascii="Calibri" w:eastAsia="Calibri" w:hAnsi="Calibri" w:cs="Calibri"/>
          <w:sz w:val="21"/>
          <w:szCs w:val="21"/>
          <w:lang w:val="en-US"/>
        </w:rPr>
        <w:t>Reasonable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assurance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high</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level</w:t>
      </w:r>
      <w:r w:rsidRPr="00CC286C">
        <w:rPr>
          <w:rFonts w:ascii="Calibri" w:eastAsia="Calibri" w:hAnsi="Calibri" w:cs="Calibri"/>
          <w:spacing w:val="36"/>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assurance,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but</w:t>
      </w:r>
      <w:r w:rsidRPr="00CC286C">
        <w:rPr>
          <w:rFonts w:ascii="Calibri" w:eastAsia="Calibri" w:hAnsi="Calibri" w:cs="Calibri"/>
          <w:spacing w:val="36"/>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not</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guarantee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that</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an</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conducted in</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accordance</w:t>
      </w:r>
      <w:r w:rsidRPr="00CC286C">
        <w:rPr>
          <w:rFonts w:ascii="Calibri" w:eastAsia="Calibri" w:hAnsi="Calibri" w:cs="Calibri"/>
          <w:spacing w:val="12"/>
          <w:sz w:val="21"/>
          <w:szCs w:val="21"/>
          <w:lang w:val="en-US"/>
        </w:rPr>
        <w:t xml:space="preserve"> </w:t>
      </w:r>
      <w:r w:rsidRPr="00CC286C">
        <w:rPr>
          <w:rFonts w:ascii="Calibri" w:eastAsia="Calibri" w:hAnsi="Calibri" w:cs="Calibri"/>
          <w:sz w:val="21"/>
          <w:szCs w:val="21"/>
          <w:lang w:val="en-US"/>
        </w:rPr>
        <w:t>with</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Australian</w:t>
      </w:r>
      <w:r w:rsidRPr="00CC286C">
        <w:rPr>
          <w:rFonts w:ascii="Calibri" w:eastAsia="Calibri" w:hAnsi="Calibri" w:cs="Calibri"/>
          <w:spacing w:val="33"/>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62"/>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will always detect</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material</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misstatement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when it exists.</w:t>
      </w:r>
      <w:r w:rsidRPr="00CC286C">
        <w:rPr>
          <w:rFonts w:ascii="Calibri" w:eastAsia="Calibri" w:hAnsi="Calibri" w:cs="Calibri"/>
          <w:spacing w:val="32"/>
          <w:sz w:val="21"/>
          <w:szCs w:val="21"/>
          <w:lang w:val="en-US"/>
        </w:rPr>
        <w:t xml:space="preserve"> </w:t>
      </w:r>
      <w:r w:rsidRPr="00CC286C">
        <w:rPr>
          <w:rFonts w:ascii="Calibri" w:eastAsia="Calibri" w:hAnsi="Calibri" w:cs="Calibri"/>
          <w:sz w:val="21"/>
          <w:szCs w:val="21"/>
          <w:lang w:val="en-US"/>
        </w:rPr>
        <w:t>Misstatements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can arise from</w:t>
      </w:r>
      <w:r w:rsidRPr="00CC286C">
        <w:rPr>
          <w:rFonts w:ascii="Calibri" w:eastAsia="Calibri" w:hAnsi="Calibri" w:cs="Calibri"/>
          <w:spacing w:val="19"/>
          <w:sz w:val="21"/>
          <w:szCs w:val="21"/>
          <w:lang w:val="en-US"/>
        </w:rPr>
        <w:t xml:space="preserve"> </w:t>
      </w:r>
      <w:r w:rsidRPr="00CC286C">
        <w:rPr>
          <w:rFonts w:ascii="Calibri" w:eastAsia="Calibri" w:hAnsi="Calibri" w:cs="Calibri"/>
          <w:sz w:val="21"/>
          <w:szCs w:val="21"/>
          <w:lang w:val="en-US"/>
        </w:rPr>
        <w:t>fraud</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or error</w:t>
      </w:r>
      <w:r w:rsidRPr="00CC286C">
        <w:rPr>
          <w:rFonts w:ascii="Calibri" w:eastAsia="Calibri" w:hAnsi="Calibri" w:cs="Calibri"/>
          <w:spacing w:val="20"/>
          <w:sz w:val="21"/>
          <w:szCs w:val="21"/>
          <w:lang w:val="en-US"/>
        </w:rPr>
        <w:t xml:space="preserve"> </w:t>
      </w:r>
      <w:r w:rsidRPr="00CC286C">
        <w:rPr>
          <w:rFonts w:ascii="Calibri" w:eastAsia="Calibri" w:hAnsi="Calibri" w:cs="Calibri"/>
          <w:sz w:val="21"/>
          <w:szCs w:val="21"/>
          <w:lang w:val="en-US"/>
        </w:rPr>
        <w:t>and</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are considered</w:t>
      </w:r>
      <w:r w:rsidRPr="00CC286C">
        <w:rPr>
          <w:rFonts w:ascii="Calibri" w:eastAsia="Calibri" w:hAnsi="Calibri" w:cs="Calibri"/>
          <w:spacing w:val="34"/>
          <w:sz w:val="21"/>
          <w:szCs w:val="21"/>
          <w:lang w:val="en-US"/>
        </w:rPr>
        <w:t xml:space="preserve"> </w:t>
      </w:r>
      <w:r w:rsidRPr="00CC286C">
        <w:rPr>
          <w:rFonts w:ascii="Calibri" w:eastAsia="Calibri" w:hAnsi="Calibri" w:cs="Calibri"/>
          <w:sz w:val="21"/>
          <w:szCs w:val="21"/>
          <w:lang w:val="en-US"/>
        </w:rPr>
        <w:t>material</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if,</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individually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or in aggregate, they could</w:t>
      </w:r>
      <w:r w:rsidRPr="00CC286C">
        <w:rPr>
          <w:rFonts w:ascii="Calibri" w:eastAsia="Calibri" w:hAnsi="Calibri" w:cs="Calibri"/>
          <w:spacing w:val="21"/>
          <w:sz w:val="21"/>
          <w:szCs w:val="21"/>
          <w:lang w:val="en-US"/>
        </w:rPr>
        <w:t xml:space="preserve"> </w:t>
      </w:r>
      <w:r w:rsidRPr="00CC286C">
        <w:rPr>
          <w:rFonts w:ascii="Calibri" w:eastAsia="Calibri" w:hAnsi="Calibri" w:cs="Calibri"/>
          <w:sz w:val="21"/>
          <w:szCs w:val="21"/>
          <w:lang w:val="en-US"/>
        </w:rPr>
        <w:t>reasonably</w:t>
      </w:r>
      <w:r w:rsidRPr="00CC286C">
        <w:rPr>
          <w:rFonts w:ascii="Calibri" w:eastAsia="Calibri" w:hAnsi="Calibri" w:cs="Calibri"/>
          <w:spacing w:val="27"/>
          <w:sz w:val="21"/>
          <w:szCs w:val="21"/>
          <w:lang w:val="en-US"/>
        </w:rPr>
        <w:t xml:space="preserve"> </w:t>
      </w:r>
      <w:r w:rsidRPr="00CC286C">
        <w:rPr>
          <w:rFonts w:ascii="Calibri" w:eastAsia="Calibri" w:hAnsi="Calibri" w:cs="Calibri"/>
          <w:sz w:val="21"/>
          <w:szCs w:val="21"/>
          <w:lang w:val="en-US"/>
        </w:rPr>
        <w:t>be expected</w:t>
      </w:r>
      <w:r w:rsidRPr="00CC286C">
        <w:rPr>
          <w:rFonts w:ascii="Calibri" w:eastAsia="Calibri" w:hAnsi="Calibri" w:cs="Calibri"/>
          <w:spacing w:val="21"/>
          <w:sz w:val="21"/>
          <w:szCs w:val="21"/>
          <w:lang w:val="en-US"/>
        </w:rPr>
        <w:t xml:space="preserve"> </w:t>
      </w:r>
      <w:r w:rsidRPr="00CC286C">
        <w:rPr>
          <w:rFonts w:ascii="Calibri" w:eastAsia="Calibri" w:hAnsi="Calibri" w:cs="Calibri"/>
          <w:sz w:val="21"/>
          <w:szCs w:val="21"/>
          <w:lang w:val="en-US"/>
        </w:rPr>
        <w:t>to influence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economic decisions</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of users</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 xml:space="preserve">taken </w:t>
      </w:r>
      <w:proofErr w:type="gramStart"/>
      <w:r w:rsidRPr="00CC286C">
        <w:rPr>
          <w:rFonts w:ascii="Calibri" w:eastAsia="Calibri" w:hAnsi="Calibri" w:cs="Calibri"/>
          <w:sz w:val="21"/>
          <w:szCs w:val="21"/>
          <w:lang w:val="en-US"/>
        </w:rPr>
        <w:t>on the basis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proofErr w:type="gramEnd"/>
      <w:r w:rsidRPr="00CC286C">
        <w:rPr>
          <w:rFonts w:ascii="Calibri" w:eastAsia="Calibri" w:hAnsi="Calibri" w:cs="Calibri"/>
          <w:sz w:val="21"/>
          <w:szCs w:val="21"/>
          <w:lang w:val="en-US"/>
        </w:rPr>
        <w:t xml:space="preserve"> the financial statements.</w:t>
      </w:r>
    </w:p>
    <w:p w14:paraId="761AA9BB" w14:textId="298DCBD7" w:rsidR="00BB6A87" w:rsidRPr="00CC286C" w:rsidRDefault="0F1D1FD8" w:rsidP="00BB6A87">
      <w:pPr>
        <w:widowControl w:val="0"/>
        <w:autoSpaceDE w:val="0"/>
        <w:autoSpaceDN w:val="0"/>
        <w:spacing w:before="119" w:after="0" w:line="247" w:lineRule="auto"/>
        <w:ind w:left="221" w:right="155"/>
        <w:jc w:val="both"/>
        <w:rPr>
          <w:rFonts w:ascii="Calibri" w:eastAsia="Calibri" w:hAnsi="Calibri" w:cs="Calibri"/>
          <w:sz w:val="21"/>
          <w:szCs w:val="21"/>
          <w:lang w:val="en-US"/>
        </w:rPr>
      </w:pPr>
      <w:r w:rsidRPr="00CC286C">
        <w:rPr>
          <w:rFonts w:ascii="Calibri" w:eastAsia="Calibri" w:hAnsi="Calibri" w:cs="Calibri"/>
          <w:sz w:val="21"/>
          <w:szCs w:val="21"/>
          <w:lang w:val="en-US"/>
        </w:rPr>
        <w:t>As part of an audit in accordance with Australian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 exercise professional judgement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and maintain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professional</w:t>
      </w:r>
      <w:r w:rsidRPr="00CC286C">
        <w:rPr>
          <w:rFonts w:ascii="Calibri" w:eastAsia="Calibri" w:hAnsi="Calibri" w:cs="Calibri"/>
          <w:spacing w:val="40"/>
          <w:sz w:val="21"/>
          <w:szCs w:val="21"/>
          <w:lang w:val="en-US"/>
        </w:rPr>
        <w:t xml:space="preserve"> </w:t>
      </w:r>
      <w:r w:rsidR="6DCEE037" w:rsidRPr="00CC286C">
        <w:rPr>
          <w:rFonts w:ascii="Calibri" w:eastAsia="Calibri" w:hAnsi="Calibri" w:cs="Calibri"/>
          <w:sz w:val="21"/>
          <w:szCs w:val="21"/>
          <w:lang w:val="en-US"/>
        </w:rPr>
        <w:t>s</w:t>
      </w:r>
      <w:r w:rsidR="00DA27D7" w:rsidRPr="00CC286C">
        <w:rPr>
          <w:rFonts w:ascii="Calibri" w:eastAsia="Calibri" w:hAnsi="Calibri" w:cs="Calibri"/>
          <w:sz w:val="21"/>
          <w:szCs w:val="21"/>
          <w:lang w:val="en-US"/>
        </w:rPr>
        <w:t>c</w:t>
      </w:r>
      <w:r w:rsidR="6DCEE037" w:rsidRPr="00CC286C">
        <w:rPr>
          <w:rFonts w:ascii="Calibri" w:eastAsia="Calibri" w:hAnsi="Calibri" w:cs="Calibri"/>
          <w:sz w:val="21"/>
          <w:szCs w:val="21"/>
          <w:lang w:val="en-US"/>
        </w:rPr>
        <w:t>epticism</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throughout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 also:</w:t>
      </w:r>
    </w:p>
    <w:p w14:paraId="77EE5C39" w14:textId="77777777" w:rsidR="00BB6A87" w:rsidRPr="00CC286C" w:rsidRDefault="00BB6A87" w:rsidP="00A36E9A">
      <w:pPr>
        <w:widowControl w:val="0"/>
        <w:numPr>
          <w:ilvl w:val="0"/>
          <w:numId w:val="40"/>
        </w:numPr>
        <w:tabs>
          <w:tab w:val="left" w:pos="784"/>
          <w:tab w:val="left" w:pos="786"/>
        </w:tabs>
        <w:autoSpaceDE w:val="0"/>
        <w:autoSpaceDN w:val="0"/>
        <w:spacing w:before="134" w:after="0" w:line="252" w:lineRule="auto"/>
        <w:ind w:right="143"/>
        <w:jc w:val="both"/>
        <w:rPr>
          <w:rFonts w:ascii="Calibri" w:eastAsia="Calibri" w:hAnsi="Calibri" w:cs="Calibri"/>
          <w:sz w:val="21"/>
          <w:szCs w:val="22"/>
          <w:lang w:val="en-US"/>
        </w:rPr>
      </w:pPr>
      <w:r w:rsidRPr="00CC286C">
        <w:rPr>
          <w:rFonts w:ascii="Calibri" w:eastAsia="Calibri" w:hAnsi="Calibri" w:cs="Calibri"/>
          <w:sz w:val="21"/>
          <w:szCs w:val="22"/>
          <w:lang w:val="en-US"/>
        </w:rPr>
        <w:t>identify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assess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risks</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of</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material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misstatement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whether due to fraud or error, design and perform audit procedures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responsive to those risks, 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obtain audit evidence</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that is sufficient and appropriate</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to provide a</w:t>
      </w:r>
      <w:r w:rsidRPr="00CC286C">
        <w:rPr>
          <w:rFonts w:ascii="Calibri" w:eastAsia="Calibri" w:hAnsi="Calibri" w:cs="Calibri"/>
          <w:spacing w:val="-1"/>
          <w:sz w:val="21"/>
          <w:szCs w:val="22"/>
          <w:lang w:val="en-US"/>
        </w:rPr>
        <w:t xml:space="preserve"> </w:t>
      </w:r>
      <w:r w:rsidRPr="00CC286C">
        <w:rPr>
          <w:rFonts w:ascii="Calibri" w:eastAsia="Calibri" w:hAnsi="Calibri" w:cs="Calibri"/>
          <w:sz w:val="21"/>
          <w:szCs w:val="22"/>
          <w:lang w:val="en-US"/>
        </w:rPr>
        <w:t>basis for my opinion. The risk of not detecting a material misstatement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resulting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from fraud is higher than for one resulting from error, as fraud may involve collusion, forgery, intentional omissions, misrepresentations,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or the override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internal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control;</w:t>
      </w:r>
    </w:p>
    <w:p w14:paraId="0E54E920" w14:textId="77777777" w:rsidR="00BB6A87" w:rsidRPr="00CC286C" w:rsidRDefault="00BB6A87" w:rsidP="00A36E9A">
      <w:pPr>
        <w:widowControl w:val="0"/>
        <w:numPr>
          <w:ilvl w:val="0"/>
          <w:numId w:val="40"/>
        </w:numPr>
        <w:tabs>
          <w:tab w:val="left" w:pos="784"/>
          <w:tab w:val="left" w:pos="786"/>
        </w:tabs>
        <w:autoSpaceDE w:val="0"/>
        <w:autoSpaceDN w:val="0"/>
        <w:spacing w:before="115" w:after="0" w:line="252" w:lineRule="auto"/>
        <w:ind w:right="150"/>
        <w:jc w:val="both"/>
        <w:rPr>
          <w:rFonts w:ascii="Calibri" w:eastAsia="Calibri" w:hAnsi="Calibri" w:cs="Calibri"/>
          <w:sz w:val="21"/>
          <w:szCs w:val="22"/>
          <w:lang w:val="en-US"/>
        </w:rPr>
      </w:pPr>
      <w:r w:rsidRPr="00CC286C">
        <w:rPr>
          <w:rFonts w:ascii="Calibri" w:eastAsia="Calibri" w:hAnsi="Calibri" w:cs="Calibri"/>
          <w:sz w:val="21"/>
          <w:szCs w:val="22"/>
          <w:lang w:val="en-US"/>
        </w:rPr>
        <w:t>obtain an understanding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 xml:space="preserve">of internal controls relevant to the audit </w:t>
      </w:r>
      <w:proofErr w:type="gramStart"/>
      <w:r w:rsidRPr="00CC286C">
        <w:rPr>
          <w:rFonts w:ascii="Calibri" w:eastAsia="Calibri" w:hAnsi="Calibri" w:cs="Calibri"/>
          <w:sz w:val="21"/>
          <w:szCs w:val="22"/>
          <w:lang w:val="en-US"/>
        </w:rPr>
        <w:t>in order to</w:t>
      </w:r>
      <w:proofErr w:type="gramEnd"/>
      <w:r w:rsidRPr="00CC286C">
        <w:rPr>
          <w:rFonts w:ascii="Calibri" w:eastAsia="Calibri" w:hAnsi="Calibri" w:cs="Calibri"/>
          <w:sz w:val="21"/>
          <w:szCs w:val="22"/>
          <w:lang w:val="en-US"/>
        </w:rPr>
        <w:t xml:space="preserve"> design audit procedures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that</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are appropriate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 the</w:t>
      </w:r>
      <w:r w:rsidRPr="00CC286C">
        <w:rPr>
          <w:rFonts w:ascii="Calibri" w:eastAsia="Calibri" w:hAnsi="Calibri" w:cs="Calibri"/>
          <w:spacing w:val="35"/>
          <w:sz w:val="21"/>
          <w:szCs w:val="22"/>
          <w:lang w:val="en-US"/>
        </w:rPr>
        <w:t xml:space="preserve"> </w:t>
      </w:r>
      <w:r w:rsidRPr="00CC286C">
        <w:rPr>
          <w:rFonts w:ascii="Calibri" w:eastAsia="Calibri" w:hAnsi="Calibri" w:cs="Calibri"/>
          <w:sz w:val="21"/>
          <w:szCs w:val="22"/>
          <w:lang w:val="en-US"/>
        </w:rPr>
        <w:t>circumstances,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but</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not for expressing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 opinion</w:t>
      </w:r>
      <w:r w:rsidRPr="00CC286C">
        <w:rPr>
          <w:rFonts w:ascii="Calibri" w:eastAsia="Calibri" w:hAnsi="Calibri" w:cs="Calibri"/>
          <w:spacing w:val="28"/>
          <w:sz w:val="21"/>
          <w:szCs w:val="22"/>
          <w:lang w:val="en-US"/>
        </w:rPr>
        <w:t xml:space="preserve"> </w:t>
      </w:r>
      <w:r w:rsidRPr="00CC286C">
        <w:rPr>
          <w:rFonts w:ascii="Calibri" w:eastAsia="Calibri" w:hAnsi="Calibri" w:cs="Calibri"/>
          <w:sz w:val="21"/>
          <w:szCs w:val="22"/>
          <w:lang w:val="en-US"/>
        </w:rPr>
        <w:t>on the effectiveness of the 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internal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controls;</w:t>
      </w:r>
    </w:p>
    <w:p w14:paraId="6A80322F" w14:textId="77777777" w:rsidR="00BB6A87" w:rsidRPr="00CC286C" w:rsidRDefault="00BB6A87" w:rsidP="00A36E9A">
      <w:pPr>
        <w:widowControl w:val="0"/>
        <w:numPr>
          <w:ilvl w:val="0"/>
          <w:numId w:val="40"/>
        </w:numPr>
        <w:tabs>
          <w:tab w:val="left" w:pos="784"/>
          <w:tab w:val="left" w:pos="786"/>
        </w:tabs>
        <w:autoSpaceDE w:val="0"/>
        <w:autoSpaceDN w:val="0"/>
        <w:spacing w:before="118" w:after="0" w:line="247" w:lineRule="auto"/>
        <w:ind w:right="146"/>
        <w:jc w:val="both"/>
        <w:rPr>
          <w:rFonts w:ascii="Calibri" w:eastAsia="Calibri" w:hAnsi="Calibri" w:cs="Calibri"/>
          <w:sz w:val="21"/>
          <w:szCs w:val="22"/>
          <w:lang w:val="en-US"/>
        </w:rPr>
      </w:pPr>
      <w:r w:rsidRPr="00CC286C">
        <w:rPr>
          <w:rFonts w:ascii="Calibri" w:eastAsia="Calibri" w:hAnsi="Calibri" w:cs="Calibri"/>
          <w:sz w:val="21"/>
          <w:szCs w:val="22"/>
          <w:lang w:val="en-US"/>
        </w:rPr>
        <w:t>evaluate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appropriateness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accounting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policies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used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reasonableness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accounting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estimates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related disclosures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made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 Authority;</w:t>
      </w:r>
    </w:p>
    <w:p w14:paraId="531232CE" w14:textId="77777777" w:rsidR="00BB6A87" w:rsidRPr="00CC286C" w:rsidRDefault="00BB6A87" w:rsidP="00A36E9A">
      <w:pPr>
        <w:widowControl w:val="0"/>
        <w:numPr>
          <w:ilvl w:val="0"/>
          <w:numId w:val="40"/>
        </w:numPr>
        <w:tabs>
          <w:tab w:val="left" w:pos="784"/>
          <w:tab w:val="left" w:pos="786"/>
        </w:tabs>
        <w:autoSpaceDE w:val="0"/>
        <w:autoSpaceDN w:val="0"/>
        <w:spacing w:before="133" w:after="0" w:line="249" w:lineRule="auto"/>
        <w:ind w:right="135"/>
        <w:jc w:val="both"/>
        <w:rPr>
          <w:rFonts w:ascii="Calibri" w:eastAsia="Calibri" w:hAnsi="Calibri" w:cs="Calibri"/>
          <w:sz w:val="21"/>
          <w:szCs w:val="22"/>
          <w:lang w:val="en-US"/>
        </w:rPr>
      </w:pPr>
      <w:r w:rsidRPr="00CC286C">
        <w:rPr>
          <w:rFonts w:ascii="Calibri" w:eastAsia="Calibri" w:hAnsi="Calibri" w:cs="Calibri"/>
          <w:sz w:val="21"/>
          <w:szCs w:val="22"/>
          <w:lang w:val="en-US"/>
        </w:rPr>
        <w:t>conclude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on the appropriateness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use of the going concern basis of accounting and, based on audit evidence obtained, whether a material uncertainty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exists related to events or conditions that may cast significant doubt on the Authority’s ability to continue as a going concern. If I conclude that a material uncertainty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exists, I am required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draw attention in this report to the related disclosures in the financial statements or, if such disclosures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are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inadequate,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modify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opinion.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base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conclusions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on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audit evidence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obtained up to the date of this report. However, future events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or conditions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may cause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cease to continue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as a going concern;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p>
    <w:p w14:paraId="7C33DABB" w14:textId="77777777" w:rsidR="00BB6A87" w:rsidRPr="00CC286C" w:rsidRDefault="00BB6A87" w:rsidP="00A36E9A">
      <w:pPr>
        <w:widowControl w:val="0"/>
        <w:numPr>
          <w:ilvl w:val="0"/>
          <w:numId w:val="40"/>
        </w:numPr>
        <w:tabs>
          <w:tab w:val="left" w:pos="784"/>
          <w:tab w:val="left" w:pos="786"/>
        </w:tabs>
        <w:autoSpaceDE w:val="0"/>
        <w:autoSpaceDN w:val="0"/>
        <w:spacing w:before="137" w:after="0" w:line="252" w:lineRule="auto"/>
        <w:ind w:right="154"/>
        <w:jc w:val="both"/>
        <w:rPr>
          <w:rFonts w:ascii="Calibri" w:eastAsia="Calibri" w:hAnsi="Calibri" w:cs="Calibri"/>
          <w:sz w:val="21"/>
          <w:szCs w:val="22"/>
          <w:lang w:val="en-US"/>
        </w:rPr>
      </w:pPr>
      <w:r w:rsidRPr="00CC286C">
        <w:rPr>
          <w:rFonts w:ascii="Calibri" w:eastAsia="Calibri" w:hAnsi="Calibri" w:cs="Calibri"/>
          <w:sz w:val="21"/>
          <w:szCs w:val="22"/>
          <w:lang w:val="en-US"/>
        </w:rPr>
        <w:t>evaluate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overall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presentation,</w:t>
      </w:r>
      <w:r w:rsidRPr="00CC286C">
        <w:rPr>
          <w:rFonts w:ascii="Calibri" w:eastAsia="Calibri" w:hAnsi="Calibri" w:cs="Calibri"/>
          <w:spacing w:val="40"/>
          <w:sz w:val="21"/>
          <w:szCs w:val="22"/>
          <w:lang w:val="en-US"/>
        </w:rPr>
        <w:t xml:space="preserve"> </w:t>
      </w:r>
      <w:proofErr w:type="gramStart"/>
      <w:r w:rsidRPr="00CC286C">
        <w:rPr>
          <w:rFonts w:ascii="Calibri" w:eastAsia="Calibri" w:hAnsi="Calibri" w:cs="Calibri"/>
          <w:sz w:val="21"/>
          <w:szCs w:val="22"/>
          <w:lang w:val="en-US"/>
        </w:rPr>
        <w:t>structure</w:t>
      </w:r>
      <w:proofErr w:type="gramEnd"/>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content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statements, including</w:t>
      </w:r>
      <w:r w:rsidRPr="00CC286C">
        <w:rPr>
          <w:rFonts w:ascii="Calibri" w:eastAsia="Calibri" w:hAnsi="Calibri" w:cs="Calibri"/>
          <w:spacing w:val="39"/>
          <w:sz w:val="21"/>
          <w:szCs w:val="22"/>
          <w:lang w:val="en-US"/>
        </w:rPr>
        <w:t xml:space="preserve"> </w:t>
      </w:r>
      <w:r w:rsidRPr="00CC286C">
        <w:rPr>
          <w:rFonts w:ascii="Calibri" w:eastAsia="Calibri" w:hAnsi="Calibri" w:cs="Calibri"/>
          <w:sz w:val="21"/>
          <w:szCs w:val="22"/>
          <w:lang w:val="en-US"/>
        </w:rPr>
        <w:t>the disclosures,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and whether they represent the underlying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transactions and events in a manner</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that achieves fair presentation.</w:t>
      </w:r>
    </w:p>
    <w:p w14:paraId="6C5B263A" w14:textId="77777777" w:rsidR="00BB6A87" w:rsidRPr="00CC286C" w:rsidRDefault="00BB6A87" w:rsidP="00BB6A87">
      <w:pPr>
        <w:widowControl w:val="0"/>
        <w:autoSpaceDE w:val="0"/>
        <w:autoSpaceDN w:val="0"/>
        <w:spacing w:before="117" w:after="0" w:line="252" w:lineRule="auto"/>
        <w:ind w:left="221" w:right="143"/>
        <w:jc w:val="both"/>
        <w:rPr>
          <w:rFonts w:ascii="Calibri" w:eastAsia="Calibri" w:hAnsi="Calibri" w:cs="Calibri"/>
          <w:sz w:val="21"/>
          <w:szCs w:val="21"/>
          <w:lang w:val="en-US"/>
        </w:rPr>
      </w:pPr>
      <w:r w:rsidRPr="00CC286C">
        <w:rPr>
          <w:rFonts w:ascii="Calibri" w:eastAsia="Calibri" w:hAnsi="Calibri" w:cs="Calibri"/>
          <w:sz w:val="21"/>
          <w:szCs w:val="21"/>
          <w:lang w:val="en-US"/>
        </w:rPr>
        <w:t>I communicate with the Under Treasurer regarding, among other matters, the planned scope and timing of the audit and significant audit findings, including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any significant deficiencies in internal control that I identify during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my audit.</w:t>
      </w:r>
    </w:p>
    <w:p w14:paraId="7FD6674B" w14:textId="77777777" w:rsidR="00BB6A87" w:rsidRPr="00CC286C" w:rsidRDefault="00BB6A87" w:rsidP="00BB6A87">
      <w:pPr>
        <w:widowControl w:val="0"/>
        <w:autoSpaceDE w:val="0"/>
        <w:autoSpaceDN w:val="0"/>
        <w:spacing w:after="0" w:line="240" w:lineRule="auto"/>
        <w:rPr>
          <w:rFonts w:ascii="Calibri" w:eastAsia="Calibri" w:hAnsi="Calibri" w:cs="Calibri"/>
          <w:sz w:val="20"/>
          <w:szCs w:val="21"/>
          <w:lang w:val="en-US"/>
        </w:rPr>
      </w:pPr>
    </w:p>
    <w:p w14:paraId="5F459B8F" w14:textId="77777777" w:rsidR="00BB6A87" w:rsidRPr="00CC286C" w:rsidRDefault="00BB6A87" w:rsidP="008307B2">
      <w:pPr>
        <w:widowControl w:val="0"/>
        <w:autoSpaceDE w:val="0"/>
        <w:autoSpaceDN w:val="0"/>
        <w:spacing w:before="10" w:after="0" w:line="240" w:lineRule="auto"/>
        <w:ind w:firstLine="284"/>
        <w:rPr>
          <w:rFonts w:ascii="Calibri" w:eastAsia="Calibri" w:hAnsi="Calibri" w:cs="Calibri"/>
          <w:sz w:val="23"/>
          <w:szCs w:val="21"/>
          <w:lang w:val="en-US"/>
        </w:rPr>
      </w:pPr>
      <w:r w:rsidRPr="00CC286C">
        <w:rPr>
          <w:rFonts w:ascii="Calibri" w:eastAsia="Calibri" w:hAnsi="Calibri" w:cs="Calibri"/>
          <w:noProof/>
          <w:sz w:val="21"/>
          <w:szCs w:val="21"/>
          <w:lang w:val="en-US"/>
        </w:rPr>
        <w:drawing>
          <wp:inline distT="0" distB="0" distL="0" distR="0" wp14:anchorId="0FECE4DD" wp14:editId="154A6C6A">
            <wp:extent cx="519744" cy="426053"/>
            <wp:effectExtent l="0" t="0" r="0" b="0"/>
            <wp:docPr id="21" name="Picture 2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Signature of Assistant Auditor Genera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9744" cy="426053"/>
                    </a:xfrm>
                    <a:prstGeom prst="rect">
                      <a:avLst/>
                    </a:prstGeom>
                  </pic:spPr>
                </pic:pic>
              </a:graphicData>
            </a:graphic>
          </wp:inline>
        </w:drawing>
      </w:r>
    </w:p>
    <w:p w14:paraId="0C6DABC6" w14:textId="6A1434F5" w:rsidR="00BB6A87" w:rsidRPr="00CC286C" w:rsidRDefault="00BB6A87" w:rsidP="00BB6A87">
      <w:pPr>
        <w:widowControl w:val="0"/>
        <w:autoSpaceDE w:val="0"/>
        <w:autoSpaceDN w:val="0"/>
        <w:spacing w:before="76"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Ajay</w:t>
      </w:r>
      <w:r w:rsidRPr="00CC286C">
        <w:rPr>
          <w:rFonts w:ascii="Calibri" w:eastAsia="Calibri" w:hAnsi="Calibri" w:cs="Calibri"/>
          <w:spacing w:val="12"/>
          <w:sz w:val="21"/>
          <w:szCs w:val="21"/>
          <w:lang w:val="en-US"/>
        </w:rPr>
        <w:t xml:space="preserve"> </w:t>
      </w:r>
      <w:r w:rsidRPr="00CC286C">
        <w:rPr>
          <w:rFonts w:ascii="Calibri" w:eastAsia="Calibri" w:hAnsi="Calibri" w:cs="Calibri"/>
          <w:spacing w:val="-2"/>
          <w:sz w:val="21"/>
          <w:szCs w:val="21"/>
          <w:lang w:val="en-US"/>
        </w:rPr>
        <w:t>Sharma</w:t>
      </w:r>
      <w:r w:rsidR="004D4B01" w:rsidRPr="00CC286C">
        <w:rPr>
          <w:rFonts w:ascii="Calibri" w:eastAsia="Calibri" w:hAnsi="Calibri" w:cs="Calibri"/>
          <w:spacing w:val="-2"/>
          <w:sz w:val="21"/>
          <w:szCs w:val="21"/>
          <w:lang w:val="en-US"/>
        </w:rPr>
        <w:t xml:space="preserve"> PSM</w:t>
      </w:r>
    </w:p>
    <w:p w14:paraId="7D6D0673" w14:textId="77777777" w:rsidR="00FF5058" w:rsidRPr="00CC286C"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CC286C">
        <w:rPr>
          <w:rFonts w:ascii="Calibri" w:eastAsia="Calibri" w:hAnsi="Calibri" w:cs="Calibri"/>
          <w:sz w:val="21"/>
          <w:szCs w:val="21"/>
          <w:lang w:val="en-US"/>
        </w:rPr>
        <w:t>Assistant Auditor-General,</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 xml:space="preserve">Financial Audit </w:t>
      </w:r>
    </w:p>
    <w:p w14:paraId="666370D7" w14:textId="16703F13" w:rsidR="00BB6A87" w:rsidRPr="00BB6A87"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CC286C">
        <w:rPr>
          <w:rFonts w:ascii="Calibri" w:eastAsia="Calibri" w:hAnsi="Calibri" w:cs="Calibri"/>
          <w:sz w:val="21"/>
          <w:szCs w:val="21"/>
          <w:lang w:val="en-US"/>
        </w:rPr>
        <w:t>2</w:t>
      </w:r>
      <w:r w:rsidR="00D14CBE" w:rsidRPr="00CC286C">
        <w:rPr>
          <w:rFonts w:ascii="Calibri" w:eastAsia="Calibri" w:hAnsi="Calibri" w:cs="Calibri"/>
          <w:sz w:val="21"/>
          <w:szCs w:val="21"/>
          <w:lang w:val="en-US"/>
        </w:rPr>
        <w:t>4</w:t>
      </w:r>
      <w:r w:rsidRPr="00CC286C">
        <w:rPr>
          <w:rFonts w:ascii="Calibri" w:eastAsia="Calibri" w:hAnsi="Calibri" w:cs="Calibri"/>
          <w:sz w:val="21"/>
          <w:szCs w:val="21"/>
          <w:lang w:val="en-US"/>
        </w:rPr>
        <w:t xml:space="preserve"> September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202</w:t>
      </w:r>
      <w:r w:rsidR="00D14CBE" w:rsidRPr="00CC286C">
        <w:rPr>
          <w:rFonts w:ascii="Calibri" w:eastAsia="Calibri" w:hAnsi="Calibri" w:cs="Calibri"/>
          <w:sz w:val="21"/>
          <w:szCs w:val="21"/>
          <w:lang w:val="en-US"/>
        </w:rPr>
        <w:t>4</w:t>
      </w:r>
    </w:p>
    <w:p w14:paraId="3C41CEE9" w14:textId="77777777" w:rsidR="006D017C" w:rsidRDefault="006D017C" w:rsidP="006219EC">
      <w:pPr>
        <w:spacing w:after="0" w:line="240" w:lineRule="auto"/>
        <w:ind w:left="426"/>
        <w:rPr>
          <w:iCs/>
        </w:rPr>
      </w:pPr>
    </w:p>
    <w:p w14:paraId="5F59880A" w14:textId="3EADE100" w:rsidR="00397AD3" w:rsidRDefault="00397AD3" w:rsidP="0006722A">
      <w:pPr>
        <w:spacing w:after="0" w:line="240" w:lineRule="auto"/>
        <w:ind w:left="284" w:firstLine="283"/>
        <w:rPr>
          <w:iCs/>
        </w:rPr>
      </w:pPr>
      <w:r>
        <w:rPr>
          <w:iCs/>
        </w:rPr>
        <w:br w:type="page"/>
      </w:r>
    </w:p>
    <w:p w14:paraId="5F5B8B12" w14:textId="77777777" w:rsidR="00C0318D" w:rsidRDefault="00C0318D">
      <w:pPr>
        <w:spacing w:after="0"/>
        <w:rPr>
          <w:iCs/>
        </w:rPr>
      </w:pPr>
    </w:p>
    <w:p w14:paraId="0173ACF2" w14:textId="77777777" w:rsidR="00C66E9F" w:rsidRDefault="00C66E9F" w:rsidP="00805417">
      <w:pPr>
        <w:spacing w:after="135" w:line="561" w:lineRule="atLeast"/>
        <w:rPr>
          <w:rFonts w:ascii="Montserrat" w:hAnsi="Montserrat" w:cs="Montserrat"/>
          <w:color w:val="000000"/>
          <w:sz w:val="56"/>
          <w:szCs w:val="56"/>
        </w:rPr>
      </w:pPr>
    </w:p>
    <w:p w14:paraId="4B4C4352" w14:textId="562B1E38" w:rsidR="00805417" w:rsidRPr="00B94927" w:rsidRDefault="00805417" w:rsidP="00805417">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ACT INSURANCE AUTHORITY FINANCIAL STATEMENTS FOR THE YEAR ENDED 30 JUNE 202</w:t>
      </w:r>
      <w:r w:rsidR="005F1712">
        <w:rPr>
          <w:rFonts w:ascii="Montserrat" w:hAnsi="Montserrat" w:cs="Montserrat"/>
          <w:color w:val="000000"/>
          <w:sz w:val="56"/>
          <w:szCs w:val="56"/>
        </w:rPr>
        <w:t>4</w:t>
      </w:r>
      <w:r w:rsidRPr="00B94927">
        <w:rPr>
          <w:rFonts w:ascii="Montserrat" w:hAnsi="Montserrat" w:cs="Montserrat"/>
          <w:color w:val="000000"/>
          <w:sz w:val="56"/>
          <w:szCs w:val="56"/>
        </w:rPr>
        <w:t xml:space="preserve"> </w:t>
      </w:r>
    </w:p>
    <w:p w14:paraId="47BF8FC2" w14:textId="77777777" w:rsidR="00805417" w:rsidRPr="00B94927" w:rsidRDefault="00805417" w:rsidP="009B6CCF">
      <w:pPr>
        <w:spacing w:before="240"/>
        <w:outlineLvl w:val="6"/>
        <w:rPr>
          <w:rFonts w:cs="Montserrat"/>
          <w:color w:val="000000"/>
          <w:sz w:val="40"/>
          <w:szCs w:val="40"/>
        </w:rPr>
      </w:pPr>
      <w:r w:rsidRPr="00B94927">
        <w:rPr>
          <w:rFonts w:cs="Montserrat"/>
          <w:color w:val="000000"/>
          <w:sz w:val="40"/>
          <w:szCs w:val="40"/>
        </w:rPr>
        <w:t>STATEMENT OF RESPONSIBILITY</w:t>
      </w:r>
    </w:p>
    <w:p w14:paraId="1AFADFB1" w14:textId="77777777" w:rsidR="00805417" w:rsidRPr="00B94927" w:rsidRDefault="00805417" w:rsidP="00805417">
      <w:pPr>
        <w:rPr>
          <w:szCs w:val="22"/>
        </w:rPr>
      </w:pPr>
    </w:p>
    <w:p w14:paraId="25645774" w14:textId="77777777" w:rsidR="00805417" w:rsidRPr="00B94927" w:rsidRDefault="00805417" w:rsidP="00805417">
      <w:pPr>
        <w:rPr>
          <w:szCs w:val="22"/>
        </w:rPr>
      </w:pPr>
    </w:p>
    <w:p w14:paraId="157BC1ED" w14:textId="77777777" w:rsidR="00805417" w:rsidRPr="00B94927" w:rsidRDefault="00805417" w:rsidP="00805417">
      <w:pPr>
        <w:rPr>
          <w:szCs w:val="22"/>
        </w:rPr>
      </w:pPr>
    </w:p>
    <w:p w14:paraId="47CB7132" w14:textId="77777777" w:rsidR="00805417" w:rsidRPr="00B94927" w:rsidRDefault="00805417" w:rsidP="00805417">
      <w:pPr>
        <w:rPr>
          <w:szCs w:val="22"/>
        </w:rPr>
      </w:pPr>
    </w:p>
    <w:p w14:paraId="62C26BAB" w14:textId="77777777" w:rsidR="00805417" w:rsidRPr="00B94927" w:rsidRDefault="00805417" w:rsidP="00805417">
      <w:pPr>
        <w:rPr>
          <w:szCs w:val="22"/>
        </w:rPr>
      </w:pPr>
    </w:p>
    <w:p w14:paraId="57A97D86" w14:textId="7941E242" w:rsidR="00805417" w:rsidRPr="002A678A" w:rsidRDefault="00805417" w:rsidP="00805417">
      <w:pPr>
        <w:spacing w:after="0"/>
        <w:ind w:right="96"/>
      </w:pPr>
      <w:r w:rsidRPr="002A678A">
        <w:t xml:space="preserve">In my opinion, the ACT Insurance Authority’s financial statements </w:t>
      </w:r>
      <w:r>
        <w:t xml:space="preserve">fairly reflect the financial operations for the year </w:t>
      </w:r>
      <w:r w:rsidRPr="002A678A">
        <w:t>ended</w:t>
      </w:r>
      <w:r>
        <w:t xml:space="preserve"> 30 June 202</w:t>
      </w:r>
      <w:r w:rsidR="005F1712">
        <w:t>4</w:t>
      </w:r>
      <w:r w:rsidRPr="002A678A">
        <w:t xml:space="preserve"> </w:t>
      </w:r>
      <w:r>
        <w:t>and its financial position on that date.</w:t>
      </w:r>
    </w:p>
    <w:p w14:paraId="1C4167EE" w14:textId="615AE0AD" w:rsidR="00805417" w:rsidRPr="00533299" w:rsidRDefault="00805417" w:rsidP="00805417">
      <w:pPr>
        <w:spacing w:after="0"/>
        <w:ind w:right="96"/>
        <w:rPr>
          <w:rFonts w:cs="Source Sans Pro Light"/>
          <w:color w:val="000000"/>
          <w:szCs w:val="22"/>
        </w:rPr>
      </w:pPr>
    </w:p>
    <w:p w14:paraId="143CDEAB" w14:textId="676C61E8" w:rsidR="00805417" w:rsidRPr="00533299" w:rsidRDefault="00805417" w:rsidP="00805417">
      <w:pPr>
        <w:spacing w:after="0"/>
        <w:ind w:right="96"/>
        <w:rPr>
          <w:rFonts w:cs="Source Sans Pro Light"/>
          <w:color w:val="000000"/>
          <w:szCs w:val="22"/>
        </w:rPr>
      </w:pPr>
    </w:p>
    <w:p w14:paraId="529B832A" w14:textId="77777777" w:rsidR="00805417" w:rsidRPr="00533299" w:rsidRDefault="00805417" w:rsidP="00805417">
      <w:pPr>
        <w:spacing w:after="0"/>
        <w:ind w:right="96"/>
        <w:rPr>
          <w:rFonts w:cs="Source Sans Pro Light"/>
          <w:color w:val="000000"/>
          <w:szCs w:val="22"/>
        </w:rPr>
      </w:pPr>
    </w:p>
    <w:p w14:paraId="3303C384" w14:textId="77777777" w:rsidR="00805417" w:rsidRPr="00533299" w:rsidRDefault="00805417" w:rsidP="00805417">
      <w:pPr>
        <w:spacing w:after="0"/>
        <w:ind w:right="96"/>
        <w:rPr>
          <w:rFonts w:cs="Source Sans Pro Light"/>
          <w:color w:val="000000"/>
          <w:szCs w:val="22"/>
        </w:rPr>
      </w:pPr>
    </w:p>
    <w:p w14:paraId="32706FF4" w14:textId="77777777" w:rsidR="00805417" w:rsidRPr="00533299" w:rsidRDefault="00805417" w:rsidP="00805417">
      <w:pPr>
        <w:spacing w:after="0"/>
        <w:ind w:right="96"/>
        <w:rPr>
          <w:rFonts w:cs="Source Sans Pro Light"/>
          <w:color w:val="000000"/>
          <w:szCs w:val="22"/>
        </w:rPr>
      </w:pPr>
    </w:p>
    <w:p w14:paraId="1E83A4AE" w14:textId="1EA1015F" w:rsidR="006D017C" w:rsidRDefault="006D017C">
      <w:pPr>
        <w:spacing w:after="0" w:line="240" w:lineRule="auto"/>
        <w:rPr>
          <w:rFonts w:cs="Source Sans Pro Light"/>
          <w:color w:val="000000"/>
          <w:szCs w:val="22"/>
        </w:rPr>
      </w:pPr>
      <w:r>
        <w:rPr>
          <w:noProof/>
        </w:rPr>
        <w:drawing>
          <wp:inline distT="0" distB="0" distL="0" distR="0" wp14:anchorId="69B60C3F" wp14:editId="0800B80A">
            <wp:extent cx="1683110" cy="714375"/>
            <wp:effectExtent l="0" t="0" r="0" b="0"/>
            <wp:docPr id="33" name="Picture 33"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Stuart Hocking, Under Treasurer"/>
                    <pic:cNvPicPr/>
                  </pic:nvPicPr>
                  <pic:blipFill>
                    <a:blip r:embed="rId52">
                      <a:extLst>
                        <a:ext uri="{28A0092B-C50C-407E-A947-70E740481C1C}">
                          <a14:useLocalDpi xmlns:a14="http://schemas.microsoft.com/office/drawing/2010/main" val="0"/>
                        </a:ext>
                      </a:extLst>
                    </a:blip>
                    <a:stretch>
                      <a:fillRect/>
                    </a:stretch>
                  </pic:blipFill>
                  <pic:spPr>
                    <a:xfrm>
                      <a:off x="0" y="0"/>
                      <a:ext cx="1683110" cy="714375"/>
                    </a:xfrm>
                    <a:prstGeom prst="rect">
                      <a:avLst/>
                    </a:prstGeom>
                  </pic:spPr>
                </pic:pic>
              </a:graphicData>
            </a:graphic>
          </wp:inline>
        </w:drawing>
      </w:r>
    </w:p>
    <w:p w14:paraId="1D2C9C3F" w14:textId="77777777" w:rsidR="00805417" w:rsidRPr="00533299" w:rsidRDefault="00805417" w:rsidP="00805417">
      <w:pPr>
        <w:spacing w:after="0"/>
        <w:ind w:right="96"/>
        <w:rPr>
          <w:rFonts w:cs="Source Sans Pro Light"/>
          <w:color w:val="000000"/>
          <w:szCs w:val="22"/>
        </w:rPr>
      </w:pPr>
    </w:p>
    <w:p w14:paraId="3EE237A4" w14:textId="77777777" w:rsidR="00805417" w:rsidRPr="00533299" w:rsidRDefault="00805417" w:rsidP="00805417">
      <w:pPr>
        <w:spacing w:after="0"/>
        <w:ind w:right="96"/>
        <w:rPr>
          <w:rFonts w:cs="Source Sans Pro Light"/>
          <w:color w:val="000000"/>
          <w:szCs w:val="22"/>
        </w:rPr>
      </w:pPr>
    </w:p>
    <w:p w14:paraId="077D53E4" w14:textId="77777777" w:rsidR="00805417" w:rsidRPr="00F30A77" w:rsidRDefault="00805417" w:rsidP="00805417">
      <w:pPr>
        <w:spacing w:after="0"/>
      </w:pPr>
      <w:r>
        <w:t>Stuart Hocking PSM</w:t>
      </w:r>
    </w:p>
    <w:p w14:paraId="6E0805FA" w14:textId="77777777" w:rsidR="00805417" w:rsidRDefault="00805417" w:rsidP="00805417">
      <w:pPr>
        <w:spacing w:after="0"/>
      </w:pPr>
      <w:r w:rsidRPr="00F30A77">
        <w:t>Under Treasurer</w:t>
      </w:r>
    </w:p>
    <w:p w14:paraId="44DA31D8" w14:textId="77777777" w:rsidR="00805417" w:rsidRPr="002A678A" w:rsidRDefault="00805417" w:rsidP="00805417">
      <w:pPr>
        <w:spacing w:after="0"/>
      </w:pPr>
      <w:r>
        <w:t xml:space="preserve">Chief Minister, Treasury and </w:t>
      </w:r>
      <w:r w:rsidRPr="002A678A">
        <w:t>Economic Development Directorate</w:t>
      </w:r>
    </w:p>
    <w:p w14:paraId="01B70636" w14:textId="77777777" w:rsidR="00805417" w:rsidRPr="002A678A" w:rsidRDefault="00805417" w:rsidP="00805417">
      <w:pPr>
        <w:spacing w:after="0"/>
      </w:pPr>
      <w:r w:rsidRPr="002A678A">
        <w:t>Delegate for the Chief Executive Officer</w:t>
      </w:r>
    </w:p>
    <w:p w14:paraId="6575F7D1" w14:textId="77777777" w:rsidR="00805417" w:rsidRPr="002A678A" w:rsidRDefault="00805417" w:rsidP="00805417">
      <w:pPr>
        <w:spacing w:after="0"/>
      </w:pPr>
      <w:r w:rsidRPr="002A678A">
        <w:t>ACT Insurance Authority</w:t>
      </w:r>
    </w:p>
    <w:p w14:paraId="04C21850" w14:textId="78997E98" w:rsidR="003B705F" w:rsidRDefault="003B705F" w:rsidP="00805417">
      <w:r w:rsidRPr="00AD4615">
        <w:t>2</w:t>
      </w:r>
      <w:r w:rsidR="00AD4615" w:rsidRPr="00AD4615">
        <w:t>4</w:t>
      </w:r>
      <w:r w:rsidRPr="00AD4615">
        <w:t xml:space="preserve"> September</w:t>
      </w:r>
      <w:r w:rsidR="00805417" w:rsidRPr="00AD4615">
        <w:t xml:space="preserve"> 202</w:t>
      </w:r>
      <w:r w:rsidR="005F1712" w:rsidRPr="00AD4615">
        <w:t>4</w:t>
      </w:r>
    </w:p>
    <w:p w14:paraId="79B10197" w14:textId="7D6AC986" w:rsidR="00805417" w:rsidRPr="001D1198" w:rsidRDefault="00805417" w:rsidP="00805417">
      <w:r w:rsidRPr="001D1198">
        <w:br w:type="page"/>
      </w:r>
    </w:p>
    <w:p w14:paraId="118E0733" w14:textId="77777777" w:rsidR="0023144A" w:rsidRDefault="0023144A" w:rsidP="008F4EE6">
      <w:pPr>
        <w:spacing w:after="135" w:line="561" w:lineRule="atLeast"/>
        <w:rPr>
          <w:rFonts w:ascii="Montserrat" w:hAnsi="Montserrat" w:cs="Montserrat"/>
          <w:color w:val="000000"/>
          <w:sz w:val="56"/>
          <w:szCs w:val="56"/>
        </w:rPr>
      </w:pPr>
    </w:p>
    <w:p w14:paraId="52DE95E8" w14:textId="603F87CC" w:rsidR="008F4EE6" w:rsidRPr="00B94927" w:rsidRDefault="008F4EE6" w:rsidP="008F4EE6">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ACT INSURANCE AUTHORITY FINANCIAL STATEMENTS FOR THE YEAR ENDED 30 JUNE 202</w:t>
      </w:r>
      <w:r w:rsidR="005F1712">
        <w:rPr>
          <w:rFonts w:ascii="Montserrat" w:hAnsi="Montserrat" w:cs="Montserrat"/>
          <w:color w:val="000000"/>
          <w:sz w:val="56"/>
          <w:szCs w:val="56"/>
        </w:rPr>
        <w:t>4</w:t>
      </w:r>
      <w:r w:rsidRPr="00B94927">
        <w:rPr>
          <w:rFonts w:ascii="Montserrat" w:hAnsi="Montserrat" w:cs="Montserrat"/>
          <w:color w:val="000000"/>
          <w:sz w:val="56"/>
          <w:szCs w:val="56"/>
        </w:rPr>
        <w:t xml:space="preserve"> </w:t>
      </w:r>
    </w:p>
    <w:p w14:paraId="4029BD2C" w14:textId="77777777" w:rsidR="008F4EE6" w:rsidRPr="001D1198" w:rsidRDefault="008F4EE6" w:rsidP="009B6CCF">
      <w:pPr>
        <w:spacing w:before="240"/>
        <w:outlineLvl w:val="6"/>
        <w:rPr>
          <w:rFonts w:cs="Montserrat"/>
          <w:color w:val="000000"/>
          <w:sz w:val="40"/>
          <w:szCs w:val="40"/>
        </w:rPr>
      </w:pPr>
      <w:r w:rsidRPr="001D1198">
        <w:rPr>
          <w:rFonts w:cs="Montserrat"/>
          <w:color w:val="000000"/>
          <w:sz w:val="40"/>
          <w:szCs w:val="40"/>
        </w:rPr>
        <w:t>STATEMENT BY THE GENERAL MANAGER</w:t>
      </w:r>
    </w:p>
    <w:p w14:paraId="1C4B1D4C" w14:textId="77777777" w:rsidR="008F4EE6" w:rsidRPr="00327205" w:rsidRDefault="008F4EE6" w:rsidP="008F4EE6">
      <w:pPr>
        <w:spacing w:before="144" w:after="144" w:line="264" w:lineRule="auto"/>
        <w:rPr>
          <w:szCs w:val="22"/>
        </w:rPr>
      </w:pPr>
    </w:p>
    <w:p w14:paraId="08AFBE0F" w14:textId="77777777" w:rsidR="008F4EE6" w:rsidRPr="00327205" w:rsidRDefault="008F4EE6" w:rsidP="008F4EE6">
      <w:pPr>
        <w:spacing w:before="144" w:after="144" w:line="264" w:lineRule="auto"/>
        <w:rPr>
          <w:szCs w:val="22"/>
        </w:rPr>
      </w:pPr>
    </w:p>
    <w:p w14:paraId="591B09EF" w14:textId="77777777" w:rsidR="008F4EE6" w:rsidRPr="00327205" w:rsidRDefault="008F4EE6" w:rsidP="008F4EE6">
      <w:pPr>
        <w:spacing w:before="144" w:after="144" w:line="264" w:lineRule="auto"/>
        <w:rPr>
          <w:szCs w:val="22"/>
        </w:rPr>
      </w:pPr>
    </w:p>
    <w:p w14:paraId="7D58F069" w14:textId="77777777" w:rsidR="008F4EE6" w:rsidRPr="00327205" w:rsidRDefault="008F4EE6" w:rsidP="008F4EE6">
      <w:pPr>
        <w:spacing w:before="144" w:after="144" w:line="264" w:lineRule="auto"/>
        <w:rPr>
          <w:szCs w:val="22"/>
        </w:rPr>
      </w:pPr>
    </w:p>
    <w:p w14:paraId="580BDD23" w14:textId="77777777" w:rsidR="008F4EE6" w:rsidRPr="001D1198" w:rsidRDefault="008F4EE6" w:rsidP="008F4EE6">
      <w:pPr>
        <w:spacing w:after="160" w:line="259" w:lineRule="auto"/>
        <w:rPr>
          <w:rFonts w:cs="Montserrat"/>
          <w:color w:val="000000"/>
          <w:szCs w:val="22"/>
        </w:rPr>
      </w:pPr>
    </w:p>
    <w:p w14:paraId="7FF6E7FB" w14:textId="77777777" w:rsidR="00C61CDE" w:rsidRPr="002A678A" w:rsidRDefault="00C61CDE" w:rsidP="00C61CDE">
      <w:pPr>
        <w:spacing w:after="0" w:line="240" w:lineRule="auto"/>
        <w:ind w:right="95"/>
      </w:pPr>
      <w:r w:rsidRPr="002A678A">
        <w:t xml:space="preserve">In my opinion, the ACT Insurance Authority’s </w:t>
      </w:r>
      <w:r w:rsidRPr="002A001A">
        <w:t xml:space="preserve">financial statements have been prepared in accordance with the Australian Accounting Standards, </w:t>
      </w:r>
      <w:proofErr w:type="gramStart"/>
      <w:r w:rsidRPr="002A001A">
        <w:t>are in agreement</w:t>
      </w:r>
      <w:proofErr w:type="gramEnd"/>
      <w:r w:rsidRPr="002A001A">
        <w:t xml:space="preserve"> with its accounts and records and fairly reflect its financial operations for the year ended 30 June 202</w:t>
      </w:r>
      <w:r>
        <w:t>4</w:t>
      </w:r>
      <w:r w:rsidRPr="002A001A">
        <w:t xml:space="preserve"> and the financial position on that date.</w:t>
      </w:r>
    </w:p>
    <w:p w14:paraId="663FDBF2" w14:textId="3C885E54" w:rsidR="008F4EE6" w:rsidRDefault="008F4EE6" w:rsidP="008F4EE6">
      <w:pPr>
        <w:spacing w:after="0"/>
        <w:ind w:right="96"/>
        <w:rPr>
          <w:rFonts w:cs="Source Sans Pro Light"/>
          <w:color w:val="000000"/>
          <w:szCs w:val="22"/>
        </w:rPr>
      </w:pPr>
    </w:p>
    <w:p w14:paraId="765E1164" w14:textId="338A6D6E" w:rsidR="008F4EE6" w:rsidRDefault="008F4EE6" w:rsidP="008F4EE6">
      <w:pPr>
        <w:spacing w:after="0"/>
        <w:ind w:right="96"/>
        <w:rPr>
          <w:rFonts w:cs="Source Sans Pro Light"/>
          <w:color w:val="000000"/>
          <w:szCs w:val="22"/>
        </w:rPr>
      </w:pPr>
    </w:p>
    <w:p w14:paraId="11CE0D96" w14:textId="77777777" w:rsidR="008F4EE6" w:rsidRDefault="008F4EE6" w:rsidP="008F4EE6">
      <w:pPr>
        <w:spacing w:after="0"/>
        <w:ind w:right="96"/>
        <w:rPr>
          <w:rFonts w:cs="Source Sans Pro Light"/>
          <w:color w:val="000000"/>
          <w:szCs w:val="22"/>
        </w:rPr>
      </w:pPr>
    </w:p>
    <w:p w14:paraId="28EBE878" w14:textId="77777777" w:rsidR="008F4EE6" w:rsidRDefault="008F4EE6" w:rsidP="008F4EE6">
      <w:pPr>
        <w:spacing w:after="0"/>
        <w:ind w:right="96"/>
        <w:rPr>
          <w:rFonts w:cs="Source Sans Pro Light"/>
          <w:color w:val="000000"/>
          <w:szCs w:val="22"/>
        </w:rPr>
      </w:pPr>
    </w:p>
    <w:p w14:paraId="7D42072D" w14:textId="6A5299DA" w:rsidR="00546645" w:rsidRDefault="00546645">
      <w:pPr>
        <w:spacing w:after="0" w:line="240" w:lineRule="auto"/>
        <w:rPr>
          <w:rFonts w:cs="Source Sans Pro Light"/>
          <w:color w:val="000000"/>
          <w:szCs w:val="22"/>
        </w:rPr>
      </w:pPr>
      <w:r>
        <w:rPr>
          <w:noProof/>
        </w:rPr>
        <w:drawing>
          <wp:inline distT="0" distB="0" distL="0" distR="0" wp14:anchorId="0A64AA4F" wp14:editId="52E64B93">
            <wp:extent cx="1350645" cy="654050"/>
            <wp:effectExtent l="0" t="0" r="1905" b="0"/>
            <wp:docPr id="34" name="Picture 34"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Penny Shields, General Manager ACTIA"/>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8018" cy="657697"/>
                    </a:xfrm>
                    <a:prstGeom prst="rect">
                      <a:avLst/>
                    </a:prstGeom>
                  </pic:spPr>
                </pic:pic>
              </a:graphicData>
            </a:graphic>
          </wp:inline>
        </w:drawing>
      </w:r>
    </w:p>
    <w:p w14:paraId="555C2222" w14:textId="77777777" w:rsidR="008F4EE6" w:rsidRPr="00327205" w:rsidRDefault="008F4EE6" w:rsidP="008F4EE6">
      <w:pPr>
        <w:spacing w:after="0"/>
        <w:ind w:right="96"/>
        <w:rPr>
          <w:rFonts w:cs="Source Sans Pro Light"/>
          <w:color w:val="000000"/>
          <w:szCs w:val="22"/>
        </w:rPr>
      </w:pPr>
    </w:p>
    <w:p w14:paraId="2F98C293" w14:textId="77777777" w:rsidR="008F4EE6" w:rsidRPr="00327205" w:rsidRDefault="008F4EE6" w:rsidP="008F4EE6">
      <w:pPr>
        <w:spacing w:after="0"/>
        <w:ind w:right="96"/>
        <w:rPr>
          <w:rFonts w:cs="Source Sans Pro Light"/>
          <w:color w:val="000000"/>
          <w:szCs w:val="22"/>
        </w:rPr>
      </w:pPr>
    </w:p>
    <w:p w14:paraId="126D5A6C"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Penny Shields</w:t>
      </w:r>
    </w:p>
    <w:p w14:paraId="08328C9F"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General Manager</w:t>
      </w:r>
    </w:p>
    <w:p w14:paraId="164969C2"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ACT Insurance Authority</w:t>
      </w:r>
    </w:p>
    <w:p w14:paraId="196B0195" w14:textId="62D90C69" w:rsidR="008F4EE6" w:rsidRPr="00327205" w:rsidRDefault="000F55D9" w:rsidP="008F4EE6">
      <w:pPr>
        <w:spacing w:after="0"/>
        <w:ind w:right="96"/>
        <w:rPr>
          <w:rFonts w:cs="Source Sans Pro Light"/>
          <w:color w:val="000000"/>
          <w:szCs w:val="22"/>
        </w:rPr>
      </w:pPr>
      <w:r w:rsidRPr="00855C53">
        <w:rPr>
          <w:rFonts w:cs="Source Sans Pro Light"/>
          <w:color w:val="000000"/>
          <w:szCs w:val="22"/>
        </w:rPr>
        <w:t>2</w:t>
      </w:r>
      <w:r w:rsidR="00855C53" w:rsidRPr="00855C53">
        <w:rPr>
          <w:rFonts w:cs="Source Sans Pro Light"/>
          <w:color w:val="000000"/>
          <w:szCs w:val="22"/>
        </w:rPr>
        <w:t>4</w:t>
      </w:r>
      <w:r w:rsidRPr="00855C53">
        <w:rPr>
          <w:rFonts w:cs="Source Sans Pro Light"/>
          <w:color w:val="000000"/>
          <w:szCs w:val="22"/>
        </w:rPr>
        <w:t xml:space="preserve"> September</w:t>
      </w:r>
      <w:r w:rsidR="008F4EE6" w:rsidRPr="00855C53">
        <w:rPr>
          <w:rFonts w:cs="Source Sans Pro Light"/>
          <w:color w:val="000000"/>
          <w:szCs w:val="22"/>
        </w:rPr>
        <w:t xml:space="preserve"> 202</w:t>
      </w:r>
      <w:r w:rsidR="00622385" w:rsidRPr="00855C53">
        <w:rPr>
          <w:rFonts w:cs="Source Sans Pro Light"/>
          <w:color w:val="000000"/>
          <w:szCs w:val="22"/>
        </w:rPr>
        <w:t>4</w:t>
      </w:r>
    </w:p>
    <w:p w14:paraId="39287D42" w14:textId="77777777" w:rsidR="008F4EE6" w:rsidRDefault="008F4EE6" w:rsidP="008F4EE6">
      <w:pPr>
        <w:spacing w:after="0"/>
        <w:ind w:right="96"/>
        <w:rPr>
          <w:rFonts w:eastAsiaTheme="minorEastAsia" w:cs="Source Sans Pro Light"/>
          <w:color w:val="000000"/>
        </w:rPr>
      </w:pPr>
    </w:p>
    <w:p w14:paraId="15384E3B" w14:textId="48B4AC80" w:rsidR="00805417" w:rsidRDefault="00805417">
      <w:pPr>
        <w:spacing w:after="0"/>
        <w:rPr>
          <w:iCs/>
        </w:rPr>
      </w:pPr>
      <w:r>
        <w:rPr>
          <w:iCs/>
        </w:rPr>
        <w:br w:type="page"/>
      </w:r>
    </w:p>
    <w:p w14:paraId="06858AAB" w14:textId="77777777" w:rsidR="00337688" w:rsidRPr="00136E17" w:rsidRDefault="00337688" w:rsidP="00337688">
      <w:pPr>
        <w:pStyle w:val="Pa4"/>
        <w:spacing w:line="240" w:lineRule="auto"/>
        <w:rPr>
          <w:rFonts w:asciiTheme="minorHAnsi" w:hAnsiTheme="minorHAnsi" w:cs="Montserrat Semi Bold"/>
          <w:b/>
          <w:bCs/>
          <w:color w:val="000000"/>
          <w:sz w:val="30"/>
          <w:szCs w:val="30"/>
        </w:rPr>
      </w:pPr>
      <w:r w:rsidRPr="007920E8">
        <w:rPr>
          <w:rFonts w:asciiTheme="minorHAnsi" w:hAnsiTheme="minorHAnsi" w:cs="Montserrat Semi Bold"/>
          <w:b/>
          <w:bCs/>
          <w:color w:val="000000"/>
          <w:sz w:val="30"/>
          <w:szCs w:val="30"/>
        </w:rPr>
        <w:lastRenderedPageBreak/>
        <w:t xml:space="preserve">CONTENT OF </w:t>
      </w:r>
      <w:r w:rsidRPr="00136E17">
        <w:rPr>
          <w:rFonts w:asciiTheme="minorHAnsi" w:hAnsiTheme="minorHAnsi" w:cs="Montserrat Semi Bold"/>
          <w:b/>
          <w:bCs/>
          <w:color w:val="000000"/>
          <w:sz w:val="30"/>
          <w:szCs w:val="30"/>
        </w:rPr>
        <w:t xml:space="preserve">FINANCIAL STATEMENTS </w:t>
      </w:r>
    </w:p>
    <w:tbl>
      <w:tblPr>
        <w:tblW w:w="9102" w:type="dxa"/>
        <w:tblLayout w:type="fixed"/>
        <w:tblLook w:val="0000" w:firstRow="0" w:lastRow="0" w:firstColumn="0" w:lastColumn="0" w:noHBand="0" w:noVBand="0"/>
      </w:tblPr>
      <w:tblGrid>
        <w:gridCol w:w="1951"/>
        <w:gridCol w:w="6271"/>
        <w:gridCol w:w="880"/>
      </w:tblGrid>
      <w:tr w:rsidR="00337688" w:rsidRPr="00FE4B54" w14:paraId="12D15002" w14:textId="77777777" w:rsidTr="00902105">
        <w:trPr>
          <w:trHeight w:val="113"/>
        </w:trPr>
        <w:tc>
          <w:tcPr>
            <w:tcW w:w="9102" w:type="dxa"/>
            <w:gridSpan w:val="3"/>
          </w:tcPr>
          <w:p w14:paraId="54D537FA" w14:textId="77777777" w:rsidR="00337688" w:rsidRPr="00FE4B54" w:rsidRDefault="00337688" w:rsidP="00323290">
            <w:pPr>
              <w:autoSpaceDE w:val="0"/>
              <w:autoSpaceDN w:val="0"/>
              <w:adjustRightInd w:val="0"/>
              <w:spacing w:after="140" w:line="181" w:lineRule="atLeast"/>
              <w:jc w:val="right"/>
              <w:rPr>
                <w:rFonts w:cstheme="minorHAnsi"/>
                <w:color w:val="000000"/>
                <w:sz w:val="20"/>
                <w:szCs w:val="20"/>
              </w:rPr>
            </w:pPr>
            <w:r w:rsidRPr="00FE4B54">
              <w:rPr>
                <w:rFonts w:cstheme="minorHAnsi"/>
                <w:b/>
                <w:bCs/>
                <w:color w:val="000000"/>
                <w:sz w:val="20"/>
                <w:szCs w:val="20"/>
              </w:rPr>
              <w:t xml:space="preserve">Page </w:t>
            </w:r>
          </w:p>
        </w:tc>
      </w:tr>
      <w:tr w:rsidR="00337688" w:rsidRPr="00FE4B54" w14:paraId="3EF4E9AA" w14:textId="77777777" w:rsidTr="00D14D64">
        <w:trPr>
          <w:trHeight w:val="110"/>
        </w:trPr>
        <w:tc>
          <w:tcPr>
            <w:tcW w:w="8222" w:type="dxa"/>
            <w:gridSpan w:val="2"/>
            <w:vAlign w:val="center"/>
          </w:tcPr>
          <w:p w14:paraId="02F71C92" w14:textId="77777777" w:rsidR="00337688" w:rsidRPr="00FE4B54" w:rsidRDefault="00337688" w:rsidP="00323290">
            <w:pPr>
              <w:autoSpaceDE w:val="0"/>
              <w:autoSpaceDN w:val="0"/>
              <w:adjustRightInd w:val="0"/>
              <w:spacing w:before="40" w:after="40"/>
              <w:rPr>
                <w:rFonts w:cstheme="minorHAnsi"/>
                <w:b/>
                <w:bCs/>
                <w:color w:val="000000"/>
                <w:sz w:val="20"/>
                <w:szCs w:val="20"/>
              </w:rPr>
            </w:pPr>
            <w:r w:rsidRPr="00FE4B54">
              <w:rPr>
                <w:rFonts w:cstheme="minorHAnsi"/>
                <w:b/>
                <w:bCs/>
                <w:color w:val="000000"/>
                <w:sz w:val="20"/>
                <w:szCs w:val="20"/>
              </w:rPr>
              <w:t>Financial Statements</w:t>
            </w:r>
          </w:p>
        </w:tc>
        <w:tc>
          <w:tcPr>
            <w:tcW w:w="880" w:type="dxa"/>
            <w:vAlign w:val="center"/>
          </w:tcPr>
          <w:p w14:paraId="5D0FB739" w14:textId="77777777" w:rsidR="00337688" w:rsidRPr="00FE4B54" w:rsidRDefault="00337688" w:rsidP="00323290">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523727" w14:paraId="2BAE4125" w14:textId="77777777" w:rsidTr="00523727">
        <w:trPr>
          <w:trHeight w:val="110"/>
        </w:trPr>
        <w:tc>
          <w:tcPr>
            <w:tcW w:w="8222" w:type="dxa"/>
            <w:gridSpan w:val="2"/>
            <w:shd w:val="clear" w:color="auto" w:fill="auto"/>
            <w:vAlign w:val="center"/>
          </w:tcPr>
          <w:p w14:paraId="54B4F513"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Operating Statement</w:t>
            </w:r>
          </w:p>
        </w:tc>
        <w:tc>
          <w:tcPr>
            <w:tcW w:w="880" w:type="dxa"/>
            <w:shd w:val="clear" w:color="auto" w:fill="auto"/>
            <w:vAlign w:val="center"/>
          </w:tcPr>
          <w:p w14:paraId="3D2ABD55" w14:textId="35FC0345" w:rsidR="00337688" w:rsidRPr="00523727" w:rsidRDefault="002D323A"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50</w:t>
            </w:r>
          </w:p>
        </w:tc>
      </w:tr>
      <w:tr w:rsidR="00337688" w:rsidRPr="00523727" w14:paraId="35AE2E0C" w14:textId="77777777" w:rsidTr="00523727">
        <w:trPr>
          <w:trHeight w:val="110"/>
        </w:trPr>
        <w:tc>
          <w:tcPr>
            <w:tcW w:w="8222" w:type="dxa"/>
            <w:gridSpan w:val="2"/>
            <w:shd w:val="clear" w:color="auto" w:fill="auto"/>
            <w:vAlign w:val="center"/>
          </w:tcPr>
          <w:p w14:paraId="5705E50F"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Balance Sheet</w:t>
            </w:r>
          </w:p>
        </w:tc>
        <w:tc>
          <w:tcPr>
            <w:tcW w:w="880" w:type="dxa"/>
            <w:shd w:val="clear" w:color="auto" w:fill="auto"/>
            <w:vAlign w:val="center"/>
          </w:tcPr>
          <w:p w14:paraId="18314845" w14:textId="0E8446FA" w:rsidR="00337688" w:rsidRPr="00523727" w:rsidRDefault="00DD6CA4"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2D323A" w:rsidRPr="00523727">
              <w:rPr>
                <w:rFonts w:cstheme="minorHAnsi"/>
                <w:color w:val="000000"/>
                <w:sz w:val="20"/>
                <w:szCs w:val="20"/>
              </w:rPr>
              <w:t>1</w:t>
            </w:r>
          </w:p>
        </w:tc>
      </w:tr>
      <w:tr w:rsidR="00337688" w:rsidRPr="00523727" w14:paraId="60BF0439" w14:textId="77777777" w:rsidTr="00523727">
        <w:trPr>
          <w:trHeight w:val="110"/>
        </w:trPr>
        <w:tc>
          <w:tcPr>
            <w:tcW w:w="8222" w:type="dxa"/>
            <w:gridSpan w:val="2"/>
            <w:shd w:val="clear" w:color="auto" w:fill="auto"/>
            <w:vAlign w:val="center"/>
          </w:tcPr>
          <w:p w14:paraId="762957ED"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Statement of Changes in Equity</w:t>
            </w:r>
          </w:p>
        </w:tc>
        <w:tc>
          <w:tcPr>
            <w:tcW w:w="880" w:type="dxa"/>
            <w:shd w:val="clear" w:color="auto" w:fill="auto"/>
            <w:vAlign w:val="center"/>
          </w:tcPr>
          <w:p w14:paraId="2B1F0993" w14:textId="395DC785" w:rsidR="00337688" w:rsidRPr="00523727" w:rsidRDefault="006B5A11"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2D323A" w:rsidRPr="00523727">
              <w:rPr>
                <w:rFonts w:cstheme="minorHAnsi"/>
                <w:color w:val="000000"/>
                <w:sz w:val="20"/>
                <w:szCs w:val="20"/>
              </w:rPr>
              <w:t>2</w:t>
            </w:r>
          </w:p>
        </w:tc>
      </w:tr>
      <w:tr w:rsidR="00337688" w:rsidRPr="001D523A" w14:paraId="238D2EC2" w14:textId="77777777" w:rsidTr="00523727">
        <w:trPr>
          <w:trHeight w:val="110"/>
        </w:trPr>
        <w:tc>
          <w:tcPr>
            <w:tcW w:w="8222" w:type="dxa"/>
            <w:gridSpan w:val="2"/>
            <w:shd w:val="clear" w:color="auto" w:fill="auto"/>
            <w:vAlign w:val="center"/>
          </w:tcPr>
          <w:p w14:paraId="1B11E4E9"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Statement of Cash Flows</w:t>
            </w:r>
          </w:p>
        </w:tc>
        <w:tc>
          <w:tcPr>
            <w:tcW w:w="880" w:type="dxa"/>
            <w:shd w:val="clear" w:color="auto" w:fill="auto"/>
            <w:vAlign w:val="center"/>
          </w:tcPr>
          <w:p w14:paraId="18878F32" w14:textId="2C3B528C" w:rsidR="00337688" w:rsidRPr="00523727" w:rsidRDefault="006B5A11"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AC1754" w:rsidRPr="00523727">
              <w:rPr>
                <w:rFonts w:cstheme="minorHAnsi"/>
                <w:color w:val="000000"/>
                <w:sz w:val="20"/>
                <w:szCs w:val="20"/>
              </w:rPr>
              <w:t>3</w:t>
            </w:r>
          </w:p>
        </w:tc>
      </w:tr>
      <w:tr w:rsidR="00337688" w:rsidRPr="00FE4B54" w14:paraId="6CF95E2D" w14:textId="77777777" w:rsidTr="00D14D64">
        <w:trPr>
          <w:trHeight w:val="110"/>
        </w:trPr>
        <w:tc>
          <w:tcPr>
            <w:tcW w:w="8222" w:type="dxa"/>
            <w:gridSpan w:val="2"/>
            <w:vAlign w:val="center"/>
          </w:tcPr>
          <w:p w14:paraId="7A4787CA" w14:textId="77777777" w:rsidR="00337688" w:rsidRPr="00902105" w:rsidRDefault="00337688" w:rsidP="00323290">
            <w:pPr>
              <w:autoSpaceDE w:val="0"/>
              <w:autoSpaceDN w:val="0"/>
              <w:adjustRightInd w:val="0"/>
              <w:spacing w:before="40" w:after="40"/>
              <w:rPr>
                <w:rFonts w:cstheme="minorHAnsi"/>
                <w:b/>
                <w:bCs/>
                <w:color w:val="000000"/>
                <w:sz w:val="20"/>
                <w:szCs w:val="20"/>
              </w:rPr>
            </w:pPr>
            <w:r w:rsidRPr="00902105">
              <w:rPr>
                <w:rFonts w:cstheme="minorHAnsi"/>
                <w:b/>
                <w:bCs/>
                <w:color w:val="000000"/>
                <w:sz w:val="20"/>
                <w:szCs w:val="20"/>
              </w:rPr>
              <w:t>Overview Notes</w:t>
            </w:r>
          </w:p>
        </w:tc>
        <w:tc>
          <w:tcPr>
            <w:tcW w:w="880" w:type="dxa"/>
            <w:vAlign w:val="center"/>
          </w:tcPr>
          <w:p w14:paraId="25313CE2" w14:textId="77777777" w:rsidR="00337688" w:rsidRPr="00622385" w:rsidRDefault="00337688" w:rsidP="00323290">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523727" w14:paraId="5AA3CF42" w14:textId="77777777" w:rsidTr="00D14D64">
        <w:trPr>
          <w:trHeight w:val="110"/>
        </w:trPr>
        <w:tc>
          <w:tcPr>
            <w:tcW w:w="1951" w:type="dxa"/>
            <w:vAlign w:val="center"/>
          </w:tcPr>
          <w:p w14:paraId="359EC767"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1 </w:t>
            </w:r>
          </w:p>
        </w:tc>
        <w:tc>
          <w:tcPr>
            <w:tcW w:w="6271" w:type="dxa"/>
            <w:vAlign w:val="center"/>
          </w:tcPr>
          <w:p w14:paraId="2754995B"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Objectives of the ACT Insurance Authority </w:t>
            </w:r>
          </w:p>
        </w:tc>
        <w:tc>
          <w:tcPr>
            <w:tcW w:w="880" w:type="dxa"/>
            <w:vAlign w:val="center"/>
          </w:tcPr>
          <w:p w14:paraId="738BF0DA" w14:textId="2B9A7DA8"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AC1754" w:rsidRPr="00523727">
              <w:rPr>
                <w:rFonts w:cstheme="minorHAnsi"/>
                <w:color w:val="000000"/>
                <w:sz w:val="20"/>
                <w:szCs w:val="20"/>
              </w:rPr>
              <w:t>4</w:t>
            </w:r>
          </w:p>
        </w:tc>
      </w:tr>
      <w:tr w:rsidR="00337688" w:rsidRPr="00523727" w14:paraId="0EA47D66" w14:textId="77777777" w:rsidTr="00D14D64">
        <w:trPr>
          <w:trHeight w:val="110"/>
        </w:trPr>
        <w:tc>
          <w:tcPr>
            <w:tcW w:w="1951" w:type="dxa"/>
            <w:vAlign w:val="center"/>
          </w:tcPr>
          <w:p w14:paraId="5952FEC0"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2 </w:t>
            </w:r>
          </w:p>
        </w:tc>
        <w:tc>
          <w:tcPr>
            <w:tcW w:w="6271" w:type="dxa"/>
            <w:vAlign w:val="center"/>
          </w:tcPr>
          <w:p w14:paraId="6003FB8B"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Basis of Preparation of the Financial Statements</w:t>
            </w:r>
          </w:p>
        </w:tc>
        <w:tc>
          <w:tcPr>
            <w:tcW w:w="880" w:type="dxa"/>
            <w:vAlign w:val="center"/>
          </w:tcPr>
          <w:p w14:paraId="13D5DDA3" w14:textId="2683BD35"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AC1754" w:rsidRPr="00523727">
              <w:rPr>
                <w:rFonts w:cstheme="minorHAnsi"/>
                <w:color w:val="000000"/>
                <w:sz w:val="20"/>
                <w:szCs w:val="20"/>
              </w:rPr>
              <w:t>4</w:t>
            </w:r>
          </w:p>
        </w:tc>
      </w:tr>
      <w:tr w:rsidR="00337688" w:rsidRPr="00523727" w14:paraId="30F21140" w14:textId="77777777" w:rsidTr="00D14D64">
        <w:trPr>
          <w:trHeight w:val="110"/>
        </w:trPr>
        <w:tc>
          <w:tcPr>
            <w:tcW w:w="1951" w:type="dxa"/>
            <w:vAlign w:val="center"/>
          </w:tcPr>
          <w:p w14:paraId="576B7AF5"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Note 3</w:t>
            </w:r>
          </w:p>
        </w:tc>
        <w:tc>
          <w:tcPr>
            <w:tcW w:w="6271" w:type="dxa"/>
          </w:tcPr>
          <w:p w14:paraId="5158FF17"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Impact of Accounting Standards Issued </w:t>
            </w:r>
            <w:proofErr w:type="gramStart"/>
            <w:r w:rsidRPr="00523727">
              <w:rPr>
                <w:rFonts w:cstheme="minorHAnsi"/>
                <w:color w:val="000000"/>
                <w:sz w:val="20"/>
                <w:szCs w:val="20"/>
              </w:rPr>
              <w:t>but Yet</w:t>
            </w:r>
            <w:proofErr w:type="gramEnd"/>
            <w:r w:rsidRPr="00523727">
              <w:rPr>
                <w:rFonts w:cstheme="minorHAnsi"/>
                <w:color w:val="000000"/>
                <w:sz w:val="20"/>
                <w:szCs w:val="20"/>
              </w:rPr>
              <w:t xml:space="preserve"> to be Applied</w:t>
            </w:r>
          </w:p>
        </w:tc>
        <w:tc>
          <w:tcPr>
            <w:tcW w:w="880" w:type="dxa"/>
            <w:vAlign w:val="center"/>
          </w:tcPr>
          <w:p w14:paraId="5E3EF962" w14:textId="7C54EBA4"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D00AEF" w:rsidRPr="00523727">
              <w:rPr>
                <w:rFonts w:cstheme="minorHAnsi"/>
                <w:color w:val="000000"/>
                <w:sz w:val="20"/>
                <w:szCs w:val="20"/>
              </w:rPr>
              <w:t>6</w:t>
            </w:r>
          </w:p>
        </w:tc>
      </w:tr>
      <w:tr w:rsidR="00337688" w:rsidRPr="00523727" w14:paraId="1197A993" w14:textId="77777777" w:rsidTr="00D14D64">
        <w:trPr>
          <w:trHeight w:val="110"/>
        </w:trPr>
        <w:tc>
          <w:tcPr>
            <w:tcW w:w="1951" w:type="dxa"/>
            <w:vAlign w:val="center"/>
          </w:tcPr>
          <w:p w14:paraId="518C8643"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Note 4</w:t>
            </w:r>
          </w:p>
        </w:tc>
        <w:tc>
          <w:tcPr>
            <w:tcW w:w="6271" w:type="dxa"/>
          </w:tcPr>
          <w:p w14:paraId="17079328"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Change in Accounting Policy and Accounting Estimates </w:t>
            </w:r>
          </w:p>
        </w:tc>
        <w:tc>
          <w:tcPr>
            <w:tcW w:w="880" w:type="dxa"/>
            <w:vAlign w:val="center"/>
          </w:tcPr>
          <w:p w14:paraId="18A51EB4" w14:textId="5D40F9D9"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5B496F" w:rsidRPr="00523727">
              <w:rPr>
                <w:rFonts w:cstheme="minorHAnsi"/>
                <w:color w:val="000000"/>
                <w:sz w:val="20"/>
                <w:szCs w:val="20"/>
              </w:rPr>
              <w:t>7</w:t>
            </w:r>
          </w:p>
        </w:tc>
      </w:tr>
      <w:tr w:rsidR="00337688" w:rsidRPr="00523727" w14:paraId="752D7760" w14:textId="77777777" w:rsidTr="00D14D64">
        <w:trPr>
          <w:trHeight w:val="110"/>
        </w:trPr>
        <w:tc>
          <w:tcPr>
            <w:tcW w:w="8222" w:type="dxa"/>
            <w:gridSpan w:val="2"/>
          </w:tcPr>
          <w:p w14:paraId="02511923"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b/>
                <w:bCs/>
                <w:color w:val="000000"/>
                <w:sz w:val="20"/>
                <w:szCs w:val="20"/>
              </w:rPr>
              <w:t>Income and Expenses Notes</w:t>
            </w:r>
          </w:p>
        </w:tc>
        <w:tc>
          <w:tcPr>
            <w:tcW w:w="880" w:type="dxa"/>
            <w:vAlign w:val="center"/>
          </w:tcPr>
          <w:p w14:paraId="7C3E180C" w14:textId="77777777"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523727" w14:paraId="490CDF54" w14:textId="77777777" w:rsidTr="00D14D64">
        <w:trPr>
          <w:trHeight w:val="110"/>
        </w:trPr>
        <w:tc>
          <w:tcPr>
            <w:tcW w:w="1951" w:type="dxa"/>
            <w:vAlign w:val="center"/>
          </w:tcPr>
          <w:p w14:paraId="6C4987BF"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5 </w:t>
            </w:r>
          </w:p>
        </w:tc>
        <w:tc>
          <w:tcPr>
            <w:tcW w:w="6271" w:type="dxa"/>
            <w:vAlign w:val="center"/>
          </w:tcPr>
          <w:p w14:paraId="5BE99D8D"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Underwriting Result</w:t>
            </w:r>
          </w:p>
        </w:tc>
        <w:tc>
          <w:tcPr>
            <w:tcW w:w="880" w:type="dxa"/>
            <w:vAlign w:val="center"/>
          </w:tcPr>
          <w:p w14:paraId="2C4E0B1B" w14:textId="2E14F7A8"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w:t>
            </w:r>
            <w:r w:rsidR="005B496F" w:rsidRPr="00523727">
              <w:rPr>
                <w:rFonts w:cstheme="minorHAnsi"/>
                <w:color w:val="000000"/>
                <w:sz w:val="20"/>
                <w:szCs w:val="20"/>
              </w:rPr>
              <w:t>7</w:t>
            </w:r>
          </w:p>
        </w:tc>
      </w:tr>
      <w:tr w:rsidR="00337688" w:rsidRPr="00523727" w14:paraId="14FE091A" w14:textId="77777777" w:rsidTr="00D14D64">
        <w:trPr>
          <w:trHeight w:val="110"/>
        </w:trPr>
        <w:tc>
          <w:tcPr>
            <w:tcW w:w="1951" w:type="dxa"/>
            <w:vAlign w:val="center"/>
          </w:tcPr>
          <w:p w14:paraId="0DE06F29"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6 </w:t>
            </w:r>
          </w:p>
        </w:tc>
        <w:tc>
          <w:tcPr>
            <w:tcW w:w="6271" w:type="dxa"/>
            <w:vAlign w:val="center"/>
          </w:tcPr>
          <w:p w14:paraId="761542F8"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Net Incurred Claims</w:t>
            </w:r>
          </w:p>
        </w:tc>
        <w:tc>
          <w:tcPr>
            <w:tcW w:w="880" w:type="dxa"/>
            <w:vAlign w:val="center"/>
          </w:tcPr>
          <w:p w14:paraId="28B72473" w14:textId="06A4238F" w:rsidR="00337688" w:rsidRPr="00523727" w:rsidRDefault="005B496F"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59</w:t>
            </w:r>
          </w:p>
        </w:tc>
      </w:tr>
      <w:tr w:rsidR="00337688" w:rsidRPr="00523727" w14:paraId="1CA89C6B" w14:textId="77777777" w:rsidTr="00D14D64">
        <w:trPr>
          <w:trHeight w:val="110"/>
        </w:trPr>
        <w:tc>
          <w:tcPr>
            <w:tcW w:w="1951" w:type="dxa"/>
            <w:vAlign w:val="center"/>
          </w:tcPr>
          <w:p w14:paraId="70AFDC32"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7 </w:t>
            </w:r>
          </w:p>
        </w:tc>
        <w:tc>
          <w:tcPr>
            <w:tcW w:w="6271" w:type="dxa"/>
            <w:vAlign w:val="center"/>
          </w:tcPr>
          <w:p w14:paraId="259F5B62"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Investment and Interest Revenue</w:t>
            </w:r>
          </w:p>
        </w:tc>
        <w:tc>
          <w:tcPr>
            <w:tcW w:w="880" w:type="dxa"/>
            <w:vAlign w:val="center"/>
          </w:tcPr>
          <w:p w14:paraId="6D8183C2" w14:textId="3BA4B8E2" w:rsidR="00337688" w:rsidRPr="00523727" w:rsidRDefault="00967A94"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w:t>
            </w:r>
            <w:r w:rsidR="00154583" w:rsidRPr="00523727">
              <w:rPr>
                <w:rFonts w:cstheme="minorHAnsi"/>
                <w:color w:val="000000"/>
                <w:sz w:val="20"/>
                <w:szCs w:val="20"/>
              </w:rPr>
              <w:t>0</w:t>
            </w:r>
          </w:p>
        </w:tc>
      </w:tr>
      <w:tr w:rsidR="00337688" w:rsidRPr="00523727" w14:paraId="306F8FD9" w14:textId="77777777" w:rsidTr="00D14D64">
        <w:trPr>
          <w:trHeight w:val="110"/>
        </w:trPr>
        <w:tc>
          <w:tcPr>
            <w:tcW w:w="1951" w:type="dxa"/>
            <w:vAlign w:val="center"/>
          </w:tcPr>
          <w:p w14:paraId="0B8580ED"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Note 8</w:t>
            </w:r>
          </w:p>
        </w:tc>
        <w:tc>
          <w:tcPr>
            <w:tcW w:w="6271" w:type="dxa"/>
            <w:vAlign w:val="center"/>
          </w:tcPr>
          <w:p w14:paraId="1BAFC596" w14:textId="11ACC554"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Other </w:t>
            </w:r>
            <w:r w:rsidR="0051150F" w:rsidRPr="00523727">
              <w:rPr>
                <w:rFonts w:cstheme="minorHAnsi"/>
                <w:color w:val="000000"/>
                <w:sz w:val="20"/>
                <w:szCs w:val="20"/>
              </w:rPr>
              <w:t>Income</w:t>
            </w:r>
            <w:r w:rsidRPr="00523727">
              <w:rPr>
                <w:rFonts w:cstheme="minorHAnsi"/>
                <w:color w:val="000000"/>
                <w:sz w:val="20"/>
                <w:szCs w:val="20"/>
              </w:rPr>
              <w:t xml:space="preserve"> and Expenses</w:t>
            </w:r>
          </w:p>
        </w:tc>
        <w:tc>
          <w:tcPr>
            <w:tcW w:w="880" w:type="dxa"/>
            <w:vAlign w:val="center"/>
          </w:tcPr>
          <w:p w14:paraId="413BDBE4" w14:textId="096F7854" w:rsidR="00337688" w:rsidRPr="00523727" w:rsidRDefault="00967A94"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w:t>
            </w:r>
            <w:r w:rsidR="00E92FAD" w:rsidRPr="00523727">
              <w:rPr>
                <w:rFonts w:cstheme="minorHAnsi"/>
                <w:color w:val="000000"/>
                <w:sz w:val="20"/>
                <w:szCs w:val="20"/>
              </w:rPr>
              <w:t>1</w:t>
            </w:r>
          </w:p>
        </w:tc>
      </w:tr>
      <w:tr w:rsidR="00337688" w:rsidRPr="00523727" w14:paraId="10AAC27D" w14:textId="77777777" w:rsidTr="00D14D64">
        <w:trPr>
          <w:trHeight w:val="110"/>
        </w:trPr>
        <w:tc>
          <w:tcPr>
            <w:tcW w:w="1951" w:type="dxa"/>
            <w:vAlign w:val="center"/>
          </w:tcPr>
          <w:p w14:paraId="42EE3F64"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9 </w:t>
            </w:r>
          </w:p>
        </w:tc>
        <w:tc>
          <w:tcPr>
            <w:tcW w:w="6271" w:type="dxa"/>
            <w:vAlign w:val="center"/>
          </w:tcPr>
          <w:p w14:paraId="4902A4B6" w14:textId="65625E2D"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Employee Expenses</w:t>
            </w:r>
          </w:p>
        </w:tc>
        <w:tc>
          <w:tcPr>
            <w:tcW w:w="880" w:type="dxa"/>
            <w:vAlign w:val="center"/>
          </w:tcPr>
          <w:p w14:paraId="0575BB9A" w14:textId="6006ACB8" w:rsidR="00337688" w:rsidRPr="00523727" w:rsidRDefault="00967A94"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w:t>
            </w:r>
            <w:r w:rsidR="002C5D17" w:rsidRPr="00523727">
              <w:rPr>
                <w:rFonts w:cstheme="minorHAnsi"/>
                <w:color w:val="000000"/>
                <w:sz w:val="20"/>
                <w:szCs w:val="20"/>
              </w:rPr>
              <w:t>3</w:t>
            </w:r>
          </w:p>
        </w:tc>
      </w:tr>
      <w:tr w:rsidR="00337688" w:rsidRPr="00523727" w14:paraId="39C03A46" w14:textId="77777777" w:rsidTr="00D14D64">
        <w:trPr>
          <w:trHeight w:val="110"/>
        </w:trPr>
        <w:tc>
          <w:tcPr>
            <w:tcW w:w="1951" w:type="dxa"/>
            <w:vAlign w:val="center"/>
          </w:tcPr>
          <w:p w14:paraId="01F3EA17"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10 </w:t>
            </w:r>
          </w:p>
        </w:tc>
        <w:tc>
          <w:tcPr>
            <w:tcW w:w="6271" w:type="dxa"/>
            <w:vAlign w:val="center"/>
          </w:tcPr>
          <w:p w14:paraId="05681C12"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Supplies and Services</w:t>
            </w:r>
          </w:p>
        </w:tc>
        <w:tc>
          <w:tcPr>
            <w:tcW w:w="880" w:type="dxa"/>
            <w:vAlign w:val="center"/>
          </w:tcPr>
          <w:p w14:paraId="06099C5C" w14:textId="1F427CC6" w:rsidR="00337688" w:rsidRPr="00523727" w:rsidRDefault="006D1F80"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w:t>
            </w:r>
            <w:r w:rsidR="002C5D17" w:rsidRPr="00523727">
              <w:rPr>
                <w:rFonts w:cstheme="minorHAnsi"/>
                <w:color w:val="000000"/>
                <w:sz w:val="20"/>
                <w:szCs w:val="20"/>
              </w:rPr>
              <w:t>4</w:t>
            </w:r>
          </w:p>
        </w:tc>
      </w:tr>
      <w:tr w:rsidR="00337688" w:rsidRPr="00523727" w14:paraId="41333918" w14:textId="77777777" w:rsidTr="00D14D64">
        <w:trPr>
          <w:trHeight w:val="110"/>
        </w:trPr>
        <w:tc>
          <w:tcPr>
            <w:tcW w:w="8222" w:type="dxa"/>
            <w:gridSpan w:val="2"/>
            <w:vAlign w:val="center"/>
          </w:tcPr>
          <w:p w14:paraId="1E88573E" w14:textId="77777777" w:rsidR="00337688" w:rsidRPr="00523727" w:rsidRDefault="00337688" w:rsidP="00323290">
            <w:pPr>
              <w:autoSpaceDE w:val="0"/>
              <w:autoSpaceDN w:val="0"/>
              <w:adjustRightInd w:val="0"/>
              <w:spacing w:before="40" w:after="40"/>
              <w:rPr>
                <w:rFonts w:cstheme="minorHAnsi"/>
                <w:b/>
                <w:bCs/>
                <w:color w:val="000000"/>
                <w:sz w:val="20"/>
                <w:szCs w:val="20"/>
              </w:rPr>
            </w:pPr>
            <w:r w:rsidRPr="00523727">
              <w:rPr>
                <w:rFonts w:cstheme="minorHAnsi"/>
                <w:b/>
                <w:bCs/>
                <w:color w:val="000000"/>
                <w:sz w:val="20"/>
                <w:szCs w:val="20"/>
              </w:rPr>
              <w:t>Assets Notes</w:t>
            </w:r>
          </w:p>
        </w:tc>
        <w:tc>
          <w:tcPr>
            <w:tcW w:w="880" w:type="dxa"/>
            <w:vAlign w:val="center"/>
          </w:tcPr>
          <w:p w14:paraId="6F87A0DD" w14:textId="77777777" w:rsidR="00337688" w:rsidRPr="00523727"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523727" w14:paraId="657E5B62" w14:textId="77777777" w:rsidTr="00D14D64">
        <w:trPr>
          <w:trHeight w:val="110"/>
        </w:trPr>
        <w:tc>
          <w:tcPr>
            <w:tcW w:w="1951" w:type="dxa"/>
            <w:vAlign w:val="center"/>
          </w:tcPr>
          <w:p w14:paraId="65221C77"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11 </w:t>
            </w:r>
          </w:p>
        </w:tc>
        <w:tc>
          <w:tcPr>
            <w:tcW w:w="6271" w:type="dxa"/>
            <w:vAlign w:val="center"/>
          </w:tcPr>
          <w:p w14:paraId="68AAFDC2"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Cash and Investments </w:t>
            </w:r>
          </w:p>
        </w:tc>
        <w:tc>
          <w:tcPr>
            <w:tcW w:w="880" w:type="dxa"/>
            <w:vAlign w:val="center"/>
          </w:tcPr>
          <w:p w14:paraId="02D5F756" w14:textId="3355E0D4" w:rsidR="00337688" w:rsidRPr="00523727" w:rsidRDefault="00E132CD"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w:t>
            </w:r>
            <w:r w:rsidR="005C5A5B" w:rsidRPr="00523727">
              <w:rPr>
                <w:rFonts w:cstheme="minorHAnsi"/>
                <w:color w:val="000000"/>
                <w:sz w:val="20"/>
                <w:szCs w:val="20"/>
              </w:rPr>
              <w:t>6</w:t>
            </w:r>
          </w:p>
        </w:tc>
      </w:tr>
      <w:tr w:rsidR="00337688" w:rsidRPr="00523727" w14:paraId="37D390F4" w14:textId="77777777" w:rsidTr="00D14D64">
        <w:trPr>
          <w:trHeight w:val="110"/>
        </w:trPr>
        <w:tc>
          <w:tcPr>
            <w:tcW w:w="1951" w:type="dxa"/>
            <w:vAlign w:val="center"/>
          </w:tcPr>
          <w:p w14:paraId="3B84A0D6"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12 </w:t>
            </w:r>
          </w:p>
        </w:tc>
        <w:tc>
          <w:tcPr>
            <w:tcW w:w="6271" w:type="dxa"/>
            <w:vAlign w:val="center"/>
          </w:tcPr>
          <w:p w14:paraId="6A1B013D"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Receivables </w:t>
            </w:r>
          </w:p>
        </w:tc>
        <w:tc>
          <w:tcPr>
            <w:tcW w:w="880" w:type="dxa"/>
            <w:vAlign w:val="center"/>
          </w:tcPr>
          <w:p w14:paraId="290B76A6" w14:textId="6F006326" w:rsidR="00337688" w:rsidRPr="00523727" w:rsidRDefault="005C5A5B"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68</w:t>
            </w:r>
          </w:p>
        </w:tc>
      </w:tr>
      <w:tr w:rsidR="00337688" w:rsidRPr="00523727" w14:paraId="6919A47B" w14:textId="77777777" w:rsidTr="00D14D64">
        <w:trPr>
          <w:trHeight w:val="110"/>
        </w:trPr>
        <w:tc>
          <w:tcPr>
            <w:tcW w:w="1951" w:type="dxa"/>
            <w:vAlign w:val="center"/>
          </w:tcPr>
          <w:p w14:paraId="4A6CA187"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 xml:space="preserve">Note 13 </w:t>
            </w:r>
          </w:p>
        </w:tc>
        <w:tc>
          <w:tcPr>
            <w:tcW w:w="6271" w:type="dxa"/>
            <w:vAlign w:val="center"/>
          </w:tcPr>
          <w:p w14:paraId="447D9D6C" w14:textId="77777777" w:rsidR="00337688" w:rsidRPr="00523727" w:rsidRDefault="00337688"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Claims Related Recoveries</w:t>
            </w:r>
          </w:p>
        </w:tc>
        <w:tc>
          <w:tcPr>
            <w:tcW w:w="880" w:type="dxa"/>
            <w:vAlign w:val="center"/>
          </w:tcPr>
          <w:p w14:paraId="220D08DC" w14:textId="43A9BCD4" w:rsidR="00337688" w:rsidRPr="00523727" w:rsidRDefault="005C5A5B"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69</w:t>
            </w:r>
          </w:p>
        </w:tc>
      </w:tr>
      <w:tr w:rsidR="007E49D5" w:rsidRPr="00FE4B54" w14:paraId="2A95736C" w14:textId="77777777" w:rsidTr="00D14D64">
        <w:trPr>
          <w:trHeight w:val="110"/>
        </w:trPr>
        <w:tc>
          <w:tcPr>
            <w:tcW w:w="1951" w:type="dxa"/>
            <w:vAlign w:val="center"/>
          </w:tcPr>
          <w:p w14:paraId="3B3E608F" w14:textId="0B4F4C7A" w:rsidR="007E49D5" w:rsidRPr="00523727" w:rsidRDefault="007E49D5"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Note 14</w:t>
            </w:r>
          </w:p>
        </w:tc>
        <w:tc>
          <w:tcPr>
            <w:tcW w:w="6271" w:type="dxa"/>
            <w:vAlign w:val="center"/>
          </w:tcPr>
          <w:p w14:paraId="630B337A" w14:textId="2E1E0534" w:rsidR="007E49D5" w:rsidRPr="00523727" w:rsidRDefault="007E49D5" w:rsidP="00323290">
            <w:pPr>
              <w:autoSpaceDE w:val="0"/>
              <w:autoSpaceDN w:val="0"/>
              <w:adjustRightInd w:val="0"/>
              <w:spacing w:before="40" w:after="40"/>
              <w:rPr>
                <w:rFonts w:cstheme="minorHAnsi"/>
                <w:color w:val="000000"/>
                <w:sz w:val="20"/>
                <w:szCs w:val="20"/>
              </w:rPr>
            </w:pPr>
            <w:r w:rsidRPr="00523727">
              <w:rPr>
                <w:rFonts w:cstheme="minorHAnsi"/>
                <w:color w:val="000000"/>
                <w:sz w:val="20"/>
                <w:szCs w:val="20"/>
              </w:rPr>
              <w:t>Other Assets</w:t>
            </w:r>
          </w:p>
        </w:tc>
        <w:tc>
          <w:tcPr>
            <w:tcW w:w="880" w:type="dxa"/>
            <w:vAlign w:val="center"/>
          </w:tcPr>
          <w:p w14:paraId="3FC2ADE1" w14:textId="30880BF5" w:rsidR="007E49D5" w:rsidRPr="00523727" w:rsidRDefault="00523727" w:rsidP="00323290">
            <w:pPr>
              <w:autoSpaceDE w:val="0"/>
              <w:autoSpaceDN w:val="0"/>
              <w:adjustRightInd w:val="0"/>
              <w:spacing w:before="80" w:after="80" w:line="181" w:lineRule="atLeast"/>
              <w:jc w:val="right"/>
              <w:rPr>
                <w:rFonts w:cstheme="minorHAnsi"/>
                <w:color w:val="000000"/>
                <w:sz w:val="20"/>
                <w:szCs w:val="20"/>
              </w:rPr>
            </w:pPr>
            <w:r w:rsidRPr="00523727">
              <w:rPr>
                <w:rFonts w:cstheme="minorHAnsi"/>
                <w:color w:val="000000"/>
                <w:sz w:val="20"/>
                <w:szCs w:val="20"/>
              </w:rPr>
              <w:t>70</w:t>
            </w:r>
          </w:p>
        </w:tc>
      </w:tr>
      <w:tr w:rsidR="00337688" w:rsidRPr="00FE4B54" w14:paraId="13DE3AD3" w14:textId="77777777" w:rsidTr="00D14D64">
        <w:trPr>
          <w:trHeight w:val="110"/>
        </w:trPr>
        <w:tc>
          <w:tcPr>
            <w:tcW w:w="8222" w:type="dxa"/>
            <w:gridSpan w:val="2"/>
            <w:vAlign w:val="center"/>
          </w:tcPr>
          <w:p w14:paraId="17C7E43E" w14:textId="77777777" w:rsidR="00337688" w:rsidRPr="00621DFA" w:rsidRDefault="00337688" w:rsidP="00323290">
            <w:pPr>
              <w:autoSpaceDE w:val="0"/>
              <w:autoSpaceDN w:val="0"/>
              <w:adjustRightInd w:val="0"/>
              <w:spacing w:before="40" w:after="40"/>
              <w:rPr>
                <w:rFonts w:cstheme="minorHAnsi"/>
                <w:b/>
                <w:bCs/>
                <w:color w:val="000000"/>
                <w:sz w:val="20"/>
                <w:szCs w:val="20"/>
              </w:rPr>
            </w:pPr>
            <w:r w:rsidRPr="00621DFA">
              <w:rPr>
                <w:rFonts w:cstheme="minorHAnsi"/>
                <w:b/>
                <w:bCs/>
                <w:color w:val="000000"/>
                <w:sz w:val="20"/>
                <w:szCs w:val="20"/>
              </w:rPr>
              <w:t>Liabilities Note</w:t>
            </w:r>
          </w:p>
        </w:tc>
        <w:tc>
          <w:tcPr>
            <w:tcW w:w="880" w:type="dxa"/>
            <w:vAlign w:val="center"/>
          </w:tcPr>
          <w:p w14:paraId="6A8BE507" w14:textId="77777777" w:rsidR="00337688" w:rsidRPr="00622385" w:rsidRDefault="00337688" w:rsidP="00323290">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2F7116" w14:paraId="407BC13E" w14:textId="77777777" w:rsidTr="00D14D64">
        <w:trPr>
          <w:trHeight w:val="110"/>
        </w:trPr>
        <w:tc>
          <w:tcPr>
            <w:tcW w:w="1951" w:type="dxa"/>
            <w:vAlign w:val="center"/>
          </w:tcPr>
          <w:p w14:paraId="4F837F1A" w14:textId="43179676" w:rsidR="00337688" w:rsidRPr="002F7116" w:rsidRDefault="00337688"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Note 1</w:t>
            </w:r>
            <w:r w:rsidR="00621DFA" w:rsidRPr="002F7116">
              <w:rPr>
                <w:rFonts w:cstheme="minorHAnsi"/>
                <w:color w:val="000000"/>
                <w:sz w:val="20"/>
                <w:szCs w:val="20"/>
              </w:rPr>
              <w:t>5</w:t>
            </w:r>
            <w:r w:rsidRPr="002F7116">
              <w:rPr>
                <w:rFonts w:cstheme="minorHAnsi"/>
                <w:color w:val="000000"/>
                <w:sz w:val="20"/>
                <w:szCs w:val="20"/>
              </w:rPr>
              <w:t xml:space="preserve"> </w:t>
            </w:r>
          </w:p>
        </w:tc>
        <w:tc>
          <w:tcPr>
            <w:tcW w:w="6271" w:type="dxa"/>
            <w:vAlign w:val="center"/>
          </w:tcPr>
          <w:p w14:paraId="02AFE91B" w14:textId="77777777" w:rsidR="00337688" w:rsidRPr="002F7116" w:rsidRDefault="00337688"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 xml:space="preserve">Outstanding Claims </w:t>
            </w:r>
          </w:p>
        </w:tc>
        <w:tc>
          <w:tcPr>
            <w:tcW w:w="880" w:type="dxa"/>
            <w:vAlign w:val="center"/>
          </w:tcPr>
          <w:p w14:paraId="318E706D" w14:textId="746656C1" w:rsidR="00337688" w:rsidRPr="002F7116" w:rsidRDefault="000F2561" w:rsidP="00323290">
            <w:pPr>
              <w:autoSpaceDE w:val="0"/>
              <w:autoSpaceDN w:val="0"/>
              <w:adjustRightInd w:val="0"/>
              <w:spacing w:before="80" w:after="80" w:line="181" w:lineRule="atLeast"/>
              <w:jc w:val="right"/>
              <w:rPr>
                <w:rFonts w:cstheme="minorHAnsi"/>
                <w:color w:val="000000"/>
                <w:sz w:val="20"/>
                <w:szCs w:val="20"/>
              </w:rPr>
            </w:pPr>
            <w:r w:rsidRPr="002F7116">
              <w:rPr>
                <w:rFonts w:cstheme="minorHAnsi"/>
                <w:color w:val="000000"/>
                <w:sz w:val="20"/>
                <w:szCs w:val="20"/>
              </w:rPr>
              <w:t>7</w:t>
            </w:r>
            <w:r w:rsidR="002F7116" w:rsidRPr="002F7116">
              <w:rPr>
                <w:rFonts w:cstheme="minorHAnsi"/>
                <w:color w:val="000000"/>
                <w:sz w:val="20"/>
                <w:szCs w:val="20"/>
              </w:rPr>
              <w:t>1</w:t>
            </w:r>
          </w:p>
        </w:tc>
      </w:tr>
      <w:tr w:rsidR="00F91AFC" w:rsidRPr="002F7116" w14:paraId="4F5DDBA8" w14:textId="77777777" w:rsidTr="00D14D64">
        <w:trPr>
          <w:trHeight w:val="110"/>
        </w:trPr>
        <w:tc>
          <w:tcPr>
            <w:tcW w:w="1951" w:type="dxa"/>
            <w:vAlign w:val="center"/>
          </w:tcPr>
          <w:p w14:paraId="08256726" w14:textId="7E2545C2" w:rsidR="00F91AFC" w:rsidRPr="002F7116" w:rsidRDefault="00F91AFC"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Note 1</w:t>
            </w:r>
            <w:r w:rsidR="00621DFA" w:rsidRPr="002F7116">
              <w:rPr>
                <w:rFonts w:cstheme="minorHAnsi"/>
                <w:color w:val="000000"/>
                <w:sz w:val="20"/>
                <w:szCs w:val="20"/>
              </w:rPr>
              <w:t>6</w:t>
            </w:r>
          </w:p>
        </w:tc>
        <w:tc>
          <w:tcPr>
            <w:tcW w:w="6271" w:type="dxa"/>
            <w:vAlign w:val="center"/>
          </w:tcPr>
          <w:p w14:paraId="1DF2D17B" w14:textId="58A732A3" w:rsidR="00F91AFC" w:rsidRPr="002F7116" w:rsidRDefault="00F91AFC"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Employees Benefits</w:t>
            </w:r>
          </w:p>
        </w:tc>
        <w:tc>
          <w:tcPr>
            <w:tcW w:w="880" w:type="dxa"/>
            <w:vAlign w:val="center"/>
          </w:tcPr>
          <w:p w14:paraId="075B29C3" w14:textId="4A9880C3" w:rsidR="00F91AFC" w:rsidRPr="002F7116" w:rsidRDefault="00904675" w:rsidP="00323290">
            <w:pPr>
              <w:autoSpaceDE w:val="0"/>
              <w:autoSpaceDN w:val="0"/>
              <w:adjustRightInd w:val="0"/>
              <w:spacing w:before="80" w:after="80" w:line="181" w:lineRule="atLeast"/>
              <w:jc w:val="right"/>
              <w:rPr>
                <w:rFonts w:cstheme="minorHAnsi"/>
                <w:color w:val="000000"/>
                <w:sz w:val="20"/>
                <w:szCs w:val="20"/>
              </w:rPr>
            </w:pPr>
            <w:r w:rsidRPr="002F7116">
              <w:rPr>
                <w:rFonts w:cstheme="minorHAnsi"/>
                <w:color w:val="000000"/>
                <w:sz w:val="20"/>
                <w:szCs w:val="20"/>
              </w:rPr>
              <w:t>8</w:t>
            </w:r>
            <w:r w:rsidR="002F7116" w:rsidRPr="002F7116">
              <w:rPr>
                <w:rFonts w:cstheme="minorHAnsi"/>
                <w:color w:val="000000"/>
                <w:sz w:val="20"/>
                <w:szCs w:val="20"/>
              </w:rPr>
              <w:t>2</w:t>
            </w:r>
          </w:p>
        </w:tc>
      </w:tr>
      <w:tr w:rsidR="00F91AFC" w:rsidRPr="00FE4B54" w14:paraId="473DABB5" w14:textId="77777777" w:rsidTr="00D14D64">
        <w:trPr>
          <w:trHeight w:val="110"/>
        </w:trPr>
        <w:tc>
          <w:tcPr>
            <w:tcW w:w="1951" w:type="dxa"/>
            <w:vAlign w:val="center"/>
          </w:tcPr>
          <w:p w14:paraId="1BAC173C" w14:textId="43C54B25" w:rsidR="00F91AFC" w:rsidRPr="002F7116" w:rsidRDefault="008E4BF2"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Note 1</w:t>
            </w:r>
            <w:r w:rsidR="00621DFA" w:rsidRPr="002F7116">
              <w:rPr>
                <w:rFonts w:cstheme="minorHAnsi"/>
                <w:color w:val="000000"/>
                <w:sz w:val="20"/>
                <w:szCs w:val="20"/>
              </w:rPr>
              <w:t>7</w:t>
            </w:r>
          </w:p>
        </w:tc>
        <w:tc>
          <w:tcPr>
            <w:tcW w:w="6271" w:type="dxa"/>
            <w:vAlign w:val="center"/>
          </w:tcPr>
          <w:p w14:paraId="340427C6" w14:textId="3B8A3F97" w:rsidR="00F91AFC" w:rsidRPr="002F7116" w:rsidRDefault="008E4BF2" w:rsidP="00323290">
            <w:pPr>
              <w:autoSpaceDE w:val="0"/>
              <w:autoSpaceDN w:val="0"/>
              <w:adjustRightInd w:val="0"/>
              <w:spacing w:before="40" w:after="40"/>
              <w:rPr>
                <w:rFonts w:cstheme="minorHAnsi"/>
                <w:color w:val="000000"/>
                <w:sz w:val="20"/>
                <w:szCs w:val="20"/>
              </w:rPr>
            </w:pPr>
            <w:r w:rsidRPr="002F7116">
              <w:rPr>
                <w:rFonts w:cstheme="minorHAnsi"/>
                <w:color w:val="000000"/>
                <w:sz w:val="20"/>
                <w:szCs w:val="20"/>
              </w:rPr>
              <w:t>Other Liabilities</w:t>
            </w:r>
          </w:p>
        </w:tc>
        <w:tc>
          <w:tcPr>
            <w:tcW w:w="880" w:type="dxa"/>
            <w:vAlign w:val="center"/>
          </w:tcPr>
          <w:p w14:paraId="1E769BA4" w14:textId="5F6399E0" w:rsidR="00F91AFC" w:rsidRPr="002F7116" w:rsidRDefault="00904675" w:rsidP="00323290">
            <w:pPr>
              <w:autoSpaceDE w:val="0"/>
              <w:autoSpaceDN w:val="0"/>
              <w:adjustRightInd w:val="0"/>
              <w:spacing w:before="80" w:after="80" w:line="181" w:lineRule="atLeast"/>
              <w:jc w:val="right"/>
              <w:rPr>
                <w:rFonts w:cstheme="minorHAnsi"/>
                <w:color w:val="000000"/>
                <w:sz w:val="20"/>
                <w:szCs w:val="20"/>
              </w:rPr>
            </w:pPr>
            <w:r w:rsidRPr="002F7116">
              <w:rPr>
                <w:rFonts w:cstheme="minorHAnsi"/>
                <w:color w:val="000000"/>
                <w:sz w:val="20"/>
                <w:szCs w:val="20"/>
              </w:rPr>
              <w:t>8</w:t>
            </w:r>
            <w:r w:rsidR="002F7116" w:rsidRPr="002F7116">
              <w:rPr>
                <w:rFonts w:cstheme="minorHAnsi"/>
                <w:color w:val="000000"/>
                <w:sz w:val="20"/>
                <w:szCs w:val="20"/>
              </w:rPr>
              <w:t>3</w:t>
            </w:r>
          </w:p>
        </w:tc>
      </w:tr>
      <w:tr w:rsidR="00337688" w:rsidRPr="00FE4B54" w14:paraId="55C6D381" w14:textId="77777777" w:rsidTr="00D14D64">
        <w:trPr>
          <w:trHeight w:val="110"/>
        </w:trPr>
        <w:tc>
          <w:tcPr>
            <w:tcW w:w="8222" w:type="dxa"/>
            <w:gridSpan w:val="2"/>
            <w:vAlign w:val="center"/>
          </w:tcPr>
          <w:p w14:paraId="66B1487B" w14:textId="77777777" w:rsidR="00337688" w:rsidRPr="00B83F10" w:rsidRDefault="00337688" w:rsidP="00323290">
            <w:pPr>
              <w:autoSpaceDE w:val="0"/>
              <w:autoSpaceDN w:val="0"/>
              <w:adjustRightInd w:val="0"/>
              <w:spacing w:before="40" w:after="40"/>
              <w:rPr>
                <w:rFonts w:cstheme="minorHAnsi"/>
                <w:b/>
                <w:bCs/>
                <w:color w:val="000000"/>
                <w:sz w:val="20"/>
                <w:szCs w:val="20"/>
              </w:rPr>
            </w:pPr>
            <w:r w:rsidRPr="00B83F10">
              <w:rPr>
                <w:rFonts w:cstheme="minorHAnsi"/>
                <w:b/>
                <w:bCs/>
                <w:color w:val="000000"/>
                <w:sz w:val="20"/>
                <w:szCs w:val="20"/>
              </w:rPr>
              <w:t>Other Notes</w:t>
            </w:r>
          </w:p>
        </w:tc>
        <w:tc>
          <w:tcPr>
            <w:tcW w:w="880" w:type="dxa"/>
            <w:vAlign w:val="center"/>
          </w:tcPr>
          <w:p w14:paraId="3A36722C" w14:textId="77777777" w:rsidR="00337688" w:rsidRPr="00622385" w:rsidRDefault="00337688" w:rsidP="00323290">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B83FC9" w14:paraId="764248FF" w14:textId="77777777" w:rsidTr="00D14D64">
        <w:trPr>
          <w:trHeight w:val="110"/>
        </w:trPr>
        <w:tc>
          <w:tcPr>
            <w:tcW w:w="1951" w:type="dxa"/>
            <w:vAlign w:val="center"/>
          </w:tcPr>
          <w:p w14:paraId="47ACEDAE" w14:textId="003BE220"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Note 1</w:t>
            </w:r>
            <w:r w:rsidR="00621DFA" w:rsidRPr="00B83FC9">
              <w:rPr>
                <w:rFonts w:cstheme="minorHAnsi"/>
                <w:color w:val="000000"/>
                <w:sz w:val="20"/>
                <w:szCs w:val="20"/>
              </w:rPr>
              <w:t>8</w:t>
            </w:r>
            <w:r w:rsidRPr="00B83FC9">
              <w:rPr>
                <w:rFonts w:cstheme="minorHAnsi"/>
                <w:color w:val="000000"/>
                <w:sz w:val="20"/>
                <w:szCs w:val="20"/>
              </w:rPr>
              <w:t xml:space="preserve"> </w:t>
            </w:r>
          </w:p>
        </w:tc>
        <w:tc>
          <w:tcPr>
            <w:tcW w:w="6271" w:type="dxa"/>
            <w:vAlign w:val="center"/>
          </w:tcPr>
          <w:p w14:paraId="502702AD" w14:textId="77777777"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Financial Instruments</w:t>
            </w:r>
          </w:p>
        </w:tc>
        <w:tc>
          <w:tcPr>
            <w:tcW w:w="880" w:type="dxa"/>
            <w:vAlign w:val="center"/>
          </w:tcPr>
          <w:p w14:paraId="039E9838" w14:textId="5FC9BB3B" w:rsidR="00337688" w:rsidRPr="00B83FC9" w:rsidRDefault="00B30EB9" w:rsidP="00323290">
            <w:pPr>
              <w:autoSpaceDE w:val="0"/>
              <w:autoSpaceDN w:val="0"/>
              <w:adjustRightInd w:val="0"/>
              <w:spacing w:before="80" w:after="80" w:line="181" w:lineRule="atLeast"/>
              <w:jc w:val="right"/>
              <w:rPr>
                <w:rFonts w:cstheme="minorHAnsi"/>
                <w:color w:val="000000"/>
                <w:sz w:val="20"/>
                <w:szCs w:val="20"/>
              </w:rPr>
            </w:pPr>
            <w:r w:rsidRPr="00B83FC9">
              <w:rPr>
                <w:rFonts w:cstheme="minorHAnsi"/>
                <w:color w:val="000000"/>
                <w:sz w:val="20"/>
                <w:szCs w:val="20"/>
              </w:rPr>
              <w:t>8</w:t>
            </w:r>
            <w:r w:rsidR="00882923" w:rsidRPr="00B83FC9">
              <w:rPr>
                <w:rFonts w:cstheme="minorHAnsi"/>
                <w:color w:val="000000"/>
                <w:sz w:val="20"/>
                <w:szCs w:val="20"/>
              </w:rPr>
              <w:t>4</w:t>
            </w:r>
          </w:p>
        </w:tc>
      </w:tr>
      <w:tr w:rsidR="00337688" w:rsidRPr="00B83FC9" w14:paraId="00EED276" w14:textId="77777777" w:rsidTr="00D14D64">
        <w:trPr>
          <w:trHeight w:val="220"/>
        </w:trPr>
        <w:tc>
          <w:tcPr>
            <w:tcW w:w="1951" w:type="dxa"/>
            <w:vAlign w:val="center"/>
          </w:tcPr>
          <w:p w14:paraId="67F768BA" w14:textId="09D9FD80"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Note 1</w:t>
            </w:r>
            <w:r w:rsidR="00621DFA" w:rsidRPr="00B83FC9">
              <w:rPr>
                <w:rFonts w:cstheme="minorHAnsi"/>
                <w:color w:val="000000"/>
                <w:sz w:val="20"/>
                <w:szCs w:val="20"/>
              </w:rPr>
              <w:t>9</w:t>
            </w:r>
            <w:r w:rsidRPr="00B83FC9">
              <w:rPr>
                <w:rFonts w:cstheme="minorHAnsi"/>
                <w:color w:val="000000"/>
                <w:sz w:val="20"/>
                <w:szCs w:val="20"/>
              </w:rPr>
              <w:t xml:space="preserve"> </w:t>
            </w:r>
          </w:p>
        </w:tc>
        <w:tc>
          <w:tcPr>
            <w:tcW w:w="6271" w:type="dxa"/>
            <w:vAlign w:val="center"/>
          </w:tcPr>
          <w:p w14:paraId="19799EC9" w14:textId="77777777"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Related Party Disclosures</w:t>
            </w:r>
          </w:p>
        </w:tc>
        <w:tc>
          <w:tcPr>
            <w:tcW w:w="880" w:type="dxa"/>
            <w:vAlign w:val="center"/>
          </w:tcPr>
          <w:p w14:paraId="69CD381E" w14:textId="2E16B09E" w:rsidR="00337688" w:rsidRPr="00B83FC9" w:rsidRDefault="00882923" w:rsidP="00323290">
            <w:pPr>
              <w:autoSpaceDE w:val="0"/>
              <w:autoSpaceDN w:val="0"/>
              <w:adjustRightInd w:val="0"/>
              <w:spacing w:before="80" w:after="80" w:line="181" w:lineRule="atLeast"/>
              <w:jc w:val="right"/>
              <w:rPr>
                <w:rFonts w:cstheme="minorHAnsi"/>
                <w:color w:val="000000"/>
                <w:sz w:val="20"/>
                <w:szCs w:val="20"/>
              </w:rPr>
            </w:pPr>
            <w:r w:rsidRPr="00B83FC9">
              <w:rPr>
                <w:rFonts w:cstheme="minorHAnsi"/>
                <w:color w:val="000000"/>
                <w:sz w:val="20"/>
                <w:szCs w:val="20"/>
              </w:rPr>
              <w:t>88</w:t>
            </w:r>
          </w:p>
        </w:tc>
      </w:tr>
      <w:tr w:rsidR="00337688" w:rsidRPr="00B83FC9" w14:paraId="42E10443" w14:textId="77777777" w:rsidTr="00D14D64">
        <w:trPr>
          <w:trHeight w:val="220"/>
        </w:trPr>
        <w:tc>
          <w:tcPr>
            <w:tcW w:w="1951" w:type="dxa"/>
            <w:vAlign w:val="center"/>
          </w:tcPr>
          <w:p w14:paraId="650C9A22" w14:textId="381F5BA0"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 xml:space="preserve">Note </w:t>
            </w:r>
            <w:r w:rsidR="00621DFA" w:rsidRPr="00B83FC9">
              <w:rPr>
                <w:rFonts w:cstheme="minorHAnsi"/>
                <w:color w:val="000000"/>
                <w:sz w:val="20"/>
                <w:szCs w:val="20"/>
              </w:rPr>
              <w:t>20</w:t>
            </w:r>
          </w:p>
        </w:tc>
        <w:tc>
          <w:tcPr>
            <w:tcW w:w="6271" w:type="dxa"/>
            <w:vAlign w:val="center"/>
          </w:tcPr>
          <w:p w14:paraId="2F81FD12" w14:textId="77777777"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Budgetary Reporting</w:t>
            </w:r>
          </w:p>
        </w:tc>
        <w:tc>
          <w:tcPr>
            <w:tcW w:w="880" w:type="dxa"/>
            <w:vAlign w:val="center"/>
          </w:tcPr>
          <w:p w14:paraId="28D65E01" w14:textId="23087221" w:rsidR="00337688" w:rsidRPr="00B83FC9" w:rsidRDefault="00717B84" w:rsidP="00323290">
            <w:pPr>
              <w:autoSpaceDE w:val="0"/>
              <w:autoSpaceDN w:val="0"/>
              <w:adjustRightInd w:val="0"/>
              <w:spacing w:before="80" w:after="80" w:line="181" w:lineRule="atLeast"/>
              <w:jc w:val="right"/>
              <w:rPr>
                <w:rFonts w:cstheme="minorHAnsi"/>
                <w:color w:val="000000"/>
                <w:sz w:val="20"/>
                <w:szCs w:val="20"/>
              </w:rPr>
            </w:pPr>
            <w:r w:rsidRPr="00B83FC9">
              <w:rPr>
                <w:rFonts w:cstheme="minorHAnsi"/>
                <w:color w:val="000000"/>
                <w:sz w:val="20"/>
                <w:szCs w:val="20"/>
              </w:rPr>
              <w:t>9</w:t>
            </w:r>
            <w:r w:rsidR="00882923" w:rsidRPr="00B83FC9">
              <w:rPr>
                <w:rFonts w:cstheme="minorHAnsi"/>
                <w:color w:val="000000"/>
                <w:sz w:val="20"/>
                <w:szCs w:val="20"/>
              </w:rPr>
              <w:t>0</w:t>
            </w:r>
          </w:p>
        </w:tc>
      </w:tr>
      <w:tr w:rsidR="00337688" w:rsidRPr="00B83FC9" w14:paraId="56665112" w14:textId="77777777" w:rsidTr="006963F6">
        <w:trPr>
          <w:trHeight w:val="220"/>
        </w:trPr>
        <w:tc>
          <w:tcPr>
            <w:tcW w:w="1951" w:type="dxa"/>
            <w:vAlign w:val="center"/>
          </w:tcPr>
          <w:p w14:paraId="4D6D4526" w14:textId="0C21DEDA"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 xml:space="preserve">Note </w:t>
            </w:r>
            <w:r w:rsidR="00C2072F" w:rsidRPr="00B83FC9">
              <w:rPr>
                <w:rFonts w:cstheme="minorHAnsi"/>
                <w:color w:val="000000"/>
                <w:sz w:val="20"/>
                <w:szCs w:val="20"/>
              </w:rPr>
              <w:t>2</w:t>
            </w:r>
            <w:r w:rsidR="00621DFA" w:rsidRPr="00B83FC9">
              <w:rPr>
                <w:rFonts w:cstheme="minorHAnsi"/>
                <w:color w:val="000000"/>
                <w:sz w:val="20"/>
                <w:szCs w:val="20"/>
              </w:rPr>
              <w:t>1</w:t>
            </w:r>
          </w:p>
        </w:tc>
        <w:tc>
          <w:tcPr>
            <w:tcW w:w="6271" w:type="dxa"/>
            <w:vAlign w:val="center"/>
          </w:tcPr>
          <w:p w14:paraId="74028F3B" w14:textId="77777777" w:rsidR="00337688" w:rsidRPr="00B83FC9" w:rsidRDefault="00337688"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 xml:space="preserve">Builders Warranty Insurance </w:t>
            </w:r>
          </w:p>
        </w:tc>
        <w:tc>
          <w:tcPr>
            <w:tcW w:w="880" w:type="dxa"/>
            <w:vAlign w:val="center"/>
          </w:tcPr>
          <w:p w14:paraId="213DAEC4" w14:textId="33E1C501" w:rsidR="00337688" w:rsidRPr="00B83FC9" w:rsidRDefault="0086226C" w:rsidP="00323290">
            <w:pPr>
              <w:autoSpaceDE w:val="0"/>
              <w:autoSpaceDN w:val="0"/>
              <w:adjustRightInd w:val="0"/>
              <w:spacing w:before="80" w:after="80" w:line="181" w:lineRule="atLeast"/>
              <w:jc w:val="right"/>
              <w:rPr>
                <w:rFonts w:cstheme="minorHAnsi"/>
                <w:color w:val="000000"/>
                <w:sz w:val="20"/>
                <w:szCs w:val="20"/>
              </w:rPr>
            </w:pPr>
            <w:r w:rsidRPr="00B83FC9">
              <w:rPr>
                <w:rFonts w:cstheme="minorHAnsi"/>
                <w:color w:val="000000"/>
                <w:sz w:val="20"/>
                <w:szCs w:val="20"/>
              </w:rPr>
              <w:t>9</w:t>
            </w:r>
            <w:r w:rsidR="00B83FC9" w:rsidRPr="00B83FC9">
              <w:rPr>
                <w:rFonts w:cstheme="minorHAnsi"/>
                <w:color w:val="000000"/>
                <w:sz w:val="20"/>
                <w:szCs w:val="20"/>
              </w:rPr>
              <w:t>2</w:t>
            </w:r>
          </w:p>
        </w:tc>
      </w:tr>
      <w:tr w:rsidR="00C2072F" w:rsidRPr="00FE4B54" w14:paraId="3C3E7720" w14:textId="77777777" w:rsidTr="00D14D64">
        <w:trPr>
          <w:trHeight w:val="220"/>
        </w:trPr>
        <w:tc>
          <w:tcPr>
            <w:tcW w:w="1951" w:type="dxa"/>
            <w:tcBorders>
              <w:bottom w:val="single" w:sz="12" w:space="0" w:color="492581" w:themeColor="text2"/>
            </w:tcBorders>
            <w:vAlign w:val="center"/>
          </w:tcPr>
          <w:p w14:paraId="6219F611" w14:textId="6171BC60" w:rsidR="00C2072F" w:rsidRPr="00B83FC9" w:rsidRDefault="00C2072F"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Note 2</w:t>
            </w:r>
            <w:r w:rsidR="00621DFA" w:rsidRPr="00B83FC9">
              <w:rPr>
                <w:rFonts w:cstheme="minorHAnsi"/>
                <w:color w:val="000000"/>
                <w:sz w:val="20"/>
                <w:szCs w:val="20"/>
              </w:rPr>
              <w:t>2</w:t>
            </w:r>
          </w:p>
        </w:tc>
        <w:tc>
          <w:tcPr>
            <w:tcW w:w="6271" w:type="dxa"/>
            <w:tcBorders>
              <w:bottom w:val="single" w:sz="12" w:space="0" w:color="492581" w:themeColor="text2"/>
            </w:tcBorders>
            <w:vAlign w:val="center"/>
          </w:tcPr>
          <w:p w14:paraId="1901C8BD" w14:textId="737C6F70" w:rsidR="00C2072F" w:rsidRPr="00B83FC9" w:rsidRDefault="00C2072F" w:rsidP="00323290">
            <w:pPr>
              <w:autoSpaceDE w:val="0"/>
              <w:autoSpaceDN w:val="0"/>
              <w:adjustRightInd w:val="0"/>
              <w:spacing w:before="40" w:after="40"/>
              <w:rPr>
                <w:rFonts w:cstheme="minorHAnsi"/>
                <w:color w:val="000000"/>
                <w:sz w:val="20"/>
                <w:szCs w:val="20"/>
              </w:rPr>
            </w:pPr>
            <w:r w:rsidRPr="00B83FC9">
              <w:rPr>
                <w:rFonts w:cstheme="minorHAnsi"/>
                <w:color w:val="000000"/>
                <w:sz w:val="20"/>
                <w:szCs w:val="20"/>
              </w:rPr>
              <w:t>Physical and Sexual Abuse Indemnity Scheme</w:t>
            </w:r>
          </w:p>
        </w:tc>
        <w:tc>
          <w:tcPr>
            <w:tcW w:w="880" w:type="dxa"/>
            <w:tcBorders>
              <w:bottom w:val="single" w:sz="12" w:space="0" w:color="492581" w:themeColor="text2"/>
            </w:tcBorders>
            <w:vAlign w:val="center"/>
          </w:tcPr>
          <w:p w14:paraId="747EB6F9" w14:textId="3E8017BB" w:rsidR="00C2072F" w:rsidRPr="00B83FC9" w:rsidRDefault="0086226C" w:rsidP="00323290">
            <w:pPr>
              <w:autoSpaceDE w:val="0"/>
              <w:autoSpaceDN w:val="0"/>
              <w:adjustRightInd w:val="0"/>
              <w:spacing w:before="80" w:after="80" w:line="181" w:lineRule="atLeast"/>
              <w:jc w:val="right"/>
              <w:rPr>
                <w:rFonts w:cstheme="minorHAnsi"/>
                <w:color w:val="000000"/>
                <w:sz w:val="20"/>
                <w:szCs w:val="20"/>
              </w:rPr>
            </w:pPr>
            <w:r w:rsidRPr="00B83FC9">
              <w:rPr>
                <w:rFonts w:cstheme="minorHAnsi"/>
                <w:color w:val="000000"/>
                <w:sz w:val="20"/>
                <w:szCs w:val="20"/>
              </w:rPr>
              <w:t>9</w:t>
            </w:r>
            <w:r w:rsidR="00B83FC9" w:rsidRPr="00B83FC9">
              <w:rPr>
                <w:rFonts w:cstheme="minorHAnsi"/>
                <w:color w:val="000000"/>
                <w:sz w:val="20"/>
                <w:szCs w:val="20"/>
              </w:rPr>
              <w:t>4</w:t>
            </w:r>
          </w:p>
        </w:tc>
      </w:tr>
    </w:tbl>
    <w:p w14:paraId="0E6C6740" w14:textId="77777777" w:rsidR="00337688" w:rsidRPr="00327205" w:rsidRDefault="00337688" w:rsidP="00337688">
      <w:pPr>
        <w:spacing w:after="0"/>
        <w:ind w:right="96"/>
        <w:rPr>
          <w:rFonts w:cs="Source Sans Pro Light"/>
          <w:color w:val="000000"/>
          <w:szCs w:val="22"/>
        </w:rPr>
      </w:pPr>
    </w:p>
    <w:p w14:paraId="6FC1ADB5" w14:textId="77777777" w:rsidR="00337688" w:rsidRPr="00327205" w:rsidRDefault="00337688" w:rsidP="00337688">
      <w:pPr>
        <w:spacing w:after="0"/>
        <w:ind w:right="96"/>
        <w:rPr>
          <w:rFonts w:cs="Source Sans Pro Light"/>
          <w:color w:val="000000"/>
          <w:szCs w:val="22"/>
        </w:rPr>
        <w:sectPr w:rsidR="00337688" w:rsidRPr="00327205" w:rsidSect="00323290">
          <w:headerReference w:type="default" r:id="rId54"/>
          <w:footerReference w:type="default" r:id="rId55"/>
          <w:pgSz w:w="11906" w:h="16838"/>
          <w:pgMar w:top="200" w:right="991" w:bottom="1560" w:left="1276" w:header="0" w:footer="295" w:gutter="0"/>
          <w:cols w:space="708"/>
          <w:docGrid w:linePitch="360"/>
        </w:sectPr>
      </w:pPr>
    </w:p>
    <w:tbl>
      <w:tblPr>
        <w:tblW w:w="9355" w:type="dxa"/>
        <w:tblBorders>
          <w:top w:val="nil"/>
          <w:left w:val="nil"/>
          <w:bottom w:val="nil"/>
          <w:right w:val="nil"/>
        </w:tblBorders>
        <w:tblLayout w:type="fixed"/>
        <w:tblLook w:val="0000" w:firstRow="0" w:lastRow="0" w:firstColumn="0" w:lastColumn="0" w:noHBand="0" w:noVBand="0"/>
      </w:tblPr>
      <w:tblGrid>
        <w:gridCol w:w="3402"/>
        <w:gridCol w:w="850"/>
        <w:gridCol w:w="1701"/>
        <w:gridCol w:w="1701"/>
        <w:gridCol w:w="1701"/>
      </w:tblGrid>
      <w:tr w:rsidR="001016EE" w:rsidRPr="001016EE" w14:paraId="67408FCA" w14:textId="77777777" w:rsidTr="006963F6">
        <w:trPr>
          <w:trHeight w:val="118"/>
        </w:trPr>
        <w:tc>
          <w:tcPr>
            <w:tcW w:w="3402" w:type="dxa"/>
            <w:tcBorders>
              <w:top w:val="single" w:sz="12" w:space="0" w:color="492581" w:themeColor="accent1"/>
              <w:bottom w:val="single" w:sz="12" w:space="0" w:color="492581" w:themeColor="accent1"/>
            </w:tcBorders>
          </w:tcPr>
          <w:p w14:paraId="771B33B2" w14:textId="77777777" w:rsidR="001016EE" w:rsidRPr="001016EE" w:rsidRDefault="001016EE" w:rsidP="001016EE">
            <w:pPr>
              <w:autoSpaceDE w:val="0"/>
              <w:autoSpaceDN w:val="0"/>
              <w:adjustRightInd w:val="0"/>
              <w:spacing w:after="0" w:line="240" w:lineRule="auto"/>
              <w:rPr>
                <w:rFonts w:ascii="Calibri" w:eastAsia="Calibri" w:hAnsi="Calibri" w:cs="Source Sans Pro Light"/>
                <w:color w:val="000000"/>
                <w:sz w:val="18"/>
                <w:szCs w:val="18"/>
              </w:rPr>
            </w:pPr>
          </w:p>
        </w:tc>
        <w:tc>
          <w:tcPr>
            <w:tcW w:w="850" w:type="dxa"/>
            <w:tcBorders>
              <w:top w:val="single" w:sz="12" w:space="0" w:color="492581" w:themeColor="accent1"/>
              <w:bottom w:val="single" w:sz="12" w:space="0" w:color="492581" w:themeColor="accent1"/>
            </w:tcBorders>
          </w:tcPr>
          <w:p w14:paraId="699B3630" w14:textId="77777777" w:rsidR="001016EE" w:rsidRPr="001016EE" w:rsidRDefault="001016EE" w:rsidP="001016EE">
            <w:pPr>
              <w:autoSpaceDE w:val="0"/>
              <w:autoSpaceDN w:val="0"/>
              <w:adjustRightInd w:val="0"/>
              <w:spacing w:after="0" w:line="240" w:lineRule="auto"/>
              <w:jc w:val="center"/>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br/>
              <w:t>Note</w:t>
            </w:r>
            <w:r w:rsidRPr="001016EE">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027AB977" w14:textId="021858C7"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br/>
              <w:t>Actual</w:t>
            </w:r>
            <w:r w:rsidRPr="001016EE">
              <w:rPr>
                <w:rFonts w:ascii="Calibri" w:eastAsia="Calibri" w:hAnsi="Calibri" w:cs="Source Sans Pro SemiBold"/>
                <w:b/>
                <w:bCs/>
                <w:color w:val="000000"/>
                <w:sz w:val="18"/>
                <w:szCs w:val="18"/>
              </w:rPr>
              <w:br/>
              <w:t>202</w:t>
            </w:r>
            <w:r w:rsidR="00622385">
              <w:rPr>
                <w:rFonts w:ascii="Calibri" w:eastAsia="Calibri" w:hAnsi="Calibri" w:cs="Source Sans Pro SemiBold"/>
                <w:b/>
                <w:bCs/>
                <w:color w:val="000000"/>
                <w:sz w:val="18"/>
                <w:szCs w:val="18"/>
              </w:rPr>
              <w:t>4</w:t>
            </w:r>
          </w:p>
          <w:p w14:paraId="3929BE88"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SemiBold"/>
                <w:color w:val="000000"/>
                <w:sz w:val="18"/>
                <w:szCs w:val="18"/>
              </w:rPr>
            </w:pPr>
            <w:r w:rsidRPr="001016EE">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117F3902" w14:textId="112D4C33"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t>Original</w:t>
            </w:r>
            <w:r w:rsidRPr="001016EE">
              <w:rPr>
                <w:rFonts w:ascii="Calibri" w:eastAsia="Calibri" w:hAnsi="Calibri" w:cs="Source Sans Pro SemiBold"/>
                <w:b/>
                <w:bCs/>
                <w:color w:val="000000"/>
                <w:sz w:val="18"/>
                <w:szCs w:val="18"/>
              </w:rPr>
              <w:br/>
              <w:t>Budget</w:t>
            </w:r>
            <w:r w:rsidRPr="001016EE">
              <w:rPr>
                <w:rFonts w:ascii="Calibri" w:eastAsia="Calibri" w:hAnsi="Calibri" w:cs="Source Sans Pro SemiBold"/>
                <w:b/>
                <w:bCs/>
                <w:color w:val="000000"/>
                <w:sz w:val="18"/>
                <w:szCs w:val="18"/>
              </w:rPr>
              <w:br/>
              <w:t>202</w:t>
            </w:r>
            <w:r w:rsidR="00622385">
              <w:rPr>
                <w:rFonts w:ascii="Calibri" w:eastAsia="Calibri" w:hAnsi="Calibri" w:cs="Source Sans Pro SemiBold"/>
                <w:b/>
                <w:bCs/>
                <w:color w:val="000000"/>
                <w:sz w:val="18"/>
                <w:szCs w:val="18"/>
              </w:rPr>
              <w:t>4</w:t>
            </w:r>
          </w:p>
          <w:p w14:paraId="58BAC4C9"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101C42AA" w14:textId="17D1A02D" w:rsidR="001016EE" w:rsidRPr="001016EE" w:rsidRDefault="001016EE" w:rsidP="001016EE">
            <w:pPr>
              <w:autoSpaceDE w:val="0"/>
              <w:autoSpaceDN w:val="0"/>
              <w:adjustRightInd w:val="0"/>
              <w:spacing w:after="0" w:line="240" w:lineRule="auto"/>
              <w:jc w:val="right"/>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br/>
              <w:t>Actual</w:t>
            </w:r>
            <w:r w:rsidRPr="001016EE">
              <w:rPr>
                <w:rFonts w:ascii="Calibri" w:eastAsia="Calibri" w:hAnsi="Calibri" w:cs="Source Sans Pro SemiBold"/>
                <w:b/>
                <w:bCs/>
                <w:color w:val="000000"/>
                <w:sz w:val="18"/>
                <w:szCs w:val="18"/>
              </w:rPr>
              <w:br/>
              <w:t>202</w:t>
            </w:r>
            <w:r w:rsidR="00622385">
              <w:rPr>
                <w:rFonts w:ascii="Calibri" w:eastAsia="Calibri" w:hAnsi="Calibri" w:cs="Source Sans Pro SemiBold"/>
                <w:b/>
                <w:bCs/>
                <w:color w:val="000000"/>
                <w:sz w:val="18"/>
                <w:szCs w:val="18"/>
              </w:rPr>
              <w:t>3</w:t>
            </w:r>
            <w:r w:rsidRPr="001016EE">
              <w:rPr>
                <w:rFonts w:ascii="Calibri" w:eastAsia="Calibri" w:hAnsi="Calibri" w:cs="Source Sans Pro SemiBold"/>
                <w:b/>
                <w:bCs/>
                <w:color w:val="000000"/>
                <w:sz w:val="18"/>
                <w:szCs w:val="18"/>
              </w:rPr>
              <w:t xml:space="preserve"> </w:t>
            </w:r>
          </w:p>
          <w:p w14:paraId="27363FF6" w14:textId="77777777" w:rsidR="001016EE" w:rsidRPr="001016EE" w:rsidRDefault="001016EE" w:rsidP="001016EE">
            <w:pPr>
              <w:autoSpaceDE w:val="0"/>
              <w:autoSpaceDN w:val="0"/>
              <w:adjustRightInd w:val="0"/>
              <w:spacing w:after="0" w:line="240" w:lineRule="auto"/>
              <w:jc w:val="right"/>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$’000</w:t>
            </w:r>
          </w:p>
        </w:tc>
      </w:tr>
      <w:tr w:rsidR="001016EE" w:rsidRPr="001016EE" w14:paraId="4FB642AF" w14:textId="77777777" w:rsidTr="006963F6">
        <w:trPr>
          <w:trHeight w:val="283"/>
        </w:trPr>
        <w:tc>
          <w:tcPr>
            <w:tcW w:w="9355" w:type="dxa"/>
            <w:gridSpan w:val="5"/>
            <w:tcBorders>
              <w:top w:val="single" w:sz="12" w:space="0" w:color="492581" w:themeColor="accent1"/>
            </w:tcBorders>
          </w:tcPr>
          <w:p w14:paraId="32D926E7"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p>
        </w:tc>
      </w:tr>
      <w:tr w:rsidR="001016EE" w:rsidRPr="001016EE" w14:paraId="29E896AE" w14:textId="77777777" w:rsidTr="00F047DE">
        <w:trPr>
          <w:trHeight w:val="283"/>
        </w:trPr>
        <w:tc>
          <w:tcPr>
            <w:tcW w:w="9355" w:type="dxa"/>
            <w:gridSpan w:val="5"/>
          </w:tcPr>
          <w:p w14:paraId="1E291A7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Underwriting activities</w:t>
            </w:r>
          </w:p>
        </w:tc>
      </w:tr>
      <w:tr w:rsidR="001016EE" w:rsidRPr="001016EE" w14:paraId="321985B9" w14:textId="77777777" w:rsidTr="00B95D0C">
        <w:trPr>
          <w:trHeight w:val="283"/>
        </w:trPr>
        <w:tc>
          <w:tcPr>
            <w:tcW w:w="3402" w:type="dxa"/>
          </w:tcPr>
          <w:p w14:paraId="5AE95013"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Gross Earned Insurance Premiums </w:t>
            </w:r>
          </w:p>
        </w:tc>
        <w:tc>
          <w:tcPr>
            <w:tcW w:w="850" w:type="dxa"/>
          </w:tcPr>
          <w:p w14:paraId="43B1D1F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17D04A72" w14:textId="421D248E" w:rsidR="001016EE" w:rsidRPr="00AE7021" w:rsidRDefault="00D26112"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85,225</w:t>
            </w:r>
          </w:p>
        </w:tc>
        <w:tc>
          <w:tcPr>
            <w:tcW w:w="1701" w:type="dxa"/>
          </w:tcPr>
          <w:p w14:paraId="2CC4B1DC" w14:textId="1BCE4A9D" w:rsidR="001016EE" w:rsidRPr="00AE7021" w:rsidRDefault="00CF4B98" w:rsidP="001016EE">
            <w:pPr>
              <w:autoSpaceDE w:val="0"/>
              <w:autoSpaceDN w:val="0"/>
              <w:adjustRightInd w:val="0"/>
              <w:spacing w:before="40" w:after="40" w:line="240" w:lineRule="auto"/>
              <w:jc w:val="right"/>
              <w:rPr>
                <w:rFonts w:ascii="Calibri" w:eastAsia="Calibri" w:hAnsi="Calibri" w:cs="Source Sans Pro Light"/>
                <w:sz w:val="18"/>
                <w:szCs w:val="18"/>
              </w:rPr>
            </w:pPr>
            <w:r w:rsidRPr="00AE7021">
              <w:rPr>
                <w:rFonts w:ascii="Calibri" w:eastAsia="Calibri" w:hAnsi="Calibri" w:cs="Source Sans Pro Light"/>
                <w:sz w:val="18"/>
                <w:szCs w:val="18"/>
              </w:rPr>
              <w:t>84,383</w:t>
            </w:r>
            <w:r w:rsidR="001016EE" w:rsidRPr="00AE7021">
              <w:rPr>
                <w:rFonts w:ascii="Calibri" w:eastAsia="Calibri" w:hAnsi="Calibri" w:cs="Source Sans Pro Light"/>
                <w:sz w:val="18"/>
                <w:szCs w:val="18"/>
              </w:rPr>
              <w:t xml:space="preserve"> </w:t>
            </w:r>
          </w:p>
        </w:tc>
        <w:tc>
          <w:tcPr>
            <w:tcW w:w="1701" w:type="dxa"/>
          </w:tcPr>
          <w:p w14:paraId="10E8127A" w14:textId="54D0479C" w:rsidR="001016EE" w:rsidRPr="00AE7021" w:rsidRDefault="00CF4B98"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68</w:t>
            </w:r>
            <w:r w:rsidR="00AE7021" w:rsidRPr="00AE7021">
              <w:rPr>
                <w:rFonts w:ascii="Calibri" w:eastAsia="Calibri" w:hAnsi="Calibri" w:cs="Source Sans Pro SemiBold"/>
                <w:bCs/>
                <w:sz w:val="18"/>
                <w:szCs w:val="18"/>
              </w:rPr>
              <w:t>,443</w:t>
            </w:r>
          </w:p>
        </w:tc>
      </w:tr>
      <w:tr w:rsidR="001016EE" w:rsidRPr="001016EE" w14:paraId="64EE1903" w14:textId="77777777" w:rsidTr="00B95D0C">
        <w:trPr>
          <w:trHeight w:val="283"/>
        </w:trPr>
        <w:tc>
          <w:tcPr>
            <w:tcW w:w="3402" w:type="dxa"/>
          </w:tcPr>
          <w:p w14:paraId="182BD4E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Reinsurance Premiums (Expense) </w:t>
            </w:r>
          </w:p>
        </w:tc>
        <w:tc>
          <w:tcPr>
            <w:tcW w:w="850" w:type="dxa"/>
          </w:tcPr>
          <w:p w14:paraId="6493CC27"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150BE862" w14:textId="7ABBBC4F" w:rsidR="001016EE" w:rsidRPr="00AE7021"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w:t>
            </w:r>
            <w:r w:rsidR="00D26112" w:rsidRPr="00AE7021">
              <w:rPr>
                <w:rFonts w:ascii="Calibri" w:eastAsia="Calibri" w:hAnsi="Calibri" w:cs="Source Sans Pro SemiBold"/>
                <w:bCs/>
                <w:sz w:val="18"/>
                <w:szCs w:val="18"/>
              </w:rPr>
              <w:t>16,374</w:t>
            </w:r>
            <w:r w:rsidRPr="00AE7021">
              <w:rPr>
                <w:rFonts w:ascii="Calibri" w:eastAsia="Calibri" w:hAnsi="Calibri" w:cs="Source Sans Pro SemiBold"/>
                <w:bCs/>
                <w:sz w:val="18"/>
                <w:szCs w:val="18"/>
              </w:rPr>
              <w:t>)</w:t>
            </w:r>
          </w:p>
        </w:tc>
        <w:tc>
          <w:tcPr>
            <w:tcW w:w="1701" w:type="dxa"/>
            <w:tcBorders>
              <w:bottom w:val="single" w:sz="4" w:space="0" w:color="auto"/>
            </w:tcBorders>
          </w:tcPr>
          <w:p w14:paraId="04DEC6E1" w14:textId="50F893AA" w:rsidR="001016EE" w:rsidRPr="00AE7021"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AE7021">
              <w:rPr>
                <w:rFonts w:ascii="Calibri" w:eastAsia="Calibri" w:hAnsi="Calibri" w:cs="Source Sans Pro Light"/>
                <w:sz w:val="18"/>
                <w:szCs w:val="18"/>
              </w:rPr>
              <w:t>(</w:t>
            </w:r>
            <w:r w:rsidR="00CF4B98" w:rsidRPr="00AE7021">
              <w:rPr>
                <w:rFonts w:ascii="Calibri" w:eastAsia="Calibri" w:hAnsi="Calibri" w:cs="Source Sans Pro Light"/>
                <w:sz w:val="18"/>
                <w:szCs w:val="18"/>
              </w:rPr>
              <w:t>18,868</w:t>
            </w:r>
            <w:r w:rsidRPr="00AE7021">
              <w:rPr>
                <w:rFonts w:ascii="Calibri" w:eastAsia="Calibri" w:hAnsi="Calibri" w:cs="Source Sans Pro Light"/>
                <w:sz w:val="18"/>
                <w:szCs w:val="18"/>
              </w:rPr>
              <w:t>)</w:t>
            </w:r>
          </w:p>
        </w:tc>
        <w:tc>
          <w:tcPr>
            <w:tcW w:w="1701" w:type="dxa"/>
            <w:tcBorders>
              <w:bottom w:val="single" w:sz="4" w:space="0" w:color="auto"/>
            </w:tcBorders>
          </w:tcPr>
          <w:p w14:paraId="71805FF4" w14:textId="685B7F74" w:rsidR="001016EE" w:rsidRPr="00AE7021"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w:t>
            </w:r>
            <w:r w:rsidR="00AE7021" w:rsidRPr="00AE7021">
              <w:rPr>
                <w:rFonts w:ascii="Calibri" w:eastAsia="Calibri" w:hAnsi="Calibri" w:cs="Source Sans Pro SemiBold"/>
                <w:bCs/>
                <w:sz w:val="18"/>
                <w:szCs w:val="18"/>
              </w:rPr>
              <w:t>14,481</w:t>
            </w:r>
            <w:r w:rsidRPr="00AE7021">
              <w:rPr>
                <w:rFonts w:ascii="Calibri" w:eastAsia="Calibri" w:hAnsi="Calibri" w:cs="Source Sans Pro SemiBold"/>
                <w:bCs/>
                <w:sz w:val="18"/>
                <w:szCs w:val="18"/>
              </w:rPr>
              <w:t>)</w:t>
            </w:r>
          </w:p>
        </w:tc>
      </w:tr>
      <w:tr w:rsidR="001016EE" w:rsidRPr="001016EE" w14:paraId="13024300" w14:textId="77777777" w:rsidTr="00B95D0C">
        <w:trPr>
          <w:trHeight w:val="283"/>
        </w:trPr>
        <w:tc>
          <w:tcPr>
            <w:tcW w:w="3402" w:type="dxa"/>
          </w:tcPr>
          <w:p w14:paraId="1D426E3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Earned Premiums </w:t>
            </w:r>
          </w:p>
        </w:tc>
        <w:tc>
          <w:tcPr>
            <w:tcW w:w="850" w:type="dxa"/>
          </w:tcPr>
          <w:p w14:paraId="188B23E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 </w:t>
            </w:r>
          </w:p>
        </w:tc>
        <w:tc>
          <w:tcPr>
            <w:tcW w:w="1701" w:type="dxa"/>
            <w:tcBorders>
              <w:top w:val="single" w:sz="4" w:space="0" w:color="auto"/>
              <w:bottom w:val="single" w:sz="4" w:space="0" w:color="auto"/>
            </w:tcBorders>
          </w:tcPr>
          <w:p w14:paraId="2CEDFCD0" w14:textId="64BDD4A6" w:rsidR="001016EE" w:rsidRPr="00AE7021" w:rsidRDefault="00D26112"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68,851</w:t>
            </w:r>
          </w:p>
        </w:tc>
        <w:tc>
          <w:tcPr>
            <w:tcW w:w="1701" w:type="dxa"/>
            <w:tcBorders>
              <w:top w:val="single" w:sz="4" w:space="0" w:color="auto"/>
              <w:bottom w:val="single" w:sz="4" w:space="0" w:color="auto"/>
            </w:tcBorders>
          </w:tcPr>
          <w:p w14:paraId="41087681" w14:textId="7DB3830F" w:rsidR="001016EE" w:rsidRPr="00AE7021" w:rsidRDefault="00CF4B98" w:rsidP="001016EE">
            <w:pPr>
              <w:autoSpaceDE w:val="0"/>
              <w:autoSpaceDN w:val="0"/>
              <w:adjustRightInd w:val="0"/>
              <w:spacing w:before="40" w:after="40" w:line="240" w:lineRule="auto"/>
              <w:jc w:val="right"/>
              <w:rPr>
                <w:rFonts w:ascii="Calibri" w:eastAsia="Calibri" w:hAnsi="Calibri" w:cs="Source Sans Pro Light"/>
                <w:bCs/>
                <w:sz w:val="18"/>
                <w:szCs w:val="18"/>
              </w:rPr>
            </w:pPr>
            <w:r w:rsidRPr="00AE7021">
              <w:rPr>
                <w:rFonts w:ascii="Calibri" w:eastAsia="Calibri" w:hAnsi="Calibri" w:cs="Source Sans Pro Light"/>
                <w:bCs/>
                <w:sz w:val="18"/>
                <w:szCs w:val="18"/>
              </w:rPr>
              <w:t>65,515</w:t>
            </w:r>
            <w:r w:rsidR="001016EE" w:rsidRPr="00AE7021">
              <w:rPr>
                <w:rFonts w:ascii="Calibri" w:eastAsia="Calibri" w:hAnsi="Calibri" w:cs="Source Sans Pro Light"/>
                <w:bCs/>
                <w:sz w:val="18"/>
                <w:szCs w:val="18"/>
              </w:rPr>
              <w:t xml:space="preserve"> </w:t>
            </w:r>
          </w:p>
        </w:tc>
        <w:tc>
          <w:tcPr>
            <w:tcW w:w="1701" w:type="dxa"/>
            <w:tcBorders>
              <w:top w:val="single" w:sz="4" w:space="0" w:color="auto"/>
              <w:bottom w:val="single" w:sz="4" w:space="0" w:color="auto"/>
            </w:tcBorders>
          </w:tcPr>
          <w:p w14:paraId="7CB6FC84" w14:textId="050109D4" w:rsidR="001016EE" w:rsidRPr="00AE7021" w:rsidRDefault="00AE7021"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AE7021">
              <w:rPr>
                <w:rFonts w:ascii="Calibri" w:eastAsia="Calibri" w:hAnsi="Calibri" w:cs="Source Sans Pro SemiBold"/>
                <w:bCs/>
                <w:sz w:val="18"/>
                <w:szCs w:val="18"/>
              </w:rPr>
              <w:t>53,962</w:t>
            </w:r>
          </w:p>
        </w:tc>
      </w:tr>
      <w:tr w:rsidR="001016EE" w:rsidRPr="001016EE" w14:paraId="7B726297" w14:textId="77777777" w:rsidTr="00B95D0C">
        <w:trPr>
          <w:trHeight w:val="283"/>
        </w:trPr>
        <w:tc>
          <w:tcPr>
            <w:tcW w:w="3402" w:type="dxa"/>
          </w:tcPr>
          <w:p w14:paraId="58D111F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67AB2F0F"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2D3935BB"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tcBorders>
          </w:tcPr>
          <w:p w14:paraId="06CF1443"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tcBorders>
          </w:tcPr>
          <w:p w14:paraId="51491333"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1016EE" w:rsidRPr="001016EE" w14:paraId="7E1EB047" w14:textId="77777777" w:rsidTr="00B95D0C">
        <w:trPr>
          <w:trHeight w:val="283"/>
        </w:trPr>
        <w:tc>
          <w:tcPr>
            <w:tcW w:w="3402" w:type="dxa"/>
          </w:tcPr>
          <w:p w14:paraId="6E3D3D9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(Expense)</w:t>
            </w:r>
          </w:p>
        </w:tc>
        <w:tc>
          <w:tcPr>
            <w:tcW w:w="850" w:type="dxa"/>
          </w:tcPr>
          <w:p w14:paraId="3E713BC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190FEEE2" w14:textId="386175EE"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w:t>
            </w:r>
            <w:r w:rsidR="00A07AE6" w:rsidRPr="004043FE">
              <w:rPr>
                <w:rFonts w:ascii="Calibri" w:eastAsia="Calibri" w:hAnsi="Calibri" w:cs="Source Sans Pro SemiBold"/>
                <w:bCs/>
                <w:sz w:val="18"/>
                <w:szCs w:val="18"/>
              </w:rPr>
              <w:t>98,110</w:t>
            </w:r>
            <w:r w:rsidRPr="004043FE">
              <w:rPr>
                <w:rFonts w:ascii="Calibri" w:eastAsia="Calibri" w:hAnsi="Calibri" w:cs="Source Sans Pro SemiBold"/>
                <w:bCs/>
                <w:sz w:val="18"/>
                <w:szCs w:val="18"/>
              </w:rPr>
              <w:t>)</w:t>
            </w:r>
          </w:p>
        </w:tc>
        <w:tc>
          <w:tcPr>
            <w:tcW w:w="1701" w:type="dxa"/>
          </w:tcPr>
          <w:p w14:paraId="134C0B8D" w14:textId="62857E65" w:rsidR="001016EE" w:rsidRPr="004043F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4043FE">
              <w:rPr>
                <w:rFonts w:ascii="Calibri" w:eastAsia="Calibri" w:hAnsi="Calibri" w:cs="Source Sans Pro Light"/>
                <w:sz w:val="18"/>
                <w:szCs w:val="18"/>
              </w:rPr>
              <w:t>(</w:t>
            </w:r>
            <w:r w:rsidR="00FB5126" w:rsidRPr="004043FE">
              <w:rPr>
                <w:rFonts w:ascii="Calibri" w:eastAsia="Calibri" w:hAnsi="Calibri" w:cs="Source Sans Pro Light"/>
                <w:sz w:val="18"/>
                <w:szCs w:val="18"/>
              </w:rPr>
              <w:t>76,480</w:t>
            </w:r>
            <w:r w:rsidRPr="004043FE">
              <w:rPr>
                <w:rFonts w:ascii="Calibri" w:eastAsia="Calibri" w:hAnsi="Calibri" w:cs="Source Sans Pro Light"/>
                <w:sz w:val="18"/>
                <w:szCs w:val="18"/>
              </w:rPr>
              <w:t xml:space="preserve">) </w:t>
            </w:r>
          </w:p>
        </w:tc>
        <w:tc>
          <w:tcPr>
            <w:tcW w:w="1701" w:type="dxa"/>
          </w:tcPr>
          <w:p w14:paraId="6763E395" w14:textId="46338085"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w:t>
            </w:r>
            <w:r w:rsidR="00FB5126" w:rsidRPr="004043FE">
              <w:rPr>
                <w:rFonts w:ascii="Calibri" w:eastAsia="Calibri" w:hAnsi="Calibri" w:cs="Source Sans Pro SemiBold"/>
                <w:bCs/>
                <w:sz w:val="18"/>
                <w:szCs w:val="18"/>
              </w:rPr>
              <w:t>138,162</w:t>
            </w:r>
            <w:r w:rsidRPr="004043FE">
              <w:rPr>
                <w:rFonts w:ascii="Calibri" w:eastAsia="Calibri" w:hAnsi="Calibri" w:cs="Source Sans Pro SemiBold"/>
                <w:bCs/>
                <w:sz w:val="18"/>
                <w:szCs w:val="18"/>
              </w:rPr>
              <w:t>)</w:t>
            </w:r>
          </w:p>
        </w:tc>
      </w:tr>
      <w:tr w:rsidR="001016EE" w:rsidRPr="001016EE" w14:paraId="49238D40" w14:textId="77777777" w:rsidTr="00B95D0C">
        <w:trPr>
          <w:trHeight w:val="283"/>
        </w:trPr>
        <w:tc>
          <w:tcPr>
            <w:tcW w:w="3402" w:type="dxa"/>
          </w:tcPr>
          <w:p w14:paraId="7A5D9C3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Related Recoveries</w:t>
            </w:r>
          </w:p>
        </w:tc>
        <w:tc>
          <w:tcPr>
            <w:tcW w:w="850" w:type="dxa"/>
          </w:tcPr>
          <w:p w14:paraId="743FA128"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48166302" w14:textId="135A845D" w:rsidR="001016EE" w:rsidRPr="004043FE" w:rsidRDefault="00A07AE6"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19,742</w:t>
            </w:r>
          </w:p>
        </w:tc>
        <w:tc>
          <w:tcPr>
            <w:tcW w:w="1701" w:type="dxa"/>
            <w:tcBorders>
              <w:bottom w:val="single" w:sz="4" w:space="0" w:color="auto"/>
            </w:tcBorders>
          </w:tcPr>
          <w:p w14:paraId="1DE117B9" w14:textId="77777777" w:rsidR="001016EE" w:rsidRPr="004043F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4043FE">
              <w:rPr>
                <w:rFonts w:ascii="Calibri" w:eastAsia="Calibri" w:hAnsi="Calibri" w:cs="Source Sans Pro Light"/>
                <w:sz w:val="18"/>
                <w:szCs w:val="18"/>
              </w:rPr>
              <w:t xml:space="preserve">- </w:t>
            </w:r>
          </w:p>
        </w:tc>
        <w:tc>
          <w:tcPr>
            <w:tcW w:w="1701" w:type="dxa"/>
            <w:tcBorders>
              <w:bottom w:val="single" w:sz="4" w:space="0" w:color="auto"/>
            </w:tcBorders>
          </w:tcPr>
          <w:p w14:paraId="5F57DF6F" w14:textId="1EC26F29" w:rsidR="001016EE" w:rsidRPr="004043FE" w:rsidRDefault="00490AA9"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20,030</w:t>
            </w:r>
          </w:p>
        </w:tc>
      </w:tr>
      <w:tr w:rsidR="001016EE" w:rsidRPr="001016EE" w14:paraId="16F80097" w14:textId="77777777" w:rsidTr="00B95D0C">
        <w:trPr>
          <w:trHeight w:val="283"/>
        </w:trPr>
        <w:tc>
          <w:tcPr>
            <w:tcW w:w="3402" w:type="dxa"/>
          </w:tcPr>
          <w:p w14:paraId="73EEA79D"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Incurred Claims </w:t>
            </w:r>
          </w:p>
        </w:tc>
        <w:tc>
          <w:tcPr>
            <w:tcW w:w="850" w:type="dxa"/>
          </w:tcPr>
          <w:p w14:paraId="25A12A4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6</w:t>
            </w:r>
          </w:p>
        </w:tc>
        <w:tc>
          <w:tcPr>
            <w:tcW w:w="1701" w:type="dxa"/>
            <w:tcBorders>
              <w:top w:val="single" w:sz="4" w:space="0" w:color="auto"/>
              <w:bottom w:val="single" w:sz="4" w:space="0" w:color="auto"/>
            </w:tcBorders>
          </w:tcPr>
          <w:p w14:paraId="32E06D9E" w14:textId="703AAC56"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w:t>
            </w:r>
            <w:r w:rsidR="00A07AE6" w:rsidRPr="004043FE">
              <w:rPr>
                <w:rFonts w:ascii="Calibri" w:eastAsia="Calibri" w:hAnsi="Calibri" w:cs="Source Sans Pro SemiBold"/>
                <w:bCs/>
                <w:sz w:val="18"/>
                <w:szCs w:val="18"/>
              </w:rPr>
              <w:t>78,369</w:t>
            </w:r>
            <w:r w:rsidRPr="004043FE">
              <w:rPr>
                <w:rFonts w:ascii="Calibri" w:eastAsia="Calibri" w:hAnsi="Calibri" w:cs="Source Sans Pro SemiBold"/>
                <w:bCs/>
                <w:sz w:val="18"/>
                <w:szCs w:val="18"/>
              </w:rPr>
              <w:t>)</w:t>
            </w:r>
          </w:p>
        </w:tc>
        <w:tc>
          <w:tcPr>
            <w:tcW w:w="1701" w:type="dxa"/>
            <w:tcBorders>
              <w:top w:val="single" w:sz="4" w:space="0" w:color="auto"/>
              <w:bottom w:val="single" w:sz="4" w:space="0" w:color="auto"/>
            </w:tcBorders>
          </w:tcPr>
          <w:p w14:paraId="66DA0F3A" w14:textId="2EB7A17A" w:rsidR="001016EE" w:rsidRPr="004043FE" w:rsidRDefault="001016EE" w:rsidP="001016EE">
            <w:pPr>
              <w:autoSpaceDE w:val="0"/>
              <w:autoSpaceDN w:val="0"/>
              <w:adjustRightInd w:val="0"/>
              <w:spacing w:before="40" w:after="40" w:line="240" w:lineRule="auto"/>
              <w:jc w:val="right"/>
              <w:rPr>
                <w:rFonts w:ascii="Calibri" w:eastAsia="Calibri" w:hAnsi="Calibri" w:cs="Source Sans Pro Light"/>
                <w:bCs/>
                <w:sz w:val="18"/>
                <w:szCs w:val="18"/>
              </w:rPr>
            </w:pPr>
            <w:r w:rsidRPr="004043FE">
              <w:rPr>
                <w:rFonts w:ascii="Calibri" w:eastAsia="Calibri" w:hAnsi="Calibri" w:cs="Source Sans Pro Light"/>
                <w:bCs/>
                <w:sz w:val="18"/>
                <w:szCs w:val="18"/>
              </w:rPr>
              <w:t>(</w:t>
            </w:r>
            <w:r w:rsidR="00FB5126" w:rsidRPr="004043FE">
              <w:rPr>
                <w:rFonts w:ascii="Calibri" w:eastAsia="Calibri" w:hAnsi="Calibri" w:cs="Source Sans Pro Light"/>
                <w:bCs/>
                <w:sz w:val="18"/>
                <w:szCs w:val="18"/>
              </w:rPr>
              <w:t>76,480</w:t>
            </w:r>
            <w:r w:rsidRPr="004043FE">
              <w:rPr>
                <w:rFonts w:ascii="Calibri" w:eastAsia="Calibri" w:hAnsi="Calibri" w:cs="Source Sans Pro Light"/>
                <w:bCs/>
                <w:sz w:val="18"/>
                <w:szCs w:val="18"/>
              </w:rPr>
              <w:t xml:space="preserve">) </w:t>
            </w:r>
          </w:p>
        </w:tc>
        <w:tc>
          <w:tcPr>
            <w:tcW w:w="1701" w:type="dxa"/>
            <w:tcBorders>
              <w:top w:val="single" w:sz="4" w:space="0" w:color="auto"/>
              <w:bottom w:val="single" w:sz="4" w:space="0" w:color="auto"/>
            </w:tcBorders>
          </w:tcPr>
          <w:p w14:paraId="56871330" w14:textId="63BDD2DD"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043FE">
              <w:rPr>
                <w:rFonts w:ascii="Calibri" w:eastAsia="Calibri" w:hAnsi="Calibri" w:cs="Source Sans Pro SemiBold"/>
                <w:bCs/>
                <w:sz w:val="18"/>
                <w:szCs w:val="18"/>
              </w:rPr>
              <w:t>(</w:t>
            </w:r>
            <w:r w:rsidR="001E41F7" w:rsidRPr="004043FE">
              <w:rPr>
                <w:rFonts w:ascii="Calibri" w:eastAsia="Calibri" w:hAnsi="Calibri" w:cs="Source Sans Pro SemiBold"/>
                <w:bCs/>
                <w:sz w:val="18"/>
                <w:szCs w:val="18"/>
              </w:rPr>
              <w:t>118,132</w:t>
            </w:r>
            <w:r w:rsidRPr="004043FE">
              <w:rPr>
                <w:rFonts w:ascii="Calibri" w:eastAsia="Calibri" w:hAnsi="Calibri" w:cs="Source Sans Pro SemiBold"/>
                <w:bCs/>
                <w:sz w:val="18"/>
                <w:szCs w:val="18"/>
              </w:rPr>
              <w:t>)</w:t>
            </w:r>
          </w:p>
        </w:tc>
      </w:tr>
      <w:tr w:rsidR="001016EE" w:rsidRPr="001016EE" w14:paraId="26477E6C" w14:textId="77777777" w:rsidTr="00B95D0C">
        <w:trPr>
          <w:trHeight w:val="283"/>
        </w:trPr>
        <w:tc>
          <w:tcPr>
            <w:tcW w:w="3402" w:type="dxa"/>
          </w:tcPr>
          <w:p w14:paraId="433B66C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58E232B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8C145B6" w14:textId="77777777"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bottom w:val="single" w:sz="4" w:space="0" w:color="auto"/>
            </w:tcBorders>
          </w:tcPr>
          <w:p w14:paraId="299C5B24" w14:textId="77777777" w:rsidR="001016EE" w:rsidRPr="004043FE"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p>
        </w:tc>
        <w:tc>
          <w:tcPr>
            <w:tcW w:w="1701" w:type="dxa"/>
            <w:tcBorders>
              <w:top w:val="single" w:sz="4" w:space="0" w:color="auto"/>
              <w:bottom w:val="single" w:sz="4" w:space="0" w:color="auto"/>
            </w:tcBorders>
          </w:tcPr>
          <w:p w14:paraId="6E615003" w14:textId="77777777"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p>
        </w:tc>
      </w:tr>
      <w:tr w:rsidR="001016EE" w:rsidRPr="001016EE" w14:paraId="4DFA8658" w14:textId="77777777" w:rsidTr="00B95D0C">
        <w:trPr>
          <w:trHeight w:val="283"/>
        </w:trPr>
        <w:tc>
          <w:tcPr>
            <w:tcW w:w="3402" w:type="dxa"/>
          </w:tcPr>
          <w:p w14:paraId="1FC9CE7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b/>
                <w:bCs/>
                <w:color w:val="000000"/>
                <w:sz w:val="18"/>
                <w:szCs w:val="18"/>
              </w:rPr>
              <w:t>Underwriting Result</w:t>
            </w:r>
          </w:p>
        </w:tc>
        <w:tc>
          <w:tcPr>
            <w:tcW w:w="850" w:type="dxa"/>
          </w:tcPr>
          <w:p w14:paraId="1C02DE9C"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701" w:type="dxa"/>
            <w:tcBorders>
              <w:top w:val="single" w:sz="4" w:space="0" w:color="auto"/>
              <w:bottom w:val="single" w:sz="4" w:space="0" w:color="auto"/>
            </w:tcBorders>
          </w:tcPr>
          <w:p w14:paraId="3522DAAB" w14:textId="219469C0"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r w:rsidRPr="004043FE">
              <w:rPr>
                <w:rFonts w:ascii="Calibri" w:eastAsia="Calibri" w:hAnsi="Calibri" w:cs="Source Sans Pro SemiBold"/>
                <w:b/>
                <w:bCs/>
                <w:sz w:val="18"/>
                <w:szCs w:val="18"/>
              </w:rPr>
              <w:t>(</w:t>
            </w:r>
            <w:r w:rsidR="00A07AE6" w:rsidRPr="004043FE">
              <w:rPr>
                <w:rFonts w:ascii="Calibri" w:eastAsia="Calibri" w:hAnsi="Calibri" w:cs="Source Sans Pro SemiBold"/>
                <w:b/>
                <w:bCs/>
                <w:sz w:val="18"/>
                <w:szCs w:val="18"/>
              </w:rPr>
              <w:t>9,518</w:t>
            </w:r>
            <w:r w:rsidRPr="004043FE">
              <w:rPr>
                <w:rFonts w:ascii="Calibri" w:eastAsia="Calibri" w:hAnsi="Calibri" w:cs="Source Sans Pro SemiBold"/>
                <w:b/>
                <w:bCs/>
                <w:sz w:val="18"/>
                <w:szCs w:val="18"/>
              </w:rPr>
              <w:t>)</w:t>
            </w:r>
          </w:p>
        </w:tc>
        <w:tc>
          <w:tcPr>
            <w:tcW w:w="1701" w:type="dxa"/>
            <w:tcBorders>
              <w:top w:val="single" w:sz="4" w:space="0" w:color="auto"/>
              <w:bottom w:val="single" w:sz="4" w:space="0" w:color="auto"/>
            </w:tcBorders>
          </w:tcPr>
          <w:p w14:paraId="152B9D5A" w14:textId="081D4803" w:rsidR="001016EE" w:rsidRPr="004043FE" w:rsidRDefault="001E41F7" w:rsidP="001016EE">
            <w:pPr>
              <w:autoSpaceDE w:val="0"/>
              <w:autoSpaceDN w:val="0"/>
              <w:adjustRightInd w:val="0"/>
              <w:spacing w:before="40" w:after="40" w:line="240" w:lineRule="auto"/>
              <w:jc w:val="right"/>
              <w:rPr>
                <w:rFonts w:ascii="Calibri" w:eastAsia="Calibri" w:hAnsi="Calibri" w:cs="Source Sans Pro Light"/>
                <w:b/>
                <w:bCs/>
                <w:sz w:val="18"/>
                <w:szCs w:val="18"/>
              </w:rPr>
            </w:pPr>
            <w:r w:rsidRPr="004043FE">
              <w:rPr>
                <w:rFonts w:ascii="Calibri" w:eastAsia="Calibri" w:hAnsi="Calibri" w:cs="Source Sans Pro Light"/>
                <w:b/>
                <w:bCs/>
                <w:sz w:val="18"/>
                <w:szCs w:val="18"/>
              </w:rPr>
              <w:t>(10,965)</w:t>
            </w:r>
          </w:p>
        </w:tc>
        <w:tc>
          <w:tcPr>
            <w:tcW w:w="1701" w:type="dxa"/>
            <w:tcBorders>
              <w:top w:val="single" w:sz="4" w:space="0" w:color="auto"/>
              <w:bottom w:val="single" w:sz="4" w:space="0" w:color="auto"/>
            </w:tcBorders>
          </w:tcPr>
          <w:p w14:paraId="45404742" w14:textId="37EB07DB" w:rsidR="001016EE" w:rsidRPr="004043FE"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rPr>
            </w:pPr>
            <w:r w:rsidRPr="004043FE">
              <w:rPr>
                <w:rFonts w:ascii="Calibri" w:eastAsia="Calibri" w:hAnsi="Calibri" w:cs="Source Sans Pro SemiBold"/>
                <w:b/>
                <w:bCs/>
                <w:sz w:val="18"/>
                <w:szCs w:val="18"/>
              </w:rPr>
              <w:t>(</w:t>
            </w:r>
            <w:r w:rsidR="004043FE" w:rsidRPr="004043FE">
              <w:rPr>
                <w:rFonts w:ascii="Calibri" w:eastAsia="Calibri" w:hAnsi="Calibri" w:cs="Source Sans Pro SemiBold"/>
                <w:b/>
                <w:bCs/>
                <w:sz w:val="18"/>
                <w:szCs w:val="18"/>
              </w:rPr>
              <w:t>64,170</w:t>
            </w:r>
            <w:r w:rsidRPr="004043FE">
              <w:rPr>
                <w:rFonts w:ascii="Calibri" w:eastAsia="Calibri" w:hAnsi="Calibri" w:cs="Source Sans Pro SemiBold"/>
                <w:b/>
                <w:bCs/>
                <w:sz w:val="18"/>
                <w:szCs w:val="18"/>
              </w:rPr>
              <w:t>)</w:t>
            </w:r>
          </w:p>
        </w:tc>
      </w:tr>
      <w:tr w:rsidR="001016EE" w:rsidRPr="001016EE" w14:paraId="09A2D974" w14:textId="77777777" w:rsidTr="00B95D0C">
        <w:trPr>
          <w:trHeight w:val="283"/>
        </w:trPr>
        <w:tc>
          <w:tcPr>
            <w:tcW w:w="3402" w:type="dxa"/>
          </w:tcPr>
          <w:p w14:paraId="1F00AFDE"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78679F9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single" w:sz="4" w:space="0" w:color="auto"/>
              <w:bottom w:val="nil"/>
            </w:tcBorders>
          </w:tcPr>
          <w:p w14:paraId="3A61D8FE"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bottom w:val="nil"/>
            </w:tcBorders>
          </w:tcPr>
          <w:p w14:paraId="56CE5539"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bottom w:val="nil"/>
            </w:tcBorders>
          </w:tcPr>
          <w:p w14:paraId="44A85A73"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1016EE" w:rsidRPr="001016EE" w14:paraId="69498B6F" w14:textId="77777777" w:rsidTr="00B95D0C">
        <w:trPr>
          <w:trHeight w:val="283"/>
        </w:trPr>
        <w:tc>
          <w:tcPr>
            <w:tcW w:w="3402" w:type="dxa"/>
          </w:tcPr>
          <w:p w14:paraId="477CEB4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i/>
                <w:iCs/>
                <w:sz w:val="18"/>
                <w:szCs w:val="18"/>
              </w:rPr>
            </w:pPr>
            <w:r w:rsidRPr="001016EE">
              <w:rPr>
                <w:rFonts w:ascii="Calibri" w:eastAsia="Calibri" w:hAnsi="Calibri" w:cs="Source Sans Pro Light"/>
                <w:i/>
                <w:iCs/>
                <w:sz w:val="18"/>
                <w:szCs w:val="18"/>
              </w:rPr>
              <w:t>Investment Result</w:t>
            </w:r>
          </w:p>
        </w:tc>
        <w:tc>
          <w:tcPr>
            <w:tcW w:w="850" w:type="dxa"/>
          </w:tcPr>
          <w:p w14:paraId="1E5B5FE9"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nil"/>
              <w:bottom w:val="nil"/>
            </w:tcBorders>
          </w:tcPr>
          <w:p w14:paraId="327B21F2"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nil"/>
              <w:bottom w:val="nil"/>
            </w:tcBorders>
          </w:tcPr>
          <w:p w14:paraId="38D21283"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nil"/>
              <w:bottom w:val="nil"/>
              <w:right w:val="nil"/>
            </w:tcBorders>
          </w:tcPr>
          <w:p w14:paraId="6E1CFE02"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1016EE" w:rsidRPr="00807C62" w14:paraId="6D54F4F2" w14:textId="77777777" w:rsidTr="00B95D0C">
        <w:trPr>
          <w:trHeight w:val="283"/>
        </w:trPr>
        <w:tc>
          <w:tcPr>
            <w:tcW w:w="3402" w:type="dxa"/>
          </w:tcPr>
          <w:p w14:paraId="4577132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Investment and Interest Revenue </w:t>
            </w:r>
          </w:p>
        </w:tc>
        <w:tc>
          <w:tcPr>
            <w:tcW w:w="850" w:type="dxa"/>
          </w:tcPr>
          <w:p w14:paraId="0426228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SemiBold"/>
                <w:b/>
                <w:bCs/>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nil"/>
            </w:tcBorders>
          </w:tcPr>
          <w:p w14:paraId="46081FDD" w14:textId="0D2E8C04" w:rsidR="001016EE" w:rsidRPr="00E634E9" w:rsidRDefault="00155F4D" w:rsidP="001016EE">
            <w:pPr>
              <w:autoSpaceDE w:val="0"/>
              <w:autoSpaceDN w:val="0"/>
              <w:adjustRightInd w:val="0"/>
              <w:spacing w:before="40" w:after="40" w:line="240" w:lineRule="auto"/>
              <w:jc w:val="right"/>
              <w:rPr>
                <w:rFonts w:ascii="Calibri" w:eastAsia="Calibri" w:hAnsi="Calibri" w:cs="Source Sans Pro SemiBold"/>
                <w:sz w:val="18"/>
                <w:szCs w:val="18"/>
              </w:rPr>
            </w:pPr>
            <w:r w:rsidRPr="00E634E9">
              <w:rPr>
                <w:rFonts w:ascii="Calibri" w:eastAsia="Calibri" w:hAnsi="Calibri" w:cs="Source Sans Pro SemiBold"/>
                <w:sz w:val="18"/>
                <w:szCs w:val="18"/>
              </w:rPr>
              <w:t>14,498</w:t>
            </w:r>
          </w:p>
        </w:tc>
        <w:tc>
          <w:tcPr>
            <w:tcW w:w="1701" w:type="dxa"/>
            <w:tcBorders>
              <w:top w:val="nil"/>
              <w:bottom w:val="nil"/>
            </w:tcBorders>
          </w:tcPr>
          <w:p w14:paraId="40BB344E" w14:textId="65D7F4EA" w:rsidR="001016EE" w:rsidRPr="00E634E9" w:rsidRDefault="000E209E" w:rsidP="001016EE">
            <w:pPr>
              <w:autoSpaceDE w:val="0"/>
              <w:autoSpaceDN w:val="0"/>
              <w:adjustRightInd w:val="0"/>
              <w:spacing w:before="40" w:after="40" w:line="240" w:lineRule="auto"/>
              <w:jc w:val="right"/>
              <w:rPr>
                <w:rFonts w:ascii="Calibri" w:eastAsia="Calibri" w:hAnsi="Calibri" w:cs="Source Sans Pro Light"/>
                <w:sz w:val="18"/>
                <w:szCs w:val="18"/>
              </w:rPr>
            </w:pPr>
            <w:r w:rsidRPr="00E634E9">
              <w:rPr>
                <w:rFonts w:ascii="Calibri" w:eastAsia="Calibri" w:hAnsi="Calibri" w:cs="Source Sans Pro Light"/>
                <w:sz w:val="18"/>
                <w:szCs w:val="18"/>
              </w:rPr>
              <w:t>14,000</w:t>
            </w:r>
            <w:r w:rsidR="001016EE" w:rsidRPr="00E634E9">
              <w:rPr>
                <w:rFonts w:ascii="Calibri" w:eastAsia="Calibri" w:hAnsi="Calibri" w:cs="Source Sans Pro Light"/>
                <w:sz w:val="18"/>
                <w:szCs w:val="18"/>
              </w:rPr>
              <w:t xml:space="preserve"> </w:t>
            </w:r>
          </w:p>
        </w:tc>
        <w:tc>
          <w:tcPr>
            <w:tcW w:w="1701" w:type="dxa"/>
            <w:tcBorders>
              <w:top w:val="nil"/>
              <w:bottom w:val="nil"/>
              <w:right w:val="nil"/>
            </w:tcBorders>
          </w:tcPr>
          <w:p w14:paraId="68D27810" w14:textId="7882DF27" w:rsidR="001016EE" w:rsidRPr="00807C62" w:rsidRDefault="009806A6"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807C62">
              <w:rPr>
                <w:rFonts w:ascii="Calibri" w:eastAsia="Calibri" w:hAnsi="Calibri" w:cs="Source Sans Pro SemiBold"/>
                <w:bCs/>
                <w:sz w:val="18"/>
                <w:szCs w:val="18"/>
              </w:rPr>
              <w:t>9,658</w:t>
            </w:r>
          </w:p>
        </w:tc>
      </w:tr>
      <w:tr w:rsidR="001016EE" w:rsidRPr="00807C62" w14:paraId="6CB56B84" w14:textId="77777777" w:rsidTr="00B95D0C">
        <w:trPr>
          <w:trHeight w:val="283"/>
        </w:trPr>
        <w:tc>
          <w:tcPr>
            <w:tcW w:w="3402" w:type="dxa"/>
          </w:tcPr>
          <w:p w14:paraId="6F45E0C5"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Gain/(Loss) on Investment </w:t>
            </w:r>
          </w:p>
        </w:tc>
        <w:tc>
          <w:tcPr>
            <w:tcW w:w="850" w:type="dxa"/>
          </w:tcPr>
          <w:p w14:paraId="66CCE551"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single" w:sz="4" w:space="0" w:color="auto"/>
            </w:tcBorders>
          </w:tcPr>
          <w:p w14:paraId="5D864916" w14:textId="0DB7C908" w:rsidR="001016EE" w:rsidRPr="00E634E9"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E634E9">
              <w:rPr>
                <w:rFonts w:ascii="Calibri" w:eastAsia="Calibri" w:hAnsi="Calibri" w:cs="Source Sans Pro SemiBold"/>
                <w:bCs/>
                <w:sz w:val="18"/>
                <w:szCs w:val="18"/>
              </w:rPr>
              <w:t>2</w:t>
            </w:r>
            <w:r w:rsidR="00155F4D" w:rsidRPr="00E634E9">
              <w:rPr>
                <w:rFonts w:ascii="Calibri" w:eastAsia="Calibri" w:hAnsi="Calibri" w:cs="Source Sans Pro SemiBold"/>
                <w:bCs/>
                <w:sz w:val="18"/>
                <w:szCs w:val="18"/>
              </w:rPr>
              <w:t>0,571</w:t>
            </w:r>
          </w:p>
        </w:tc>
        <w:tc>
          <w:tcPr>
            <w:tcW w:w="1701" w:type="dxa"/>
            <w:tcBorders>
              <w:top w:val="nil"/>
              <w:bottom w:val="single" w:sz="4" w:space="0" w:color="auto"/>
            </w:tcBorders>
          </w:tcPr>
          <w:p w14:paraId="03AECA15" w14:textId="36AD0976" w:rsidR="001016EE" w:rsidRPr="00E634E9" w:rsidRDefault="000E209E" w:rsidP="001016EE">
            <w:pPr>
              <w:autoSpaceDE w:val="0"/>
              <w:autoSpaceDN w:val="0"/>
              <w:adjustRightInd w:val="0"/>
              <w:spacing w:before="40" w:after="40" w:line="240" w:lineRule="auto"/>
              <w:jc w:val="right"/>
              <w:rPr>
                <w:rFonts w:ascii="Calibri" w:eastAsia="Calibri" w:hAnsi="Calibri" w:cs="Source Sans Pro Light"/>
                <w:sz w:val="18"/>
                <w:szCs w:val="18"/>
              </w:rPr>
            </w:pPr>
            <w:r w:rsidRPr="00E634E9">
              <w:rPr>
                <w:rFonts w:ascii="Calibri" w:eastAsia="Calibri" w:hAnsi="Calibri" w:cs="Source Sans Pro Light"/>
                <w:sz w:val="18"/>
                <w:szCs w:val="18"/>
              </w:rPr>
              <w:t>5,898</w:t>
            </w:r>
          </w:p>
        </w:tc>
        <w:tc>
          <w:tcPr>
            <w:tcW w:w="1701" w:type="dxa"/>
            <w:tcBorders>
              <w:top w:val="nil"/>
              <w:bottom w:val="single" w:sz="4" w:space="0" w:color="auto"/>
              <w:right w:val="nil"/>
            </w:tcBorders>
          </w:tcPr>
          <w:p w14:paraId="638B291F" w14:textId="3A7A6162" w:rsidR="001016EE" w:rsidRPr="00807C62" w:rsidRDefault="009806A6"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807C62">
              <w:rPr>
                <w:rFonts w:ascii="Calibri" w:eastAsia="Calibri" w:hAnsi="Calibri" w:cs="Source Sans Pro SemiBold"/>
                <w:bCs/>
                <w:sz w:val="18"/>
                <w:szCs w:val="18"/>
              </w:rPr>
              <w:t>22,596</w:t>
            </w:r>
          </w:p>
        </w:tc>
      </w:tr>
      <w:tr w:rsidR="001016EE" w:rsidRPr="00807C62" w14:paraId="04081573" w14:textId="77777777" w:rsidTr="00B95D0C">
        <w:trPr>
          <w:trHeight w:val="283"/>
        </w:trPr>
        <w:tc>
          <w:tcPr>
            <w:tcW w:w="3402" w:type="dxa"/>
          </w:tcPr>
          <w:p w14:paraId="06EA9E51"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850" w:type="dxa"/>
          </w:tcPr>
          <w:p w14:paraId="71C84A89"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BE0640E" w14:textId="04B1EC99" w:rsidR="001016EE" w:rsidRPr="00E634E9"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E634E9">
              <w:rPr>
                <w:rFonts w:ascii="Calibri" w:eastAsia="Calibri" w:hAnsi="Calibri" w:cs="Source Sans Pro SemiBold"/>
                <w:bCs/>
                <w:sz w:val="18"/>
                <w:szCs w:val="18"/>
              </w:rPr>
              <w:t>3</w:t>
            </w:r>
            <w:r w:rsidR="000E209E" w:rsidRPr="00E634E9">
              <w:rPr>
                <w:rFonts w:ascii="Calibri" w:eastAsia="Calibri" w:hAnsi="Calibri" w:cs="Source Sans Pro SemiBold"/>
                <w:bCs/>
                <w:sz w:val="18"/>
                <w:szCs w:val="18"/>
              </w:rPr>
              <w:t>5,069</w:t>
            </w:r>
          </w:p>
        </w:tc>
        <w:tc>
          <w:tcPr>
            <w:tcW w:w="1701" w:type="dxa"/>
            <w:tcBorders>
              <w:top w:val="single" w:sz="4" w:space="0" w:color="auto"/>
              <w:bottom w:val="single" w:sz="4" w:space="0" w:color="auto"/>
            </w:tcBorders>
          </w:tcPr>
          <w:p w14:paraId="5A6B3158" w14:textId="79BE90E1" w:rsidR="001016EE" w:rsidRPr="00E634E9" w:rsidRDefault="000E209E" w:rsidP="001016EE">
            <w:pPr>
              <w:autoSpaceDE w:val="0"/>
              <w:autoSpaceDN w:val="0"/>
              <w:adjustRightInd w:val="0"/>
              <w:spacing w:before="40" w:after="40" w:line="240" w:lineRule="auto"/>
              <w:jc w:val="right"/>
              <w:rPr>
                <w:rFonts w:ascii="Calibri" w:eastAsia="Calibri" w:hAnsi="Calibri" w:cs="Source Sans Pro Light"/>
                <w:sz w:val="18"/>
                <w:szCs w:val="18"/>
              </w:rPr>
            </w:pPr>
            <w:r w:rsidRPr="00E634E9">
              <w:rPr>
                <w:rFonts w:ascii="Calibri" w:eastAsia="Calibri" w:hAnsi="Calibri" w:cs="Source Sans Pro Light"/>
                <w:sz w:val="18"/>
                <w:szCs w:val="18"/>
              </w:rPr>
              <w:t>19,898</w:t>
            </w:r>
          </w:p>
        </w:tc>
        <w:tc>
          <w:tcPr>
            <w:tcW w:w="1701" w:type="dxa"/>
            <w:tcBorders>
              <w:top w:val="single" w:sz="4" w:space="0" w:color="auto"/>
              <w:bottom w:val="single" w:sz="4" w:space="0" w:color="auto"/>
              <w:right w:val="nil"/>
            </w:tcBorders>
          </w:tcPr>
          <w:p w14:paraId="5D50E904" w14:textId="737F29FA" w:rsidR="001016EE" w:rsidRPr="00807C62" w:rsidRDefault="00807C62"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807C62">
              <w:rPr>
                <w:rFonts w:ascii="Calibri" w:eastAsia="Calibri" w:hAnsi="Calibri" w:cs="Source Sans Pro SemiBold"/>
                <w:bCs/>
                <w:sz w:val="18"/>
                <w:szCs w:val="18"/>
              </w:rPr>
              <w:t>32,254</w:t>
            </w:r>
          </w:p>
        </w:tc>
      </w:tr>
      <w:tr w:rsidR="001016EE" w:rsidRPr="001016EE" w14:paraId="32A046EB" w14:textId="77777777" w:rsidTr="000A6306">
        <w:trPr>
          <w:trHeight w:val="283"/>
        </w:trPr>
        <w:tc>
          <w:tcPr>
            <w:tcW w:w="9355" w:type="dxa"/>
            <w:gridSpan w:val="5"/>
            <w:shd w:val="clear" w:color="auto" w:fill="auto"/>
          </w:tcPr>
          <w:p w14:paraId="452B8BD5" w14:textId="77777777" w:rsidR="001016EE" w:rsidRPr="00622385" w:rsidRDefault="001016EE" w:rsidP="001016EE">
            <w:pPr>
              <w:autoSpaceDE w:val="0"/>
              <w:autoSpaceDN w:val="0"/>
              <w:adjustRightInd w:val="0"/>
              <w:spacing w:before="40" w:after="40" w:line="240" w:lineRule="auto"/>
              <w:rPr>
                <w:rFonts w:ascii="Calibri" w:eastAsia="Calibri" w:hAnsi="Calibri" w:cs="Source Sans Pro Light"/>
                <w:sz w:val="18"/>
                <w:szCs w:val="18"/>
                <w:highlight w:val="yellow"/>
              </w:rPr>
            </w:pPr>
            <w:r w:rsidRPr="000A6306">
              <w:rPr>
                <w:rFonts w:ascii="Calibri" w:eastAsia="Calibri" w:hAnsi="Calibri" w:cs="Source Sans Pro Light"/>
                <w:i/>
                <w:iCs/>
                <w:sz w:val="18"/>
                <w:szCs w:val="18"/>
              </w:rPr>
              <w:t xml:space="preserve">Other Income </w:t>
            </w:r>
          </w:p>
        </w:tc>
      </w:tr>
      <w:tr w:rsidR="001016EE" w:rsidRPr="001016EE" w14:paraId="34EA3747" w14:textId="77777777" w:rsidTr="00B95D0C">
        <w:trPr>
          <w:trHeight w:val="283"/>
        </w:trPr>
        <w:tc>
          <w:tcPr>
            <w:tcW w:w="3402" w:type="dxa"/>
          </w:tcPr>
          <w:p w14:paraId="49CD655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Income </w:t>
            </w:r>
          </w:p>
        </w:tc>
        <w:tc>
          <w:tcPr>
            <w:tcW w:w="850" w:type="dxa"/>
          </w:tcPr>
          <w:p w14:paraId="67B658E8"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8</w:t>
            </w:r>
          </w:p>
        </w:tc>
        <w:tc>
          <w:tcPr>
            <w:tcW w:w="1701" w:type="dxa"/>
            <w:tcBorders>
              <w:bottom w:val="single" w:sz="4" w:space="0" w:color="auto"/>
            </w:tcBorders>
          </w:tcPr>
          <w:p w14:paraId="597D97FE" w14:textId="7BFDF510" w:rsidR="001016EE" w:rsidRPr="0049123C" w:rsidRDefault="0047256D"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9123C">
              <w:rPr>
                <w:rFonts w:ascii="Calibri" w:eastAsia="Calibri" w:hAnsi="Calibri" w:cs="Source Sans Pro SemiBold"/>
                <w:bCs/>
                <w:sz w:val="18"/>
                <w:szCs w:val="18"/>
              </w:rPr>
              <w:t>6,518</w:t>
            </w:r>
          </w:p>
        </w:tc>
        <w:tc>
          <w:tcPr>
            <w:tcW w:w="1701" w:type="dxa"/>
            <w:tcBorders>
              <w:bottom w:val="single" w:sz="4" w:space="0" w:color="auto"/>
            </w:tcBorders>
          </w:tcPr>
          <w:p w14:paraId="423CD1B3" w14:textId="0E139F3A" w:rsidR="001016EE" w:rsidRPr="0049123C" w:rsidRDefault="0049123C" w:rsidP="001016EE">
            <w:pPr>
              <w:autoSpaceDE w:val="0"/>
              <w:autoSpaceDN w:val="0"/>
              <w:adjustRightInd w:val="0"/>
              <w:spacing w:before="40" w:after="40" w:line="240" w:lineRule="auto"/>
              <w:jc w:val="right"/>
              <w:rPr>
                <w:rFonts w:ascii="Calibri" w:eastAsia="Calibri" w:hAnsi="Calibri" w:cs="Source Sans Pro Light"/>
                <w:sz w:val="18"/>
                <w:szCs w:val="18"/>
              </w:rPr>
            </w:pPr>
            <w:r w:rsidRPr="0049123C">
              <w:rPr>
                <w:rFonts w:ascii="Calibri" w:eastAsia="Calibri" w:hAnsi="Calibri" w:cs="Source Sans Pro Light"/>
                <w:sz w:val="18"/>
                <w:szCs w:val="18"/>
              </w:rPr>
              <w:t>2,558</w:t>
            </w:r>
            <w:r w:rsidR="001016EE" w:rsidRPr="0049123C">
              <w:rPr>
                <w:rFonts w:ascii="Calibri" w:eastAsia="Calibri" w:hAnsi="Calibri" w:cs="Source Sans Pro Light"/>
                <w:sz w:val="18"/>
                <w:szCs w:val="18"/>
              </w:rPr>
              <w:t xml:space="preserve"> </w:t>
            </w:r>
          </w:p>
        </w:tc>
        <w:tc>
          <w:tcPr>
            <w:tcW w:w="1701" w:type="dxa"/>
            <w:tcBorders>
              <w:bottom w:val="single" w:sz="4" w:space="0" w:color="auto"/>
            </w:tcBorders>
          </w:tcPr>
          <w:p w14:paraId="3245A57B" w14:textId="0BEF53F2" w:rsidR="001016EE" w:rsidRPr="0049123C" w:rsidRDefault="0049123C"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9123C">
              <w:rPr>
                <w:rFonts w:ascii="Calibri" w:eastAsia="Calibri" w:hAnsi="Calibri" w:cs="Source Sans Pro SemiBold"/>
                <w:bCs/>
                <w:sz w:val="18"/>
                <w:szCs w:val="18"/>
              </w:rPr>
              <w:t>4,443</w:t>
            </w:r>
          </w:p>
        </w:tc>
      </w:tr>
      <w:tr w:rsidR="001016EE" w:rsidRPr="001016EE" w14:paraId="402BD57B" w14:textId="77777777" w:rsidTr="00B95D0C">
        <w:trPr>
          <w:trHeight w:val="283"/>
        </w:trPr>
        <w:tc>
          <w:tcPr>
            <w:tcW w:w="3402" w:type="dxa"/>
          </w:tcPr>
          <w:p w14:paraId="18575F3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AED3C5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A31A523" w14:textId="5D17301F" w:rsidR="001016EE" w:rsidRPr="0049123C" w:rsidRDefault="0047256D"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9123C">
              <w:rPr>
                <w:rFonts w:ascii="Calibri" w:eastAsia="Calibri" w:hAnsi="Calibri" w:cs="Source Sans Pro SemiBold"/>
                <w:bCs/>
                <w:sz w:val="18"/>
                <w:szCs w:val="18"/>
              </w:rPr>
              <w:t>6,518</w:t>
            </w:r>
          </w:p>
        </w:tc>
        <w:tc>
          <w:tcPr>
            <w:tcW w:w="1701" w:type="dxa"/>
            <w:tcBorders>
              <w:top w:val="single" w:sz="4" w:space="0" w:color="auto"/>
              <w:bottom w:val="single" w:sz="4" w:space="0" w:color="auto"/>
            </w:tcBorders>
          </w:tcPr>
          <w:p w14:paraId="4D98F22D" w14:textId="1C10AFE6" w:rsidR="001016EE" w:rsidRPr="0049123C" w:rsidRDefault="0049123C" w:rsidP="001016EE">
            <w:pPr>
              <w:autoSpaceDE w:val="0"/>
              <w:autoSpaceDN w:val="0"/>
              <w:adjustRightInd w:val="0"/>
              <w:spacing w:before="40" w:after="40" w:line="240" w:lineRule="auto"/>
              <w:jc w:val="right"/>
              <w:rPr>
                <w:rFonts w:ascii="Calibri" w:eastAsia="Calibri" w:hAnsi="Calibri" w:cs="Source Sans Pro Light"/>
                <w:sz w:val="18"/>
                <w:szCs w:val="18"/>
              </w:rPr>
            </w:pPr>
            <w:r w:rsidRPr="0049123C">
              <w:rPr>
                <w:rFonts w:ascii="Calibri" w:eastAsia="Calibri" w:hAnsi="Calibri" w:cs="Source Sans Pro Light"/>
                <w:sz w:val="18"/>
                <w:szCs w:val="18"/>
              </w:rPr>
              <w:t>2,558</w:t>
            </w:r>
          </w:p>
        </w:tc>
        <w:tc>
          <w:tcPr>
            <w:tcW w:w="1701" w:type="dxa"/>
            <w:tcBorders>
              <w:top w:val="single" w:sz="4" w:space="0" w:color="auto"/>
              <w:bottom w:val="single" w:sz="4" w:space="0" w:color="auto"/>
            </w:tcBorders>
          </w:tcPr>
          <w:p w14:paraId="7F8F869B" w14:textId="1D021455" w:rsidR="001016EE" w:rsidRPr="0049123C" w:rsidRDefault="0049123C"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49123C">
              <w:rPr>
                <w:rFonts w:ascii="Calibri" w:eastAsia="Calibri" w:hAnsi="Calibri" w:cs="Source Sans Pro SemiBold"/>
                <w:bCs/>
                <w:sz w:val="18"/>
                <w:szCs w:val="18"/>
              </w:rPr>
              <w:t>4,443</w:t>
            </w:r>
          </w:p>
        </w:tc>
      </w:tr>
      <w:tr w:rsidR="001016EE" w:rsidRPr="001016EE" w14:paraId="76E5C8B6" w14:textId="77777777" w:rsidTr="00B95D0C">
        <w:trPr>
          <w:trHeight w:val="283"/>
        </w:trPr>
        <w:tc>
          <w:tcPr>
            <w:tcW w:w="3402" w:type="dxa"/>
          </w:tcPr>
          <w:p w14:paraId="6CA99C2F"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41D9A25F"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5536F48C"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tcBorders>
          </w:tcPr>
          <w:p w14:paraId="38507720"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tcBorders>
          </w:tcPr>
          <w:p w14:paraId="01F6DF6B"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1016EE" w:rsidRPr="001016EE" w14:paraId="27454A17" w14:textId="77777777" w:rsidTr="00F047DE">
        <w:trPr>
          <w:trHeight w:val="283"/>
        </w:trPr>
        <w:tc>
          <w:tcPr>
            <w:tcW w:w="9355" w:type="dxa"/>
            <w:gridSpan w:val="5"/>
          </w:tcPr>
          <w:p w14:paraId="6851DAD7" w14:textId="77777777" w:rsidR="001016EE" w:rsidRPr="00622385" w:rsidRDefault="001016EE" w:rsidP="001016EE">
            <w:pPr>
              <w:autoSpaceDE w:val="0"/>
              <w:autoSpaceDN w:val="0"/>
              <w:adjustRightInd w:val="0"/>
              <w:spacing w:before="40" w:after="40" w:line="240" w:lineRule="auto"/>
              <w:rPr>
                <w:rFonts w:ascii="Calibri" w:eastAsia="Calibri" w:hAnsi="Calibri" w:cs="Source Sans Pro Light"/>
                <w:sz w:val="18"/>
                <w:szCs w:val="18"/>
                <w:highlight w:val="yellow"/>
              </w:rPr>
            </w:pPr>
            <w:r w:rsidRPr="00CC3941">
              <w:rPr>
                <w:rFonts w:ascii="Calibri" w:eastAsia="Calibri" w:hAnsi="Calibri" w:cs="Source Sans Pro Light"/>
                <w:i/>
                <w:iCs/>
                <w:sz w:val="18"/>
                <w:szCs w:val="18"/>
              </w:rPr>
              <w:t xml:space="preserve">Other Expenses </w:t>
            </w:r>
          </w:p>
        </w:tc>
      </w:tr>
      <w:tr w:rsidR="001016EE" w:rsidRPr="001016EE" w14:paraId="5A2AD78B" w14:textId="77777777" w:rsidTr="00670854">
        <w:trPr>
          <w:trHeight w:val="283"/>
        </w:trPr>
        <w:tc>
          <w:tcPr>
            <w:tcW w:w="3402" w:type="dxa"/>
          </w:tcPr>
          <w:p w14:paraId="283821FC"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Expenses </w:t>
            </w:r>
          </w:p>
        </w:tc>
        <w:tc>
          <w:tcPr>
            <w:tcW w:w="850" w:type="dxa"/>
          </w:tcPr>
          <w:p w14:paraId="0C7C7AEB"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8 </w:t>
            </w:r>
          </w:p>
        </w:tc>
        <w:tc>
          <w:tcPr>
            <w:tcW w:w="1701" w:type="dxa"/>
            <w:tcBorders>
              <w:top w:val="nil"/>
              <w:bottom w:val="nil"/>
            </w:tcBorders>
            <w:shd w:val="clear" w:color="auto" w:fill="auto"/>
          </w:tcPr>
          <w:p w14:paraId="1E844FF5" w14:textId="3B3A5345" w:rsidR="001016EE" w:rsidRPr="00670854"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670854">
              <w:rPr>
                <w:rFonts w:ascii="Calibri" w:eastAsia="Calibri" w:hAnsi="Calibri" w:cs="Source Sans Pro SemiBold"/>
                <w:bCs/>
                <w:sz w:val="18"/>
                <w:szCs w:val="18"/>
              </w:rPr>
              <w:t>(</w:t>
            </w:r>
            <w:r w:rsidR="00670854" w:rsidRPr="00670854">
              <w:rPr>
                <w:rFonts w:ascii="Calibri" w:eastAsia="Calibri" w:hAnsi="Calibri" w:cs="Source Sans Pro SemiBold"/>
                <w:bCs/>
                <w:sz w:val="18"/>
                <w:szCs w:val="18"/>
              </w:rPr>
              <w:t>8,794</w:t>
            </w:r>
            <w:r w:rsidRPr="00670854">
              <w:rPr>
                <w:rFonts w:ascii="Calibri" w:eastAsia="Calibri" w:hAnsi="Calibri" w:cs="Source Sans Pro SemiBold"/>
                <w:bCs/>
                <w:sz w:val="18"/>
                <w:szCs w:val="18"/>
              </w:rPr>
              <w:t>)</w:t>
            </w:r>
          </w:p>
        </w:tc>
        <w:tc>
          <w:tcPr>
            <w:tcW w:w="1701" w:type="dxa"/>
            <w:tcBorders>
              <w:top w:val="nil"/>
              <w:bottom w:val="nil"/>
            </w:tcBorders>
            <w:shd w:val="clear" w:color="auto" w:fill="auto"/>
          </w:tcPr>
          <w:p w14:paraId="54FC2186" w14:textId="47867DFF" w:rsidR="001016EE" w:rsidRPr="00670854"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670854">
              <w:rPr>
                <w:rFonts w:ascii="Calibri" w:eastAsia="Calibri" w:hAnsi="Calibri" w:cs="Source Sans Pro Light"/>
                <w:sz w:val="18"/>
                <w:szCs w:val="18"/>
              </w:rPr>
              <w:t>(</w:t>
            </w:r>
            <w:r w:rsidR="00670854" w:rsidRPr="00670854">
              <w:rPr>
                <w:rFonts w:ascii="Calibri" w:eastAsia="Calibri" w:hAnsi="Calibri" w:cs="Source Sans Pro Light"/>
                <w:sz w:val="18"/>
                <w:szCs w:val="18"/>
              </w:rPr>
              <w:t>1,641</w:t>
            </w:r>
            <w:r w:rsidRPr="00670854">
              <w:rPr>
                <w:rFonts w:ascii="Calibri" w:eastAsia="Calibri" w:hAnsi="Calibri" w:cs="Source Sans Pro Light"/>
                <w:sz w:val="18"/>
                <w:szCs w:val="18"/>
              </w:rPr>
              <w:t xml:space="preserve">) </w:t>
            </w:r>
          </w:p>
        </w:tc>
        <w:tc>
          <w:tcPr>
            <w:tcW w:w="1701" w:type="dxa"/>
            <w:tcBorders>
              <w:top w:val="nil"/>
              <w:bottom w:val="nil"/>
            </w:tcBorders>
            <w:shd w:val="clear" w:color="auto" w:fill="auto"/>
          </w:tcPr>
          <w:p w14:paraId="679F025F" w14:textId="137EF585" w:rsidR="001016EE" w:rsidRPr="00670854"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670854">
              <w:rPr>
                <w:rFonts w:ascii="Calibri" w:eastAsia="Calibri" w:hAnsi="Calibri" w:cs="Source Sans Pro SemiBold"/>
                <w:bCs/>
                <w:sz w:val="18"/>
                <w:szCs w:val="18"/>
              </w:rPr>
              <w:t>(</w:t>
            </w:r>
            <w:r w:rsidR="00670854" w:rsidRPr="00670854">
              <w:rPr>
                <w:rFonts w:ascii="Calibri" w:eastAsia="Calibri" w:hAnsi="Calibri" w:cs="Source Sans Pro SemiBold"/>
                <w:bCs/>
                <w:sz w:val="18"/>
                <w:szCs w:val="18"/>
              </w:rPr>
              <w:t>3,003</w:t>
            </w:r>
            <w:r w:rsidRPr="00670854">
              <w:rPr>
                <w:rFonts w:ascii="Calibri" w:eastAsia="Calibri" w:hAnsi="Calibri" w:cs="Source Sans Pro SemiBold"/>
                <w:bCs/>
                <w:sz w:val="18"/>
                <w:szCs w:val="18"/>
              </w:rPr>
              <w:t>)</w:t>
            </w:r>
          </w:p>
        </w:tc>
      </w:tr>
      <w:tr w:rsidR="001016EE" w:rsidRPr="001016EE" w14:paraId="61D48FDC" w14:textId="77777777" w:rsidTr="00670854">
        <w:trPr>
          <w:trHeight w:val="283"/>
        </w:trPr>
        <w:tc>
          <w:tcPr>
            <w:tcW w:w="3402" w:type="dxa"/>
          </w:tcPr>
          <w:p w14:paraId="389BD1F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4CD24B0B"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shd w:val="clear" w:color="auto" w:fill="auto"/>
          </w:tcPr>
          <w:p w14:paraId="3A95B0D3" w14:textId="32F6F9B2" w:rsidR="001016EE" w:rsidRPr="00670854" w:rsidRDefault="001016EE" w:rsidP="001016EE">
            <w:pPr>
              <w:autoSpaceDE w:val="0"/>
              <w:autoSpaceDN w:val="0"/>
              <w:adjustRightInd w:val="0"/>
              <w:spacing w:before="40" w:after="40" w:line="240" w:lineRule="auto"/>
              <w:jc w:val="right"/>
              <w:rPr>
                <w:rFonts w:ascii="Calibri" w:eastAsia="Calibri" w:hAnsi="Calibri" w:cs="Source Sans Pro SemiBold"/>
                <w:sz w:val="18"/>
                <w:szCs w:val="18"/>
              </w:rPr>
            </w:pPr>
            <w:r w:rsidRPr="00670854">
              <w:rPr>
                <w:rFonts w:ascii="Calibri" w:eastAsia="Calibri" w:hAnsi="Calibri" w:cs="Source Sans Pro SemiBold"/>
                <w:bCs/>
                <w:sz w:val="18"/>
                <w:szCs w:val="18"/>
              </w:rPr>
              <w:t>(</w:t>
            </w:r>
            <w:r w:rsidR="00670854" w:rsidRPr="00670854">
              <w:rPr>
                <w:rFonts w:ascii="Calibri" w:eastAsia="Calibri" w:hAnsi="Calibri" w:cs="Source Sans Pro SemiBold"/>
                <w:bCs/>
                <w:sz w:val="18"/>
                <w:szCs w:val="18"/>
              </w:rPr>
              <w:t>8,794</w:t>
            </w:r>
            <w:r w:rsidRPr="00670854">
              <w:rPr>
                <w:rFonts w:ascii="Calibri" w:eastAsia="Calibri" w:hAnsi="Calibri" w:cs="Source Sans Pro SemiBold"/>
                <w:bCs/>
                <w:sz w:val="18"/>
                <w:szCs w:val="18"/>
              </w:rPr>
              <w:t>)</w:t>
            </w:r>
          </w:p>
        </w:tc>
        <w:tc>
          <w:tcPr>
            <w:tcW w:w="1701" w:type="dxa"/>
            <w:tcBorders>
              <w:top w:val="single" w:sz="4" w:space="0" w:color="auto"/>
              <w:bottom w:val="single" w:sz="4" w:space="0" w:color="auto"/>
            </w:tcBorders>
            <w:shd w:val="clear" w:color="auto" w:fill="auto"/>
          </w:tcPr>
          <w:p w14:paraId="1BAD619A" w14:textId="0443C8F6" w:rsidR="001016EE" w:rsidRPr="00670854" w:rsidRDefault="001016EE" w:rsidP="001016EE">
            <w:pPr>
              <w:autoSpaceDE w:val="0"/>
              <w:autoSpaceDN w:val="0"/>
              <w:adjustRightInd w:val="0"/>
              <w:spacing w:before="40" w:after="40" w:line="240" w:lineRule="auto"/>
              <w:jc w:val="right"/>
              <w:rPr>
                <w:rFonts w:ascii="Calibri" w:eastAsia="Calibri" w:hAnsi="Calibri" w:cs="Source Sans Pro Light"/>
                <w:sz w:val="18"/>
                <w:szCs w:val="18"/>
              </w:rPr>
            </w:pPr>
            <w:r w:rsidRPr="00670854">
              <w:rPr>
                <w:rFonts w:ascii="Calibri" w:eastAsia="Calibri" w:hAnsi="Calibri" w:cs="Source Sans Pro Light"/>
                <w:sz w:val="18"/>
                <w:szCs w:val="18"/>
              </w:rPr>
              <w:t>(</w:t>
            </w:r>
            <w:r w:rsidR="00670854" w:rsidRPr="00670854">
              <w:rPr>
                <w:rFonts w:ascii="Calibri" w:eastAsia="Calibri" w:hAnsi="Calibri" w:cs="Source Sans Pro Light"/>
                <w:sz w:val="18"/>
                <w:szCs w:val="18"/>
              </w:rPr>
              <w:t>1,641</w:t>
            </w:r>
            <w:r w:rsidRPr="00670854">
              <w:rPr>
                <w:rFonts w:ascii="Calibri" w:eastAsia="Calibri" w:hAnsi="Calibri" w:cs="Source Sans Pro Light"/>
                <w:sz w:val="18"/>
                <w:szCs w:val="18"/>
              </w:rPr>
              <w:t>)</w:t>
            </w:r>
          </w:p>
        </w:tc>
        <w:tc>
          <w:tcPr>
            <w:tcW w:w="1701" w:type="dxa"/>
            <w:tcBorders>
              <w:top w:val="single" w:sz="4" w:space="0" w:color="auto"/>
              <w:bottom w:val="single" w:sz="4" w:space="0" w:color="auto"/>
            </w:tcBorders>
            <w:shd w:val="clear" w:color="auto" w:fill="auto"/>
          </w:tcPr>
          <w:p w14:paraId="65860757" w14:textId="2319A23A" w:rsidR="001016EE" w:rsidRPr="00670854" w:rsidRDefault="001016EE" w:rsidP="001016EE">
            <w:pPr>
              <w:autoSpaceDE w:val="0"/>
              <w:autoSpaceDN w:val="0"/>
              <w:adjustRightInd w:val="0"/>
              <w:spacing w:before="40" w:after="40" w:line="240" w:lineRule="auto"/>
              <w:jc w:val="right"/>
              <w:rPr>
                <w:rFonts w:ascii="Calibri" w:eastAsia="Calibri" w:hAnsi="Calibri" w:cs="Source Sans Pro SemiBold"/>
                <w:bCs/>
                <w:sz w:val="18"/>
                <w:szCs w:val="18"/>
              </w:rPr>
            </w:pPr>
            <w:r w:rsidRPr="00670854">
              <w:rPr>
                <w:rFonts w:ascii="Calibri" w:eastAsia="Calibri" w:hAnsi="Calibri" w:cs="Source Sans Pro SemiBold"/>
                <w:sz w:val="18"/>
                <w:szCs w:val="18"/>
              </w:rPr>
              <w:t>(</w:t>
            </w:r>
            <w:r w:rsidR="00670854" w:rsidRPr="00670854">
              <w:rPr>
                <w:rFonts w:ascii="Calibri" w:eastAsia="Calibri" w:hAnsi="Calibri" w:cs="Source Sans Pro SemiBold"/>
                <w:sz w:val="18"/>
                <w:szCs w:val="18"/>
              </w:rPr>
              <w:t>3,003</w:t>
            </w:r>
            <w:r w:rsidRPr="00670854">
              <w:rPr>
                <w:rFonts w:ascii="Calibri" w:eastAsia="Calibri" w:hAnsi="Calibri" w:cs="Source Sans Pro SemiBold"/>
                <w:sz w:val="18"/>
                <w:szCs w:val="18"/>
              </w:rPr>
              <w:t>)</w:t>
            </w:r>
          </w:p>
        </w:tc>
      </w:tr>
      <w:tr w:rsidR="001016EE" w:rsidRPr="001016EE" w14:paraId="7AAF3643" w14:textId="77777777" w:rsidTr="00B95D0C">
        <w:trPr>
          <w:trHeight w:val="283"/>
        </w:trPr>
        <w:tc>
          <w:tcPr>
            <w:tcW w:w="3402" w:type="dxa"/>
          </w:tcPr>
          <w:p w14:paraId="329FE368"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3AE3E99E"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54862E42"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single" w:sz="4" w:space="0" w:color="auto"/>
            </w:tcBorders>
          </w:tcPr>
          <w:p w14:paraId="3AA98E57"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tcBorders>
          </w:tcPr>
          <w:p w14:paraId="15C67CD2"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1016EE" w:rsidRPr="001016EE" w14:paraId="574EC41A" w14:textId="77777777" w:rsidTr="00F047DE">
        <w:trPr>
          <w:trHeight w:val="283"/>
        </w:trPr>
        <w:tc>
          <w:tcPr>
            <w:tcW w:w="9355" w:type="dxa"/>
            <w:gridSpan w:val="5"/>
          </w:tcPr>
          <w:p w14:paraId="2EC1AE76" w14:textId="77777777" w:rsidR="001016EE" w:rsidRPr="00622385"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highlight w:val="yellow"/>
              </w:rPr>
            </w:pPr>
            <w:r w:rsidRPr="005562F0">
              <w:rPr>
                <w:rFonts w:ascii="Calibri" w:eastAsia="Calibri" w:hAnsi="Calibri" w:cs="Source Sans Pro Light"/>
                <w:i/>
                <w:iCs/>
                <w:color w:val="000000"/>
                <w:sz w:val="18"/>
                <w:szCs w:val="18"/>
              </w:rPr>
              <w:t>General and Administration Expenses</w:t>
            </w:r>
          </w:p>
        </w:tc>
      </w:tr>
      <w:tr w:rsidR="001016EE" w:rsidRPr="001016EE" w14:paraId="1B55C30B" w14:textId="77777777" w:rsidTr="00B95D0C">
        <w:trPr>
          <w:trHeight w:val="283"/>
        </w:trPr>
        <w:tc>
          <w:tcPr>
            <w:tcW w:w="3402" w:type="dxa"/>
          </w:tcPr>
          <w:p w14:paraId="03C5EE1E"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Employee Expenses </w:t>
            </w:r>
          </w:p>
        </w:tc>
        <w:tc>
          <w:tcPr>
            <w:tcW w:w="850" w:type="dxa"/>
          </w:tcPr>
          <w:p w14:paraId="5B4CB21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9 </w:t>
            </w:r>
          </w:p>
        </w:tc>
        <w:tc>
          <w:tcPr>
            <w:tcW w:w="1701" w:type="dxa"/>
          </w:tcPr>
          <w:p w14:paraId="2859EBBC" w14:textId="41B9463A"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w:t>
            </w:r>
            <w:r w:rsidR="00641FAE" w:rsidRPr="005562F0">
              <w:rPr>
                <w:rFonts w:ascii="Calibri" w:eastAsia="Calibri" w:hAnsi="Calibri" w:cs="Source Sans Pro SemiBold"/>
                <w:bCs/>
                <w:color w:val="000000"/>
                <w:sz w:val="18"/>
                <w:szCs w:val="18"/>
              </w:rPr>
              <w:t>4,668</w:t>
            </w:r>
            <w:r w:rsidRPr="005562F0">
              <w:rPr>
                <w:rFonts w:ascii="Calibri" w:eastAsia="Calibri" w:hAnsi="Calibri" w:cs="Source Sans Pro SemiBold"/>
                <w:bCs/>
                <w:color w:val="000000"/>
                <w:sz w:val="18"/>
                <w:szCs w:val="18"/>
              </w:rPr>
              <w:t>)</w:t>
            </w:r>
          </w:p>
        </w:tc>
        <w:tc>
          <w:tcPr>
            <w:tcW w:w="1701" w:type="dxa"/>
          </w:tcPr>
          <w:p w14:paraId="1CB5660A" w14:textId="5A6E5B22" w:rsidR="001016EE" w:rsidRPr="005562F0"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5562F0">
              <w:rPr>
                <w:rFonts w:ascii="Calibri" w:eastAsia="Calibri" w:hAnsi="Calibri" w:cs="Source Sans Pro Light"/>
                <w:color w:val="000000"/>
                <w:sz w:val="18"/>
                <w:szCs w:val="18"/>
              </w:rPr>
              <w:t>(4,</w:t>
            </w:r>
            <w:r w:rsidR="00F6155C" w:rsidRPr="005562F0">
              <w:rPr>
                <w:rFonts w:ascii="Calibri" w:eastAsia="Calibri" w:hAnsi="Calibri" w:cs="Source Sans Pro Light"/>
                <w:color w:val="000000"/>
                <w:sz w:val="18"/>
                <w:szCs w:val="18"/>
              </w:rPr>
              <w:t>857</w:t>
            </w:r>
            <w:r w:rsidRPr="005562F0">
              <w:rPr>
                <w:rFonts w:ascii="Calibri" w:eastAsia="Calibri" w:hAnsi="Calibri" w:cs="Source Sans Pro Light"/>
                <w:color w:val="000000"/>
                <w:sz w:val="18"/>
                <w:szCs w:val="18"/>
              </w:rPr>
              <w:t xml:space="preserve">) </w:t>
            </w:r>
          </w:p>
        </w:tc>
        <w:tc>
          <w:tcPr>
            <w:tcW w:w="1701" w:type="dxa"/>
          </w:tcPr>
          <w:p w14:paraId="76183FD5" w14:textId="6FBE04F8"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w:t>
            </w:r>
            <w:r w:rsidR="00F6155C" w:rsidRPr="005562F0">
              <w:rPr>
                <w:rFonts w:ascii="Calibri" w:eastAsia="Calibri" w:hAnsi="Calibri" w:cs="Source Sans Pro SemiBold"/>
                <w:bCs/>
                <w:color w:val="000000"/>
                <w:sz w:val="18"/>
                <w:szCs w:val="18"/>
              </w:rPr>
              <w:t>4,365</w:t>
            </w:r>
            <w:r w:rsidRPr="005562F0">
              <w:rPr>
                <w:rFonts w:ascii="Calibri" w:eastAsia="Calibri" w:hAnsi="Calibri" w:cs="Source Sans Pro SemiBold"/>
                <w:bCs/>
                <w:color w:val="000000"/>
                <w:sz w:val="18"/>
                <w:szCs w:val="18"/>
              </w:rPr>
              <w:t>)</w:t>
            </w:r>
          </w:p>
        </w:tc>
      </w:tr>
      <w:tr w:rsidR="001016EE" w:rsidRPr="001016EE" w14:paraId="5C60EFEA" w14:textId="77777777" w:rsidTr="00B95D0C">
        <w:trPr>
          <w:trHeight w:val="283"/>
        </w:trPr>
        <w:tc>
          <w:tcPr>
            <w:tcW w:w="3402" w:type="dxa"/>
          </w:tcPr>
          <w:p w14:paraId="44284FCB"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Supplies and Services </w:t>
            </w:r>
          </w:p>
        </w:tc>
        <w:tc>
          <w:tcPr>
            <w:tcW w:w="850" w:type="dxa"/>
          </w:tcPr>
          <w:p w14:paraId="5989ED92"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10 </w:t>
            </w:r>
          </w:p>
        </w:tc>
        <w:tc>
          <w:tcPr>
            <w:tcW w:w="1701" w:type="dxa"/>
            <w:tcBorders>
              <w:bottom w:val="single" w:sz="4" w:space="0" w:color="auto"/>
            </w:tcBorders>
          </w:tcPr>
          <w:p w14:paraId="1B6BD72D" w14:textId="43538814"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w:t>
            </w:r>
            <w:r w:rsidR="00641FAE" w:rsidRPr="005562F0">
              <w:rPr>
                <w:rFonts w:ascii="Calibri" w:eastAsia="Calibri" w:hAnsi="Calibri" w:cs="Source Sans Pro SemiBold"/>
                <w:bCs/>
                <w:color w:val="000000"/>
                <w:sz w:val="18"/>
                <w:szCs w:val="18"/>
              </w:rPr>
              <w:t>1,393</w:t>
            </w:r>
            <w:r w:rsidRPr="005562F0">
              <w:rPr>
                <w:rFonts w:ascii="Calibri" w:eastAsia="Calibri" w:hAnsi="Calibri" w:cs="Source Sans Pro SemiBold"/>
                <w:bCs/>
                <w:color w:val="000000"/>
                <w:sz w:val="18"/>
                <w:szCs w:val="18"/>
              </w:rPr>
              <w:t>)</w:t>
            </w:r>
          </w:p>
        </w:tc>
        <w:tc>
          <w:tcPr>
            <w:tcW w:w="1701" w:type="dxa"/>
            <w:tcBorders>
              <w:bottom w:val="single" w:sz="4" w:space="0" w:color="auto"/>
            </w:tcBorders>
          </w:tcPr>
          <w:p w14:paraId="132AAAB9" w14:textId="29D2A34C" w:rsidR="001016EE" w:rsidRPr="005562F0"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5562F0">
              <w:rPr>
                <w:rFonts w:ascii="Calibri" w:eastAsia="Calibri" w:hAnsi="Calibri" w:cs="Source Sans Pro Light"/>
                <w:color w:val="000000"/>
                <w:sz w:val="18"/>
                <w:szCs w:val="18"/>
              </w:rPr>
              <w:t>(</w:t>
            </w:r>
            <w:r w:rsidR="00F6155C" w:rsidRPr="005562F0">
              <w:rPr>
                <w:rFonts w:ascii="Calibri" w:eastAsia="Calibri" w:hAnsi="Calibri" w:cs="Source Sans Pro Light"/>
                <w:color w:val="000000"/>
                <w:sz w:val="18"/>
                <w:szCs w:val="18"/>
              </w:rPr>
              <w:t>2,281</w:t>
            </w:r>
            <w:r w:rsidRPr="005562F0">
              <w:rPr>
                <w:rFonts w:ascii="Calibri" w:eastAsia="Calibri" w:hAnsi="Calibri" w:cs="Source Sans Pro Light"/>
                <w:color w:val="000000"/>
                <w:sz w:val="18"/>
                <w:szCs w:val="18"/>
              </w:rPr>
              <w:t xml:space="preserve">) </w:t>
            </w:r>
          </w:p>
        </w:tc>
        <w:tc>
          <w:tcPr>
            <w:tcW w:w="1701" w:type="dxa"/>
            <w:tcBorders>
              <w:bottom w:val="single" w:sz="4" w:space="0" w:color="auto"/>
            </w:tcBorders>
          </w:tcPr>
          <w:p w14:paraId="66E438B9" w14:textId="3C58329D"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(1,4</w:t>
            </w:r>
            <w:r w:rsidR="00F6155C" w:rsidRPr="005562F0">
              <w:rPr>
                <w:rFonts w:ascii="Calibri" w:eastAsia="Calibri" w:hAnsi="Calibri" w:cs="Source Sans Pro SemiBold"/>
                <w:bCs/>
                <w:color w:val="000000"/>
                <w:sz w:val="18"/>
                <w:szCs w:val="18"/>
              </w:rPr>
              <w:t>79</w:t>
            </w:r>
            <w:r w:rsidRPr="005562F0">
              <w:rPr>
                <w:rFonts w:ascii="Calibri" w:eastAsia="Calibri" w:hAnsi="Calibri" w:cs="Source Sans Pro SemiBold"/>
                <w:bCs/>
                <w:color w:val="000000"/>
                <w:sz w:val="18"/>
                <w:szCs w:val="18"/>
              </w:rPr>
              <w:t>)</w:t>
            </w:r>
          </w:p>
        </w:tc>
      </w:tr>
      <w:tr w:rsidR="001016EE" w:rsidRPr="001016EE" w14:paraId="5DC48675" w14:textId="77777777" w:rsidTr="00B95D0C">
        <w:trPr>
          <w:trHeight w:val="283"/>
        </w:trPr>
        <w:tc>
          <w:tcPr>
            <w:tcW w:w="3402" w:type="dxa"/>
          </w:tcPr>
          <w:p w14:paraId="0DE0D4A1"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0549D831"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CF79003" w14:textId="2D3F3AEB"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w:t>
            </w:r>
            <w:r w:rsidR="00641FAE" w:rsidRPr="005562F0">
              <w:rPr>
                <w:rFonts w:ascii="Calibri" w:eastAsia="Calibri" w:hAnsi="Calibri" w:cs="Source Sans Pro SemiBold"/>
                <w:bCs/>
                <w:color w:val="000000"/>
                <w:sz w:val="18"/>
                <w:szCs w:val="18"/>
              </w:rPr>
              <w:t>6,061</w:t>
            </w:r>
            <w:r w:rsidRPr="005562F0">
              <w:rPr>
                <w:rFonts w:ascii="Calibri" w:eastAsia="Calibri" w:hAnsi="Calibri" w:cs="Source Sans Pro SemiBold"/>
                <w:bCs/>
                <w:color w:val="000000"/>
                <w:sz w:val="18"/>
                <w:szCs w:val="18"/>
              </w:rPr>
              <w:t>)</w:t>
            </w:r>
          </w:p>
        </w:tc>
        <w:tc>
          <w:tcPr>
            <w:tcW w:w="1701" w:type="dxa"/>
            <w:tcBorders>
              <w:top w:val="single" w:sz="4" w:space="0" w:color="auto"/>
              <w:bottom w:val="single" w:sz="4" w:space="0" w:color="auto"/>
            </w:tcBorders>
          </w:tcPr>
          <w:p w14:paraId="405CB67B" w14:textId="567E21F1" w:rsidR="001016EE" w:rsidRPr="005562F0"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r w:rsidRPr="005562F0">
              <w:rPr>
                <w:rFonts w:ascii="Calibri" w:eastAsia="Calibri" w:hAnsi="Calibri" w:cs="Source Sans Pro Light"/>
                <w:color w:val="000000"/>
                <w:sz w:val="18"/>
                <w:szCs w:val="18"/>
              </w:rPr>
              <w:t>(</w:t>
            </w:r>
            <w:r w:rsidR="00F6155C" w:rsidRPr="005562F0">
              <w:rPr>
                <w:rFonts w:ascii="Calibri" w:eastAsia="Calibri" w:hAnsi="Calibri" w:cs="Source Sans Pro Light"/>
                <w:color w:val="000000"/>
                <w:sz w:val="18"/>
                <w:szCs w:val="18"/>
              </w:rPr>
              <w:t>7,138</w:t>
            </w:r>
            <w:r w:rsidRPr="005562F0">
              <w:rPr>
                <w:rFonts w:ascii="Calibri" w:eastAsia="Calibri" w:hAnsi="Calibri" w:cs="Source Sans Pro Light"/>
                <w:color w:val="000000"/>
                <w:sz w:val="18"/>
                <w:szCs w:val="18"/>
              </w:rPr>
              <w:t>)</w:t>
            </w:r>
          </w:p>
        </w:tc>
        <w:tc>
          <w:tcPr>
            <w:tcW w:w="1701" w:type="dxa"/>
            <w:tcBorders>
              <w:top w:val="single" w:sz="4" w:space="0" w:color="auto"/>
              <w:bottom w:val="single" w:sz="4" w:space="0" w:color="auto"/>
            </w:tcBorders>
          </w:tcPr>
          <w:p w14:paraId="3FD15C08" w14:textId="251D3A4D" w:rsidR="001016EE" w:rsidRPr="005562F0"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5562F0">
              <w:rPr>
                <w:rFonts w:ascii="Calibri" w:eastAsia="Calibri" w:hAnsi="Calibri" w:cs="Source Sans Pro SemiBold"/>
                <w:bCs/>
                <w:color w:val="000000"/>
                <w:sz w:val="18"/>
                <w:szCs w:val="18"/>
              </w:rPr>
              <w:t>(</w:t>
            </w:r>
            <w:r w:rsidR="005562F0" w:rsidRPr="005562F0">
              <w:rPr>
                <w:rFonts w:ascii="Calibri" w:eastAsia="Calibri" w:hAnsi="Calibri" w:cs="Source Sans Pro SemiBold"/>
                <w:bCs/>
                <w:color w:val="000000"/>
                <w:sz w:val="18"/>
                <w:szCs w:val="18"/>
              </w:rPr>
              <w:t>5,844</w:t>
            </w:r>
            <w:r w:rsidRPr="005562F0">
              <w:rPr>
                <w:rFonts w:ascii="Calibri" w:eastAsia="Calibri" w:hAnsi="Calibri" w:cs="Source Sans Pro SemiBold"/>
                <w:bCs/>
                <w:color w:val="000000"/>
                <w:sz w:val="18"/>
                <w:szCs w:val="18"/>
              </w:rPr>
              <w:t>)</w:t>
            </w:r>
          </w:p>
        </w:tc>
      </w:tr>
      <w:tr w:rsidR="001016EE" w:rsidRPr="001016EE" w14:paraId="61341EE7" w14:textId="77777777" w:rsidTr="00B95D0C">
        <w:trPr>
          <w:trHeight w:val="283"/>
        </w:trPr>
        <w:tc>
          <w:tcPr>
            <w:tcW w:w="3402" w:type="dxa"/>
          </w:tcPr>
          <w:p w14:paraId="57671164"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28130FD5"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E53246F"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c>
          <w:tcPr>
            <w:tcW w:w="1701" w:type="dxa"/>
            <w:tcBorders>
              <w:top w:val="single" w:sz="4" w:space="0" w:color="auto"/>
              <w:bottom w:val="single" w:sz="4" w:space="0" w:color="auto"/>
            </w:tcBorders>
          </w:tcPr>
          <w:p w14:paraId="56A9B028"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bottom w:val="single" w:sz="4" w:space="0" w:color="auto"/>
            </w:tcBorders>
          </w:tcPr>
          <w:p w14:paraId="46D7D5DB" w14:textId="77777777" w:rsidR="001016EE" w:rsidRPr="00622385"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r>
      <w:tr w:rsidR="001016EE" w:rsidRPr="001016EE" w14:paraId="6DFE845B" w14:textId="77777777" w:rsidTr="00B95D0C">
        <w:trPr>
          <w:trHeight w:val="283"/>
        </w:trPr>
        <w:tc>
          <w:tcPr>
            <w:tcW w:w="3402" w:type="dxa"/>
          </w:tcPr>
          <w:p w14:paraId="279276C9"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Operating Result</w:t>
            </w:r>
          </w:p>
        </w:tc>
        <w:tc>
          <w:tcPr>
            <w:tcW w:w="850" w:type="dxa"/>
          </w:tcPr>
          <w:p w14:paraId="38E3C1F4"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14948BAE" w14:textId="2ACC8BCA" w:rsidR="001016EE" w:rsidRPr="00E31A52" w:rsidRDefault="00E31A52"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31A52">
              <w:rPr>
                <w:rFonts w:ascii="Calibri" w:eastAsia="Calibri" w:hAnsi="Calibri" w:cs="Source Sans Pro SemiBold"/>
                <w:b/>
                <w:color w:val="000000"/>
                <w:sz w:val="18"/>
                <w:szCs w:val="18"/>
              </w:rPr>
              <w:t>17,214</w:t>
            </w:r>
          </w:p>
        </w:tc>
        <w:tc>
          <w:tcPr>
            <w:tcW w:w="1701" w:type="dxa"/>
            <w:tcBorders>
              <w:top w:val="single" w:sz="4" w:space="0" w:color="auto"/>
              <w:bottom w:val="single" w:sz="4" w:space="0" w:color="auto"/>
            </w:tcBorders>
          </w:tcPr>
          <w:p w14:paraId="21BF441E" w14:textId="77DB9364" w:rsidR="001016EE" w:rsidRPr="00E31A52" w:rsidRDefault="00E31A52" w:rsidP="001016EE">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E31A52">
              <w:rPr>
                <w:rFonts w:ascii="Calibri" w:eastAsia="Calibri" w:hAnsi="Calibri" w:cs="Source Sans Pro Light"/>
                <w:b/>
                <w:color w:val="000000"/>
                <w:sz w:val="18"/>
                <w:szCs w:val="18"/>
              </w:rPr>
              <w:t>2,712</w:t>
            </w:r>
          </w:p>
        </w:tc>
        <w:tc>
          <w:tcPr>
            <w:tcW w:w="1701" w:type="dxa"/>
            <w:tcBorders>
              <w:top w:val="single" w:sz="4" w:space="0" w:color="auto"/>
              <w:bottom w:val="single" w:sz="4" w:space="0" w:color="auto"/>
            </w:tcBorders>
          </w:tcPr>
          <w:p w14:paraId="41A4E553" w14:textId="6F054CF7" w:rsidR="001016EE" w:rsidRPr="00E31A52"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31A52">
              <w:rPr>
                <w:rFonts w:ascii="Calibri" w:eastAsia="Calibri" w:hAnsi="Calibri" w:cs="Source Sans Pro SemiBold"/>
                <w:b/>
                <w:color w:val="000000"/>
                <w:sz w:val="18"/>
                <w:szCs w:val="18"/>
              </w:rPr>
              <w:t>(</w:t>
            </w:r>
            <w:r w:rsidR="00E31A52" w:rsidRPr="00E31A52">
              <w:rPr>
                <w:rFonts w:ascii="Calibri" w:eastAsia="Calibri" w:hAnsi="Calibri" w:cs="Source Sans Pro SemiBold"/>
                <w:b/>
                <w:color w:val="000000"/>
                <w:sz w:val="18"/>
                <w:szCs w:val="18"/>
              </w:rPr>
              <w:t>36,320</w:t>
            </w:r>
            <w:r w:rsidRPr="00E31A52">
              <w:rPr>
                <w:rFonts w:ascii="Calibri" w:eastAsia="Calibri" w:hAnsi="Calibri" w:cs="Source Sans Pro SemiBold"/>
                <w:b/>
                <w:color w:val="000000"/>
                <w:sz w:val="18"/>
                <w:szCs w:val="18"/>
              </w:rPr>
              <w:t>)</w:t>
            </w:r>
          </w:p>
        </w:tc>
      </w:tr>
      <w:tr w:rsidR="001016EE" w:rsidRPr="001016EE" w14:paraId="1B5415BB" w14:textId="77777777" w:rsidTr="00B95D0C">
        <w:trPr>
          <w:trHeight w:val="283"/>
        </w:trPr>
        <w:tc>
          <w:tcPr>
            <w:tcW w:w="3402" w:type="dxa"/>
          </w:tcPr>
          <w:p w14:paraId="582883C7"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255458B7"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2FDC1BC7" w14:textId="77777777" w:rsidR="001016EE" w:rsidRPr="00E31A52"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701" w:type="dxa"/>
            <w:tcBorders>
              <w:top w:val="single" w:sz="4" w:space="0" w:color="auto"/>
              <w:bottom w:val="single" w:sz="4" w:space="0" w:color="auto"/>
            </w:tcBorders>
          </w:tcPr>
          <w:p w14:paraId="2A227D15" w14:textId="77777777" w:rsidR="001016EE" w:rsidRPr="00E31A52" w:rsidRDefault="001016EE" w:rsidP="001016EE">
            <w:pPr>
              <w:autoSpaceDE w:val="0"/>
              <w:autoSpaceDN w:val="0"/>
              <w:adjustRightInd w:val="0"/>
              <w:spacing w:before="40" w:after="40" w:line="240" w:lineRule="auto"/>
              <w:jc w:val="right"/>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082555AA" w14:textId="77777777" w:rsidR="001016EE" w:rsidRPr="00E31A52" w:rsidRDefault="001016EE" w:rsidP="001016EE">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r>
      <w:tr w:rsidR="001016EE" w:rsidRPr="001016EE" w14:paraId="6BE03B8C" w14:textId="77777777" w:rsidTr="00783960">
        <w:trPr>
          <w:trHeight w:val="283"/>
        </w:trPr>
        <w:tc>
          <w:tcPr>
            <w:tcW w:w="3402" w:type="dxa"/>
            <w:tcBorders>
              <w:top w:val="nil"/>
              <w:left w:val="nil"/>
              <w:bottom w:val="single" w:sz="12" w:space="0" w:color="492581" w:themeColor="accent1"/>
            </w:tcBorders>
          </w:tcPr>
          <w:p w14:paraId="03D2588A" w14:textId="77777777" w:rsidR="001016EE" w:rsidRPr="001016EE" w:rsidRDefault="001016EE" w:rsidP="001016EE">
            <w:pPr>
              <w:autoSpaceDE w:val="0"/>
              <w:autoSpaceDN w:val="0"/>
              <w:adjustRightInd w:val="0"/>
              <w:spacing w:before="40" w:after="40" w:line="240" w:lineRule="auto"/>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t>Total Comprehensive Result</w:t>
            </w:r>
          </w:p>
        </w:tc>
        <w:tc>
          <w:tcPr>
            <w:tcW w:w="850" w:type="dxa"/>
            <w:tcBorders>
              <w:top w:val="nil"/>
              <w:bottom w:val="single" w:sz="12" w:space="0" w:color="492581" w:themeColor="accent1"/>
            </w:tcBorders>
          </w:tcPr>
          <w:p w14:paraId="379B630D" w14:textId="77777777" w:rsidR="001016EE" w:rsidRPr="001016EE" w:rsidRDefault="001016EE" w:rsidP="001016EE">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nil"/>
              <w:bottom w:val="single" w:sz="12" w:space="0" w:color="492581" w:themeColor="accent1"/>
            </w:tcBorders>
          </w:tcPr>
          <w:p w14:paraId="5F33B70C" w14:textId="58E80E21" w:rsidR="001016EE" w:rsidRPr="00E31A52" w:rsidRDefault="00E31A52"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31A52">
              <w:rPr>
                <w:rFonts w:ascii="Calibri" w:eastAsia="Calibri" w:hAnsi="Calibri" w:cs="Source Sans Pro SemiBold"/>
                <w:b/>
                <w:color w:val="000000"/>
                <w:sz w:val="18"/>
                <w:szCs w:val="18"/>
              </w:rPr>
              <w:t>17,214</w:t>
            </w:r>
          </w:p>
        </w:tc>
        <w:tc>
          <w:tcPr>
            <w:tcW w:w="1701" w:type="dxa"/>
            <w:tcBorders>
              <w:top w:val="nil"/>
              <w:bottom w:val="single" w:sz="12" w:space="0" w:color="492581" w:themeColor="accent1"/>
            </w:tcBorders>
          </w:tcPr>
          <w:p w14:paraId="5E023295" w14:textId="6F60FA8D" w:rsidR="001016EE" w:rsidRPr="00E31A52" w:rsidRDefault="00E31A52" w:rsidP="001016EE">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E31A52">
              <w:rPr>
                <w:rFonts w:ascii="Calibri" w:eastAsia="Calibri" w:hAnsi="Calibri" w:cs="Source Sans Pro Light"/>
                <w:b/>
                <w:color w:val="000000"/>
                <w:sz w:val="18"/>
                <w:szCs w:val="18"/>
              </w:rPr>
              <w:t>2,712</w:t>
            </w:r>
          </w:p>
        </w:tc>
        <w:tc>
          <w:tcPr>
            <w:tcW w:w="1701" w:type="dxa"/>
            <w:tcBorders>
              <w:top w:val="nil"/>
              <w:bottom w:val="single" w:sz="12" w:space="0" w:color="492581" w:themeColor="accent1"/>
              <w:right w:val="nil"/>
            </w:tcBorders>
          </w:tcPr>
          <w:p w14:paraId="155B5533" w14:textId="70CD599E" w:rsidR="001016EE" w:rsidRPr="00E31A52" w:rsidRDefault="001016EE" w:rsidP="001016EE">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31A52">
              <w:rPr>
                <w:rFonts w:ascii="Calibri" w:eastAsia="Calibri" w:hAnsi="Calibri" w:cs="Source Sans Pro SemiBold"/>
                <w:b/>
                <w:color w:val="000000"/>
                <w:sz w:val="18"/>
                <w:szCs w:val="18"/>
              </w:rPr>
              <w:t>(</w:t>
            </w:r>
            <w:r w:rsidR="00E31A52" w:rsidRPr="00E31A52">
              <w:rPr>
                <w:rFonts w:ascii="Calibri" w:eastAsia="Calibri" w:hAnsi="Calibri" w:cs="Source Sans Pro SemiBold"/>
                <w:b/>
                <w:color w:val="000000"/>
                <w:sz w:val="18"/>
                <w:szCs w:val="18"/>
              </w:rPr>
              <w:t>36,320</w:t>
            </w:r>
            <w:r w:rsidRPr="00E31A52">
              <w:rPr>
                <w:rFonts w:ascii="Calibri" w:eastAsia="Calibri" w:hAnsi="Calibri" w:cs="Source Sans Pro SemiBold"/>
                <w:b/>
                <w:color w:val="000000"/>
                <w:sz w:val="18"/>
                <w:szCs w:val="18"/>
              </w:rPr>
              <w:t>)</w:t>
            </w:r>
          </w:p>
        </w:tc>
      </w:tr>
    </w:tbl>
    <w:p w14:paraId="142B9594" w14:textId="77777777" w:rsidR="00F047DE" w:rsidRPr="00F047DE" w:rsidRDefault="00F047DE" w:rsidP="00F047DE">
      <w:pPr>
        <w:spacing w:before="120" w:after="160" w:line="259" w:lineRule="auto"/>
        <w:rPr>
          <w:rFonts w:ascii="Calibri" w:eastAsia="Calibri" w:hAnsi="Calibri" w:cs="Times New Roman"/>
          <w:sz w:val="22"/>
          <w:szCs w:val="22"/>
        </w:rPr>
      </w:pPr>
      <w:r w:rsidRPr="00F047DE">
        <w:rPr>
          <w:rFonts w:ascii="Calibri" w:eastAsia="Calibri" w:hAnsi="Calibri" w:cs="Source Sans Pro Light"/>
          <w:i/>
          <w:iCs/>
          <w:color w:val="000000"/>
          <w:sz w:val="18"/>
          <w:szCs w:val="18"/>
        </w:rPr>
        <w:t>The above Operating Statement is to be read in conjunction with the accompanying notes.</w:t>
      </w:r>
    </w:p>
    <w:p w14:paraId="49A316E4" w14:textId="77777777" w:rsidR="00333FAE" w:rsidRDefault="00333FAE" w:rsidP="006E5206">
      <w:pPr>
        <w:rPr>
          <w:iCs/>
        </w:rPr>
        <w:sectPr w:rsidR="00333FAE" w:rsidSect="003109A8">
          <w:headerReference w:type="default" r:id="rId56"/>
          <w:pgSz w:w="11907" w:h="16840" w:code="9"/>
          <w:pgMar w:top="1418" w:right="1417" w:bottom="1701" w:left="1418" w:header="567" w:footer="255" w:gutter="0"/>
          <w:cols w:space="720"/>
          <w:docGrid w:linePitch="326"/>
        </w:sectPr>
      </w:pPr>
    </w:p>
    <w:tbl>
      <w:tblPr>
        <w:tblW w:w="9214" w:type="dxa"/>
        <w:tblInd w:w="-142" w:type="dxa"/>
        <w:tblBorders>
          <w:top w:val="nil"/>
          <w:left w:val="nil"/>
          <w:bottom w:val="nil"/>
          <w:right w:val="nil"/>
        </w:tblBorders>
        <w:tblLayout w:type="fixed"/>
        <w:tblLook w:val="0000" w:firstRow="0" w:lastRow="0" w:firstColumn="0" w:lastColumn="0" w:noHBand="0" w:noVBand="0"/>
      </w:tblPr>
      <w:tblGrid>
        <w:gridCol w:w="3403"/>
        <w:gridCol w:w="708"/>
        <w:gridCol w:w="1701"/>
        <w:gridCol w:w="1701"/>
        <w:gridCol w:w="1701"/>
      </w:tblGrid>
      <w:tr w:rsidR="007B445C" w:rsidRPr="007B445C" w14:paraId="50ABA11C" w14:textId="77777777" w:rsidTr="00334D9C">
        <w:trPr>
          <w:trHeight w:val="118"/>
        </w:trPr>
        <w:tc>
          <w:tcPr>
            <w:tcW w:w="3403" w:type="dxa"/>
            <w:tcBorders>
              <w:top w:val="single" w:sz="12" w:space="0" w:color="492581" w:themeColor="accent1"/>
              <w:bottom w:val="single" w:sz="12" w:space="0" w:color="492581" w:themeColor="accent1"/>
            </w:tcBorders>
          </w:tcPr>
          <w:p w14:paraId="06B8B435" w14:textId="77777777" w:rsidR="007B445C" w:rsidRPr="007B445C" w:rsidRDefault="007B445C" w:rsidP="007B445C">
            <w:pPr>
              <w:autoSpaceDE w:val="0"/>
              <w:autoSpaceDN w:val="0"/>
              <w:adjustRightInd w:val="0"/>
              <w:spacing w:after="100" w:line="240" w:lineRule="auto"/>
              <w:rPr>
                <w:rFonts w:ascii="Calibri" w:eastAsia="Calibri" w:hAnsi="Calibri" w:cs="Source Sans Pro Light"/>
                <w:color w:val="000000"/>
                <w:sz w:val="18"/>
                <w:szCs w:val="18"/>
              </w:rPr>
            </w:pPr>
          </w:p>
        </w:tc>
        <w:tc>
          <w:tcPr>
            <w:tcW w:w="708" w:type="dxa"/>
            <w:tcBorders>
              <w:top w:val="single" w:sz="12" w:space="0" w:color="492581" w:themeColor="accent1"/>
              <w:bottom w:val="single" w:sz="12" w:space="0" w:color="492581" w:themeColor="accent1"/>
            </w:tcBorders>
          </w:tcPr>
          <w:p w14:paraId="76E5FEFC" w14:textId="77777777" w:rsidR="007B445C" w:rsidRPr="007B445C" w:rsidRDefault="007B445C" w:rsidP="007B445C">
            <w:pPr>
              <w:autoSpaceDE w:val="0"/>
              <w:autoSpaceDN w:val="0"/>
              <w:adjustRightInd w:val="0"/>
              <w:spacing w:after="0" w:line="240" w:lineRule="auto"/>
              <w:jc w:val="center"/>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br/>
              <w:t>Note</w:t>
            </w:r>
            <w:r w:rsidRPr="007B445C">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7074106A" w14:textId="49693C07"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br/>
              <w:t>Actual</w:t>
            </w:r>
            <w:r w:rsidRPr="007B445C">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4</w:t>
            </w:r>
            <w:r w:rsidRPr="007B445C">
              <w:rPr>
                <w:rFonts w:ascii="Calibri" w:eastAsia="Calibri" w:hAnsi="Calibri" w:cs="Source Sans Pro SemiBold"/>
                <w:b/>
                <w:bCs/>
                <w:color w:val="000000"/>
                <w:sz w:val="18"/>
                <w:szCs w:val="18"/>
              </w:rPr>
              <w:t xml:space="preserve"> </w:t>
            </w:r>
          </w:p>
          <w:p w14:paraId="2FA6B0EA"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28DDC4F8" w14:textId="15D3E6D3"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t>Original</w:t>
            </w:r>
            <w:r w:rsidRPr="007B445C">
              <w:rPr>
                <w:rFonts w:ascii="Calibri" w:eastAsia="Calibri" w:hAnsi="Calibri" w:cs="Source Sans Pro SemiBold"/>
                <w:b/>
                <w:bCs/>
                <w:color w:val="000000"/>
                <w:sz w:val="18"/>
                <w:szCs w:val="18"/>
              </w:rPr>
              <w:br/>
              <w:t>Budget</w:t>
            </w:r>
            <w:r w:rsidRPr="007B445C">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4</w:t>
            </w:r>
            <w:r w:rsidRPr="007B445C">
              <w:rPr>
                <w:rFonts w:ascii="Calibri" w:eastAsia="Calibri" w:hAnsi="Calibri" w:cs="Source Sans Pro SemiBold"/>
                <w:b/>
                <w:bCs/>
                <w:color w:val="000000"/>
                <w:sz w:val="18"/>
                <w:szCs w:val="18"/>
              </w:rPr>
              <w:t xml:space="preserve"> </w:t>
            </w:r>
          </w:p>
          <w:p w14:paraId="5EDA2E44"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$’000</w:t>
            </w:r>
          </w:p>
        </w:tc>
        <w:tc>
          <w:tcPr>
            <w:tcW w:w="1701" w:type="dxa"/>
            <w:tcBorders>
              <w:top w:val="single" w:sz="12" w:space="0" w:color="492581" w:themeColor="accent1"/>
              <w:bottom w:val="single" w:sz="12" w:space="0" w:color="492581" w:themeColor="accent1"/>
            </w:tcBorders>
          </w:tcPr>
          <w:p w14:paraId="732DCE2D" w14:textId="3BC48C53" w:rsidR="007B445C" w:rsidRPr="007B445C" w:rsidRDefault="007B445C" w:rsidP="007B445C">
            <w:pPr>
              <w:autoSpaceDE w:val="0"/>
              <w:autoSpaceDN w:val="0"/>
              <w:adjustRightInd w:val="0"/>
              <w:spacing w:after="0" w:line="240" w:lineRule="auto"/>
              <w:jc w:val="right"/>
              <w:rPr>
                <w:rFonts w:ascii="Calibri" w:eastAsia="Calibri" w:hAnsi="Calibri" w:cs="Source Sans Pro SemiBold"/>
                <w:b/>
                <w:bCs/>
                <w:color w:val="000000"/>
                <w:sz w:val="18"/>
                <w:szCs w:val="18"/>
              </w:rPr>
            </w:pPr>
            <w:r w:rsidRPr="007B445C">
              <w:rPr>
                <w:rFonts w:ascii="Calibri" w:eastAsia="Calibri" w:hAnsi="Calibri" w:cs="Source Sans Pro SemiBold"/>
                <w:b/>
                <w:bCs/>
                <w:color w:val="000000"/>
                <w:sz w:val="18"/>
                <w:szCs w:val="18"/>
              </w:rPr>
              <w:br/>
              <w:t>Actual</w:t>
            </w:r>
            <w:r w:rsidRPr="007B445C">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3</w:t>
            </w:r>
            <w:r w:rsidRPr="007B445C">
              <w:rPr>
                <w:rFonts w:ascii="Calibri" w:eastAsia="Calibri" w:hAnsi="Calibri" w:cs="Source Sans Pro SemiBold"/>
                <w:b/>
                <w:bCs/>
                <w:color w:val="000000"/>
                <w:sz w:val="18"/>
                <w:szCs w:val="18"/>
              </w:rPr>
              <w:t xml:space="preserve"> </w:t>
            </w:r>
          </w:p>
          <w:p w14:paraId="3F4B8EA2" w14:textId="77777777" w:rsidR="007B445C" w:rsidRPr="007B445C" w:rsidRDefault="007B445C" w:rsidP="007B445C">
            <w:pPr>
              <w:autoSpaceDE w:val="0"/>
              <w:autoSpaceDN w:val="0"/>
              <w:adjustRightInd w:val="0"/>
              <w:spacing w:after="0" w:line="240" w:lineRule="auto"/>
              <w:jc w:val="right"/>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$’000</w:t>
            </w:r>
          </w:p>
        </w:tc>
      </w:tr>
      <w:tr w:rsidR="007B445C" w:rsidRPr="007B445C" w14:paraId="265F8A56" w14:textId="77777777" w:rsidTr="00334D9C">
        <w:trPr>
          <w:gridAfter w:val="4"/>
          <w:wAfter w:w="5811" w:type="dxa"/>
          <w:trHeight w:val="118"/>
        </w:trPr>
        <w:tc>
          <w:tcPr>
            <w:tcW w:w="3403" w:type="dxa"/>
          </w:tcPr>
          <w:p w14:paraId="63509B37" w14:textId="77777777" w:rsidR="007B445C" w:rsidRPr="007B445C" w:rsidRDefault="007B445C" w:rsidP="007B445C">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Current Assets</w:t>
            </w:r>
          </w:p>
        </w:tc>
      </w:tr>
      <w:tr w:rsidR="00D82622" w:rsidRPr="007B445C" w14:paraId="16347BF8" w14:textId="77777777" w:rsidTr="00334D9C">
        <w:trPr>
          <w:trHeight w:val="118"/>
        </w:trPr>
        <w:tc>
          <w:tcPr>
            <w:tcW w:w="3403" w:type="dxa"/>
          </w:tcPr>
          <w:p w14:paraId="3A4ADAA9" w14:textId="0D04F4CD" w:rsidR="00D82622" w:rsidRPr="007B445C" w:rsidRDefault="00D82622" w:rsidP="00EE2016">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Cash and </w:t>
            </w:r>
            <w:r>
              <w:rPr>
                <w:rFonts w:ascii="Calibri" w:eastAsia="Calibri" w:hAnsi="Calibri" w:cs="Source Sans Pro Light"/>
                <w:color w:val="000000"/>
                <w:sz w:val="18"/>
                <w:szCs w:val="18"/>
              </w:rPr>
              <w:t>Cash Equivalents</w:t>
            </w:r>
          </w:p>
        </w:tc>
        <w:tc>
          <w:tcPr>
            <w:tcW w:w="708" w:type="dxa"/>
          </w:tcPr>
          <w:p w14:paraId="64B361EE" w14:textId="125CE87A" w:rsidR="00D82622" w:rsidRPr="007B445C" w:rsidRDefault="00D82622" w:rsidP="00EE2016">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11</w:t>
            </w:r>
          </w:p>
        </w:tc>
        <w:tc>
          <w:tcPr>
            <w:tcW w:w="1701" w:type="dxa"/>
          </w:tcPr>
          <w:p w14:paraId="50C0CDD0" w14:textId="2E934A9F" w:rsidR="001656A0" w:rsidRPr="000E1803" w:rsidRDefault="00D82622" w:rsidP="00EE2016">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68,868</w:t>
            </w:r>
          </w:p>
        </w:tc>
        <w:tc>
          <w:tcPr>
            <w:tcW w:w="1701" w:type="dxa"/>
          </w:tcPr>
          <w:p w14:paraId="0FA4830D" w14:textId="1482AE23" w:rsidR="001656A0" w:rsidRPr="000E1803" w:rsidRDefault="00D82622" w:rsidP="00EE2016">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39,904</w:t>
            </w:r>
          </w:p>
        </w:tc>
        <w:tc>
          <w:tcPr>
            <w:tcW w:w="1701" w:type="dxa"/>
          </w:tcPr>
          <w:p w14:paraId="35443F13" w14:textId="00CDE0B6" w:rsidR="001656A0" w:rsidRPr="000E1803" w:rsidRDefault="00D82622" w:rsidP="00EE2016">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F54B71">
              <w:rPr>
                <w:rFonts w:cs="Source Sans Pro SemiBold"/>
                <w:bCs/>
                <w:color w:val="000000"/>
                <w:sz w:val="18"/>
                <w:szCs w:val="18"/>
              </w:rPr>
              <w:t>28,044</w:t>
            </w:r>
          </w:p>
        </w:tc>
      </w:tr>
      <w:tr w:rsidR="004852D8" w:rsidRPr="007B445C" w14:paraId="7D389429" w14:textId="77777777" w:rsidTr="00334D9C">
        <w:trPr>
          <w:trHeight w:val="118"/>
        </w:trPr>
        <w:tc>
          <w:tcPr>
            <w:tcW w:w="3403" w:type="dxa"/>
          </w:tcPr>
          <w:p w14:paraId="0109E88A" w14:textId="40DC204A" w:rsidR="004852D8" w:rsidRPr="007B445C" w:rsidRDefault="004852D8" w:rsidP="00D82622">
            <w:pPr>
              <w:autoSpaceDE w:val="0"/>
              <w:autoSpaceDN w:val="0"/>
              <w:adjustRightInd w:val="0"/>
              <w:spacing w:before="40" w:after="40" w:line="240" w:lineRule="auto"/>
              <w:rPr>
                <w:rFonts w:ascii="Calibri" w:eastAsia="Calibri" w:hAnsi="Calibri" w:cs="Source Sans Pro Light"/>
                <w:color w:val="000000"/>
                <w:sz w:val="18"/>
                <w:szCs w:val="18"/>
              </w:rPr>
            </w:pPr>
            <w:r>
              <w:rPr>
                <w:rFonts w:ascii="Calibri" w:eastAsia="Calibri" w:hAnsi="Calibri" w:cs="Source Sans Pro Light"/>
                <w:color w:val="000000"/>
                <w:sz w:val="18"/>
                <w:szCs w:val="18"/>
              </w:rPr>
              <w:t>Investments</w:t>
            </w:r>
          </w:p>
        </w:tc>
        <w:tc>
          <w:tcPr>
            <w:tcW w:w="708" w:type="dxa"/>
          </w:tcPr>
          <w:p w14:paraId="742AB0B9" w14:textId="46893512" w:rsidR="004852D8" w:rsidRPr="007B445C" w:rsidRDefault="001F5A0C"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r>
              <w:rPr>
                <w:rFonts w:ascii="Calibri" w:eastAsia="Calibri" w:hAnsi="Calibri" w:cs="Source Sans Pro Light"/>
                <w:color w:val="000000"/>
                <w:sz w:val="18"/>
                <w:szCs w:val="18"/>
              </w:rPr>
              <w:t>11</w:t>
            </w:r>
          </w:p>
        </w:tc>
        <w:tc>
          <w:tcPr>
            <w:tcW w:w="1701" w:type="dxa"/>
          </w:tcPr>
          <w:p w14:paraId="24CAAB10" w14:textId="5264701F" w:rsidR="004852D8" w:rsidRDefault="001F5A0C" w:rsidP="00D82622">
            <w:pPr>
              <w:autoSpaceDE w:val="0"/>
              <w:autoSpaceDN w:val="0"/>
              <w:adjustRightInd w:val="0"/>
              <w:spacing w:before="40" w:after="40" w:line="240" w:lineRule="auto"/>
              <w:jc w:val="right"/>
              <w:rPr>
                <w:rFonts w:cs="Source Sans Pro SemiBold"/>
                <w:bCs/>
                <w:color w:val="000000"/>
                <w:sz w:val="18"/>
                <w:szCs w:val="18"/>
              </w:rPr>
            </w:pPr>
            <w:r>
              <w:rPr>
                <w:rFonts w:cs="Source Sans Pro SemiBold"/>
                <w:bCs/>
                <w:color w:val="000000"/>
                <w:sz w:val="18"/>
                <w:szCs w:val="18"/>
              </w:rPr>
              <w:t>341,450</w:t>
            </w:r>
          </w:p>
        </w:tc>
        <w:tc>
          <w:tcPr>
            <w:tcW w:w="1701" w:type="dxa"/>
          </w:tcPr>
          <w:p w14:paraId="0E113B97" w14:textId="214229DD" w:rsidR="004852D8" w:rsidRDefault="001F5A0C" w:rsidP="00D82622">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353,776</w:t>
            </w:r>
          </w:p>
        </w:tc>
        <w:tc>
          <w:tcPr>
            <w:tcW w:w="1701" w:type="dxa"/>
          </w:tcPr>
          <w:p w14:paraId="4627BADD" w14:textId="1EC452D9" w:rsidR="004852D8" w:rsidRPr="00F54B71" w:rsidRDefault="001F5A0C" w:rsidP="00D82622">
            <w:pPr>
              <w:autoSpaceDE w:val="0"/>
              <w:autoSpaceDN w:val="0"/>
              <w:adjustRightInd w:val="0"/>
              <w:spacing w:before="40" w:after="40" w:line="240" w:lineRule="auto"/>
              <w:jc w:val="right"/>
              <w:rPr>
                <w:rFonts w:cs="Source Sans Pro SemiBold"/>
                <w:bCs/>
                <w:color w:val="000000"/>
                <w:sz w:val="18"/>
                <w:szCs w:val="18"/>
              </w:rPr>
            </w:pPr>
            <w:r>
              <w:rPr>
                <w:rFonts w:cs="Source Sans Pro SemiBold"/>
                <w:bCs/>
                <w:color w:val="000000"/>
                <w:sz w:val="18"/>
                <w:szCs w:val="18"/>
              </w:rPr>
              <w:t>350,879</w:t>
            </w:r>
          </w:p>
        </w:tc>
      </w:tr>
      <w:tr w:rsidR="00D82622" w:rsidRPr="007B445C" w14:paraId="63C022DE" w14:textId="77777777" w:rsidTr="00334D9C">
        <w:trPr>
          <w:trHeight w:val="118"/>
        </w:trPr>
        <w:tc>
          <w:tcPr>
            <w:tcW w:w="3403" w:type="dxa"/>
          </w:tcPr>
          <w:p w14:paraId="7684982E"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Receivables </w:t>
            </w:r>
          </w:p>
        </w:tc>
        <w:tc>
          <w:tcPr>
            <w:tcW w:w="708" w:type="dxa"/>
          </w:tcPr>
          <w:p w14:paraId="57CF1AAA" w14:textId="77777777"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12</w:t>
            </w:r>
          </w:p>
        </w:tc>
        <w:tc>
          <w:tcPr>
            <w:tcW w:w="1701" w:type="dxa"/>
          </w:tcPr>
          <w:p w14:paraId="3F3ED2A2" w14:textId="628D5FE0" w:rsidR="00D82622" w:rsidRPr="00F27672" w:rsidRDefault="00657ABC"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F27672">
              <w:rPr>
                <w:rFonts w:ascii="Calibri" w:eastAsia="Calibri" w:hAnsi="Calibri" w:cs="Source Sans Pro Light"/>
                <w:color w:val="000000"/>
                <w:sz w:val="18"/>
                <w:szCs w:val="18"/>
              </w:rPr>
              <w:t>5,877</w:t>
            </w:r>
          </w:p>
        </w:tc>
        <w:tc>
          <w:tcPr>
            <w:tcW w:w="1701" w:type="dxa"/>
          </w:tcPr>
          <w:p w14:paraId="682379C0" w14:textId="6E1EBC8D" w:rsidR="00D82622" w:rsidRPr="00F27672" w:rsidRDefault="00657ABC" w:rsidP="00D82622">
            <w:pPr>
              <w:autoSpaceDE w:val="0"/>
              <w:autoSpaceDN w:val="0"/>
              <w:adjustRightInd w:val="0"/>
              <w:spacing w:before="40" w:after="40" w:line="240" w:lineRule="auto"/>
              <w:jc w:val="right"/>
              <w:rPr>
                <w:rFonts w:ascii="Calibri" w:eastAsia="Calibri" w:hAnsi="Calibri" w:cs="Source Sans Pro Light"/>
                <w:color w:val="000000"/>
                <w:sz w:val="18"/>
                <w:szCs w:val="18"/>
              </w:rPr>
            </w:pPr>
            <w:r w:rsidRPr="00F27672">
              <w:rPr>
                <w:rFonts w:ascii="Calibri" w:eastAsia="Calibri" w:hAnsi="Calibri" w:cs="Source Sans Pro Light"/>
                <w:color w:val="000000"/>
                <w:sz w:val="18"/>
                <w:szCs w:val="18"/>
              </w:rPr>
              <w:t>3,</w:t>
            </w:r>
            <w:r w:rsidR="00F27672" w:rsidRPr="00F27672">
              <w:rPr>
                <w:rFonts w:ascii="Calibri" w:eastAsia="Calibri" w:hAnsi="Calibri" w:cs="Source Sans Pro Light"/>
                <w:color w:val="000000"/>
                <w:sz w:val="18"/>
                <w:szCs w:val="18"/>
              </w:rPr>
              <w:t>674</w:t>
            </w:r>
            <w:r w:rsidR="00D82622" w:rsidRPr="00F27672">
              <w:rPr>
                <w:rFonts w:ascii="Calibri" w:eastAsia="Calibri" w:hAnsi="Calibri" w:cs="Source Sans Pro Light"/>
                <w:color w:val="000000"/>
                <w:sz w:val="18"/>
                <w:szCs w:val="18"/>
              </w:rPr>
              <w:t xml:space="preserve"> </w:t>
            </w:r>
          </w:p>
        </w:tc>
        <w:tc>
          <w:tcPr>
            <w:tcW w:w="1701" w:type="dxa"/>
          </w:tcPr>
          <w:p w14:paraId="34029FFB" w14:textId="5F7FC0FD" w:rsidR="00D82622" w:rsidRPr="0062256C" w:rsidRDefault="00D82622"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62256C">
              <w:rPr>
                <w:rFonts w:ascii="Calibri" w:eastAsia="Calibri" w:hAnsi="Calibri" w:cs="Source Sans Pro SemiBold"/>
                <w:bCs/>
                <w:color w:val="000000"/>
                <w:sz w:val="18"/>
                <w:szCs w:val="18"/>
              </w:rPr>
              <w:t>3,1</w:t>
            </w:r>
            <w:r w:rsidR="00F27672" w:rsidRPr="0062256C">
              <w:rPr>
                <w:rFonts w:ascii="Calibri" w:eastAsia="Calibri" w:hAnsi="Calibri" w:cs="Source Sans Pro SemiBold"/>
                <w:bCs/>
                <w:color w:val="000000"/>
                <w:sz w:val="18"/>
                <w:szCs w:val="18"/>
              </w:rPr>
              <w:t>00</w:t>
            </w:r>
          </w:p>
        </w:tc>
      </w:tr>
      <w:tr w:rsidR="00D82622" w:rsidRPr="007B445C" w14:paraId="75CFA31A" w14:textId="77777777" w:rsidTr="00334D9C">
        <w:trPr>
          <w:trHeight w:val="118"/>
        </w:trPr>
        <w:tc>
          <w:tcPr>
            <w:tcW w:w="3403" w:type="dxa"/>
          </w:tcPr>
          <w:p w14:paraId="5D0691D0"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Claims Related Recoveries</w:t>
            </w:r>
          </w:p>
        </w:tc>
        <w:tc>
          <w:tcPr>
            <w:tcW w:w="708" w:type="dxa"/>
          </w:tcPr>
          <w:p w14:paraId="6014B95E" w14:textId="77777777"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16183F11" w14:textId="7BD9FE6D" w:rsidR="00D82622" w:rsidRPr="00F27672" w:rsidRDefault="00657ABC"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F27672">
              <w:rPr>
                <w:rFonts w:ascii="Calibri" w:eastAsia="Calibri" w:hAnsi="Calibri" w:cs="Source Sans Pro SemiBold"/>
                <w:bCs/>
                <w:color w:val="000000"/>
                <w:sz w:val="18"/>
                <w:szCs w:val="18"/>
              </w:rPr>
              <w:t>22,831</w:t>
            </w:r>
          </w:p>
        </w:tc>
        <w:tc>
          <w:tcPr>
            <w:tcW w:w="1701" w:type="dxa"/>
          </w:tcPr>
          <w:p w14:paraId="3B382294" w14:textId="765267B7" w:rsidR="00D82622" w:rsidRPr="00F27672" w:rsidRDefault="00F27672" w:rsidP="00D82622">
            <w:pPr>
              <w:autoSpaceDE w:val="0"/>
              <w:autoSpaceDN w:val="0"/>
              <w:adjustRightInd w:val="0"/>
              <w:spacing w:before="40" w:after="40" w:line="240" w:lineRule="auto"/>
              <w:jc w:val="right"/>
              <w:rPr>
                <w:rFonts w:ascii="Calibri" w:eastAsia="Calibri" w:hAnsi="Calibri" w:cs="Source Sans Pro Light"/>
                <w:color w:val="000000"/>
                <w:sz w:val="18"/>
                <w:szCs w:val="18"/>
              </w:rPr>
            </w:pPr>
            <w:r w:rsidRPr="00F27672">
              <w:rPr>
                <w:rFonts w:ascii="Calibri" w:eastAsia="Calibri" w:hAnsi="Calibri" w:cs="Source Sans Pro Light"/>
                <w:color w:val="000000"/>
                <w:sz w:val="18"/>
                <w:szCs w:val="18"/>
              </w:rPr>
              <w:t>9,937</w:t>
            </w:r>
          </w:p>
        </w:tc>
        <w:tc>
          <w:tcPr>
            <w:tcW w:w="1701" w:type="dxa"/>
          </w:tcPr>
          <w:p w14:paraId="73935277" w14:textId="2B0C86C8" w:rsidR="00D82622" w:rsidRPr="0062256C" w:rsidRDefault="00F27672"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62256C">
              <w:rPr>
                <w:rFonts w:ascii="Calibri" w:eastAsia="Calibri" w:hAnsi="Calibri" w:cs="Source Sans Pro SemiBold"/>
                <w:bCs/>
                <w:color w:val="000000"/>
                <w:sz w:val="18"/>
                <w:szCs w:val="18"/>
              </w:rPr>
              <w:t>13,</w:t>
            </w:r>
            <w:r w:rsidR="0062256C" w:rsidRPr="0062256C">
              <w:rPr>
                <w:rFonts w:ascii="Calibri" w:eastAsia="Calibri" w:hAnsi="Calibri" w:cs="Source Sans Pro SemiBold"/>
                <w:bCs/>
                <w:color w:val="000000"/>
                <w:sz w:val="18"/>
                <w:szCs w:val="18"/>
              </w:rPr>
              <w:t>040</w:t>
            </w:r>
          </w:p>
        </w:tc>
      </w:tr>
      <w:tr w:rsidR="00D82622" w:rsidRPr="007B445C" w14:paraId="3CE86906" w14:textId="77777777" w:rsidTr="00334D9C">
        <w:trPr>
          <w:trHeight w:val="118"/>
        </w:trPr>
        <w:tc>
          <w:tcPr>
            <w:tcW w:w="3403" w:type="dxa"/>
          </w:tcPr>
          <w:p w14:paraId="39B110A9"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Prepayments</w:t>
            </w:r>
          </w:p>
        </w:tc>
        <w:tc>
          <w:tcPr>
            <w:tcW w:w="708" w:type="dxa"/>
          </w:tcPr>
          <w:p w14:paraId="58D8F2BE" w14:textId="4643AC3B"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r>
              <w:rPr>
                <w:rFonts w:ascii="Calibri" w:eastAsia="Calibri" w:hAnsi="Calibri" w:cs="Source Sans Pro Light"/>
                <w:color w:val="000000"/>
                <w:sz w:val="18"/>
                <w:szCs w:val="18"/>
              </w:rPr>
              <w:t>14</w:t>
            </w:r>
          </w:p>
        </w:tc>
        <w:tc>
          <w:tcPr>
            <w:tcW w:w="1701" w:type="dxa"/>
            <w:tcBorders>
              <w:bottom w:val="single" w:sz="2" w:space="0" w:color="auto"/>
            </w:tcBorders>
          </w:tcPr>
          <w:p w14:paraId="15E54A94" w14:textId="67BD8A58" w:rsidR="00D82622" w:rsidRPr="00F27672" w:rsidRDefault="00657ABC"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F27672">
              <w:rPr>
                <w:rFonts w:ascii="Calibri" w:eastAsia="Calibri" w:hAnsi="Calibri" w:cs="Source Sans Pro SemiBold"/>
                <w:bCs/>
                <w:color w:val="000000"/>
                <w:sz w:val="18"/>
                <w:szCs w:val="18"/>
              </w:rPr>
              <w:t>1488</w:t>
            </w:r>
          </w:p>
        </w:tc>
        <w:tc>
          <w:tcPr>
            <w:tcW w:w="1701" w:type="dxa"/>
            <w:tcBorders>
              <w:bottom w:val="single" w:sz="2" w:space="0" w:color="auto"/>
            </w:tcBorders>
          </w:tcPr>
          <w:p w14:paraId="186AC44B" w14:textId="13303F85" w:rsidR="00D82622" w:rsidRPr="00F27672" w:rsidRDefault="00657ABC" w:rsidP="00D82622">
            <w:pPr>
              <w:autoSpaceDE w:val="0"/>
              <w:autoSpaceDN w:val="0"/>
              <w:adjustRightInd w:val="0"/>
              <w:spacing w:before="40" w:after="40" w:line="240" w:lineRule="auto"/>
              <w:jc w:val="right"/>
              <w:rPr>
                <w:rFonts w:ascii="Calibri" w:eastAsia="Calibri" w:hAnsi="Calibri" w:cs="Source Sans Pro Light"/>
                <w:color w:val="000000"/>
                <w:sz w:val="18"/>
                <w:szCs w:val="18"/>
              </w:rPr>
            </w:pPr>
            <w:r w:rsidRPr="00F27672">
              <w:rPr>
                <w:rFonts w:ascii="Calibri" w:eastAsia="Calibri" w:hAnsi="Calibri" w:cs="Source Sans Pro Light"/>
                <w:color w:val="000000"/>
                <w:sz w:val="18"/>
                <w:szCs w:val="18"/>
              </w:rPr>
              <w:t>45</w:t>
            </w:r>
            <w:r w:rsidR="00D82622" w:rsidRPr="00F27672">
              <w:rPr>
                <w:rFonts w:ascii="Calibri" w:eastAsia="Calibri" w:hAnsi="Calibri" w:cs="Source Sans Pro Light"/>
                <w:color w:val="000000"/>
                <w:sz w:val="18"/>
                <w:szCs w:val="18"/>
              </w:rPr>
              <w:t xml:space="preserve"> </w:t>
            </w:r>
          </w:p>
        </w:tc>
        <w:tc>
          <w:tcPr>
            <w:tcW w:w="1701" w:type="dxa"/>
            <w:tcBorders>
              <w:bottom w:val="single" w:sz="2" w:space="0" w:color="auto"/>
            </w:tcBorders>
          </w:tcPr>
          <w:p w14:paraId="52F93162" w14:textId="19455A1F" w:rsidR="00D82622" w:rsidRPr="0062256C" w:rsidRDefault="00657ABC"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62256C">
              <w:rPr>
                <w:rFonts w:ascii="Calibri" w:eastAsia="Calibri" w:hAnsi="Calibri" w:cs="Source Sans Pro SemiBold"/>
                <w:bCs/>
                <w:color w:val="000000"/>
                <w:sz w:val="18"/>
                <w:szCs w:val="18"/>
              </w:rPr>
              <w:t>53</w:t>
            </w:r>
          </w:p>
        </w:tc>
      </w:tr>
      <w:tr w:rsidR="00D82622" w:rsidRPr="007B445C" w14:paraId="158E6F97" w14:textId="77777777" w:rsidTr="00334D9C">
        <w:trPr>
          <w:trHeight w:val="118"/>
        </w:trPr>
        <w:tc>
          <w:tcPr>
            <w:tcW w:w="3403" w:type="dxa"/>
          </w:tcPr>
          <w:p w14:paraId="3B11DEA7"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Total Current Assets</w:t>
            </w:r>
          </w:p>
        </w:tc>
        <w:tc>
          <w:tcPr>
            <w:tcW w:w="708" w:type="dxa"/>
          </w:tcPr>
          <w:p w14:paraId="37976D7B" w14:textId="77777777"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2" w:space="0" w:color="auto"/>
              <w:bottom w:val="single" w:sz="2" w:space="0" w:color="auto"/>
            </w:tcBorders>
            <w:shd w:val="clear" w:color="auto" w:fill="auto"/>
          </w:tcPr>
          <w:p w14:paraId="474FE618" w14:textId="79033775" w:rsidR="00D82622" w:rsidRPr="00AB42B3" w:rsidRDefault="00AB42B3"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AB42B3">
              <w:rPr>
                <w:rFonts w:ascii="Calibri" w:eastAsia="Calibri" w:hAnsi="Calibri" w:cs="Source Sans Pro SemiBold"/>
                <w:b/>
                <w:bCs/>
                <w:color w:val="000000"/>
                <w:sz w:val="18"/>
                <w:szCs w:val="18"/>
              </w:rPr>
              <w:t>440,514</w:t>
            </w:r>
          </w:p>
        </w:tc>
        <w:tc>
          <w:tcPr>
            <w:tcW w:w="1701" w:type="dxa"/>
            <w:tcBorders>
              <w:top w:val="single" w:sz="2" w:space="0" w:color="auto"/>
              <w:bottom w:val="single" w:sz="2" w:space="0" w:color="auto"/>
            </w:tcBorders>
            <w:shd w:val="clear" w:color="auto" w:fill="auto"/>
          </w:tcPr>
          <w:p w14:paraId="5F3AFB76" w14:textId="084523F2" w:rsidR="00D82622" w:rsidRPr="00AB42B3" w:rsidRDefault="00AB42B3" w:rsidP="00D82622">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AB42B3">
              <w:rPr>
                <w:rFonts w:ascii="Calibri" w:eastAsia="Calibri" w:hAnsi="Calibri" w:cs="Source Sans Pro Light"/>
                <w:b/>
                <w:bCs/>
                <w:color w:val="000000"/>
                <w:sz w:val="18"/>
                <w:szCs w:val="18"/>
              </w:rPr>
              <w:t>407,336</w:t>
            </w:r>
          </w:p>
        </w:tc>
        <w:tc>
          <w:tcPr>
            <w:tcW w:w="1701" w:type="dxa"/>
            <w:tcBorders>
              <w:top w:val="single" w:sz="2" w:space="0" w:color="auto"/>
              <w:bottom w:val="single" w:sz="2" w:space="0" w:color="auto"/>
            </w:tcBorders>
            <w:shd w:val="clear" w:color="auto" w:fill="auto"/>
          </w:tcPr>
          <w:p w14:paraId="74CDC86A" w14:textId="349D9EFE" w:rsidR="00D82622" w:rsidRPr="00AB42B3" w:rsidRDefault="00AB42B3"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AB42B3">
              <w:rPr>
                <w:rFonts w:ascii="Calibri" w:eastAsia="Calibri" w:hAnsi="Calibri" w:cs="Source Sans Pro SemiBold"/>
                <w:b/>
                <w:bCs/>
                <w:color w:val="000000"/>
                <w:sz w:val="18"/>
                <w:szCs w:val="18"/>
              </w:rPr>
              <w:t>395,116</w:t>
            </w:r>
          </w:p>
        </w:tc>
      </w:tr>
      <w:tr w:rsidR="00D82622" w:rsidRPr="000E1803" w14:paraId="1B62F73A" w14:textId="77777777" w:rsidTr="00334D9C">
        <w:trPr>
          <w:gridAfter w:val="4"/>
          <w:wAfter w:w="5811" w:type="dxa"/>
          <w:trHeight w:val="118"/>
        </w:trPr>
        <w:tc>
          <w:tcPr>
            <w:tcW w:w="3403" w:type="dxa"/>
          </w:tcPr>
          <w:p w14:paraId="145BA8AF"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Non-Current Assets</w:t>
            </w:r>
          </w:p>
        </w:tc>
      </w:tr>
      <w:tr w:rsidR="00D82622" w:rsidRPr="007B445C" w14:paraId="4AF8B4E2" w14:textId="77777777" w:rsidTr="00334D9C">
        <w:trPr>
          <w:trHeight w:val="118"/>
        </w:trPr>
        <w:tc>
          <w:tcPr>
            <w:tcW w:w="3403" w:type="dxa"/>
          </w:tcPr>
          <w:p w14:paraId="3EB321A5"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Fixed Assets </w:t>
            </w:r>
          </w:p>
        </w:tc>
        <w:tc>
          <w:tcPr>
            <w:tcW w:w="708" w:type="dxa"/>
          </w:tcPr>
          <w:p w14:paraId="791E8BE8" w14:textId="77777777"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23EA42BC" w14:textId="29C4DB00" w:rsidR="00D82622" w:rsidRPr="00390474" w:rsidRDefault="00257DC1"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390474">
              <w:rPr>
                <w:rFonts w:ascii="Calibri" w:eastAsia="Calibri" w:hAnsi="Calibri" w:cs="Source Sans Pro SemiBold"/>
                <w:bCs/>
                <w:color w:val="000000"/>
                <w:sz w:val="18"/>
                <w:szCs w:val="18"/>
              </w:rPr>
              <w:t>313</w:t>
            </w:r>
          </w:p>
        </w:tc>
        <w:tc>
          <w:tcPr>
            <w:tcW w:w="1701" w:type="dxa"/>
          </w:tcPr>
          <w:p w14:paraId="6D0EFF16" w14:textId="730FD178" w:rsidR="00D82622" w:rsidRPr="00390474" w:rsidRDefault="00257DC1" w:rsidP="00D82622">
            <w:pPr>
              <w:autoSpaceDE w:val="0"/>
              <w:autoSpaceDN w:val="0"/>
              <w:adjustRightInd w:val="0"/>
              <w:spacing w:before="40" w:after="40" w:line="240" w:lineRule="auto"/>
              <w:jc w:val="right"/>
              <w:rPr>
                <w:rFonts w:ascii="Calibri" w:eastAsia="Calibri" w:hAnsi="Calibri" w:cs="Source Sans Pro Light"/>
                <w:color w:val="000000"/>
                <w:sz w:val="18"/>
                <w:szCs w:val="18"/>
              </w:rPr>
            </w:pPr>
            <w:r w:rsidRPr="00390474">
              <w:rPr>
                <w:rFonts w:ascii="Calibri" w:eastAsia="Calibri" w:hAnsi="Calibri" w:cs="Source Sans Pro Light"/>
                <w:color w:val="000000"/>
                <w:sz w:val="18"/>
                <w:szCs w:val="18"/>
              </w:rPr>
              <w:t>338</w:t>
            </w:r>
          </w:p>
        </w:tc>
        <w:tc>
          <w:tcPr>
            <w:tcW w:w="1701" w:type="dxa"/>
          </w:tcPr>
          <w:p w14:paraId="735CD232" w14:textId="3F9C1CD5" w:rsidR="00D82622" w:rsidRPr="00390474" w:rsidRDefault="00257DC1"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390474">
              <w:rPr>
                <w:rFonts w:ascii="Calibri" w:eastAsia="Calibri" w:hAnsi="Calibri" w:cs="Source Sans Pro SemiBold"/>
                <w:bCs/>
                <w:color w:val="000000"/>
                <w:sz w:val="18"/>
                <w:szCs w:val="18"/>
              </w:rPr>
              <w:t>374</w:t>
            </w:r>
          </w:p>
        </w:tc>
      </w:tr>
      <w:tr w:rsidR="00D82622" w:rsidRPr="007B445C" w14:paraId="6914142C" w14:textId="77777777" w:rsidTr="00334D9C">
        <w:trPr>
          <w:trHeight w:val="118"/>
        </w:trPr>
        <w:tc>
          <w:tcPr>
            <w:tcW w:w="3403" w:type="dxa"/>
          </w:tcPr>
          <w:p w14:paraId="42403185"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Claims Related Recoveries </w:t>
            </w:r>
          </w:p>
        </w:tc>
        <w:tc>
          <w:tcPr>
            <w:tcW w:w="708" w:type="dxa"/>
          </w:tcPr>
          <w:p w14:paraId="33B898FA" w14:textId="77777777" w:rsidR="00D82622" w:rsidRPr="007B445C" w:rsidRDefault="00D82622" w:rsidP="00D82622">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4BD18A9B" w14:textId="36EB1B72" w:rsidR="00D82622" w:rsidRPr="00390474" w:rsidRDefault="00257DC1"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390474">
              <w:rPr>
                <w:rFonts w:ascii="Calibri" w:eastAsia="Calibri" w:hAnsi="Calibri" w:cs="Source Sans Pro SemiBold"/>
                <w:bCs/>
                <w:color w:val="000000"/>
                <w:sz w:val="18"/>
                <w:szCs w:val="18"/>
              </w:rPr>
              <w:t>35,565</w:t>
            </w:r>
          </w:p>
        </w:tc>
        <w:tc>
          <w:tcPr>
            <w:tcW w:w="1701" w:type="dxa"/>
          </w:tcPr>
          <w:p w14:paraId="40BF49B4" w14:textId="48129A8E" w:rsidR="00D82622" w:rsidRPr="00390474" w:rsidRDefault="00257DC1" w:rsidP="00D82622">
            <w:pPr>
              <w:autoSpaceDE w:val="0"/>
              <w:autoSpaceDN w:val="0"/>
              <w:adjustRightInd w:val="0"/>
              <w:spacing w:before="40" w:after="40" w:line="240" w:lineRule="auto"/>
              <w:jc w:val="right"/>
              <w:rPr>
                <w:rFonts w:ascii="Calibri" w:eastAsia="Calibri" w:hAnsi="Calibri" w:cs="Source Sans Pro Light"/>
                <w:color w:val="000000"/>
                <w:sz w:val="18"/>
                <w:szCs w:val="18"/>
              </w:rPr>
            </w:pPr>
            <w:r w:rsidRPr="00390474">
              <w:rPr>
                <w:rFonts w:ascii="Calibri" w:eastAsia="Calibri" w:hAnsi="Calibri" w:cs="Source Sans Pro Light"/>
                <w:color w:val="000000"/>
                <w:sz w:val="18"/>
                <w:szCs w:val="18"/>
              </w:rPr>
              <w:t>20,186</w:t>
            </w:r>
          </w:p>
        </w:tc>
        <w:tc>
          <w:tcPr>
            <w:tcW w:w="1701" w:type="dxa"/>
          </w:tcPr>
          <w:p w14:paraId="057B5FBA" w14:textId="2E33FE9E" w:rsidR="00D82622" w:rsidRPr="00390474" w:rsidRDefault="00257DC1" w:rsidP="00D82622">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390474">
              <w:rPr>
                <w:rFonts w:ascii="Calibri" w:eastAsia="Calibri" w:hAnsi="Calibri" w:cs="Source Sans Pro SemiBold"/>
                <w:bCs/>
                <w:color w:val="000000"/>
                <w:sz w:val="18"/>
                <w:szCs w:val="18"/>
              </w:rPr>
              <w:t>28,122</w:t>
            </w:r>
          </w:p>
        </w:tc>
      </w:tr>
      <w:tr w:rsidR="00D82622" w:rsidRPr="007B445C" w14:paraId="3FEDEB4C" w14:textId="77777777" w:rsidTr="00334D9C">
        <w:trPr>
          <w:trHeight w:val="118"/>
        </w:trPr>
        <w:tc>
          <w:tcPr>
            <w:tcW w:w="3403" w:type="dxa"/>
          </w:tcPr>
          <w:p w14:paraId="4256BF44"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Assets </w:t>
            </w:r>
          </w:p>
        </w:tc>
        <w:tc>
          <w:tcPr>
            <w:tcW w:w="708" w:type="dxa"/>
            <w:tcBorders>
              <w:bottom w:val="nil"/>
            </w:tcBorders>
          </w:tcPr>
          <w:p w14:paraId="14F46108" w14:textId="77777777" w:rsidR="00D82622" w:rsidRPr="007B445C" w:rsidRDefault="00D82622" w:rsidP="00D82622">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7E3B34C3" w14:textId="3DC12E75" w:rsidR="00D82622" w:rsidRPr="00390474" w:rsidRDefault="00390474" w:rsidP="00D82622">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390474">
              <w:rPr>
                <w:rFonts w:ascii="Calibri" w:eastAsia="Calibri" w:hAnsi="Calibri" w:cs="Source Sans Pro Light"/>
                <w:b/>
                <w:color w:val="000000"/>
                <w:sz w:val="18"/>
                <w:szCs w:val="18"/>
              </w:rPr>
              <w:t>35,878</w:t>
            </w:r>
          </w:p>
        </w:tc>
        <w:tc>
          <w:tcPr>
            <w:tcW w:w="1701" w:type="dxa"/>
            <w:tcBorders>
              <w:top w:val="single" w:sz="2" w:space="0" w:color="auto"/>
              <w:bottom w:val="single" w:sz="2" w:space="0" w:color="auto"/>
            </w:tcBorders>
          </w:tcPr>
          <w:p w14:paraId="40641A45" w14:textId="58385015" w:rsidR="00D82622" w:rsidRPr="00390474" w:rsidRDefault="00390474" w:rsidP="00D82622">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390474">
              <w:rPr>
                <w:rFonts w:ascii="Calibri" w:eastAsia="Calibri" w:hAnsi="Calibri" w:cs="Source Sans Pro Light"/>
                <w:b/>
                <w:bCs/>
                <w:color w:val="000000"/>
                <w:sz w:val="18"/>
                <w:szCs w:val="18"/>
              </w:rPr>
              <w:t>20,524</w:t>
            </w:r>
            <w:r w:rsidR="00D82622" w:rsidRPr="00390474">
              <w:rPr>
                <w:rFonts w:ascii="Calibri" w:eastAsia="Calibri" w:hAnsi="Calibri" w:cs="Source Sans Pro Light"/>
                <w:b/>
                <w:bCs/>
                <w:color w:val="000000"/>
                <w:sz w:val="18"/>
                <w:szCs w:val="18"/>
              </w:rPr>
              <w:t xml:space="preserve"> </w:t>
            </w:r>
          </w:p>
        </w:tc>
        <w:tc>
          <w:tcPr>
            <w:tcW w:w="1701" w:type="dxa"/>
            <w:tcBorders>
              <w:top w:val="single" w:sz="2" w:space="0" w:color="auto"/>
              <w:bottom w:val="single" w:sz="2" w:space="0" w:color="auto"/>
            </w:tcBorders>
          </w:tcPr>
          <w:p w14:paraId="5B50A59A" w14:textId="46B68EFB" w:rsidR="00D82622" w:rsidRPr="00390474" w:rsidRDefault="00390474" w:rsidP="00D82622">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390474">
              <w:rPr>
                <w:rFonts w:ascii="Calibri" w:eastAsia="Calibri" w:hAnsi="Calibri" w:cs="Source Sans Pro Light"/>
                <w:b/>
                <w:color w:val="000000"/>
                <w:sz w:val="18"/>
                <w:szCs w:val="18"/>
              </w:rPr>
              <w:t>28,496</w:t>
            </w:r>
          </w:p>
        </w:tc>
      </w:tr>
      <w:tr w:rsidR="00D82622" w:rsidRPr="007B445C" w14:paraId="6C827676" w14:textId="77777777" w:rsidTr="00334D9C">
        <w:trPr>
          <w:trHeight w:val="118"/>
        </w:trPr>
        <w:tc>
          <w:tcPr>
            <w:tcW w:w="3403" w:type="dxa"/>
          </w:tcPr>
          <w:p w14:paraId="2568A119"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Borders>
              <w:top w:val="nil"/>
              <w:bottom w:val="nil"/>
            </w:tcBorders>
          </w:tcPr>
          <w:p w14:paraId="39F8F16F"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tcBorders>
          </w:tcPr>
          <w:p w14:paraId="1E52EF64"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6EB68E6A"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p>
        </w:tc>
      </w:tr>
      <w:tr w:rsidR="00D82622" w:rsidRPr="007B445C" w14:paraId="67CE2788" w14:textId="77777777" w:rsidTr="00334D9C">
        <w:trPr>
          <w:trHeight w:val="118"/>
        </w:trPr>
        <w:tc>
          <w:tcPr>
            <w:tcW w:w="3403" w:type="dxa"/>
          </w:tcPr>
          <w:p w14:paraId="640773BE"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Assets </w:t>
            </w:r>
          </w:p>
        </w:tc>
        <w:tc>
          <w:tcPr>
            <w:tcW w:w="708" w:type="dxa"/>
            <w:tcBorders>
              <w:top w:val="nil"/>
            </w:tcBorders>
          </w:tcPr>
          <w:p w14:paraId="0CF02900" w14:textId="77777777" w:rsidR="00D82622" w:rsidRPr="007B445C" w:rsidRDefault="00D82622" w:rsidP="00D82622">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shd w:val="clear" w:color="auto" w:fill="auto"/>
          </w:tcPr>
          <w:p w14:paraId="7461AAD5" w14:textId="7A904391" w:rsidR="00D82622" w:rsidRPr="00E762DB" w:rsidRDefault="004E1011" w:rsidP="00D82622">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E762DB">
              <w:rPr>
                <w:rFonts w:ascii="Calibri" w:eastAsia="Calibri" w:hAnsi="Calibri" w:cs="Source Sans Pro SemiBold"/>
                <w:b/>
                <w:color w:val="000000"/>
                <w:sz w:val="18"/>
                <w:szCs w:val="18"/>
              </w:rPr>
              <w:t>476,392</w:t>
            </w:r>
          </w:p>
        </w:tc>
        <w:tc>
          <w:tcPr>
            <w:tcW w:w="1701" w:type="dxa"/>
            <w:tcBorders>
              <w:top w:val="single" w:sz="2" w:space="0" w:color="auto"/>
              <w:bottom w:val="single" w:sz="4" w:space="0" w:color="auto"/>
            </w:tcBorders>
            <w:shd w:val="clear" w:color="auto" w:fill="auto"/>
          </w:tcPr>
          <w:p w14:paraId="61E3924E" w14:textId="3B275D56" w:rsidR="00D82622" w:rsidRPr="00E762DB" w:rsidRDefault="004E1011" w:rsidP="00D82622">
            <w:pPr>
              <w:autoSpaceDE w:val="0"/>
              <w:autoSpaceDN w:val="0"/>
              <w:adjustRightInd w:val="0"/>
              <w:spacing w:before="40" w:after="40" w:line="240" w:lineRule="auto"/>
              <w:jc w:val="right"/>
              <w:rPr>
                <w:rFonts w:ascii="Calibri" w:eastAsia="Calibri" w:hAnsi="Calibri" w:cs="Source Sans Pro Light"/>
                <w:b/>
                <w:bCs/>
                <w:color w:val="000000"/>
                <w:sz w:val="18"/>
                <w:szCs w:val="18"/>
              </w:rPr>
            </w:pPr>
            <w:r w:rsidRPr="00E762DB">
              <w:rPr>
                <w:rFonts w:ascii="Calibri" w:eastAsia="Calibri" w:hAnsi="Calibri" w:cs="Source Sans Pro Light"/>
                <w:b/>
                <w:bCs/>
                <w:color w:val="000000"/>
                <w:sz w:val="18"/>
                <w:szCs w:val="18"/>
              </w:rPr>
              <w:t>427,860</w:t>
            </w:r>
            <w:r w:rsidR="00D82622" w:rsidRPr="00E762DB">
              <w:rPr>
                <w:rFonts w:ascii="Calibri" w:eastAsia="Calibri" w:hAnsi="Calibri" w:cs="Source Sans Pro Light"/>
                <w:b/>
                <w:bCs/>
                <w:color w:val="000000"/>
                <w:sz w:val="18"/>
                <w:szCs w:val="18"/>
              </w:rPr>
              <w:t xml:space="preserve"> </w:t>
            </w:r>
          </w:p>
        </w:tc>
        <w:tc>
          <w:tcPr>
            <w:tcW w:w="1701" w:type="dxa"/>
            <w:tcBorders>
              <w:top w:val="single" w:sz="2" w:space="0" w:color="auto"/>
              <w:bottom w:val="single" w:sz="4" w:space="0" w:color="auto"/>
            </w:tcBorders>
            <w:shd w:val="clear" w:color="auto" w:fill="auto"/>
          </w:tcPr>
          <w:p w14:paraId="7270ADF3" w14:textId="0987F1F6" w:rsidR="00D82622" w:rsidRPr="00E762DB" w:rsidRDefault="00E762DB"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E762DB">
              <w:rPr>
                <w:rFonts w:ascii="Calibri" w:eastAsia="Calibri" w:hAnsi="Calibri" w:cs="Source Sans Pro SemiBold"/>
                <w:b/>
                <w:color w:val="000000"/>
                <w:sz w:val="18"/>
                <w:szCs w:val="18"/>
              </w:rPr>
              <w:t>423,612</w:t>
            </w:r>
          </w:p>
        </w:tc>
      </w:tr>
      <w:tr w:rsidR="00D82622" w:rsidRPr="007B445C" w14:paraId="7647C871" w14:textId="77777777" w:rsidTr="00334D9C">
        <w:trPr>
          <w:trHeight w:val="118"/>
        </w:trPr>
        <w:tc>
          <w:tcPr>
            <w:tcW w:w="3403" w:type="dxa"/>
          </w:tcPr>
          <w:p w14:paraId="6ACF67BE"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31CBCDF9"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72A99D4D"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700476A0"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D82622" w:rsidRPr="000E1803" w14:paraId="775299F3" w14:textId="77777777" w:rsidTr="00334D9C">
        <w:trPr>
          <w:gridAfter w:val="4"/>
          <w:wAfter w:w="5811" w:type="dxa"/>
          <w:trHeight w:val="118"/>
        </w:trPr>
        <w:tc>
          <w:tcPr>
            <w:tcW w:w="3403" w:type="dxa"/>
          </w:tcPr>
          <w:p w14:paraId="3AE17BAE"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Current Liabilities </w:t>
            </w:r>
          </w:p>
        </w:tc>
      </w:tr>
      <w:tr w:rsidR="00840807" w:rsidRPr="007B445C" w14:paraId="776C7FED" w14:textId="77777777" w:rsidTr="00334D9C">
        <w:trPr>
          <w:trHeight w:val="118"/>
        </w:trPr>
        <w:tc>
          <w:tcPr>
            <w:tcW w:w="3403" w:type="dxa"/>
          </w:tcPr>
          <w:p w14:paraId="36E8F404" w14:textId="77777777" w:rsidR="00840807" w:rsidRPr="007B445C" w:rsidRDefault="00840807" w:rsidP="00840807">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Payables </w:t>
            </w:r>
          </w:p>
        </w:tc>
        <w:tc>
          <w:tcPr>
            <w:tcW w:w="708" w:type="dxa"/>
          </w:tcPr>
          <w:p w14:paraId="21E6174B" w14:textId="77777777" w:rsidR="00840807" w:rsidRPr="007B445C" w:rsidRDefault="00840807" w:rsidP="00840807">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131869EC" w14:textId="3F281B4A"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336</w:t>
            </w:r>
          </w:p>
        </w:tc>
        <w:tc>
          <w:tcPr>
            <w:tcW w:w="1701" w:type="dxa"/>
          </w:tcPr>
          <w:p w14:paraId="2AA435C3" w14:textId="63DD7C6F" w:rsidR="00840807" w:rsidRPr="000E1803" w:rsidRDefault="00840807" w:rsidP="00840807">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157</w:t>
            </w:r>
          </w:p>
        </w:tc>
        <w:tc>
          <w:tcPr>
            <w:tcW w:w="1701" w:type="dxa"/>
          </w:tcPr>
          <w:p w14:paraId="78AF4810" w14:textId="3F2D6C7E"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183</w:t>
            </w:r>
          </w:p>
        </w:tc>
      </w:tr>
      <w:tr w:rsidR="00840807" w:rsidRPr="007B445C" w14:paraId="6CAE23E0" w14:textId="77777777" w:rsidTr="00334D9C">
        <w:trPr>
          <w:trHeight w:val="118"/>
        </w:trPr>
        <w:tc>
          <w:tcPr>
            <w:tcW w:w="3403" w:type="dxa"/>
          </w:tcPr>
          <w:p w14:paraId="18749984" w14:textId="77777777" w:rsidR="00840807" w:rsidRPr="007B445C" w:rsidRDefault="00840807" w:rsidP="00840807">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Outstanding Claims</w:t>
            </w:r>
          </w:p>
        </w:tc>
        <w:tc>
          <w:tcPr>
            <w:tcW w:w="708" w:type="dxa"/>
          </w:tcPr>
          <w:p w14:paraId="4C321E84" w14:textId="335BD983" w:rsidR="00840807" w:rsidRPr="007B445C" w:rsidRDefault="00840807" w:rsidP="00840807">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5</w:t>
            </w:r>
          </w:p>
        </w:tc>
        <w:tc>
          <w:tcPr>
            <w:tcW w:w="1701" w:type="dxa"/>
          </w:tcPr>
          <w:p w14:paraId="39C98552" w14:textId="594B5DD7"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87,132</w:t>
            </w:r>
          </w:p>
        </w:tc>
        <w:tc>
          <w:tcPr>
            <w:tcW w:w="1701" w:type="dxa"/>
          </w:tcPr>
          <w:p w14:paraId="030C6CB1" w14:textId="4A4F7AA4" w:rsidR="00840807" w:rsidRPr="000E1803" w:rsidRDefault="00840807" w:rsidP="00840807">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78,426</w:t>
            </w:r>
          </w:p>
        </w:tc>
        <w:tc>
          <w:tcPr>
            <w:tcW w:w="1701" w:type="dxa"/>
          </w:tcPr>
          <w:p w14:paraId="0EB263DF" w14:textId="6140A5D0"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76,423</w:t>
            </w:r>
          </w:p>
        </w:tc>
      </w:tr>
      <w:tr w:rsidR="00840807" w:rsidRPr="007B445C" w14:paraId="2C5932F5" w14:textId="77777777" w:rsidTr="00334D9C">
        <w:trPr>
          <w:trHeight w:val="118"/>
        </w:trPr>
        <w:tc>
          <w:tcPr>
            <w:tcW w:w="3403" w:type="dxa"/>
          </w:tcPr>
          <w:p w14:paraId="6FA32C40" w14:textId="77777777" w:rsidR="00840807" w:rsidRPr="007B445C" w:rsidRDefault="00840807" w:rsidP="00840807">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708" w:type="dxa"/>
          </w:tcPr>
          <w:p w14:paraId="61E59865" w14:textId="49A6D3FF" w:rsidR="00840807" w:rsidRPr="007B445C" w:rsidRDefault="00840807" w:rsidP="00840807">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6</w:t>
            </w:r>
          </w:p>
        </w:tc>
        <w:tc>
          <w:tcPr>
            <w:tcW w:w="1701" w:type="dxa"/>
          </w:tcPr>
          <w:p w14:paraId="4014525A" w14:textId="51C266D2"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1,023</w:t>
            </w:r>
          </w:p>
        </w:tc>
        <w:tc>
          <w:tcPr>
            <w:tcW w:w="1701" w:type="dxa"/>
          </w:tcPr>
          <w:p w14:paraId="66A8239B" w14:textId="109026BA" w:rsidR="00840807" w:rsidRPr="000E1803" w:rsidRDefault="00840807" w:rsidP="00840807">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765</w:t>
            </w:r>
          </w:p>
        </w:tc>
        <w:tc>
          <w:tcPr>
            <w:tcW w:w="1701" w:type="dxa"/>
          </w:tcPr>
          <w:p w14:paraId="5B6AD423" w14:textId="3392DD48"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1,053</w:t>
            </w:r>
          </w:p>
        </w:tc>
      </w:tr>
      <w:tr w:rsidR="00840807" w:rsidRPr="007B445C" w14:paraId="26BCA04C" w14:textId="77777777" w:rsidTr="00334D9C">
        <w:trPr>
          <w:trHeight w:val="118"/>
        </w:trPr>
        <w:tc>
          <w:tcPr>
            <w:tcW w:w="3403" w:type="dxa"/>
          </w:tcPr>
          <w:p w14:paraId="7504BE96" w14:textId="77777777" w:rsidR="00840807" w:rsidRPr="007B445C" w:rsidRDefault="00840807" w:rsidP="00840807">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708" w:type="dxa"/>
          </w:tcPr>
          <w:p w14:paraId="52107BAC" w14:textId="259E663B" w:rsidR="00840807" w:rsidRPr="007B445C" w:rsidRDefault="00840807" w:rsidP="00840807">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7</w:t>
            </w:r>
          </w:p>
        </w:tc>
        <w:tc>
          <w:tcPr>
            <w:tcW w:w="1701" w:type="dxa"/>
            <w:tcBorders>
              <w:bottom w:val="single" w:sz="2" w:space="0" w:color="auto"/>
            </w:tcBorders>
          </w:tcPr>
          <w:p w14:paraId="5D656700" w14:textId="5F8400F1"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1,671</w:t>
            </w:r>
          </w:p>
        </w:tc>
        <w:tc>
          <w:tcPr>
            <w:tcW w:w="1701" w:type="dxa"/>
            <w:tcBorders>
              <w:bottom w:val="single" w:sz="2" w:space="0" w:color="auto"/>
            </w:tcBorders>
          </w:tcPr>
          <w:p w14:paraId="162D4BF6" w14:textId="4963524B" w:rsidR="00840807" w:rsidRPr="000E1803" w:rsidRDefault="00840807" w:rsidP="00840807">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3,529</w:t>
            </w:r>
          </w:p>
        </w:tc>
        <w:tc>
          <w:tcPr>
            <w:tcW w:w="1701" w:type="dxa"/>
            <w:tcBorders>
              <w:bottom w:val="single" w:sz="2" w:space="0" w:color="auto"/>
            </w:tcBorders>
          </w:tcPr>
          <w:p w14:paraId="62C7D17D" w14:textId="407CE673" w:rsidR="00840807" w:rsidRPr="000E1803" w:rsidRDefault="00840807" w:rsidP="0084080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2,123</w:t>
            </w:r>
          </w:p>
        </w:tc>
      </w:tr>
      <w:tr w:rsidR="00827985" w:rsidRPr="007B445C" w14:paraId="14D0BE70" w14:textId="77777777" w:rsidTr="00334D9C">
        <w:trPr>
          <w:trHeight w:val="118"/>
        </w:trPr>
        <w:tc>
          <w:tcPr>
            <w:tcW w:w="3403" w:type="dxa"/>
          </w:tcPr>
          <w:p w14:paraId="2D5E4F10" w14:textId="77777777" w:rsidR="00827985" w:rsidRPr="007B445C" w:rsidRDefault="00827985" w:rsidP="00827985">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Current Liabilities </w:t>
            </w:r>
          </w:p>
        </w:tc>
        <w:tc>
          <w:tcPr>
            <w:tcW w:w="708" w:type="dxa"/>
          </w:tcPr>
          <w:p w14:paraId="160BEF48" w14:textId="77777777" w:rsidR="00827985" w:rsidRPr="007B445C" w:rsidRDefault="00827985" w:rsidP="00827985">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62E76828" w14:textId="41A8B13C" w:rsidR="00827985" w:rsidRPr="000E1803" w:rsidRDefault="00827985" w:rsidP="00827985">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90,162</w:t>
            </w:r>
          </w:p>
        </w:tc>
        <w:tc>
          <w:tcPr>
            <w:tcW w:w="1701" w:type="dxa"/>
            <w:tcBorders>
              <w:top w:val="single" w:sz="2" w:space="0" w:color="auto"/>
              <w:bottom w:val="single" w:sz="2" w:space="0" w:color="auto"/>
            </w:tcBorders>
          </w:tcPr>
          <w:p w14:paraId="6293BFEA" w14:textId="56F8F491" w:rsidR="00827985" w:rsidRPr="000E1803" w:rsidRDefault="00827985" w:rsidP="00827985">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82,877</w:t>
            </w:r>
          </w:p>
        </w:tc>
        <w:tc>
          <w:tcPr>
            <w:tcW w:w="1701" w:type="dxa"/>
            <w:tcBorders>
              <w:top w:val="single" w:sz="2" w:space="0" w:color="auto"/>
              <w:bottom w:val="single" w:sz="2" w:space="0" w:color="auto"/>
            </w:tcBorders>
          </w:tcPr>
          <w:p w14:paraId="593657BC" w14:textId="3C7D1805" w:rsidR="00827985" w:rsidRPr="000E1803" w:rsidRDefault="00827985" w:rsidP="00827985">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color w:val="000000"/>
                <w:sz w:val="18"/>
                <w:szCs w:val="18"/>
              </w:rPr>
              <w:t>79,782</w:t>
            </w:r>
          </w:p>
        </w:tc>
      </w:tr>
      <w:tr w:rsidR="00D82622" w:rsidRPr="000E1803" w14:paraId="0A42A39B" w14:textId="77777777" w:rsidTr="00334D9C">
        <w:trPr>
          <w:gridAfter w:val="4"/>
          <w:wAfter w:w="5811" w:type="dxa"/>
          <w:trHeight w:val="118"/>
        </w:trPr>
        <w:tc>
          <w:tcPr>
            <w:tcW w:w="3403" w:type="dxa"/>
          </w:tcPr>
          <w:p w14:paraId="27267AD2"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Non-Current Liabilities </w:t>
            </w:r>
          </w:p>
        </w:tc>
      </w:tr>
      <w:tr w:rsidR="00F06D7A" w:rsidRPr="007B445C" w14:paraId="05439E64" w14:textId="77777777" w:rsidTr="00334D9C">
        <w:trPr>
          <w:trHeight w:val="118"/>
        </w:trPr>
        <w:tc>
          <w:tcPr>
            <w:tcW w:w="3403" w:type="dxa"/>
          </w:tcPr>
          <w:p w14:paraId="398B3891" w14:textId="77777777" w:rsidR="00F06D7A" w:rsidRPr="007B445C" w:rsidRDefault="00F06D7A" w:rsidP="00F06D7A">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Outstanding Claims </w:t>
            </w:r>
          </w:p>
        </w:tc>
        <w:tc>
          <w:tcPr>
            <w:tcW w:w="708" w:type="dxa"/>
          </w:tcPr>
          <w:p w14:paraId="2D05E28D" w14:textId="3AC8E1B2" w:rsidR="00F06D7A" w:rsidRPr="007B445C" w:rsidRDefault="00F06D7A" w:rsidP="00F06D7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5</w:t>
            </w:r>
          </w:p>
        </w:tc>
        <w:tc>
          <w:tcPr>
            <w:tcW w:w="1701" w:type="dxa"/>
          </w:tcPr>
          <w:p w14:paraId="55D106D3" w14:textId="10A40D6C"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332,963</w:t>
            </w:r>
          </w:p>
        </w:tc>
        <w:tc>
          <w:tcPr>
            <w:tcW w:w="1701" w:type="dxa"/>
          </w:tcPr>
          <w:p w14:paraId="4EFFB10E" w14:textId="7B21EA64" w:rsidR="00F06D7A" w:rsidRPr="000E1803" w:rsidRDefault="00F06D7A" w:rsidP="00F06D7A">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278,055</w:t>
            </w:r>
          </w:p>
        </w:tc>
        <w:tc>
          <w:tcPr>
            <w:tcW w:w="1701" w:type="dxa"/>
          </w:tcPr>
          <w:p w14:paraId="42384F36" w14:textId="4AE5A05C"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307,502</w:t>
            </w:r>
          </w:p>
        </w:tc>
      </w:tr>
      <w:tr w:rsidR="00F06D7A" w:rsidRPr="007B445C" w14:paraId="626D4254" w14:textId="77777777" w:rsidTr="00334D9C">
        <w:trPr>
          <w:trHeight w:val="118"/>
        </w:trPr>
        <w:tc>
          <w:tcPr>
            <w:tcW w:w="3403" w:type="dxa"/>
          </w:tcPr>
          <w:p w14:paraId="0E2018A8" w14:textId="77777777" w:rsidR="00F06D7A" w:rsidRPr="007B445C" w:rsidRDefault="00F06D7A" w:rsidP="00F06D7A">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708" w:type="dxa"/>
          </w:tcPr>
          <w:p w14:paraId="005E8C99" w14:textId="28725D5A" w:rsidR="00F06D7A" w:rsidRPr="007B445C" w:rsidRDefault="00F06D7A" w:rsidP="00F06D7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w:t>
            </w:r>
            <w:r>
              <w:rPr>
                <w:rFonts w:ascii="Calibri" w:eastAsia="Calibri" w:hAnsi="Calibri" w:cs="Source Sans Pro Light"/>
                <w:color w:val="000000"/>
                <w:sz w:val="18"/>
                <w:szCs w:val="18"/>
              </w:rPr>
              <w:t>6</w:t>
            </w:r>
          </w:p>
        </w:tc>
        <w:tc>
          <w:tcPr>
            <w:tcW w:w="1701" w:type="dxa"/>
          </w:tcPr>
          <w:p w14:paraId="46447976" w14:textId="1FA4E646"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141</w:t>
            </w:r>
          </w:p>
        </w:tc>
        <w:tc>
          <w:tcPr>
            <w:tcW w:w="1701" w:type="dxa"/>
          </w:tcPr>
          <w:p w14:paraId="4BF48054" w14:textId="69F0EF52" w:rsidR="00F06D7A" w:rsidRPr="000E1803" w:rsidRDefault="00F06D7A" w:rsidP="00F06D7A">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129</w:t>
            </w:r>
          </w:p>
        </w:tc>
        <w:tc>
          <w:tcPr>
            <w:tcW w:w="1701" w:type="dxa"/>
          </w:tcPr>
          <w:p w14:paraId="7DEC0448" w14:textId="1B752921"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3E5E9B">
              <w:rPr>
                <w:rFonts w:cs="Source Sans Pro SemiBold"/>
                <w:bCs/>
                <w:color w:val="000000"/>
                <w:sz w:val="18"/>
                <w:szCs w:val="18"/>
              </w:rPr>
              <w:t>1</w:t>
            </w:r>
            <w:r>
              <w:rPr>
                <w:rFonts w:cs="Source Sans Pro SemiBold"/>
                <w:bCs/>
                <w:color w:val="000000"/>
                <w:sz w:val="18"/>
                <w:szCs w:val="18"/>
              </w:rPr>
              <w:t>32</w:t>
            </w:r>
          </w:p>
        </w:tc>
      </w:tr>
      <w:tr w:rsidR="00F06D7A" w:rsidRPr="007B445C" w14:paraId="2A89F12E" w14:textId="77777777" w:rsidTr="00334D9C">
        <w:trPr>
          <w:trHeight w:val="118"/>
        </w:trPr>
        <w:tc>
          <w:tcPr>
            <w:tcW w:w="3403" w:type="dxa"/>
          </w:tcPr>
          <w:p w14:paraId="14967A3E" w14:textId="77777777" w:rsidR="00F06D7A" w:rsidRPr="007B445C" w:rsidRDefault="00F06D7A" w:rsidP="00F06D7A">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708" w:type="dxa"/>
          </w:tcPr>
          <w:p w14:paraId="6BDC5B50" w14:textId="6C8C433D" w:rsidR="00F06D7A" w:rsidRPr="007B445C" w:rsidRDefault="00F06D7A" w:rsidP="00F06D7A">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w:t>
            </w:r>
            <w:r>
              <w:rPr>
                <w:rFonts w:ascii="Calibri" w:eastAsia="Calibri" w:hAnsi="Calibri" w:cs="Source Sans Pro Light"/>
                <w:color w:val="000000"/>
                <w:sz w:val="18"/>
                <w:szCs w:val="18"/>
              </w:rPr>
              <w:t>7</w:t>
            </w:r>
          </w:p>
        </w:tc>
        <w:tc>
          <w:tcPr>
            <w:tcW w:w="1701" w:type="dxa"/>
            <w:tcBorders>
              <w:bottom w:val="single" w:sz="2" w:space="0" w:color="auto"/>
            </w:tcBorders>
          </w:tcPr>
          <w:p w14:paraId="7FA7EE24" w14:textId="1738C278"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3,342</w:t>
            </w:r>
          </w:p>
        </w:tc>
        <w:tc>
          <w:tcPr>
            <w:tcW w:w="1701" w:type="dxa"/>
            <w:tcBorders>
              <w:bottom w:val="single" w:sz="2" w:space="0" w:color="auto"/>
            </w:tcBorders>
          </w:tcPr>
          <w:p w14:paraId="6867D270" w14:textId="13DFAD8F" w:rsidR="00F06D7A" w:rsidRPr="000E1803" w:rsidRDefault="00F06D7A" w:rsidP="00F06D7A">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3,105</w:t>
            </w:r>
          </w:p>
        </w:tc>
        <w:tc>
          <w:tcPr>
            <w:tcW w:w="1701" w:type="dxa"/>
            <w:tcBorders>
              <w:bottom w:val="single" w:sz="2" w:space="0" w:color="auto"/>
            </w:tcBorders>
          </w:tcPr>
          <w:p w14:paraId="7200FA29" w14:textId="3655D13D" w:rsidR="00F06D7A" w:rsidRPr="000E1803" w:rsidRDefault="00F06D7A" w:rsidP="00F06D7A">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3E5E9B">
              <w:rPr>
                <w:rFonts w:cs="Source Sans Pro SemiBold"/>
                <w:bCs/>
                <w:color w:val="000000"/>
                <w:sz w:val="18"/>
                <w:szCs w:val="18"/>
              </w:rPr>
              <w:t>3,</w:t>
            </w:r>
            <w:r>
              <w:rPr>
                <w:rFonts w:cs="Source Sans Pro SemiBold"/>
                <w:bCs/>
                <w:color w:val="000000"/>
                <w:sz w:val="18"/>
                <w:szCs w:val="18"/>
              </w:rPr>
              <w:t>628</w:t>
            </w:r>
          </w:p>
        </w:tc>
      </w:tr>
      <w:tr w:rsidR="00013F5F" w:rsidRPr="007B445C" w14:paraId="3CA62D7C" w14:textId="77777777" w:rsidTr="00334D9C">
        <w:trPr>
          <w:trHeight w:val="118"/>
        </w:trPr>
        <w:tc>
          <w:tcPr>
            <w:tcW w:w="3403" w:type="dxa"/>
          </w:tcPr>
          <w:p w14:paraId="08F635F9" w14:textId="77777777" w:rsidR="00013F5F" w:rsidRPr="007B445C" w:rsidRDefault="00013F5F" w:rsidP="00013F5F">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Liabilities </w:t>
            </w:r>
          </w:p>
        </w:tc>
        <w:tc>
          <w:tcPr>
            <w:tcW w:w="708" w:type="dxa"/>
            <w:tcBorders>
              <w:bottom w:val="nil"/>
            </w:tcBorders>
          </w:tcPr>
          <w:p w14:paraId="68815723" w14:textId="77777777" w:rsidR="00013F5F" w:rsidRPr="007B445C" w:rsidRDefault="00013F5F" w:rsidP="00013F5F">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44F8D712" w14:textId="3B3BE537" w:rsidR="00013F5F" w:rsidRPr="000E1803" w:rsidRDefault="00013F5F" w:rsidP="00013F5F">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336,447</w:t>
            </w:r>
          </w:p>
        </w:tc>
        <w:tc>
          <w:tcPr>
            <w:tcW w:w="1701" w:type="dxa"/>
            <w:tcBorders>
              <w:top w:val="single" w:sz="2" w:space="0" w:color="auto"/>
              <w:bottom w:val="single" w:sz="2" w:space="0" w:color="auto"/>
            </w:tcBorders>
          </w:tcPr>
          <w:p w14:paraId="195FA2F6" w14:textId="264689C2" w:rsidR="00013F5F" w:rsidRPr="000E1803" w:rsidRDefault="00013F5F" w:rsidP="00013F5F">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281,289</w:t>
            </w:r>
          </w:p>
        </w:tc>
        <w:tc>
          <w:tcPr>
            <w:tcW w:w="1701" w:type="dxa"/>
            <w:tcBorders>
              <w:top w:val="single" w:sz="2" w:space="0" w:color="auto"/>
              <w:bottom w:val="single" w:sz="2" w:space="0" w:color="auto"/>
            </w:tcBorders>
          </w:tcPr>
          <w:p w14:paraId="04FB6D8B" w14:textId="08781265" w:rsidR="00013F5F" w:rsidRPr="000E1803" w:rsidRDefault="00013F5F" w:rsidP="00013F5F">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color w:val="000000"/>
                <w:sz w:val="18"/>
                <w:szCs w:val="18"/>
              </w:rPr>
              <w:t>311,262</w:t>
            </w:r>
          </w:p>
        </w:tc>
      </w:tr>
      <w:tr w:rsidR="00D82622" w:rsidRPr="007B445C" w14:paraId="6053085D" w14:textId="77777777" w:rsidTr="00334D9C">
        <w:trPr>
          <w:trHeight w:val="118"/>
        </w:trPr>
        <w:tc>
          <w:tcPr>
            <w:tcW w:w="3403" w:type="dxa"/>
          </w:tcPr>
          <w:p w14:paraId="4E2BCC88"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Borders>
              <w:top w:val="nil"/>
              <w:bottom w:val="nil"/>
            </w:tcBorders>
          </w:tcPr>
          <w:p w14:paraId="0152591F"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nil"/>
              <w:bottom w:val="nil"/>
            </w:tcBorders>
          </w:tcPr>
          <w:p w14:paraId="4F31BA53"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41C5E79B"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r>
      <w:tr w:rsidR="0043697D" w:rsidRPr="007B445C" w14:paraId="7CF325F4" w14:textId="77777777" w:rsidTr="00334D9C">
        <w:trPr>
          <w:trHeight w:val="118"/>
        </w:trPr>
        <w:tc>
          <w:tcPr>
            <w:tcW w:w="3403" w:type="dxa"/>
          </w:tcPr>
          <w:p w14:paraId="6C74B691" w14:textId="77777777" w:rsidR="0043697D" w:rsidRPr="007B445C" w:rsidRDefault="0043697D" w:rsidP="0043697D">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Liabilities </w:t>
            </w:r>
          </w:p>
        </w:tc>
        <w:tc>
          <w:tcPr>
            <w:tcW w:w="708" w:type="dxa"/>
            <w:tcBorders>
              <w:top w:val="nil"/>
            </w:tcBorders>
          </w:tcPr>
          <w:p w14:paraId="548CD043" w14:textId="77777777" w:rsidR="0043697D" w:rsidRPr="007B445C" w:rsidRDefault="0043697D" w:rsidP="0043697D">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391E7049" w14:textId="49B89BD7" w:rsidR="0043697D" w:rsidRPr="000E1803" w:rsidRDefault="0043697D" w:rsidP="0043697D">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966F13">
              <w:rPr>
                <w:rFonts w:cs="Source Sans Pro SemiBold"/>
                <w:b/>
                <w:color w:val="000000"/>
                <w:sz w:val="18"/>
                <w:szCs w:val="18"/>
              </w:rPr>
              <w:t>426,</w:t>
            </w:r>
            <w:r>
              <w:rPr>
                <w:rFonts w:cs="Source Sans Pro SemiBold"/>
                <w:b/>
                <w:color w:val="000000"/>
                <w:sz w:val="18"/>
                <w:szCs w:val="18"/>
              </w:rPr>
              <w:t>608</w:t>
            </w:r>
          </w:p>
        </w:tc>
        <w:tc>
          <w:tcPr>
            <w:tcW w:w="1701" w:type="dxa"/>
            <w:tcBorders>
              <w:top w:val="single" w:sz="2" w:space="0" w:color="auto"/>
              <w:bottom w:val="single" w:sz="4" w:space="0" w:color="auto"/>
            </w:tcBorders>
          </w:tcPr>
          <w:p w14:paraId="5FC6611B" w14:textId="4A3F6524" w:rsidR="0043697D" w:rsidRPr="000E1803" w:rsidRDefault="0043697D" w:rsidP="0043697D">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364,166</w:t>
            </w:r>
          </w:p>
        </w:tc>
        <w:tc>
          <w:tcPr>
            <w:tcW w:w="1701" w:type="dxa"/>
            <w:tcBorders>
              <w:top w:val="single" w:sz="2" w:space="0" w:color="auto"/>
              <w:bottom w:val="single" w:sz="4" w:space="0" w:color="auto"/>
            </w:tcBorders>
          </w:tcPr>
          <w:p w14:paraId="588838AD" w14:textId="7D17EE57" w:rsidR="0043697D" w:rsidRPr="000E1803" w:rsidRDefault="0043697D" w:rsidP="0043697D">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sidRPr="00FE4ABE">
              <w:rPr>
                <w:rFonts w:cs="Source Sans Pro SemiBold"/>
                <w:b/>
                <w:bCs/>
                <w:color w:val="000000"/>
                <w:sz w:val="18"/>
                <w:szCs w:val="18"/>
              </w:rPr>
              <w:t>391,044</w:t>
            </w:r>
          </w:p>
        </w:tc>
      </w:tr>
      <w:tr w:rsidR="00D82622" w:rsidRPr="007B445C" w14:paraId="12A44813" w14:textId="77777777" w:rsidTr="00334D9C">
        <w:trPr>
          <w:trHeight w:val="118"/>
        </w:trPr>
        <w:tc>
          <w:tcPr>
            <w:tcW w:w="3403" w:type="dxa"/>
          </w:tcPr>
          <w:p w14:paraId="1703EB11"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0C5DB489"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01E39895"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13613112"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p>
        </w:tc>
      </w:tr>
      <w:tr w:rsidR="005D050F" w:rsidRPr="007B445C" w14:paraId="04CC6B52" w14:textId="77777777" w:rsidTr="00334D9C">
        <w:trPr>
          <w:trHeight w:val="118"/>
        </w:trPr>
        <w:tc>
          <w:tcPr>
            <w:tcW w:w="3403" w:type="dxa"/>
          </w:tcPr>
          <w:p w14:paraId="436DC4CA" w14:textId="77777777" w:rsidR="005D050F" w:rsidRPr="007B445C" w:rsidRDefault="005D050F" w:rsidP="005D050F">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Net Assets </w:t>
            </w:r>
          </w:p>
        </w:tc>
        <w:tc>
          <w:tcPr>
            <w:tcW w:w="708" w:type="dxa"/>
          </w:tcPr>
          <w:p w14:paraId="65234296" w14:textId="77777777" w:rsidR="005D050F" w:rsidRPr="007B445C" w:rsidRDefault="005D050F" w:rsidP="005D050F">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14BE6018" w14:textId="509BD9C9" w:rsidR="005D050F" w:rsidRPr="000E1803" w:rsidRDefault="005D050F" w:rsidP="005D050F">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single" w:sz="2" w:space="0" w:color="auto"/>
              <w:bottom w:val="single" w:sz="4" w:space="0" w:color="auto"/>
            </w:tcBorders>
          </w:tcPr>
          <w:p w14:paraId="667925E6" w14:textId="199F9471" w:rsidR="005D050F" w:rsidRPr="000E1803" w:rsidRDefault="005D050F" w:rsidP="005D050F">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bCs/>
                <w:color w:val="000000"/>
                <w:sz w:val="18"/>
                <w:szCs w:val="18"/>
              </w:rPr>
              <w:t>63,694</w:t>
            </w:r>
          </w:p>
        </w:tc>
        <w:tc>
          <w:tcPr>
            <w:tcW w:w="1701" w:type="dxa"/>
            <w:tcBorders>
              <w:top w:val="single" w:sz="2" w:space="0" w:color="auto"/>
              <w:bottom w:val="single" w:sz="4" w:space="0" w:color="auto"/>
            </w:tcBorders>
          </w:tcPr>
          <w:p w14:paraId="50AFD6B3" w14:textId="3A2BE4EA" w:rsidR="005D050F" w:rsidRPr="000E1803" w:rsidRDefault="005D050F" w:rsidP="005D050F">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bCs/>
                <w:color w:val="000000"/>
                <w:sz w:val="18"/>
                <w:szCs w:val="18"/>
              </w:rPr>
              <w:t>32,568</w:t>
            </w:r>
          </w:p>
        </w:tc>
      </w:tr>
      <w:tr w:rsidR="00D82622" w:rsidRPr="007B445C" w14:paraId="205F7DF8" w14:textId="77777777" w:rsidTr="00334D9C">
        <w:trPr>
          <w:trHeight w:val="118"/>
        </w:trPr>
        <w:tc>
          <w:tcPr>
            <w:tcW w:w="3403" w:type="dxa"/>
          </w:tcPr>
          <w:p w14:paraId="313DD78C"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2C82D686"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326CA327"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0CBBEC28" w14:textId="77777777" w:rsidR="00D82622" w:rsidRPr="000E1803" w:rsidRDefault="00D82622" w:rsidP="00D82622">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p>
        </w:tc>
      </w:tr>
      <w:tr w:rsidR="00D82622" w:rsidRPr="000E1803" w14:paraId="130D8129" w14:textId="77777777" w:rsidTr="00334D9C">
        <w:trPr>
          <w:gridAfter w:val="4"/>
          <w:wAfter w:w="5811" w:type="dxa"/>
          <w:trHeight w:val="118"/>
        </w:trPr>
        <w:tc>
          <w:tcPr>
            <w:tcW w:w="3403" w:type="dxa"/>
          </w:tcPr>
          <w:p w14:paraId="0A7058DB" w14:textId="77777777" w:rsidR="00D82622" w:rsidRPr="007B445C" w:rsidRDefault="00D82622" w:rsidP="00D82622">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Equity </w:t>
            </w:r>
          </w:p>
        </w:tc>
      </w:tr>
      <w:tr w:rsidR="00A30FF7" w:rsidRPr="007B445C" w14:paraId="10E3965D" w14:textId="77777777" w:rsidTr="0022758B">
        <w:trPr>
          <w:trHeight w:val="118"/>
        </w:trPr>
        <w:tc>
          <w:tcPr>
            <w:tcW w:w="3403" w:type="dxa"/>
            <w:tcBorders>
              <w:bottom w:val="nil"/>
            </w:tcBorders>
          </w:tcPr>
          <w:p w14:paraId="0820ACD5" w14:textId="77777777" w:rsidR="00A30FF7" w:rsidRPr="007B445C" w:rsidRDefault="00A30FF7" w:rsidP="00A30FF7">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Accumulated Funds </w:t>
            </w:r>
          </w:p>
        </w:tc>
        <w:tc>
          <w:tcPr>
            <w:tcW w:w="708" w:type="dxa"/>
            <w:tcBorders>
              <w:bottom w:val="nil"/>
            </w:tcBorders>
          </w:tcPr>
          <w:p w14:paraId="68931DED" w14:textId="77777777" w:rsidR="00A30FF7" w:rsidRPr="007B445C" w:rsidRDefault="00A30FF7" w:rsidP="00A30FF7">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nil"/>
              <w:bottom w:val="single" w:sz="2" w:space="0" w:color="auto"/>
            </w:tcBorders>
          </w:tcPr>
          <w:p w14:paraId="6EEFEFED" w14:textId="1E8B374E" w:rsidR="00A30FF7" w:rsidRPr="000E1803" w:rsidRDefault="00A30FF7" w:rsidP="00A30FF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49,783</w:t>
            </w:r>
          </w:p>
        </w:tc>
        <w:tc>
          <w:tcPr>
            <w:tcW w:w="1701" w:type="dxa"/>
            <w:tcBorders>
              <w:top w:val="nil"/>
              <w:bottom w:val="single" w:sz="2" w:space="0" w:color="auto"/>
            </w:tcBorders>
          </w:tcPr>
          <w:p w14:paraId="05D44758" w14:textId="5DA8E2F9" w:rsidR="00A30FF7" w:rsidRPr="000E1803" w:rsidRDefault="00A30FF7" w:rsidP="00A30FF7">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63,694</w:t>
            </w:r>
          </w:p>
        </w:tc>
        <w:tc>
          <w:tcPr>
            <w:tcW w:w="1701" w:type="dxa"/>
            <w:tcBorders>
              <w:top w:val="nil"/>
              <w:bottom w:val="single" w:sz="2" w:space="0" w:color="auto"/>
            </w:tcBorders>
          </w:tcPr>
          <w:p w14:paraId="3BC1B257" w14:textId="49733611" w:rsidR="00A30FF7" w:rsidRPr="000E1803" w:rsidRDefault="00A30FF7" w:rsidP="00A30FF7">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32,568</w:t>
            </w:r>
          </w:p>
        </w:tc>
      </w:tr>
      <w:tr w:rsidR="00A30FF7" w:rsidRPr="007B445C" w14:paraId="3FD7CAC2" w14:textId="77777777" w:rsidTr="0022758B">
        <w:trPr>
          <w:trHeight w:val="118"/>
        </w:trPr>
        <w:tc>
          <w:tcPr>
            <w:tcW w:w="3403" w:type="dxa"/>
            <w:tcBorders>
              <w:top w:val="nil"/>
              <w:left w:val="nil"/>
              <w:bottom w:val="single" w:sz="12" w:space="0" w:color="492581" w:themeColor="accent1"/>
            </w:tcBorders>
          </w:tcPr>
          <w:p w14:paraId="060C30B3" w14:textId="77777777" w:rsidR="00A30FF7" w:rsidRPr="007B445C" w:rsidRDefault="00A30FF7" w:rsidP="00A30FF7">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Equity </w:t>
            </w:r>
          </w:p>
        </w:tc>
        <w:tc>
          <w:tcPr>
            <w:tcW w:w="708" w:type="dxa"/>
            <w:tcBorders>
              <w:top w:val="nil"/>
              <w:bottom w:val="single" w:sz="12" w:space="0" w:color="492581" w:themeColor="accent1"/>
            </w:tcBorders>
          </w:tcPr>
          <w:p w14:paraId="1CB4FE5F" w14:textId="77777777" w:rsidR="00A30FF7" w:rsidRPr="007B445C" w:rsidRDefault="00A30FF7" w:rsidP="00A30FF7">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12" w:space="0" w:color="492581" w:themeColor="accent1"/>
            </w:tcBorders>
          </w:tcPr>
          <w:p w14:paraId="668F56F4" w14:textId="3FB20161" w:rsidR="00A30FF7" w:rsidRPr="000E1803" w:rsidRDefault="00A30FF7" w:rsidP="00A30FF7">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single" w:sz="2" w:space="0" w:color="auto"/>
              <w:bottom w:val="single" w:sz="12" w:space="0" w:color="492581" w:themeColor="accent1"/>
            </w:tcBorders>
          </w:tcPr>
          <w:p w14:paraId="2407C3AE" w14:textId="32D27E51" w:rsidR="00A30FF7" w:rsidRPr="000E1803" w:rsidRDefault="00A30FF7" w:rsidP="00A30FF7">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63,694</w:t>
            </w:r>
          </w:p>
        </w:tc>
        <w:tc>
          <w:tcPr>
            <w:tcW w:w="1701" w:type="dxa"/>
            <w:tcBorders>
              <w:top w:val="single" w:sz="2" w:space="0" w:color="auto"/>
              <w:bottom w:val="single" w:sz="12" w:space="0" w:color="492581" w:themeColor="accent1"/>
              <w:right w:val="nil"/>
            </w:tcBorders>
          </w:tcPr>
          <w:p w14:paraId="58EAB969" w14:textId="7640B930" w:rsidR="00A30FF7" w:rsidRPr="000E1803" w:rsidRDefault="00A30FF7" w:rsidP="00A30FF7">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bCs/>
                <w:color w:val="000000"/>
                <w:sz w:val="18"/>
                <w:szCs w:val="18"/>
              </w:rPr>
              <w:t>35,568</w:t>
            </w:r>
          </w:p>
        </w:tc>
      </w:tr>
    </w:tbl>
    <w:p w14:paraId="6CD77E5C" w14:textId="77777777" w:rsidR="00480A03" w:rsidRDefault="00480A03" w:rsidP="00480A03">
      <w:pPr>
        <w:pStyle w:val="Pa17"/>
        <w:spacing w:before="40" w:after="40" w:line="240" w:lineRule="auto"/>
        <w:rPr>
          <w:rFonts w:cs="Source Sans Pro Light"/>
          <w:i/>
          <w:iCs/>
          <w:color w:val="000000"/>
          <w:sz w:val="18"/>
          <w:szCs w:val="18"/>
        </w:rPr>
      </w:pPr>
      <w:r w:rsidRPr="00E73459">
        <w:rPr>
          <w:rFonts w:cs="Source Sans Pro Light"/>
          <w:i/>
          <w:iCs/>
          <w:color w:val="000000"/>
          <w:sz w:val="18"/>
          <w:szCs w:val="18"/>
        </w:rPr>
        <w:t xml:space="preserve">The above </w:t>
      </w:r>
      <w:r>
        <w:rPr>
          <w:rFonts w:cs="Source Sans Pro Light"/>
          <w:i/>
          <w:iCs/>
          <w:color w:val="000000"/>
          <w:sz w:val="18"/>
          <w:szCs w:val="18"/>
        </w:rPr>
        <w:t>Balance Sheet</w:t>
      </w:r>
      <w:r w:rsidRPr="00E73459">
        <w:rPr>
          <w:rFonts w:cs="Source Sans Pro Light"/>
          <w:i/>
          <w:iCs/>
          <w:color w:val="000000"/>
          <w:sz w:val="18"/>
          <w:szCs w:val="18"/>
        </w:rPr>
        <w:t xml:space="preserve"> </w:t>
      </w:r>
      <w:r>
        <w:rPr>
          <w:rFonts w:cs="Source Sans Pro Light"/>
          <w:i/>
          <w:iCs/>
          <w:color w:val="000000"/>
          <w:sz w:val="18"/>
          <w:szCs w:val="18"/>
        </w:rPr>
        <w:t xml:space="preserve">is to be </w:t>
      </w:r>
      <w:r w:rsidRPr="00E73459">
        <w:rPr>
          <w:rFonts w:cs="Source Sans Pro Light"/>
          <w:i/>
          <w:iCs/>
          <w:color w:val="000000"/>
          <w:sz w:val="18"/>
          <w:szCs w:val="18"/>
        </w:rPr>
        <w:t>read in conjunction with the accompanying notes.</w:t>
      </w:r>
    </w:p>
    <w:p w14:paraId="22177780" w14:textId="77777777" w:rsidR="00480A03" w:rsidRPr="00E73459" w:rsidRDefault="00480A03" w:rsidP="00480A03">
      <w:pPr>
        <w:pStyle w:val="Pa17"/>
        <w:spacing w:before="40" w:after="40" w:line="240" w:lineRule="auto"/>
        <w:rPr>
          <w:rFonts w:cs="Source Sans Pro Light"/>
          <w:i/>
          <w:iCs/>
          <w:color w:val="000000"/>
          <w:sz w:val="18"/>
          <w:szCs w:val="18"/>
        </w:rPr>
      </w:pPr>
      <w:r w:rsidRPr="009A14A8">
        <w:rPr>
          <w:rFonts w:cs="Source Sans Pro Light"/>
          <w:i/>
          <w:iCs/>
          <w:color w:val="000000"/>
          <w:sz w:val="18"/>
          <w:szCs w:val="18"/>
        </w:rPr>
        <w:t>In last year's financial statements Cash and Cash Equivalents and Investments were included in the Cash and Investments line item. However, these have been disclosed separately on the face of the balance sheet, to better assist users of the financial statements</w:t>
      </w:r>
      <w:r>
        <w:rPr>
          <w:rFonts w:cs="Source Sans Pro Light"/>
          <w:i/>
          <w:iCs/>
          <w:color w:val="000000"/>
          <w:sz w:val="18"/>
          <w:szCs w:val="18"/>
        </w:rPr>
        <w:t>.</w:t>
      </w:r>
    </w:p>
    <w:p w14:paraId="7950340D" w14:textId="77777777" w:rsidR="00480A03" w:rsidRDefault="00480A03" w:rsidP="00480A03"/>
    <w:p w14:paraId="364DA466" w14:textId="77777777" w:rsidR="00DC5BE5" w:rsidRDefault="00DC5BE5" w:rsidP="006E5206">
      <w:pPr>
        <w:rPr>
          <w:iCs/>
        </w:rPr>
        <w:sectPr w:rsidR="00DC5BE5" w:rsidSect="003109A8">
          <w:headerReference w:type="default" r:id="rId57"/>
          <w:pgSz w:w="11907" w:h="16840" w:code="9"/>
          <w:pgMar w:top="1418" w:right="1417" w:bottom="1701" w:left="1418" w:header="567" w:footer="255" w:gutter="0"/>
          <w:cols w:space="720"/>
          <w:docGrid w:linePitch="326"/>
        </w:sectPr>
      </w:pPr>
    </w:p>
    <w:tbl>
      <w:tblPr>
        <w:tblW w:w="9180" w:type="dxa"/>
        <w:tblInd w:w="-108" w:type="dxa"/>
        <w:tblBorders>
          <w:top w:val="nil"/>
          <w:left w:val="nil"/>
          <w:bottom w:val="nil"/>
          <w:right w:val="nil"/>
        </w:tblBorders>
        <w:tblLayout w:type="fixed"/>
        <w:tblLook w:val="0000" w:firstRow="0" w:lastRow="0" w:firstColumn="0" w:lastColumn="0" w:noHBand="0" w:noVBand="0"/>
      </w:tblPr>
      <w:tblGrid>
        <w:gridCol w:w="2880"/>
        <w:gridCol w:w="1197"/>
        <w:gridCol w:w="15"/>
        <w:gridCol w:w="1686"/>
        <w:gridCol w:w="1701"/>
        <w:gridCol w:w="1701"/>
      </w:tblGrid>
      <w:tr w:rsidR="009251C8" w:rsidRPr="009251C8" w14:paraId="20DACEE2" w14:textId="77777777" w:rsidTr="003B7D3C">
        <w:trPr>
          <w:trHeight w:val="518"/>
        </w:trPr>
        <w:tc>
          <w:tcPr>
            <w:tcW w:w="2880" w:type="dxa"/>
            <w:tcBorders>
              <w:top w:val="single" w:sz="12" w:space="0" w:color="492581" w:themeColor="accent1"/>
              <w:bottom w:val="single" w:sz="12" w:space="0" w:color="492581" w:themeColor="accent1"/>
              <w:right w:val="nil"/>
            </w:tcBorders>
          </w:tcPr>
          <w:p w14:paraId="295996DD"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6CFD572D"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4E0650B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6353173A"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05AF065B"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212" w:type="dxa"/>
            <w:gridSpan w:val="2"/>
            <w:tcBorders>
              <w:top w:val="single" w:sz="12" w:space="0" w:color="492581" w:themeColor="accent1"/>
              <w:left w:val="nil"/>
              <w:bottom w:val="single" w:sz="12" w:space="0" w:color="492581" w:themeColor="accent1"/>
              <w:right w:val="nil"/>
            </w:tcBorders>
          </w:tcPr>
          <w:p w14:paraId="26939552"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06D4307A"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686" w:type="dxa"/>
            <w:tcBorders>
              <w:top w:val="single" w:sz="12" w:space="0" w:color="492581" w:themeColor="accent1"/>
              <w:left w:val="nil"/>
              <w:bottom w:val="single" w:sz="12" w:space="0" w:color="492581" w:themeColor="accent1"/>
              <w:right w:val="nil"/>
            </w:tcBorders>
          </w:tcPr>
          <w:p w14:paraId="155468F4" w14:textId="0AD395AE"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Accumulated</w:t>
            </w:r>
            <w:r w:rsidRPr="009251C8">
              <w:rPr>
                <w:rFonts w:ascii="Calibri" w:eastAsia="Calibri" w:hAnsi="Calibri" w:cs="Source Sans Pro SemiBold"/>
                <w:b/>
                <w:bCs/>
                <w:color w:val="000000"/>
                <w:sz w:val="18"/>
                <w:szCs w:val="18"/>
              </w:rPr>
              <w:br/>
              <w:t>Funds</w:t>
            </w:r>
            <w:r w:rsidRPr="009251C8">
              <w:rPr>
                <w:rFonts w:ascii="Calibri" w:eastAsia="Calibri" w:hAnsi="Calibri" w:cs="Source Sans Pro SemiBold"/>
                <w:b/>
                <w:bCs/>
                <w:color w:val="000000"/>
                <w:sz w:val="18"/>
                <w:szCs w:val="18"/>
              </w:rPr>
              <w:br/>
              <w:t>Actual</w:t>
            </w:r>
            <w:r w:rsidRPr="009251C8">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4</w:t>
            </w:r>
            <w:r w:rsidRPr="009251C8">
              <w:rPr>
                <w:rFonts w:ascii="Calibri" w:eastAsia="Calibri" w:hAnsi="Calibri" w:cs="Source Sans Pro SemiBold"/>
                <w:b/>
                <w:bCs/>
                <w:color w:val="000000"/>
                <w:sz w:val="18"/>
                <w:szCs w:val="18"/>
              </w:rPr>
              <w:br/>
              <w:t xml:space="preserve">$’000 </w:t>
            </w:r>
          </w:p>
        </w:tc>
        <w:tc>
          <w:tcPr>
            <w:tcW w:w="1701" w:type="dxa"/>
            <w:tcBorders>
              <w:top w:val="single" w:sz="12" w:space="0" w:color="492581" w:themeColor="accent1"/>
              <w:left w:val="nil"/>
              <w:bottom w:val="single" w:sz="12" w:space="0" w:color="492581" w:themeColor="accent1"/>
            </w:tcBorders>
          </w:tcPr>
          <w:p w14:paraId="624B07B2" w14:textId="1C48DF83"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Total</w:t>
            </w:r>
            <w:r w:rsidRPr="009251C8">
              <w:rPr>
                <w:rFonts w:ascii="Calibri" w:eastAsia="Calibri" w:hAnsi="Calibri" w:cs="Source Sans Pro SemiBold"/>
                <w:b/>
                <w:bCs/>
                <w:color w:val="000000"/>
                <w:sz w:val="18"/>
                <w:szCs w:val="18"/>
              </w:rPr>
              <w:br/>
              <w:t>Equity</w:t>
            </w:r>
            <w:r w:rsidRPr="009251C8">
              <w:rPr>
                <w:rFonts w:ascii="Calibri" w:eastAsia="Calibri" w:hAnsi="Calibri" w:cs="Source Sans Pro SemiBold"/>
                <w:b/>
                <w:bCs/>
                <w:color w:val="000000"/>
                <w:sz w:val="18"/>
                <w:szCs w:val="18"/>
              </w:rPr>
              <w:br/>
              <w:t>Actual</w:t>
            </w:r>
            <w:r w:rsidRPr="009251C8">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4</w:t>
            </w:r>
            <w:r w:rsidRPr="009251C8">
              <w:rPr>
                <w:rFonts w:ascii="Calibri" w:eastAsia="Calibri" w:hAnsi="Calibri" w:cs="Source Sans Pro SemiBold"/>
                <w:b/>
                <w:bCs/>
                <w:color w:val="000000"/>
                <w:sz w:val="18"/>
                <w:szCs w:val="18"/>
              </w:rPr>
              <w:br/>
              <w:t xml:space="preserve">$’000 </w:t>
            </w:r>
          </w:p>
        </w:tc>
        <w:tc>
          <w:tcPr>
            <w:tcW w:w="1701" w:type="dxa"/>
            <w:tcBorders>
              <w:top w:val="single" w:sz="12" w:space="0" w:color="492581" w:themeColor="accent1"/>
              <w:bottom w:val="single" w:sz="12" w:space="0" w:color="492581" w:themeColor="accent1"/>
            </w:tcBorders>
          </w:tcPr>
          <w:p w14:paraId="73731433" w14:textId="29FD9F88"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br/>
              <w:t>Original</w:t>
            </w:r>
            <w:r w:rsidRPr="009251C8">
              <w:rPr>
                <w:rFonts w:ascii="Calibri" w:eastAsia="Calibri" w:hAnsi="Calibri" w:cs="Source Sans Pro SemiBold"/>
                <w:b/>
                <w:bCs/>
                <w:color w:val="000000"/>
                <w:sz w:val="18"/>
                <w:szCs w:val="18"/>
              </w:rPr>
              <w:br/>
              <w:t>Budget</w:t>
            </w:r>
            <w:r w:rsidRPr="009251C8">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4</w:t>
            </w:r>
            <w:r w:rsidRPr="009251C8">
              <w:rPr>
                <w:rFonts w:ascii="Calibri" w:eastAsia="Calibri" w:hAnsi="Calibri" w:cs="Source Sans Pro SemiBold"/>
                <w:b/>
                <w:bCs/>
                <w:color w:val="000000"/>
                <w:sz w:val="18"/>
                <w:szCs w:val="18"/>
              </w:rPr>
              <w:br/>
              <w:t xml:space="preserve">$’000 </w:t>
            </w:r>
          </w:p>
        </w:tc>
      </w:tr>
      <w:tr w:rsidR="009251C8" w:rsidRPr="009251C8" w14:paraId="4B8EB86D" w14:textId="77777777" w:rsidTr="003B7D3C">
        <w:trPr>
          <w:trHeight w:val="304"/>
        </w:trPr>
        <w:tc>
          <w:tcPr>
            <w:tcW w:w="2880" w:type="dxa"/>
            <w:tcBorders>
              <w:top w:val="single" w:sz="12" w:space="0" w:color="492581" w:themeColor="accent1"/>
              <w:bottom w:val="nil"/>
              <w:right w:val="nil"/>
            </w:tcBorders>
          </w:tcPr>
          <w:p w14:paraId="053F6C60"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12" w:type="dxa"/>
            <w:gridSpan w:val="2"/>
            <w:tcBorders>
              <w:top w:val="single" w:sz="12" w:space="0" w:color="492581" w:themeColor="accent1"/>
              <w:left w:val="nil"/>
              <w:bottom w:val="nil"/>
              <w:right w:val="nil"/>
            </w:tcBorders>
          </w:tcPr>
          <w:p w14:paraId="6D2D6228"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686" w:type="dxa"/>
            <w:tcBorders>
              <w:top w:val="single" w:sz="12" w:space="0" w:color="492581" w:themeColor="accent1"/>
              <w:left w:val="nil"/>
              <w:bottom w:val="nil"/>
              <w:right w:val="nil"/>
            </w:tcBorders>
          </w:tcPr>
          <w:p w14:paraId="011B9D15"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left w:val="nil"/>
              <w:bottom w:val="nil"/>
            </w:tcBorders>
          </w:tcPr>
          <w:p w14:paraId="1B65EE8C"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307D2204" w14:textId="77777777" w:rsidR="009251C8" w:rsidRPr="009251C8" w:rsidRDefault="009251C8" w:rsidP="009251C8">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8828D7" w:rsidRPr="009251C8" w14:paraId="16258DDF" w14:textId="77777777" w:rsidTr="00323290">
        <w:trPr>
          <w:trHeight w:val="118"/>
        </w:trPr>
        <w:tc>
          <w:tcPr>
            <w:tcW w:w="2880" w:type="dxa"/>
            <w:tcBorders>
              <w:top w:val="nil"/>
              <w:bottom w:val="nil"/>
              <w:right w:val="nil"/>
            </w:tcBorders>
          </w:tcPr>
          <w:p w14:paraId="3D45FBF0" w14:textId="3BB1D118" w:rsidR="008828D7" w:rsidRPr="009251C8" w:rsidRDefault="008828D7" w:rsidP="008828D7">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Balance at 1 July 202</w:t>
            </w:r>
            <w:r>
              <w:rPr>
                <w:rFonts w:ascii="Calibri" w:eastAsia="Calibri" w:hAnsi="Calibri" w:cs="Source Sans Pro SemiBold"/>
                <w:b/>
                <w:bCs/>
                <w:color w:val="000000"/>
                <w:sz w:val="18"/>
                <w:szCs w:val="18"/>
              </w:rPr>
              <w:t>3</w:t>
            </w:r>
            <w:r w:rsidRPr="009251C8">
              <w:rPr>
                <w:rFonts w:ascii="Calibri" w:eastAsia="Calibri" w:hAnsi="Calibri" w:cs="Source Sans Pro SemiBold"/>
                <w:b/>
                <w:bCs/>
                <w:color w:val="000000"/>
                <w:sz w:val="18"/>
                <w:szCs w:val="18"/>
              </w:rPr>
              <w:t xml:space="preserve"> </w:t>
            </w:r>
          </w:p>
        </w:tc>
        <w:tc>
          <w:tcPr>
            <w:tcW w:w="1197" w:type="dxa"/>
            <w:tcBorders>
              <w:top w:val="nil"/>
              <w:left w:val="nil"/>
              <w:bottom w:val="nil"/>
            </w:tcBorders>
          </w:tcPr>
          <w:p w14:paraId="40DEE92C" w14:textId="77777777" w:rsidR="008828D7" w:rsidRPr="009251C8" w:rsidRDefault="008828D7" w:rsidP="008828D7">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nil"/>
              <w:bottom w:val="nil"/>
            </w:tcBorders>
          </w:tcPr>
          <w:p w14:paraId="42A425A9" w14:textId="5F7F9A59" w:rsidR="008828D7" w:rsidRPr="000E1803" w:rsidRDefault="008828D7" w:rsidP="008828D7">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32,568</w:t>
            </w:r>
          </w:p>
        </w:tc>
        <w:tc>
          <w:tcPr>
            <w:tcW w:w="1701" w:type="dxa"/>
            <w:tcBorders>
              <w:top w:val="nil"/>
              <w:bottom w:val="nil"/>
            </w:tcBorders>
          </w:tcPr>
          <w:p w14:paraId="2E4594B8" w14:textId="71728BC9" w:rsidR="008828D7" w:rsidRPr="000E1803" w:rsidRDefault="008828D7" w:rsidP="008828D7">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32,568</w:t>
            </w:r>
          </w:p>
        </w:tc>
        <w:tc>
          <w:tcPr>
            <w:tcW w:w="1701" w:type="dxa"/>
            <w:tcBorders>
              <w:top w:val="nil"/>
              <w:bottom w:val="nil"/>
            </w:tcBorders>
          </w:tcPr>
          <w:p w14:paraId="3E6725E5" w14:textId="36809E21" w:rsidR="008828D7" w:rsidRPr="000E1803" w:rsidRDefault="008828D7" w:rsidP="008828D7">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60,982</w:t>
            </w:r>
          </w:p>
        </w:tc>
      </w:tr>
      <w:tr w:rsidR="009251C8" w:rsidRPr="009251C8" w14:paraId="761BE7D5" w14:textId="77777777" w:rsidTr="00323290">
        <w:trPr>
          <w:trHeight w:val="118"/>
        </w:trPr>
        <w:tc>
          <w:tcPr>
            <w:tcW w:w="2880" w:type="dxa"/>
            <w:tcBorders>
              <w:top w:val="nil"/>
              <w:bottom w:val="nil"/>
              <w:right w:val="nil"/>
            </w:tcBorders>
          </w:tcPr>
          <w:p w14:paraId="39C06905"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97" w:type="dxa"/>
            <w:tcBorders>
              <w:top w:val="nil"/>
              <w:left w:val="nil"/>
              <w:bottom w:val="nil"/>
            </w:tcBorders>
          </w:tcPr>
          <w:p w14:paraId="2589C9D2"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nil"/>
              <w:bottom w:val="nil"/>
            </w:tcBorders>
          </w:tcPr>
          <w:p w14:paraId="3210516F" w14:textId="77777777" w:rsidR="009251C8" w:rsidRPr="000E1803"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nil"/>
              <w:bottom w:val="nil"/>
            </w:tcBorders>
          </w:tcPr>
          <w:p w14:paraId="3710E87D" w14:textId="77777777" w:rsidR="009251C8" w:rsidRPr="000E1803"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nil"/>
              <w:bottom w:val="nil"/>
            </w:tcBorders>
          </w:tcPr>
          <w:p w14:paraId="1EB3E319" w14:textId="77777777" w:rsidR="009251C8" w:rsidRPr="000E1803" w:rsidRDefault="009251C8" w:rsidP="009251C8">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r>
      <w:tr w:rsidR="009251C8" w:rsidRPr="009251C8" w14:paraId="5C352E99" w14:textId="77777777" w:rsidTr="00323290">
        <w:trPr>
          <w:trHeight w:val="118"/>
        </w:trPr>
        <w:tc>
          <w:tcPr>
            <w:tcW w:w="2880" w:type="dxa"/>
            <w:tcBorders>
              <w:top w:val="nil"/>
              <w:bottom w:val="nil"/>
              <w:right w:val="nil"/>
            </w:tcBorders>
          </w:tcPr>
          <w:p w14:paraId="2799C799" w14:textId="77777777" w:rsidR="009251C8" w:rsidRPr="009251C8"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Comprehensive Income </w:t>
            </w:r>
          </w:p>
        </w:tc>
        <w:tc>
          <w:tcPr>
            <w:tcW w:w="6300" w:type="dxa"/>
            <w:gridSpan w:val="5"/>
            <w:tcBorders>
              <w:top w:val="nil"/>
              <w:left w:val="nil"/>
              <w:bottom w:val="nil"/>
            </w:tcBorders>
          </w:tcPr>
          <w:p w14:paraId="518AFDBD" w14:textId="77777777" w:rsidR="009251C8" w:rsidRPr="000E1803" w:rsidRDefault="009251C8" w:rsidP="009251C8">
            <w:pPr>
              <w:autoSpaceDE w:val="0"/>
              <w:autoSpaceDN w:val="0"/>
              <w:adjustRightInd w:val="0"/>
              <w:spacing w:before="40" w:after="40" w:line="240" w:lineRule="auto"/>
              <w:rPr>
                <w:rFonts w:ascii="Calibri" w:eastAsia="Calibri" w:hAnsi="Calibri" w:cs="Source Sans Pro SemiBold"/>
                <w:color w:val="000000"/>
                <w:sz w:val="18"/>
                <w:szCs w:val="18"/>
                <w:highlight w:val="yellow"/>
              </w:rPr>
            </w:pPr>
          </w:p>
        </w:tc>
      </w:tr>
      <w:tr w:rsidR="00000E83" w:rsidRPr="009251C8" w14:paraId="0A21957E" w14:textId="77777777" w:rsidTr="00323290">
        <w:trPr>
          <w:trHeight w:val="110"/>
        </w:trPr>
        <w:tc>
          <w:tcPr>
            <w:tcW w:w="2880" w:type="dxa"/>
            <w:tcBorders>
              <w:top w:val="nil"/>
              <w:bottom w:val="nil"/>
              <w:right w:val="nil"/>
            </w:tcBorders>
          </w:tcPr>
          <w:p w14:paraId="7F4995D8"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Light"/>
                <w:color w:val="000000"/>
                <w:sz w:val="18"/>
                <w:szCs w:val="18"/>
              </w:rPr>
            </w:pPr>
            <w:r w:rsidRPr="009251C8">
              <w:rPr>
                <w:rFonts w:ascii="Calibri" w:eastAsia="Calibri" w:hAnsi="Calibri" w:cs="Source Sans Pro Light"/>
                <w:color w:val="000000"/>
                <w:sz w:val="18"/>
                <w:szCs w:val="18"/>
              </w:rPr>
              <w:t>Operating Result</w:t>
            </w:r>
          </w:p>
        </w:tc>
        <w:tc>
          <w:tcPr>
            <w:tcW w:w="1197" w:type="dxa"/>
            <w:tcBorders>
              <w:top w:val="nil"/>
              <w:left w:val="nil"/>
              <w:bottom w:val="nil"/>
            </w:tcBorders>
          </w:tcPr>
          <w:p w14:paraId="45067FBF"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Light"/>
                <w:color w:val="000000"/>
                <w:sz w:val="18"/>
                <w:szCs w:val="18"/>
              </w:rPr>
            </w:pPr>
          </w:p>
        </w:tc>
        <w:tc>
          <w:tcPr>
            <w:tcW w:w="1701" w:type="dxa"/>
            <w:gridSpan w:val="2"/>
            <w:tcBorders>
              <w:bottom w:val="single" w:sz="2" w:space="0" w:color="auto"/>
            </w:tcBorders>
          </w:tcPr>
          <w:p w14:paraId="255F9B07" w14:textId="60B58BEF" w:rsidR="00000E83" w:rsidRPr="000E1803" w:rsidRDefault="00000E83" w:rsidP="00000E83">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17,214</w:t>
            </w:r>
          </w:p>
        </w:tc>
        <w:tc>
          <w:tcPr>
            <w:tcW w:w="1701" w:type="dxa"/>
            <w:tcBorders>
              <w:bottom w:val="single" w:sz="2" w:space="0" w:color="auto"/>
            </w:tcBorders>
          </w:tcPr>
          <w:p w14:paraId="5FCB30CF" w14:textId="6027F134" w:rsidR="00000E83" w:rsidRPr="000E1803" w:rsidRDefault="00000E83" w:rsidP="00000E83">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17,214</w:t>
            </w:r>
          </w:p>
        </w:tc>
        <w:tc>
          <w:tcPr>
            <w:tcW w:w="1701" w:type="dxa"/>
            <w:tcBorders>
              <w:bottom w:val="single" w:sz="2" w:space="0" w:color="auto"/>
            </w:tcBorders>
          </w:tcPr>
          <w:p w14:paraId="111C6A2A" w14:textId="50ECFAB4" w:rsidR="00000E83" w:rsidRPr="000E1803" w:rsidRDefault="00000E83" w:rsidP="00000E83">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2,712</w:t>
            </w:r>
          </w:p>
        </w:tc>
      </w:tr>
      <w:tr w:rsidR="00000E83" w:rsidRPr="009251C8" w14:paraId="40D14564" w14:textId="77777777" w:rsidTr="00323290">
        <w:trPr>
          <w:trHeight w:val="118"/>
        </w:trPr>
        <w:tc>
          <w:tcPr>
            <w:tcW w:w="2880" w:type="dxa"/>
            <w:tcBorders>
              <w:top w:val="nil"/>
              <w:bottom w:val="nil"/>
              <w:right w:val="nil"/>
            </w:tcBorders>
          </w:tcPr>
          <w:p w14:paraId="4570BA25"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 xml:space="preserve">Total Comprehensive Result </w:t>
            </w:r>
          </w:p>
        </w:tc>
        <w:tc>
          <w:tcPr>
            <w:tcW w:w="1197" w:type="dxa"/>
            <w:tcBorders>
              <w:top w:val="nil"/>
              <w:left w:val="nil"/>
              <w:bottom w:val="nil"/>
            </w:tcBorders>
          </w:tcPr>
          <w:p w14:paraId="10A20033"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2" w:space="0" w:color="auto"/>
            </w:tcBorders>
          </w:tcPr>
          <w:p w14:paraId="31EE6771" w14:textId="67958DB0"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17,214</w:t>
            </w:r>
          </w:p>
        </w:tc>
        <w:tc>
          <w:tcPr>
            <w:tcW w:w="1701" w:type="dxa"/>
            <w:tcBorders>
              <w:top w:val="single" w:sz="2" w:space="0" w:color="auto"/>
              <w:bottom w:val="single" w:sz="2" w:space="0" w:color="auto"/>
            </w:tcBorders>
          </w:tcPr>
          <w:p w14:paraId="22031565" w14:textId="3F47A138"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17,214</w:t>
            </w:r>
          </w:p>
        </w:tc>
        <w:tc>
          <w:tcPr>
            <w:tcW w:w="1701" w:type="dxa"/>
            <w:tcBorders>
              <w:top w:val="single" w:sz="2" w:space="0" w:color="auto"/>
              <w:bottom w:val="single" w:sz="2" w:space="0" w:color="auto"/>
            </w:tcBorders>
          </w:tcPr>
          <w:p w14:paraId="6B589822" w14:textId="481157A5"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bCs/>
                <w:color w:val="000000"/>
                <w:sz w:val="18"/>
                <w:szCs w:val="18"/>
              </w:rPr>
              <w:t>2,712</w:t>
            </w:r>
          </w:p>
        </w:tc>
      </w:tr>
      <w:tr w:rsidR="00000E83" w:rsidRPr="009251C8" w14:paraId="6F7C5ECD" w14:textId="77777777" w:rsidTr="00550675">
        <w:trPr>
          <w:trHeight w:val="118"/>
        </w:trPr>
        <w:tc>
          <w:tcPr>
            <w:tcW w:w="2880" w:type="dxa"/>
            <w:tcBorders>
              <w:top w:val="nil"/>
              <w:bottom w:val="nil"/>
              <w:right w:val="nil"/>
            </w:tcBorders>
          </w:tcPr>
          <w:p w14:paraId="375FDCAE"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197" w:type="dxa"/>
            <w:tcBorders>
              <w:top w:val="nil"/>
              <w:left w:val="nil"/>
              <w:bottom w:val="nil"/>
            </w:tcBorders>
          </w:tcPr>
          <w:p w14:paraId="73A1C065"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single" w:sz="2" w:space="0" w:color="auto"/>
              <w:bottom w:val="single" w:sz="2" w:space="0" w:color="auto"/>
            </w:tcBorders>
          </w:tcPr>
          <w:p w14:paraId="1F5EE3F2" w14:textId="77777777"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single" w:sz="2" w:space="0" w:color="auto"/>
              <w:bottom w:val="single" w:sz="2" w:space="0" w:color="auto"/>
            </w:tcBorders>
          </w:tcPr>
          <w:p w14:paraId="165B7B21" w14:textId="77777777"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single" w:sz="2" w:space="0" w:color="auto"/>
              <w:bottom w:val="single" w:sz="2" w:space="0" w:color="auto"/>
              <w:right w:val="nil"/>
            </w:tcBorders>
          </w:tcPr>
          <w:p w14:paraId="4E8F6E04" w14:textId="77777777"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r>
      <w:tr w:rsidR="00000E83" w:rsidRPr="009251C8" w14:paraId="36F2AD77" w14:textId="77777777" w:rsidTr="00550675">
        <w:trPr>
          <w:trHeight w:val="118"/>
        </w:trPr>
        <w:tc>
          <w:tcPr>
            <w:tcW w:w="2880" w:type="dxa"/>
            <w:tcBorders>
              <w:top w:val="nil"/>
              <w:left w:val="nil"/>
              <w:bottom w:val="single" w:sz="12" w:space="0" w:color="492581" w:themeColor="accent1"/>
              <w:right w:val="nil"/>
            </w:tcBorders>
          </w:tcPr>
          <w:p w14:paraId="114DC607" w14:textId="7664D473" w:rsidR="00000E83" w:rsidRPr="009251C8" w:rsidRDefault="00000E83" w:rsidP="00000E83">
            <w:pPr>
              <w:autoSpaceDE w:val="0"/>
              <w:autoSpaceDN w:val="0"/>
              <w:adjustRightInd w:val="0"/>
              <w:spacing w:before="40" w:after="40" w:line="240" w:lineRule="auto"/>
              <w:rPr>
                <w:rFonts w:ascii="Calibri" w:eastAsia="Calibri" w:hAnsi="Calibri" w:cs="Source Sans Pro SemiBold"/>
                <w:color w:val="000000"/>
                <w:sz w:val="18"/>
                <w:szCs w:val="18"/>
              </w:rPr>
            </w:pPr>
            <w:r w:rsidRPr="009251C8">
              <w:rPr>
                <w:rFonts w:ascii="Calibri" w:eastAsia="Calibri" w:hAnsi="Calibri" w:cs="Source Sans Pro SemiBold"/>
                <w:b/>
                <w:bCs/>
                <w:color w:val="000000"/>
                <w:sz w:val="18"/>
                <w:szCs w:val="18"/>
              </w:rPr>
              <w:t>Balance at 30 June 202</w:t>
            </w:r>
            <w:r>
              <w:rPr>
                <w:rFonts w:ascii="Calibri" w:eastAsia="Calibri" w:hAnsi="Calibri" w:cs="Source Sans Pro SemiBold"/>
                <w:b/>
                <w:bCs/>
                <w:color w:val="000000"/>
                <w:sz w:val="18"/>
                <w:szCs w:val="18"/>
              </w:rPr>
              <w:t>4</w:t>
            </w:r>
            <w:r w:rsidRPr="009251C8">
              <w:rPr>
                <w:rFonts w:ascii="Calibri" w:eastAsia="Calibri" w:hAnsi="Calibri" w:cs="Source Sans Pro SemiBold"/>
                <w:b/>
                <w:bCs/>
                <w:color w:val="000000"/>
                <w:sz w:val="18"/>
                <w:szCs w:val="18"/>
              </w:rPr>
              <w:t xml:space="preserve"> </w:t>
            </w:r>
          </w:p>
        </w:tc>
        <w:tc>
          <w:tcPr>
            <w:tcW w:w="1197" w:type="dxa"/>
            <w:tcBorders>
              <w:top w:val="nil"/>
              <w:left w:val="nil"/>
              <w:bottom w:val="single" w:sz="12" w:space="0" w:color="492581" w:themeColor="accent1"/>
            </w:tcBorders>
          </w:tcPr>
          <w:p w14:paraId="6FB2AF37" w14:textId="77777777" w:rsidR="00000E83" w:rsidRPr="009251C8" w:rsidRDefault="00000E83" w:rsidP="00000E83">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12" w:space="0" w:color="492581" w:themeColor="accent1"/>
            </w:tcBorders>
          </w:tcPr>
          <w:p w14:paraId="34F8C56C" w14:textId="56BDC8DD"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single" w:sz="2" w:space="0" w:color="auto"/>
              <w:bottom w:val="single" w:sz="12" w:space="0" w:color="492581" w:themeColor="accent1"/>
            </w:tcBorders>
          </w:tcPr>
          <w:p w14:paraId="46BA7E33" w14:textId="3DB1B820"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single" w:sz="2" w:space="0" w:color="auto"/>
              <w:bottom w:val="single" w:sz="12" w:space="0" w:color="492581" w:themeColor="accent1"/>
              <w:right w:val="nil"/>
            </w:tcBorders>
          </w:tcPr>
          <w:p w14:paraId="7B884CAE" w14:textId="7AA0E455" w:rsidR="00000E83" w:rsidRPr="000E1803" w:rsidRDefault="00000E83" w:rsidP="00000E83">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63,694</w:t>
            </w:r>
          </w:p>
        </w:tc>
      </w:tr>
    </w:tbl>
    <w:p w14:paraId="4CAAE550" w14:textId="77777777" w:rsidR="00C0318D" w:rsidRDefault="00C0318D" w:rsidP="006E5206">
      <w:pPr>
        <w:rPr>
          <w:iCs/>
        </w:rPr>
      </w:pPr>
    </w:p>
    <w:tbl>
      <w:tblPr>
        <w:tblW w:w="7513" w:type="dxa"/>
        <w:tblBorders>
          <w:top w:val="nil"/>
          <w:left w:val="nil"/>
          <w:bottom w:val="nil"/>
          <w:right w:val="nil"/>
        </w:tblBorders>
        <w:tblLayout w:type="fixed"/>
        <w:tblLook w:val="0000" w:firstRow="0" w:lastRow="0" w:firstColumn="0" w:lastColumn="0" w:noHBand="0" w:noVBand="0"/>
      </w:tblPr>
      <w:tblGrid>
        <w:gridCol w:w="4111"/>
        <w:gridCol w:w="1701"/>
        <w:gridCol w:w="1701"/>
      </w:tblGrid>
      <w:tr w:rsidR="00EE4925" w:rsidRPr="00EE4925" w14:paraId="3A4C15A2" w14:textId="77777777" w:rsidTr="001D2D3C">
        <w:trPr>
          <w:trHeight w:val="518"/>
        </w:trPr>
        <w:tc>
          <w:tcPr>
            <w:tcW w:w="5812" w:type="dxa"/>
            <w:gridSpan w:val="2"/>
            <w:tcBorders>
              <w:top w:val="single" w:sz="12" w:space="0" w:color="492581" w:themeColor="accent1"/>
              <w:bottom w:val="single" w:sz="12" w:space="0" w:color="492581" w:themeColor="accent1"/>
            </w:tcBorders>
          </w:tcPr>
          <w:p w14:paraId="289C1E96" w14:textId="665D65B1"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Accumulated</w:t>
            </w:r>
            <w:r w:rsidRPr="00EE4925">
              <w:rPr>
                <w:rFonts w:ascii="Calibri" w:eastAsia="Calibri" w:hAnsi="Calibri" w:cs="Source Sans Pro SemiBold"/>
                <w:b/>
                <w:bCs/>
                <w:color w:val="000000"/>
                <w:sz w:val="18"/>
                <w:szCs w:val="18"/>
              </w:rPr>
              <w:br/>
              <w:t>Funds</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3</w:t>
            </w:r>
            <w:r w:rsidRPr="00EE4925">
              <w:rPr>
                <w:rFonts w:ascii="Calibri" w:eastAsia="Calibri" w:hAnsi="Calibri" w:cs="Source Sans Pro SemiBold"/>
                <w:b/>
                <w:bCs/>
                <w:color w:val="000000"/>
                <w:sz w:val="18"/>
                <w:szCs w:val="18"/>
              </w:rPr>
              <w:br/>
              <w:t>$’000</w:t>
            </w:r>
          </w:p>
        </w:tc>
        <w:tc>
          <w:tcPr>
            <w:tcW w:w="1701" w:type="dxa"/>
            <w:tcBorders>
              <w:top w:val="single" w:sz="12" w:space="0" w:color="492581" w:themeColor="accent1"/>
              <w:bottom w:val="single" w:sz="12" w:space="0" w:color="492581" w:themeColor="accent1"/>
            </w:tcBorders>
          </w:tcPr>
          <w:p w14:paraId="084E2E1F" w14:textId="7F3D5B78"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Total</w:t>
            </w:r>
            <w:r w:rsidRPr="00EE4925">
              <w:rPr>
                <w:rFonts w:ascii="Calibri" w:eastAsia="Calibri" w:hAnsi="Calibri" w:cs="Source Sans Pro SemiBold"/>
                <w:b/>
                <w:bCs/>
                <w:color w:val="000000"/>
                <w:sz w:val="18"/>
                <w:szCs w:val="18"/>
              </w:rPr>
              <w:br/>
              <w:t>Equity</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w:t>
            </w:r>
            <w:r w:rsidR="000E1803">
              <w:rPr>
                <w:rFonts w:ascii="Calibri" w:eastAsia="Calibri" w:hAnsi="Calibri" w:cs="Source Sans Pro SemiBold"/>
                <w:b/>
                <w:bCs/>
                <w:color w:val="000000"/>
                <w:sz w:val="18"/>
                <w:szCs w:val="18"/>
              </w:rPr>
              <w:t>3</w:t>
            </w:r>
            <w:r w:rsidRPr="00EE4925">
              <w:rPr>
                <w:rFonts w:ascii="Calibri" w:eastAsia="Calibri" w:hAnsi="Calibri" w:cs="Source Sans Pro SemiBold"/>
                <w:b/>
                <w:bCs/>
                <w:color w:val="000000"/>
                <w:sz w:val="18"/>
                <w:szCs w:val="18"/>
              </w:rPr>
              <w:br/>
              <w:t xml:space="preserve">$’000 </w:t>
            </w:r>
          </w:p>
        </w:tc>
      </w:tr>
      <w:tr w:rsidR="00EE4925" w:rsidRPr="00EE4925" w14:paraId="1660FFF3" w14:textId="77777777" w:rsidTr="001D2D3C">
        <w:trPr>
          <w:trHeight w:val="225"/>
        </w:trPr>
        <w:tc>
          <w:tcPr>
            <w:tcW w:w="5812" w:type="dxa"/>
            <w:gridSpan w:val="2"/>
            <w:tcBorders>
              <w:top w:val="single" w:sz="12" w:space="0" w:color="492581" w:themeColor="accent1"/>
            </w:tcBorders>
          </w:tcPr>
          <w:p w14:paraId="13E6AE70"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13BEB636"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AD5311" w:rsidRPr="00EE4925" w14:paraId="37DBDAD6" w14:textId="77777777" w:rsidTr="00323290">
        <w:trPr>
          <w:trHeight w:val="118"/>
        </w:trPr>
        <w:tc>
          <w:tcPr>
            <w:tcW w:w="4111" w:type="dxa"/>
          </w:tcPr>
          <w:p w14:paraId="2247C7F3" w14:textId="007C55F1" w:rsidR="00AD5311" w:rsidRPr="00EE4925" w:rsidRDefault="00AD5311" w:rsidP="00AD5311">
            <w:pPr>
              <w:autoSpaceDE w:val="0"/>
              <w:autoSpaceDN w:val="0"/>
              <w:adjustRightInd w:val="0"/>
              <w:spacing w:before="40" w:after="40" w:line="240" w:lineRule="auto"/>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Balance at 1 July 202</w:t>
            </w:r>
            <w:r>
              <w:rPr>
                <w:rFonts w:ascii="Calibri" w:eastAsia="Calibri" w:hAnsi="Calibri" w:cs="Source Sans Pro SemiBold"/>
                <w:b/>
                <w:bCs/>
                <w:color w:val="000000"/>
                <w:sz w:val="18"/>
                <w:szCs w:val="18"/>
              </w:rPr>
              <w:t>2</w:t>
            </w:r>
            <w:r w:rsidRPr="00EE4925">
              <w:rPr>
                <w:rFonts w:ascii="Calibri" w:eastAsia="Calibri" w:hAnsi="Calibri" w:cs="Source Sans Pro SemiBold"/>
                <w:b/>
                <w:bCs/>
                <w:color w:val="000000"/>
                <w:sz w:val="18"/>
                <w:szCs w:val="18"/>
              </w:rPr>
              <w:t xml:space="preserve"> </w:t>
            </w:r>
          </w:p>
        </w:tc>
        <w:tc>
          <w:tcPr>
            <w:tcW w:w="1701" w:type="dxa"/>
          </w:tcPr>
          <w:p w14:paraId="36CE715F" w14:textId="5E7B8E1F" w:rsidR="00AD5311" w:rsidRPr="000E1803" w:rsidRDefault="00AD5311" w:rsidP="00AD5311">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68,888</w:t>
            </w:r>
          </w:p>
        </w:tc>
        <w:tc>
          <w:tcPr>
            <w:tcW w:w="1701" w:type="dxa"/>
          </w:tcPr>
          <w:p w14:paraId="28E016EA" w14:textId="64BF10DB" w:rsidR="00AD5311" w:rsidRPr="000E1803" w:rsidRDefault="00AD5311" w:rsidP="00AD5311">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68,888</w:t>
            </w:r>
          </w:p>
        </w:tc>
      </w:tr>
      <w:tr w:rsidR="00EE4925" w:rsidRPr="00EE4925" w14:paraId="75DE3AB2" w14:textId="77777777" w:rsidTr="00323290">
        <w:trPr>
          <w:trHeight w:val="118"/>
        </w:trPr>
        <w:tc>
          <w:tcPr>
            <w:tcW w:w="7513" w:type="dxa"/>
            <w:gridSpan w:val="3"/>
          </w:tcPr>
          <w:p w14:paraId="086716B1" w14:textId="77777777" w:rsidR="00EE4925" w:rsidRPr="00F45FC7" w:rsidRDefault="00EE4925" w:rsidP="00EE4925">
            <w:pPr>
              <w:autoSpaceDE w:val="0"/>
              <w:autoSpaceDN w:val="0"/>
              <w:adjustRightInd w:val="0"/>
              <w:spacing w:before="40" w:after="40" w:line="240" w:lineRule="auto"/>
              <w:rPr>
                <w:rFonts w:ascii="Calibri" w:eastAsia="Calibri" w:hAnsi="Calibri" w:cs="Source Sans Pro SemiBold"/>
                <w:color w:val="000000"/>
                <w:sz w:val="18"/>
                <w:szCs w:val="18"/>
              </w:rPr>
            </w:pPr>
            <w:r w:rsidRPr="00F45FC7">
              <w:rPr>
                <w:rFonts w:ascii="Calibri" w:eastAsia="Calibri" w:hAnsi="Calibri" w:cs="Source Sans Pro SemiBold"/>
                <w:b/>
                <w:bCs/>
                <w:color w:val="000000"/>
                <w:sz w:val="18"/>
                <w:szCs w:val="18"/>
              </w:rPr>
              <w:t>Comprehensive Income</w:t>
            </w:r>
          </w:p>
        </w:tc>
      </w:tr>
      <w:tr w:rsidR="00F36E4D" w:rsidRPr="00EE4925" w14:paraId="38582272" w14:textId="77777777" w:rsidTr="00323290">
        <w:trPr>
          <w:trHeight w:val="110"/>
        </w:trPr>
        <w:tc>
          <w:tcPr>
            <w:tcW w:w="4111" w:type="dxa"/>
          </w:tcPr>
          <w:p w14:paraId="697EB9EB" w14:textId="77777777" w:rsidR="00F36E4D" w:rsidRPr="00EE4925" w:rsidRDefault="00F36E4D" w:rsidP="00F36E4D">
            <w:pPr>
              <w:autoSpaceDE w:val="0"/>
              <w:autoSpaceDN w:val="0"/>
              <w:adjustRightInd w:val="0"/>
              <w:spacing w:before="40" w:after="40" w:line="240" w:lineRule="auto"/>
              <w:rPr>
                <w:rFonts w:ascii="Calibri" w:eastAsia="Calibri" w:hAnsi="Calibri" w:cs="Source Sans Pro Light"/>
                <w:color w:val="000000"/>
                <w:sz w:val="18"/>
                <w:szCs w:val="18"/>
              </w:rPr>
            </w:pPr>
            <w:r w:rsidRPr="00EE4925">
              <w:rPr>
                <w:rFonts w:ascii="Calibri" w:eastAsia="Calibri" w:hAnsi="Calibri" w:cs="Source Sans Pro Light"/>
                <w:color w:val="000000"/>
                <w:sz w:val="18"/>
                <w:szCs w:val="18"/>
              </w:rPr>
              <w:t>Operating Result</w:t>
            </w:r>
          </w:p>
        </w:tc>
        <w:tc>
          <w:tcPr>
            <w:tcW w:w="1701" w:type="dxa"/>
            <w:tcBorders>
              <w:bottom w:val="single" w:sz="2" w:space="0" w:color="auto"/>
            </w:tcBorders>
          </w:tcPr>
          <w:p w14:paraId="3DAF64EE" w14:textId="2F1BF4BA" w:rsidR="00F36E4D" w:rsidRPr="000E1803" w:rsidRDefault="00F36E4D" w:rsidP="00F36E4D">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(36,320)</w:t>
            </w:r>
          </w:p>
        </w:tc>
        <w:tc>
          <w:tcPr>
            <w:tcW w:w="1701" w:type="dxa"/>
            <w:tcBorders>
              <w:bottom w:val="single" w:sz="2" w:space="0" w:color="auto"/>
            </w:tcBorders>
          </w:tcPr>
          <w:p w14:paraId="0CBFE245" w14:textId="2E9A0C28" w:rsidR="00F36E4D" w:rsidRPr="000E1803" w:rsidRDefault="00F36E4D" w:rsidP="00F36E4D">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(36,320)</w:t>
            </w:r>
          </w:p>
        </w:tc>
      </w:tr>
      <w:tr w:rsidR="00F36E4D" w:rsidRPr="00EE4925" w14:paraId="3C4682D9" w14:textId="77777777" w:rsidTr="00323290">
        <w:trPr>
          <w:trHeight w:val="118"/>
        </w:trPr>
        <w:tc>
          <w:tcPr>
            <w:tcW w:w="4111" w:type="dxa"/>
          </w:tcPr>
          <w:p w14:paraId="282E3DCA" w14:textId="77777777" w:rsidR="00F36E4D" w:rsidRPr="00EE4925" w:rsidRDefault="00F36E4D" w:rsidP="00F36E4D">
            <w:pPr>
              <w:autoSpaceDE w:val="0"/>
              <w:autoSpaceDN w:val="0"/>
              <w:adjustRightInd w:val="0"/>
              <w:spacing w:before="40" w:after="40" w:line="240" w:lineRule="auto"/>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 xml:space="preserve">Total Comprehensive Income </w:t>
            </w:r>
          </w:p>
        </w:tc>
        <w:tc>
          <w:tcPr>
            <w:tcW w:w="1701" w:type="dxa"/>
            <w:tcBorders>
              <w:top w:val="single" w:sz="2" w:space="0" w:color="auto"/>
              <w:bottom w:val="single" w:sz="2" w:space="0" w:color="auto"/>
            </w:tcBorders>
          </w:tcPr>
          <w:p w14:paraId="11054813" w14:textId="012C6533" w:rsidR="00F36E4D" w:rsidRPr="000E1803" w:rsidRDefault="00F36E4D" w:rsidP="00F36E4D">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(36,320)</w:t>
            </w:r>
          </w:p>
        </w:tc>
        <w:tc>
          <w:tcPr>
            <w:tcW w:w="1701" w:type="dxa"/>
            <w:tcBorders>
              <w:top w:val="single" w:sz="2" w:space="0" w:color="auto"/>
              <w:bottom w:val="single" w:sz="2" w:space="0" w:color="auto"/>
            </w:tcBorders>
          </w:tcPr>
          <w:p w14:paraId="12AAC4A4" w14:textId="02A86BA7" w:rsidR="00F36E4D" w:rsidRPr="000E1803" w:rsidRDefault="00F36E4D" w:rsidP="00F36E4D">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(36,320)</w:t>
            </w:r>
          </w:p>
        </w:tc>
      </w:tr>
      <w:tr w:rsidR="00EE4925" w:rsidRPr="00EE4925" w14:paraId="1B7BC560" w14:textId="77777777" w:rsidTr="00550675">
        <w:trPr>
          <w:trHeight w:val="283"/>
        </w:trPr>
        <w:tc>
          <w:tcPr>
            <w:tcW w:w="4111" w:type="dxa"/>
            <w:tcBorders>
              <w:top w:val="nil"/>
              <w:bottom w:val="nil"/>
            </w:tcBorders>
          </w:tcPr>
          <w:p w14:paraId="78168C4E" w14:textId="77777777" w:rsidR="00EE4925" w:rsidRPr="00EE4925" w:rsidRDefault="00EE4925" w:rsidP="00EE4925">
            <w:pPr>
              <w:autoSpaceDE w:val="0"/>
              <w:autoSpaceDN w:val="0"/>
              <w:adjustRightInd w:val="0"/>
              <w:spacing w:before="40" w:after="40" w:line="240" w:lineRule="auto"/>
              <w:ind w:left="357" w:hanging="357"/>
              <w:rPr>
                <w:rFonts w:ascii="Calibri" w:eastAsia="Calibri" w:hAnsi="Calibri" w:cs="Source Sans Pro SemiBold"/>
                <w:b/>
                <w:bCs/>
                <w:color w:val="000000"/>
                <w:sz w:val="18"/>
                <w:szCs w:val="18"/>
              </w:rPr>
            </w:pPr>
          </w:p>
        </w:tc>
        <w:tc>
          <w:tcPr>
            <w:tcW w:w="1701" w:type="dxa"/>
            <w:tcBorders>
              <w:top w:val="single" w:sz="2" w:space="0" w:color="auto"/>
              <w:bottom w:val="single" w:sz="2" w:space="0" w:color="auto"/>
            </w:tcBorders>
          </w:tcPr>
          <w:p w14:paraId="1411857F" w14:textId="77777777" w:rsidR="00EE4925" w:rsidRPr="000E1803"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single" w:sz="2" w:space="0" w:color="auto"/>
              <w:bottom w:val="single" w:sz="2" w:space="0" w:color="auto"/>
            </w:tcBorders>
          </w:tcPr>
          <w:p w14:paraId="7F3B2808" w14:textId="77777777" w:rsidR="00EE4925" w:rsidRPr="000E1803" w:rsidRDefault="00EE4925" w:rsidP="00EE4925">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r>
      <w:tr w:rsidR="00CA70D0" w:rsidRPr="00EE4925" w14:paraId="763955EC" w14:textId="77777777" w:rsidTr="00550675">
        <w:trPr>
          <w:trHeight w:val="118"/>
        </w:trPr>
        <w:tc>
          <w:tcPr>
            <w:tcW w:w="4111" w:type="dxa"/>
            <w:tcBorders>
              <w:top w:val="nil"/>
              <w:left w:val="nil"/>
              <w:bottom w:val="single" w:sz="12" w:space="0" w:color="492581" w:themeColor="accent1"/>
            </w:tcBorders>
          </w:tcPr>
          <w:p w14:paraId="764FC120" w14:textId="51F32AEE" w:rsidR="00CA70D0" w:rsidRPr="00EE4925" w:rsidRDefault="00CA70D0" w:rsidP="00CA70D0">
            <w:pPr>
              <w:autoSpaceDE w:val="0"/>
              <w:autoSpaceDN w:val="0"/>
              <w:adjustRightInd w:val="0"/>
              <w:spacing w:before="40" w:after="40" w:line="240" w:lineRule="auto"/>
              <w:rPr>
                <w:rFonts w:ascii="Calibri" w:eastAsia="Calibri" w:hAnsi="Calibri" w:cs="Source Sans Pro SemiBold"/>
                <w:b/>
                <w:bCs/>
                <w:color w:val="000000"/>
                <w:sz w:val="18"/>
                <w:szCs w:val="18"/>
              </w:rPr>
            </w:pPr>
            <w:r w:rsidRPr="00EE4925">
              <w:rPr>
                <w:rFonts w:ascii="Calibri" w:eastAsia="Calibri" w:hAnsi="Calibri" w:cs="Source Sans Pro SemiBold"/>
                <w:b/>
                <w:bCs/>
                <w:color w:val="000000"/>
                <w:sz w:val="18"/>
                <w:szCs w:val="18"/>
              </w:rPr>
              <w:t>Balance at 30 June 202</w:t>
            </w:r>
            <w:r>
              <w:rPr>
                <w:rFonts w:ascii="Calibri" w:eastAsia="Calibri" w:hAnsi="Calibri" w:cs="Source Sans Pro SemiBold"/>
                <w:b/>
                <w:bCs/>
                <w:color w:val="000000"/>
                <w:sz w:val="18"/>
                <w:szCs w:val="18"/>
              </w:rPr>
              <w:t>3</w:t>
            </w:r>
            <w:r w:rsidRPr="00EE4925">
              <w:rPr>
                <w:rFonts w:ascii="Calibri" w:eastAsia="Calibri" w:hAnsi="Calibri" w:cs="Source Sans Pro SemiBold"/>
                <w:b/>
                <w:bCs/>
                <w:color w:val="000000"/>
                <w:sz w:val="18"/>
                <w:szCs w:val="18"/>
              </w:rPr>
              <w:t xml:space="preserve"> </w:t>
            </w:r>
          </w:p>
        </w:tc>
        <w:tc>
          <w:tcPr>
            <w:tcW w:w="1701" w:type="dxa"/>
            <w:tcBorders>
              <w:top w:val="single" w:sz="2" w:space="0" w:color="auto"/>
              <w:bottom w:val="single" w:sz="12" w:space="0" w:color="492581" w:themeColor="accent1"/>
            </w:tcBorders>
          </w:tcPr>
          <w:p w14:paraId="6CB0CCE0" w14:textId="671BE555" w:rsidR="00CA70D0" w:rsidRPr="000E1803" w:rsidRDefault="00CA70D0" w:rsidP="00CA70D0">
            <w:pPr>
              <w:autoSpaceDE w:val="0"/>
              <w:autoSpaceDN w:val="0"/>
              <w:adjustRightInd w:val="0"/>
              <w:spacing w:before="40" w:after="40" w:line="240" w:lineRule="auto"/>
              <w:jc w:val="right"/>
              <w:rPr>
                <w:rFonts w:ascii="Calibri" w:eastAsia="Calibri" w:hAnsi="Calibri" w:cs="Source Sans Pro SemiBold"/>
                <w:color w:val="000000"/>
                <w:sz w:val="18"/>
                <w:szCs w:val="18"/>
                <w:highlight w:val="yellow"/>
              </w:rPr>
            </w:pPr>
            <w:r w:rsidRPr="00EB5061">
              <w:rPr>
                <w:rFonts w:cs="Source Sans Pro SemiBold"/>
                <w:b/>
                <w:bCs/>
                <w:color w:val="000000"/>
                <w:sz w:val="18"/>
                <w:szCs w:val="18"/>
              </w:rPr>
              <w:t>32,568</w:t>
            </w:r>
          </w:p>
        </w:tc>
        <w:tc>
          <w:tcPr>
            <w:tcW w:w="1701" w:type="dxa"/>
            <w:tcBorders>
              <w:top w:val="single" w:sz="2" w:space="0" w:color="auto"/>
              <w:bottom w:val="single" w:sz="12" w:space="0" w:color="492581" w:themeColor="accent1"/>
              <w:right w:val="nil"/>
            </w:tcBorders>
          </w:tcPr>
          <w:p w14:paraId="55B0AF13" w14:textId="28B263E1" w:rsidR="00CA70D0" w:rsidRPr="000E1803" w:rsidRDefault="00CA70D0" w:rsidP="00CA70D0">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32,568</w:t>
            </w:r>
          </w:p>
        </w:tc>
      </w:tr>
    </w:tbl>
    <w:p w14:paraId="3251D75A" w14:textId="634B95BC" w:rsidR="009251C8" w:rsidRDefault="000B512F" w:rsidP="006E5206">
      <w:pPr>
        <w:rPr>
          <w:rFonts w:ascii="Calibri" w:eastAsia="Calibri" w:hAnsi="Calibri" w:cs="Source Sans Pro Light"/>
          <w:i/>
          <w:iCs/>
          <w:color w:val="000000"/>
          <w:sz w:val="18"/>
          <w:szCs w:val="18"/>
        </w:rPr>
      </w:pPr>
      <w:r w:rsidRPr="000B512F">
        <w:rPr>
          <w:rFonts w:ascii="Calibri" w:eastAsia="Calibri" w:hAnsi="Calibri" w:cs="Source Sans Pro Light"/>
          <w:i/>
          <w:iCs/>
          <w:color w:val="000000"/>
          <w:sz w:val="18"/>
          <w:szCs w:val="18"/>
        </w:rPr>
        <w:t>The above Statement of Changes in Equity is to be read in conjunction with the accompanying notes.</w:t>
      </w:r>
    </w:p>
    <w:p w14:paraId="66F530CA" w14:textId="77777777" w:rsidR="000420C9" w:rsidRDefault="000420C9" w:rsidP="006E5206">
      <w:pPr>
        <w:rPr>
          <w:iCs/>
        </w:rPr>
        <w:sectPr w:rsidR="000420C9" w:rsidSect="003109A8">
          <w:headerReference w:type="default" r:id="rId58"/>
          <w:pgSz w:w="11907" w:h="16840" w:code="9"/>
          <w:pgMar w:top="1418" w:right="1417" w:bottom="1701" w:left="1418" w:header="567" w:footer="255" w:gutter="0"/>
          <w:cols w:space="720"/>
          <w:docGrid w:linePitch="326"/>
        </w:sectPr>
      </w:pPr>
    </w:p>
    <w:tbl>
      <w:tblPr>
        <w:tblW w:w="9781" w:type="dxa"/>
        <w:tblInd w:w="-142" w:type="dxa"/>
        <w:tblBorders>
          <w:top w:val="nil"/>
          <w:left w:val="nil"/>
          <w:bottom w:val="nil"/>
          <w:right w:val="nil"/>
        </w:tblBorders>
        <w:tblLayout w:type="fixed"/>
        <w:tblLook w:val="0000" w:firstRow="0" w:lastRow="0" w:firstColumn="0" w:lastColumn="0" w:noHBand="0" w:noVBand="0"/>
      </w:tblPr>
      <w:tblGrid>
        <w:gridCol w:w="5954"/>
        <w:gridCol w:w="709"/>
        <w:gridCol w:w="992"/>
        <w:gridCol w:w="1134"/>
        <w:gridCol w:w="992"/>
      </w:tblGrid>
      <w:tr w:rsidR="00402471" w:rsidRPr="00402471" w14:paraId="48C7E440" w14:textId="77777777" w:rsidTr="009378C0">
        <w:trPr>
          <w:trHeight w:val="318"/>
        </w:trPr>
        <w:tc>
          <w:tcPr>
            <w:tcW w:w="5954" w:type="dxa"/>
            <w:tcBorders>
              <w:top w:val="single" w:sz="12" w:space="0" w:color="492581" w:themeColor="accent1"/>
              <w:bottom w:val="single" w:sz="12" w:space="0" w:color="492581" w:themeColor="accent1"/>
            </w:tcBorders>
          </w:tcPr>
          <w:p w14:paraId="0441B94F" w14:textId="77777777" w:rsidR="00402471" w:rsidRPr="00402471" w:rsidRDefault="00402471" w:rsidP="00402471">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709" w:type="dxa"/>
            <w:tcBorders>
              <w:top w:val="single" w:sz="12" w:space="0" w:color="492581" w:themeColor="accent1"/>
              <w:bottom w:val="single" w:sz="12" w:space="0" w:color="492581" w:themeColor="accent1"/>
            </w:tcBorders>
          </w:tcPr>
          <w:p w14:paraId="686EBB94" w14:textId="77777777" w:rsidR="00402471" w:rsidRPr="00402471" w:rsidRDefault="00402471" w:rsidP="00402471">
            <w:pPr>
              <w:autoSpaceDE w:val="0"/>
              <w:autoSpaceDN w:val="0"/>
              <w:adjustRightInd w:val="0"/>
              <w:spacing w:after="0" w:line="240" w:lineRule="auto"/>
              <w:jc w:val="center"/>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br/>
              <w:t>Note</w:t>
            </w:r>
            <w:r w:rsidRPr="00402471">
              <w:rPr>
                <w:rFonts w:ascii="Calibri" w:eastAsia="Calibri" w:hAnsi="Calibri" w:cs="Source Sans Pro SemiBold"/>
                <w:b/>
                <w:bCs/>
                <w:color w:val="000000"/>
                <w:sz w:val="18"/>
                <w:szCs w:val="18"/>
              </w:rPr>
              <w:br/>
              <w:t>No.</w:t>
            </w:r>
          </w:p>
        </w:tc>
        <w:tc>
          <w:tcPr>
            <w:tcW w:w="992" w:type="dxa"/>
            <w:tcBorders>
              <w:top w:val="single" w:sz="12" w:space="0" w:color="492581" w:themeColor="accent1"/>
              <w:bottom w:val="single" w:sz="12" w:space="0" w:color="492581" w:themeColor="accent1"/>
            </w:tcBorders>
          </w:tcPr>
          <w:p w14:paraId="7B1EF939" w14:textId="0F1B10C5"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br/>
              <w:t>Actual</w:t>
            </w:r>
            <w:r w:rsidRPr="00402471">
              <w:rPr>
                <w:rFonts w:ascii="Calibri" w:eastAsia="Calibri" w:hAnsi="Calibri" w:cs="Source Sans Pro SemiBold"/>
                <w:b/>
                <w:bCs/>
                <w:color w:val="000000"/>
                <w:sz w:val="18"/>
                <w:szCs w:val="18"/>
              </w:rPr>
              <w:br/>
              <w:t>202</w:t>
            </w:r>
            <w:r w:rsidR="00093F32">
              <w:rPr>
                <w:rFonts w:ascii="Calibri" w:eastAsia="Calibri" w:hAnsi="Calibri" w:cs="Source Sans Pro SemiBold"/>
                <w:b/>
                <w:bCs/>
                <w:color w:val="000000"/>
                <w:sz w:val="18"/>
                <w:szCs w:val="18"/>
              </w:rPr>
              <w:t>4</w:t>
            </w:r>
            <w:r w:rsidRPr="00402471">
              <w:rPr>
                <w:rFonts w:ascii="Calibri" w:eastAsia="Calibri" w:hAnsi="Calibri" w:cs="Source Sans Pro SemiBold"/>
                <w:b/>
                <w:bCs/>
                <w:color w:val="000000"/>
                <w:sz w:val="18"/>
                <w:szCs w:val="18"/>
              </w:rPr>
              <w:t xml:space="preserve"> </w:t>
            </w:r>
          </w:p>
          <w:p w14:paraId="6E4C0574"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$’000</w:t>
            </w:r>
          </w:p>
        </w:tc>
        <w:tc>
          <w:tcPr>
            <w:tcW w:w="1134" w:type="dxa"/>
            <w:tcBorders>
              <w:top w:val="single" w:sz="12" w:space="0" w:color="492581" w:themeColor="accent1"/>
              <w:bottom w:val="single" w:sz="12" w:space="0" w:color="492581" w:themeColor="accent1"/>
            </w:tcBorders>
          </w:tcPr>
          <w:p w14:paraId="757A15D1" w14:textId="033B9012"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t>Original</w:t>
            </w:r>
            <w:r w:rsidRPr="00402471">
              <w:rPr>
                <w:rFonts w:ascii="Calibri" w:eastAsia="Calibri" w:hAnsi="Calibri" w:cs="Source Sans Pro SemiBold"/>
                <w:b/>
                <w:bCs/>
                <w:color w:val="000000"/>
                <w:sz w:val="18"/>
                <w:szCs w:val="18"/>
              </w:rPr>
              <w:br/>
              <w:t>Budget</w:t>
            </w:r>
            <w:r w:rsidRPr="00402471">
              <w:rPr>
                <w:rFonts w:ascii="Calibri" w:eastAsia="Calibri" w:hAnsi="Calibri" w:cs="Source Sans Pro SemiBold"/>
                <w:b/>
                <w:bCs/>
                <w:color w:val="000000"/>
                <w:sz w:val="18"/>
                <w:szCs w:val="18"/>
              </w:rPr>
              <w:br/>
              <w:t>202</w:t>
            </w:r>
            <w:r w:rsidR="00093F32">
              <w:rPr>
                <w:rFonts w:ascii="Calibri" w:eastAsia="Calibri" w:hAnsi="Calibri" w:cs="Source Sans Pro SemiBold"/>
                <w:b/>
                <w:bCs/>
                <w:color w:val="000000"/>
                <w:sz w:val="18"/>
                <w:szCs w:val="18"/>
              </w:rPr>
              <w:t>4</w:t>
            </w:r>
            <w:r w:rsidRPr="00402471">
              <w:rPr>
                <w:rFonts w:ascii="Calibri" w:eastAsia="Calibri" w:hAnsi="Calibri" w:cs="Source Sans Pro SemiBold"/>
                <w:b/>
                <w:bCs/>
                <w:color w:val="000000"/>
                <w:sz w:val="18"/>
                <w:szCs w:val="18"/>
              </w:rPr>
              <w:t xml:space="preserve"> </w:t>
            </w:r>
          </w:p>
          <w:p w14:paraId="67A3FBAB"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t>$’000</w:t>
            </w:r>
          </w:p>
        </w:tc>
        <w:tc>
          <w:tcPr>
            <w:tcW w:w="992" w:type="dxa"/>
            <w:tcBorders>
              <w:top w:val="single" w:sz="12" w:space="0" w:color="492581" w:themeColor="accent1"/>
              <w:bottom w:val="single" w:sz="12" w:space="0" w:color="492581" w:themeColor="accent1"/>
            </w:tcBorders>
          </w:tcPr>
          <w:p w14:paraId="18FABBFF" w14:textId="2C730267" w:rsidR="00402471" w:rsidRPr="00402471" w:rsidRDefault="00402471" w:rsidP="00402471">
            <w:pPr>
              <w:autoSpaceDE w:val="0"/>
              <w:autoSpaceDN w:val="0"/>
              <w:adjustRightInd w:val="0"/>
              <w:spacing w:after="0" w:line="240" w:lineRule="auto"/>
              <w:jc w:val="right"/>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br/>
              <w:t>Actual</w:t>
            </w:r>
            <w:r w:rsidRPr="00402471">
              <w:rPr>
                <w:rFonts w:ascii="Calibri" w:eastAsia="Calibri" w:hAnsi="Calibri" w:cs="Source Sans Pro SemiBold"/>
                <w:b/>
                <w:bCs/>
                <w:color w:val="000000"/>
                <w:sz w:val="18"/>
                <w:szCs w:val="18"/>
              </w:rPr>
              <w:br/>
              <w:t>202</w:t>
            </w:r>
            <w:r w:rsidR="00093F32">
              <w:rPr>
                <w:rFonts w:ascii="Calibri" w:eastAsia="Calibri" w:hAnsi="Calibri" w:cs="Source Sans Pro SemiBold"/>
                <w:b/>
                <w:bCs/>
                <w:color w:val="000000"/>
                <w:sz w:val="18"/>
                <w:szCs w:val="18"/>
              </w:rPr>
              <w:t>3</w:t>
            </w:r>
            <w:r w:rsidRPr="00402471">
              <w:rPr>
                <w:rFonts w:ascii="Calibri" w:eastAsia="Calibri" w:hAnsi="Calibri" w:cs="Source Sans Pro SemiBold"/>
                <w:b/>
                <w:bCs/>
                <w:color w:val="000000"/>
                <w:sz w:val="18"/>
                <w:szCs w:val="18"/>
              </w:rPr>
              <w:t xml:space="preserve"> </w:t>
            </w:r>
          </w:p>
          <w:p w14:paraId="660AD630" w14:textId="77777777" w:rsidR="00402471" w:rsidRPr="00402471" w:rsidRDefault="00402471" w:rsidP="00402471">
            <w:pPr>
              <w:autoSpaceDE w:val="0"/>
              <w:autoSpaceDN w:val="0"/>
              <w:adjustRightInd w:val="0"/>
              <w:spacing w:after="0" w:line="240" w:lineRule="auto"/>
              <w:jc w:val="right"/>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t>$’000</w:t>
            </w:r>
          </w:p>
        </w:tc>
      </w:tr>
      <w:tr w:rsidR="00402471" w:rsidRPr="00402471" w14:paraId="1C48E943" w14:textId="77777777" w:rsidTr="009378C0">
        <w:trPr>
          <w:trHeight w:val="118"/>
        </w:trPr>
        <w:tc>
          <w:tcPr>
            <w:tcW w:w="9781" w:type="dxa"/>
            <w:gridSpan w:val="5"/>
            <w:tcBorders>
              <w:top w:val="single" w:sz="12" w:space="0" w:color="492581" w:themeColor="accent1"/>
            </w:tcBorders>
            <w:vAlign w:val="center"/>
          </w:tcPr>
          <w:p w14:paraId="378C4BE9"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Flows from Operating Activities</w:t>
            </w:r>
          </w:p>
        </w:tc>
      </w:tr>
      <w:tr w:rsidR="00402471" w:rsidRPr="00402471" w14:paraId="33FA0F81" w14:textId="77777777" w:rsidTr="00323290">
        <w:trPr>
          <w:trHeight w:val="118"/>
        </w:trPr>
        <w:tc>
          <w:tcPr>
            <w:tcW w:w="9781" w:type="dxa"/>
            <w:gridSpan w:val="5"/>
            <w:vAlign w:val="center"/>
          </w:tcPr>
          <w:p w14:paraId="34296AFC" w14:textId="77777777" w:rsidR="00402471" w:rsidRPr="00402471"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Receipts</w:t>
            </w:r>
          </w:p>
        </w:tc>
      </w:tr>
      <w:tr w:rsidR="00AC7342" w:rsidRPr="00402471" w14:paraId="3E00682B" w14:textId="77777777" w:rsidTr="00323290">
        <w:trPr>
          <w:trHeight w:val="118"/>
        </w:trPr>
        <w:tc>
          <w:tcPr>
            <w:tcW w:w="5954" w:type="dxa"/>
          </w:tcPr>
          <w:p w14:paraId="1B31860E" w14:textId="77777777" w:rsidR="00AC7342" w:rsidRPr="00402471" w:rsidRDefault="00AC7342" w:rsidP="00AC734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Insurance Premiums Received </w:t>
            </w:r>
          </w:p>
        </w:tc>
        <w:tc>
          <w:tcPr>
            <w:tcW w:w="709" w:type="dxa"/>
            <w:vAlign w:val="center"/>
          </w:tcPr>
          <w:p w14:paraId="55F097C8"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09FBC58D" w14:textId="47D8B800"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86,081</w:t>
            </w:r>
          </w:p>
        </w:tc>
        <w:tc>
          <w:tcPr>
            <w:tcW w:w="1134" w:type="dxa"/>
            <w:vAlign w:val="center"/>
          </w:tcPr>
          <w:p w14:paraId="1AD6694C" w14:textId="07EEB834"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84,383</w:t>
            </w:r>
          </w:p>
        </w:tc>
        <w:tc>
          <w:tcPr>
            <w:tcW w:w="992" w:type="dxa"/>
            <w:vAlign w:val="center"/>
          </w:tcPr>
          <w:p w14:paraId="2E924F7E" w14:textId="3D813A92"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68,435</w:t>
            </w:r>
          </w:p>
        </w:tc>
      </w:tr>
      <w:tr w:rsidR="00AC7342" w:rsidRPr="00402471" w14:paraId="4E55D84B" w14:textId="77777777" w:rsidTr="00323290">
        <w:trPr>
          <w:trHeight w:val="220"/>
        </w:trPr>
        <w:tc>
          <w:tcPr>
            <w:tcW w:w="5954" w:type="dxa"/>
          </w:tcPr>
          <w:p w14:paraId="30A919D5" w14:textId="77777777" w:rsidR="00AC7342" w:rsidRPr="00402471" w:rsidRDefault="00AC7342" w:rsidP="00AC7342">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Distribution from Investments </w:t>
            </w:r>
          </w:p>
        </w:tc>
        <w:tc>
          <w:tcPr>
            <w:tcW w:w="709" w:type="dxa"/>
            <w:vAlign w:val="center"/>
          </w:tcPr>
          <w:p w14:paraId="6250BC8B"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bottom"/>
          </w:tcPr>
          <w:p w14:paraId="4E5E1B3A" w14:textId="14A57CF3"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8,179</w:t>
            </w:r>
          </w:p>
        </w:tc>
        <w:tc>
          <w:tcPr>
            <w:tcW w:w="1134" w:type="dxa"/>
            <w:vAlign w:val="bottom"/>
          </w:tcPr>
          <w:p w14:paraId="0B476E25" w14:textId="2FE2FF18"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12,023</w:t>
            </w:r>
          </w:p>
        </w:tc>
        <w:tc>
          <w:tcPr>
            <w:tcW w:w="992" w:type="dxa"/>
            <w:vAlign w:val="bottom"/>
          </w:tcPr>
          <w:p w14:paraId="4E592E66" w14:textId="4DB94C55"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7,766</w:t>
            </w:r>
          </w:p>
        </w:tc>
      </w:tr>
      <w:tr w:rsidR="00AC7342" w:rsidRPr="00402471" w14:paraId="64C24585" w14:textId="77777777" w:rsidTr="00323290">
        <w:trPr>
          <w:trHeight w:val="118"/>
        </w:trPr>
        <w:tc>
          <w:tcPr>
            <w:tcW w:w="5954" w:type="dxa"/>
          </w:tcPr>
          <w:p w14:paraId="4E579BE6" w14:textId="77777777" w:rsidR="00AC7342" w:rsidRPr="00402471" w:rsidRDefault="00AC7342" w:rsidP="00AC734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Externally Purchased Passthrough Insurance Premiums</w:t>
            </w:r>
          </w:p>
        </w:tc>
        <w:tc>
          <w:tcPr>
            <w:tcW w:w="709" w:type="dxa"/>
            <w:vAlign w:val="center"/>
          </w:tcPr>
          <w:p w14:paraId="12049A8D"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55A9DE73" w14:textId="49057ADC"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727759">
              <w:rPr>
                <w:rFonts w:cs="Source Sans Pro SemiBold"/>
                <w:bCs/>
                <w:color w:val="000000"/>
                <w:sz w:val="18"/>
                <w:szCs w:val="18"/>
              </w:rPr>
              <w:t>1,690</w:t>
            </w:r>
          </w:p>
        </w:tc>
        <w:tc>
          <w:tcPr>
            <w:tcW w:w="1134" w:type="dxa"/>
            <w:vAlign w:val="center"/>
          </w:tcPr>
          <w:p w14:paraId="70C7C9B3" w14:textId="2C3F9804"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1,474</w:t>
            </w:r>
          </w:p>
        </w:tc>
        <w:tc>
          <w:tcPr>
            <w:tcW w:w="992" w:type="dxa"/>
            <w:vAlign w:val="center"/>
          </w:tcPr>
          <w:p w14:paraId="3B91D5C2" w14:textId="055BC322"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1,440</w:t>
            </w:r>
          </w:p>
        </w:tc>
      </w:tr>
      <w:tr w:rsidR="00AC7342" w:rsidRPr="00402471" w14:paraId="18455518" w14:textId="77777777" w:rsidTr="00323290">
        <w:trPr>
          <w:trHeight w:val="118"/>
        </w:trPr>
        <w:tc>
          <w:tcPr>
            <w:tcW w:w="5954" w:type="dxa"/>
          </w:tcPr>
          <w:p w14:paraId="0BF1FB8D" w14:textId="77777777" w:rsidR="00AC7342" w:rsidRPr="00402471" w:rsidRDefault="00AC7342" w:rsidP="00AC734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and Other Recoveries Received </w:t>
            </w:r>
          </w:p>
        </w:tc>
        <w:tc>
          <w:tcPr>
            <w:tcW w:w="709" w:type="dxa"/>
            <w:vAlign w:val="center"/>
          </w:tcPr>
          <w:p w14:paraId="5D4C09D7"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49227118" w14:textId="0383CAD1"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2,</w:t>
            </w:r>
            <w:r>
              <w:rPr>
                <w:rFonts w:cs="Source Sans Pro SemiBold"/>
                <w:bCs/>
                <w:color w:val="000000"/>
                <w:sz w:val="18"/>
                <w:szCs w:val="18"/>
              </w:rPr>
              <w:t>676</w:t>
            </w:r>
          </w:p>
        </w:tc>
        <w:tc>
          <w:tcPr>
            <w:tcW w:w="1134" w:type="dxa"/>
            <w:vAlign w:val="center"/>
          </w:tcPr>
          <w:p w14:paraId="49598673" w14:textId="45A7C0C8"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30,109</w:t>
            </w:r>
          </w:p>
        </w:tc>
        <w:tc>
          <w:tcPr>
            <w:tcW w:w="992" w:type="dxa"/>
            <w:vAlign w:val="center"/>
          </w:tcPr>
          <w:p w14:paraId="0A87D6BA" w14:textId="1F5857EA"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24,692</w:t>
            </w:r>
          </w:p>
        </w:tc>
      </w:tr>
      <w:tr w:rsidR="00AC7342" w:rsidRPr="00402471" w14:paraId="7E0E3AC2" w14:textId="77777777" w:rsidTr="00323290">
        <w:trPr>
          <w:trHeight w:val="118"/>
        </w:trPr>
        <w:tc>
          <w:tcPr>
            <w:tcW w:w="5954" w:type="dxa"/>
          </w:tcPr>
          <w:p w14:paraId="36DE440C" w14:textId="77777777" w:rsidR="00AC7342" w:rsidRPr="00402471" w:rsidRDefault="00AC7342" w:rsidP="00AC734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Other</w:t>
            </w:r>
          </w:p>
        </w:tc>
        <w:tc>
          <w:tcPr>
            <w:tcW w:w="709" w:type="dxa"/>
            <w:vAlign w:val="center"/>
          </w:tcPr>
          <w:p w14:paraId="07E56165"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05D61BCA" w14:textId="50C422BC"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475028">
              <w:rPr>
                <w:rFonts w:cs="Source Sans Pro SemiBold"/>
                <w:bCs/>
                <w:color w:val="000000"/>
                <w:sz w:val="18"/>
                <w:szCs w:val="18"/>
              </w:rPr>
              <w:t>6,7</w:t>
            </w:r>
            <w:r>
              <w:rPr>
                <w:rFonts w:cs="Source Sans Pro SemiBold"/>
                <w:bCs/>
                <w:color w:val="000000"/>
                <w:sz w:val="18"/>
                <w:szCs w:val="18"/>
              </w:rPr>
              <w:t>86</w:t>
            </w:r>
          </w:p>
        </w:tc>
        <w:tc>
          <w:tcPr>
            <w:tcW w:w="1134" w:type="dxa"/>
            <w:vAlign w:val="center"/>
          </w:tcPr>
          <w:p w14:paraId="01F4BB6D" w14:textId="2609E3F9"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2,531</w:t>
            </w:r>
          </w:p>
        </w:tc>
        <w:tc>
          <w:tcPr>
            <w:tcW w:w="992" w:type="dxa"/>
            <w:vAlign w:val="center"/>
          </w:tcPr>
          <w:p w14:paraId="24C6EA10" w14:textId="740A87BF"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3,705</w:t>
            </w:r>
          </w:p>
        </w:tc>
      </w:tr>
      <w:tr w:rsidR="00AC7342" w:rsidRPr="00402471" w14:paraId="0ADA6D44" w14:textId="77777777" w:rsidTr="00323290">
        <w:trPr>
          <w:trHeight w:val="220"/>
        </w:trPr>
        <w:tc>
          <w:tcPr>
            <w:tcW w:w="5954" w:type="dxa"/>
          </w:tcPr>
          <w:p w14:paraId="02F1183F" w14:textId="77777777" w:rsidR="00AC7342" w:rsidRPr="00402471" w:rsidRDefault="00AC7342" w:rsidP="00AC7342">
            <w:pPr>
              <w:autoSpaceDE w:val="0"/>
              <w:autoSpaceDN w:val="0"/>
              <w:adjustRightInd w:val="0"/>
              <w:spacing w:before="40" w:after="40" w:line="240" w:lineRule="auto"/>
              <w:ind w:left="357" w:hanging="357"/>
              <w:rPr>
                <w:rFonts w:ascii="Calibri" w:eastAsia="Calibri" w:hAnsi="Calibri" w:cs="Source Sans Pro Light"/>
                <w:sz w:val="18"/>
                <w:szCs w:val="18"/>
              </w:rPr>
            </w:pPr>
            <w:r w:rsidRPr="00402471">
              <w:rPr>
                <w:rFonts w:ascii="Calibri" w:eastAsia="Calibri" w:hAnsi="Calibri" w:cs="Source Sans Pro Light"/>
                <w:color w:val="000000"/>
                <w:sz w:val="18"/>
                <w:szCs w:val="18"/>
              </w:rPr>
              <w:t>Goods and Services Tax Collected from Customers</w:t>
            </w:r>
          </w:p>
        </w:tc>
        <w:tc>
          <w:tcPr>
            <w:tcW w:w="709" w:type="dxa"/>
            <w:vAlign w:val="center"/>
          </w:tcPr>
          <w:p w14:paraId="763BCE6C"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6F6B0583" w14:textId="40C2C080"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361</w:t>
            </w:r>
          </w:p>
        </w:tc>
        <w:tc>
          <w:tcPr>
            <w:tcW w:w="1134" w:type="dxa"/>
            <w:vAlign w:val="center"/>
          </w:tcPr>
          <w:p w14:paraId="77BF624E" w14:textId="17E31FCA"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1,175</w:t>
            </w:r>
          </w:p>
        </w:tc>
        <w:tc>
          <w:tcPr>
            <w:tcW w:w="992" w:type="dxa"/>
            <w:vAlign w:val="center"/>
          </w:tcPr>
          <w:p w14:paraId="042B43F3" w14:textId="6B5192C6"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524</w:t>
            </w:r>
          </w:p>
        </w:tc>
      </w:tr>
      <w:tr w:rsidR="00AC7342" w:rsidRPr="00402471" w14:paraId="0BC1E9BF" w14:textId="77777777" w:rsidTr="00323290">
        <w:trPr>
          <w:trHeight w:val="220"/>
        </w:trPr>
        <w:tc>
          <w:tcPr>
            <w:tcW w:w="5954" w:type="dxa"/>
          </w:tcPr>
          <w:p w14:paraId="789E6EB7" w14:textId="77777777" w:rsidR="00AC7342" w:rsidRPr="00402471" w:rsidRDefault="00AC7342" w:rsidP="00AC7342">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Goods and Services Tax Input Tax Credits from the Australian Taxation Office </w:t>
            </w:r>
          </w:p>
        </w:tc>
        <w:tc>
          <w:tcPr>
            <w:tcW w:w="709" w:type="dxa"/>
            <w:vAlign w:val="center"/>
          </w:tcPr>
          <w:p w14:paraId="710A5857"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bottom w:val="single" w:sz="4" w:space="0" w:color="auto"/>
            </w:tcBorders>
            <w:vAlign w:val="bottom"/>
          </w:tcPr>
          <w:p w14:paraId="34EBF72B" w14:textId="34163FF8"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3,3</w:t>
            </w:r>
            <w:r>
              <w:rPr>
                <w:rFonts w:cs="Source Sans Pro SemiBold"/>
                <w:bCs/>
                <w:color w:val="000000"/>
                <w:sz w:val="18"/>
                <w:szCs w:val="18"/>
              </w:rPr>
              <w:t>6</w:t>
            </w:r>
            <w:r w:rsidRPr="00E9164A">
              <w:rPr>
                <w:rFonts w:cs="Source Sans Pro SemiBold"/>
                <w:bCs/>
                <w:color w:val="000000"/>
                <w:sz w:val="18"/>
                <w:szCs w:val="18"/>
              </w:rPr>
              <w:t>0</w:t>
            </w:r>
          </w:p>
        </w:tc>
        <w:tc>
          <w:tcPr>
            <w:tcW w:w="1134" w:type="dxa"/>
            <w:tcBorders>
              <w:bottom w:val="single" w:sz="4" w:space="0" w:color="auto"/>
            </w:tcBorders>
            <w:vAlign w:val="bottom"/>
          </w:tcPr>
          <w:p w14:paraId="5B76064F" w14:textId="39586C8F"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E9164A">
              <w:rPr>
                <w:rFonts w:cs="Source Sans Pro Light"/>
                <w:color w:val="000000"/>
                <w:sz w:val="18"/>
                <w:szCs w:val="18"/>
              </w:rPr>
              <w:t>1,866</w:t>
            </w:r>
          </w:p>
        </w:tc>
        <w:tc>
          <w:tcPr>
            <w:tcW w:w="992" w:type="dxa"/>
            <w:tcBorders>
              <w:bottom w:val="single" w:sz="4" w:space="0" w:color="auto"/>
            </w:tcBorders>
            <w:vAlign w:val="bottom"/>
          </w:tcPr>
          <w:p w14:paraId="59DCEECC" w14:textId="71097A44"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2,278</w:t>
            </w:r>
          </w:p>
        </w:tc>
      </w:tr>
      <w:tr w:rsidR="00AC7342" w:rsidRPr="00402471" w14:paraId="610778FC" w14:textId="77777777" w:rsidTr="00E22DEB">
        <w:trPr>
          <w:trHeight w:val="118"/>
        </w:trPr>
        <w:tc>
          <w:tcPr>
            <w:tcW w:w="5954" w:type="dxa"/>
          </w:tcPr>
          <w:p w14:paraId="2930EB80" w14:textId="77777777" w:rsidR="00AC7342" w:rsidRPr="00402471" w:rsidRDefault="00AC7342" w:rsidP="00AC734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Operating Activities </w:t>
            </w:r>
          </w:p>
        </w:tc>
        <w:tc>
          <w:tcPr>
            <w:tcW w:w="709" w:type="dxa"/>
            <w:vAlign w:val="center"/>
          </w:tcPr>
          <w:p w14:paraId="54C7604B" w14:textId="77777777" w:rsidR="00AC7342" w:rsidRPr="00093F32" w:rsidRDefault="00AC7342" w:rsidP="00AC7342">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center"/>
          </w:tcPr>
          <w:p w14:paraId="7FC6126E" w14:textId="26AC8DB8"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109,133</w:t>
            </w:r>
          </w:p>
        </w:tc>
        <w:tc>
          <w:tcPr>
            <w:tcW w:w="1134" w:type="dxa"/>
            <w:tcBorders>
              <w:top w:val="single" w:sz="4" w:space="0" w:color="auto"/>
              <w:bottom w:val="single" w:sz="4" w:space="0" w:color="auto"/>
            </w:tcBorders>
            <w:vAlign w:val="center"/>
          </w:tcPr>
          <w:p w14:paraId="6CBE0975" w14:textId="6D2A1F7A" w:rsidR="00AC7342" w:rsidRPr="00093F32" w:rsidRDefault="00AC7342" w:rsidP="00AC7342">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E9164A">
              <w:rPr>
                <w:rFonts w:cs="Source Sans Pro Light"/>
                <w:b/>
                <w:bCs/>
                <w:color w:val="000000"/>
                <w:sz w:val="18"/>
                <w:szCs w:val="18"/>
              </w:rPr>
              <w:t>133,561</w:t>
            </w:r>
          </w:p>
        </w:tc>
        <w:tc>
          <w:tcPr>
            <w:tcW w:w="992" w:type="dxa"/>
            <w:tcBorders>
              <w:top w:val="single" w:sz="4" w:space="0" w:color="auto"/>
              <w:bottom w:val="single" w:sz="4" w:space="0" w:color="auto"/>
            </w:tcBorders>
            <w:vAlign w:val="center"/>
          </w:tcPr>
          <w:p w14:paraId="517DC550" w14:textId="08435AF4" w:rsidR="00AC7342" w:rsidRPr="00093F32" w:rsidRDefault="00AC7342" w:rsidP="00AC734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sidRPr="00E9164A">
              <w:rPr>
                <w:rFonts w:cs="Source Sans Pro SemiBold"/>
                <w:b/>
                <w:color w:val="000000"/>
                <w:sz w:val="18"/>
                <w:szCs w:val="18"/>
              </w:rPr>
              <w:t>108,840</w:t>
            </w:r>
          </w:p>
        </w:tc>
      </w:tr>
      <w:tr w:rsidR="00402471" w:rsidRPr="00402471" w14:paraId="3B69FB51" w14:textId="77777777" w:rsidTr="00A529CE">
        <w:trPr>
          <w:trHeight w:val="118"/>
        </w:trPr>
        <w:tc>
          <w:tcPr>
            <w:tcW w:w="9781" w:type="dxa"/>
            <w:gridSpan w:val="5"/>
            <w:shd w:val="clear" w:color="auto" w:fill="auto"/>
          </w:tcPr>
          <w:p w14:paraId="76B93D1A" w14:textId="77777777" w:rsidR="00402471" w:rsidRPr="00093F32"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highlight w:val="yellow"/>
              </w:rPr>
            </w:pPr>
            <w:r w:rsidRPr="00A529CE">
              <w:rPr>
                <w:rFonts w:ascii="Calibri" w:eastAsia="Calibri" w:hAnsi="Calibri" w:cs="Source Sans Pro SemiBold"/>
                <w:b/>
                <w:bCs/>
                <w:color w:val="000000"/>
                <w:sz w:val="18"/>
                <w:szCs w:val="18"/>
              </w:rPr>
              <w:t>Payments</w:t>
            </w:r>
          </w:p>
        </w:tc>
      </w:tr>
      <w:tr w:rsidR="00A529CE" w:rsidRPr="00402471" w14:paraId="46CFF183" w14:textId="77777777" w:rsidTr="00323290">
        <w:trPr>
          <w:trHeight w:val="118"/>
        </w:trPr>
        <w:tc>
          <w:tcPr>
            <w:tcW w:w="5954" w:type="dxa"/>
          </w:tcPr>
          <w:p w14:paraId="6BDB296A"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Employee</w:t>
            </w:r>
          </w:p>
        </w:tc>
        <w:tc>
          <w:tcPr>
            <w:tcW w:w="709" w:type="dxa"/>
            <w:vAlign w:val="center"/>
          </w:tcPr>
          <w:p w14:paraId="51D0C34A"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50E0CA6B" w14:textId="7C568A43"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4,700</w:t>
            </w:r>
          </w:p>
        </w:tc>
        <w:tc>
          <w:tcPr>
            <w:tcW w:w="1134" w:type="dxa"/>
            <w:vAlign w:val="center"/>
          </w:tcPr>
          <w:p w14:paraId="5AC25139" w14:textId="59CA8B7B"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E9164A">
              <w:rPr>
                <w:rFonts w:cs="Source Sans Pro Light"/>
                <w:bCs/>
                <w:color w:val="000000"/>
                <w:sz w:val="18"/>
                <w:szCs w:val="18"/>
              </w:rPr>
              <w:t>4,</w:t>
            </w:r>
            <w:r>
              <w:rPr>
                <w:rFonts w:cs="Source Sans Pro Light"/>
                <w:bCs/>
                <w:color w:val="000000"/>
                <w:sz w:val="18"/>
                <w:szCs w:val="18"/>
              </w:rPr>
              <w:t>95</w:t>
            </w:r>
            <w:r w:rsidRPr="00E9164A">
              <w:rPr>
                <w:rFonts w:cs="Source Sans Pro Light"/>
                <w:bCs/>
                <w:color w:val="000000"/>
                <w:sz w:val="18"/>
                <w:szCs w:val="18"/>
              </w:rPr>
              <w:t>6</w:t>
            </w:r>
          </w:p>
        </w:tc>
        <w:tc>
          <w:tcPr>
            <w:tcW w:w="992" w:type="dxa"/>
            <w:vAlign w:val="center"/>
          </w:tcPr>
          <w:p w14:paraId="6BB2D630" w14:textId="59583FE4"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4,022</w:t>
            </w:r>
          </w:p>
        </w:tc>
      </w:tr>
      <w:tr w:rsidR="00A529CE" w:rsidRPr="00402471" w14:paraId="3E117320" w14:textId="77777777" w:rsidTr="00323290">
        <w:trPr>
          <w:trHeight w:val="118"/>
        </w:trPr>
        <w:tc>
          <w:tcPr>
            <w:tcW w:w="5954" w:type="dxa"/>
          </w:tcPr>
          <w:p w14:paraId="32711505"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Supplies and Services </w:t>
            </w:r>
          </w:p>
        </w:tc>
        <w:tc>
          <w:tcPr>
            <w:tcW w:w="709" w:type="dxa"/>
            <w:vAlign w:val="center"/>
          </w:tcPr>
          <w:p w14:paraId="37401FE8"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3214DEE0" w14:textId="466B1C97"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w:t>
            </w:r>
            <w:r w:rsidRPr="00E9164A">
              <w:rPr>
                <w:rFonts w:cs="Source Sans Pro SemiBold"/>
                <w:bCs/>
                <w:color w:val="000000"/>
                <w:sz w:val="18"/>
                <w:szCs w:val="18"/>
              </w:rPr>
              <w:t>,</w:t>
            </w:r>
            <w:r>
              <w:rPr>
                <w:rFonts w:cs="Source Sans Pro SemiBold"/>
                <w:bCs/>
                <w:color w:val="000000"/>
                <w:sz w:val="18"/>
                <w:szCs w:val="18"/>
              </w:rPr>
              <w:t>137</w:t>
            </w:r>
          </w:p>
        </w:tc>
        <w:tc>
          <w:tcPr>
            <w:tcW w:w="1134" w:type="dxa"/>
            <w:vAlign w:val="center"/>
          </w:tcPr>
          <w:p w14:paraId="65B6F7D0" w14:textId="7E4D5C6D"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E9164A">
              <w:rPr>
                <w:rFonts w:cs="Source Sans Pro Light"/>
                <w:bCs/>
                <w:color w:val="000000"/>
                <w:sz w:val="18"/>
                <w:szCs w:val="18"/>
              </w:rPr>
              <w:t>2,228</w:t>
            </w:r>
          </w:p>
        </w:tc>
        <w:tc>
          <w:tcPr>
            <w:tcW w:w="992" w:type="dxa"/>
            <w:vAlign w:val="center"/>
          </w:tcPr>
          <w:p w14:paraId="374DC87F" w14:textId="39D01605"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1,490</w:t>
            </w:r>
          </w:p>
        </w:tc>
      </w:tr>
      <w:tr w:rsidR="00A529CE" w:rsidRPr="00402471" w14:paraId="2D141C71" w14:textId="77777777" w:rsidTr="00323290">
        <w:trPr>
          <w:trHeight w:val="118"/>
        </w:trPr>
        <w:tc>
          <w:tcPr>
            <w:tcW w:w="5954" w:type="dxa"/>
          </w:tcPr>
          <w:p w14:paraId="3E7A54F0"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Other </w:t>
            </w:r>
          </w:p>
        </w:tc>
        <w:tc>
          <w:tcPr>
            <w:tcW w:w="709" w:type="dxa"/>
            <w:vAlign w:val="center"/>
          </w:tcPr>
          <w:p w14:paraId="76194B82"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4372AFA4" w14:textId="5EA60528"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5</w:t>
            </w:r>
            <w:r w:rsidRPr="00E9164A">
              <w:rPr>
                <w:rFonts w:cs="Source Sans Pro SemiBold"/>
                <w:bCs/>
                <w:color w:val="000000"/>
                <w:sz w:val="18"/>
                <w:szCs w:val="18"/>
              </w:rPr>
              <w:t>,</w:t>
            </w:r>
            <w:r>
              <w:rPr>
                <w:rFonts w:cs="Source Sans Pro SemiBold"/>
                <w:bCs/>
                <w:color w:val="000000"/>
                <w:sz w:val="18"/>
                <w:szCs w:val="18"/>
              </w:rPr>
              <w:t>082</w:t>
            </w:r>
          </w:p>
        </w:tc>
        <w:tc>
          <w:tcPr>
            <w:tcW w:w="1134" w:type="dxa"/>
            <w:vAlign w:val="center"/>
          </w:tcPr>
          <w:p w14:paraId="21C8F255" w14:textId="5A8CED7E"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E9164A">
              <w:rPr>
                <w:rFonts w:cs="Source Sans Pro Light"/>
                <w:bCs/>
                <w:color w:val="000000"/>
                <w:sz w:val="18"/>
                <w:szCs w:val="18"/>
              </w:rPr>
              <w:t>1,597</w:t>
            </w:r>
          </w:p>
        </w:tc>
        <w:tc>
          <w:tcPr>
            <w:tcW w:w="992" w:type="dxa"/>
            <w:vAlign w:val="center"/>
          </w:tcPr>
          <w:p w14:paraId="350572DB" w14:textId="238D8B61"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2,324</w:t>
            </w:r>
          </w:p>
        </w:tc>
      </w:tr>
      <w:tr w:rsidR="00A529CE" w:rsidRPr="00402471" w14:paraId="00CE1A1E" w14:textId="77777777" w:rsidTr="00323290">
        <w:trPr>
          <w:trHeight w:val="118"/>
        </w:trPr>
        <w:tc>
          <w:tcPr>
            <w:tcW w:w="5954" w:type="dxa"/>
          </w:tcPr>
          <w:p w14:paraId="7793EF91"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Premiums </w:t>
            </w:r>
          </w:p>
        </w:tc>
        <w:tc>
          <w:tcPr>
            <w:tcW w:w="709" w:type="dxa"/>
            <w:vAlign w:val="center"/>
          </w:tcPr>
          <w:p w14:paraId="015A89B0"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0960C9BB" w14:textId="212005D7"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16,374</w:t>
            </w:r>
          </w:p>
        </w:tc>
        <w:tc>
          <w:tcPr>
            <w:tcW w:w="1134" w:type="dxa"/>
            <w:vAlign w:val="center"/>
          </w:tcPr>
          <w:p w14:paraId="6127C587" w14:textId="08141BD2"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E9164A">
              <w:rPr>
                <w:rFonts w:cs="Source Sans Pro Light"/>
                <w:bCs/>
                <w:color w:val="000000"/>
                <w:sz w:val="18"/>
                <w:szCs w:val="18"/>
              </w:rPr>
              <w:t>18,868</w:t>
            </w:r>
          </w:p>
        </w:tc>
        <w:tc>
          <w:tcPr>
            <w:tcW w:w="992" w:type="dxa"/>
            <w:vAlign w:val="center"/>
          </w:tcPr>
          <w:p w14:paraId="4DD1B308" w14:textId="5BBD94FB"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E9164A">
              <w:rPr>
                <w:rFonts w:cs="Source Sans Pro SemiBold"/>
                <w:bCs/>
                <w:color w:val="000000"/>
                <w:sz w:val="18"/>
                <w:szCs w:val="18"/>
              </w:rPr>
              <w:t>14,481</w:t>
            </w:r>
          </w:p>
        </w:tc>
      </w:tr>
      <w:tr w:rsidR="00A529CE" w:rsidRPr="00402471" w14:paraId="00053242" w14:textId="77777777" w:rsidTr="00323290">
        <w:trPr>
          <w:trHeight w:val="118"/>
        </w:trPr>
        <w:tc>
          <w:tcPr>
            <w:tcW w:w="5954" w:type="dxa"/>
          </w:tcPr>
          <w:p w14:paraId="7DCCAD10"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Insurance Claims</w:t>
            </w:r>
          </w:p>
        </w:tc>
        <w:tc>
          <w:tcPr>
            <w:tcW w:w="709" w:type="dxa"/>
            <w:vAlign w:val="center"/>
          </w:tcPr>
          <w:p w14:paraId="3018398C"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2C64831B" w14:textId="6452650A"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67,359</w:t>
            </w:r>
          </w:p>
        </w:tc>
        <w:tc>
          <w:tcPr>
            <w:tcW w:w="1134" w:type="dxa"/>
            <w:vAlign w:val="center"/>
          </w:tcPr>
          <w:p w14:paraId="27067515" w14:textId="0796758F"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8B75C4">
              <w:rPr>
                <w:rFonts w:cs="Source Sans Pro SemiBold"/>
                <w:bCs/>
                <w:color w:val="000000"/>
                <w:sz w:val="18"/>
                <w:szCs w:val="18"/>
              </w:rPr>
              <w:t>81,108</w:t>
            </w:r>
          </w:p>
        </w:tc>
        <w:tc>
          <w:tcPr>
            <w:tcW w:w="992" w:type="dxa"/>
            <w:vAlign w:val="center"/>
          </w:tcPr>
          <w:p w14:paraId="3DC66B0A" w14:textId="5DEBAA3F"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B702A1">
              <w:rPr>
                <w:rFonts w:cs="Source Sans Pro SemiBold"/>
                <w:bCs/>
                <w:color w:val="000000"/>
                <w:sz w:val="18"/>
                <w:szCs w:val="18"/>
              </w:rPr>
              <w:t>78,535</w:t>
            </w:r>
          </w:p>
        </w:tc>
      </w:tr>
      <w:tr w:rsidR="00A529CE" w:rsidRPr="00402471" w14:paraId="040D588A" w14:textId="77777777" w:rsidTr="00323290">
        <w:trPr>
          <w:trHeight w:val="220"/>
        </w:trPr>
        <w:tc>
          <w:tcPr>
            <w:tcW w:w="5954" w:type="dxa"/>
          </w:tcPr>
          <w:p w14:paraId="6265B65C"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Light"/>
                <w:sz w:val="18"/>
                <w:szCs w:val="18"/>
              </w:rPr>
            </w:pPr>
            <w:r w:rsidRPr="00402471">
              <w:rPr>
                <w:rFonts w:ascii="Calibri" w:eastAsia="Calibri" w:hAnsi="Calibri" w:cs="Source Sans Pro Light"/>
                <w:sz w:val="18"/>
                <w:szCs w:val="18"/>
              </w:rPr>
              <w:t xml:space="preserve">Goods and Services Tax Paid to Suppliers </w:t>
            </w:r>
          </w:p>
        </w:tc>
        <w:tc>
          <w:tcPr>
            <w:tcW w:w="709" w:type="dxa"/>
            <w:vAlign w:val="center"/>
          </w:tcPr>
          <w:p w14:paraId="7311E3F4"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1062EB00" w14:textId="56C453D2"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3,364</w:t>
            </w:r>
          </w:p>
        </w:tc>
        <w:tc>
          <w:tcPr>
            <w:tcW w:w="1134" w:type="dxa"/>
            <w:vAlign w:val="center"/>
          </w:tcPr>
          <w:p w14:paraId="3DDE0D15" w14:textId="0E72E544"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8B75C4">
              <w:rPr>
                <w:rFonts w:cs="Source Sans Pro Light"/>
                <w:bCs/>
                <w:color w:val="000000"/>
                <w:sz w:val="18"/>
                <w:szCs w:val="18"/>
              </w:rPr>
              <w:t>1,868</w:t>
            </w:r>
          </w:p>
        </w:tc>
        <w:tc>
          <w:tcPr>
            <w:tcW w:w="992" w:type="dxa"/>
            <w:vAlign w:val="center"/>
          </w:tcPr>
          <w:p w14:paraId="0AA8AD4F" w14:textId="5DCB5FA8"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B702A1">
              <w:rPr>
                <w:rFonts w:cs="Source Sans Pro SemiBold"/>
                <w:bCs/>
                <w:color w:val="000000"/>
                <w:sz w:val="18"/>
                <w:szCs w:val="18"/>
              </w:rPr>
              <w:t>2,400</w:t>
            </w:r>
          </w:p>
        </w:tc>
      </w:tr>
      <w:tr w:rsidR="00A529CE" w:rsidRPr="00402471" w14:paraId="0E94B1B6" w14:textId="77777777" w:rsidTr="00323290">
        <w:trPr>
          <w:trHeight w:val="220"/>
        </w:trPr>
        <w:tc>
          <w:tcPr>
            <w:tcW w:w="5954" w:type="dxa"/>
          </w:tcPr>
          <w:p w14:paraId="0F0A5963" w14:textId="77777777" w:rsidR="00A529CE" w:rsidRPr="00402471" w:rsidRDefault="00A529CE" w:rsidP="00A529CE">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Goods and Services Tax Remitted to the Australian Taxation Office</w:t>
            </w:r>
          </w:p>
        </w:tc>
        <w:tc>
          <w:tcPr>
            <w:tcW w:w="709" w:type="dxa"/>
            <w:vAlign w:val="center"/>
          </w:tcPr>
          <w:p w14:paraId="1B13E7BC"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bottom w:val="single" w:sz="4" w:space="0" w:color="auto"/>
            </w:tcBorders>
            <w:vAlign w:val="bottom"/>
          </w:tcPr>
          <w:p w14:paraId="65ADD6AF" w14:textId="4CA98885"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292</w:t>
            </w:r>
          </w:p>
        </w:tc>
        <w:tc>
          <w:tcPr>
            <w:tcW w:w="1134" w:type="dxa"/>
            <w:tcBorders>
              <w:bottom w:val="single" w:sz="4" w:space="0" w:color="auto"/>
            </w:tcBorders>
            <w:vAlign w:val="center"/>
          </w:tcPr>
          <w:p w14:paraId="5911EB0A" w14:textId="291A9E95"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sidRPr="008B75C4">
              <w:rPr>
                <w:rFonts w:cs="Source Sans Pro Light"/>
                <w:bCs/>
                <w:color w:val="000000"/>
                <w:sz w:val="18"/>
                <w:szCs w:val="18"/>
              </w:rPr>
              <w:t>1,175</w:t>
            </w:r>
          </w:p>
        </w:tc>
        <w:tc>
          <w:tcPr>
            <w:tcW w:w="992" w:type="dxa"/>
            <w:tcBorders>
              <w:bottom w:val="single" w:sz="4" w:space="0" w:color="auto"/>
            </w:tcBorders>
            <w:vAlign w:val="bottom"/>
          </w:tcPr>
          <w:p w14:paraId="1F72B4F4" w14:textId="78C9E119"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B702A1">
              <w:rPr>
                <w:rFonts w:cs="Source Sans Pro SemiBold"/>
                <w:bCs/>
                <w:color w:val="000000"/>
                <w:sz w:val="18"/>
                <w:szCs w:val="18"/>
              </w:rPr>
              <w:t>578</w:t>
            </w:r>
          </w:p>
        </w:tc>
      </w:tr>
      <w:tr w:rsidR="00A529CE" w:rsidRPr="00402471" w14:paraId="2E323726" w14:textId="77777777" w:rsidTr="00E22DEB">
        <w:trPr>
          <w:trHeight w:val="118"/>
        </w:trPr>
        <w:tc>
          <w:tcPr>
            <w:tcW w:w="5954" w:type="dxa"/>
          </w:tcPr>
          <w:p w14:paraId="79724803" w14:textId="77777777" w:rsidR="00A529CE" w:rsidRPr="00402471" w:rsidRDefault="00A529CE" w:rsidP="00A529CE">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Operating Activities </w:t>
            </w:r>
          </w:p>
        </w:tc>
        <w:tc>
          <w:tcPr>
            <w:tcW w:w="709" w:type="dxa"/>
            <w:vAlign w:val="center"/>
          </w:tcPr>
          <w:p w14:paraId="3041A46F" w14:textId="77777777" w:rsidR="00A529CE" w:rsidRPr="00093F32" w:rsidRDefault="00A529CE" w:rsidP="00A529CE">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center"/>
          </w:tcPr>
          <w:p w14:paraId="614E0E37" w14:textId="2BCCDDC9"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98,308</w:t>
            </w:r>
          </w:p>
        </w:tc>
        <w:tc>
          <w:tcPr>
            <w:tcW w:w="1134" w:type="dxa"/>
            <w:tcBorders>
              <w:top w:val="single" w:sz="4" w:space="0" w:color="auto"/>
              <w:bottom w:val="single" w:sz="4" w:space="0" w:color="auto"/>
            </w:tcBorders>
            <w:vAlign w:val="center"/>
          </w:tcPr>
          <w:p w14:paraId="0A84304C" w14:textId="60F86274" w:rsidR="00A529CE" w:rsidRPr="00093F32" w:rsidRDefault="00A529CE" w:rsidP="00A529CE">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8B75C4">
              <w:rPr>
                <w:rFonts w:cs="Source Sans Pro Light"/>
                <w:b/>
                <w:bCs/>
                <w:color w:val="000000"/>
                <w:sz w:val="18"/>
                <w:szCs w:val="18"/>
              </w:rPr>
              <w:t>111,800</w:t>
            </w:r>
          </w:p>
        </w:tc>
        <w:tc>
          <w:tcPr>
            <w:tcW w:w="992" w:type="dxa"/>
            <w:tcBorders>
              <w:top w:val="single" w:sz="4" w:space="0" w:color="auto"/>
              <w:bottom w:val="single" w:sz="4" w:space="0" w:color="auto"/>
            </w:tcBorders>
            <w:vAlign w:val="center"/>
          </w:tcPr>
          <w:p w14:paraId="0C3D7EB2" w14:textId="167F2B21" w:rsidR="00A529CE" w:rsidRPr="00093F32" w:rsidRDefault="00A529CE" w:rsidP="00A529CE">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sidRPr="00B702A1">
              <w:rPr>
                <w:rFonts w:cs="Source Sans Pro SemiBold"/>
                <w:b/>
                <w:color w:val="000000"/>
                <w:sz w:val="18"/>
                <w:szCs w:val="18"/>
              </w:rPr>
              <w:t>103,830</w:t>
            </w:r>
          </w:p>
        </w:tc>
      </w:tr>
      <w:tr w:rsidR="00402471" w:rsidRPr="00402471" w14:paraId="12A8F853" w14:textId="77777777" w:rsidTr="00323290">
        <w:trPr>
          <w:trHeight w:val="118"/>
        </w:trPr>
        <w:tc>
          <w:tcPr>
            <w:tcW w:w="9781" w:type="dxa"/>
            <w:gridSpan w:val="5"/>
          </w:tcPr>
          <w:p w14:paraId="577A8764" w14:textId="77777777" w:rsidR="00402471" w:rsidRPr="00093F32" w:rsidRDefault="00402471" w:rsidP="00402471">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p>
        </w:tc>
      </w:tr>
      <w:tr w:rsidR="007E659C" w:rsidRPr="00402471" w14:paraId="0B3F8595" w14:textId="77777777" w:rsidTr="00323290">
        <w:trPr>
          <w:trHeight w:val="118"/>
        </w:trPr>
        <w:tc>
          <w:tcPr>
            <w:tcW w:w="5954" w:type="dxa"/>
            <w:tcBorders>
              <w:top w:val="nil"/>
              <w:left w:val="nil"/>
              <w:bottom w:val="nil"/>
            </w:tcBorders>
          </w:tcPr>
          <w:p w14:paraId="774B3854" w14:textId="5ACFE291" w:rsidR="007E659C" w:rsidRPr="00402471" w:rsidRDefault="007E659C" w:rsidP="007E659C">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Inflows from Operating Activities </w:t>
            </w:r>
          </w:p>
        </w:tc>
        <w:tc>
          <w:tcPr>
            <w:tcW w:w="709" w:type="dxa"/>
            <w:tcBorders>
              <w:top w:val="nil"/>
              <w:bottom w:val="nil"/>
            </w:tcBorders>
            <w:vAlign w:val="center"/>
          </w:tcPr>
          <w:p w14:paraId="1BBCE6DA" w14:textId="77777777" w:rsidR="007E659C" w:rsidRPr="00093F32" w:rsidRDefault="007E659C" w:rsidP="007E659C">
            <w:pPr>
              <w:autoSpaceDE w:val="0"/>
              <w:autoSpaceDN w:val="0"/>
              <w:adjustRightInd w:val="0"/>
              <w:spacing w:before="40" w:after="40" w:line="240" w:lineRule="auto"/>
              <w:jc w:val="center"/>
              <w:rPr>
                <w:rFonts w:ascii="Calibri" w:eastAsia="Calibri" w:hAnsi="Calibri" w:cs="Source Sans Pro SemiBold"/>
                <w:color w:val="000000"/>
                <w:sz w:val="18"/>
                <w:szCs w:val="18"/>
                <w:highlight w:val="yellow"/>
              </w:rPr>
            </w:pPr>
            <w:r w:rsidRPr="007E659C">
              <w:rPr>
                <w:rFonts w:ascii="Calibri" w:eastAsia="Calibri" w:hAnsi="Calibri" w:cs="Source Sans Pro SemiBold"/>
                <w:color w:val="000000"/>
                <w:sz w:val="18"/>
                <w:szCs w:val="18"/>
              </w:rPr>
              <w:t>11(b)</w:t>
            </w:r>
          </w:p>
        </w:tc>
        <w:tc>
          <w:tcPr>
            <w:tcW w:w="992" w:type="dxa"/>
            <w:tcBorders>
              <w:top w:val="single" w:sz="4" w:space="0" w:color="auto"/>
              <w:bottom w:val="single" w:sz="4" w:space="0" w:color="auto"/>
            </w:tcBorders>
            <w:vAlign w:val="center"/>
          </w:tcPr>
          <w:p w14:paraId="38F1083F" w14:textId="652D2AE6" w:rsidR="007E659C" w:rsidRPr="00093F32" w:rsidRDefault="007E659C" w:rsidP="007E659C">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10,825</w:t>
            </w:r>
          </w:p>
        </w:tc>
        <w:tc>
          <w:tcPr>
            <w:tcW w:w="1134" w:type="dxa"/>
            <w:tcBorders>
              <w:top w:val="single" w:sz="4" w:space="0" w:color="auto"/>
              <w:bottom w:val="single" w:sz="4" w:space="0" w:color="auto"/>
            </w:tcBorders>
            <w:vAlign w:val="center"/>
          </w:tcPr>
          <w:p w14:paraId="11D62491" w14:textId="21C4449B" w:rsidR="007E659C" w:rsidRPr="00093F32" w:rsidRDefault="007E659C" w:rsidP="007E659C">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8B75C4">
              <w:rPr>
                <w:rFonts w:cs="Source Sans Pro Light"/>
                <w:b/>
                <w:color w:val="000000"/>
                <w:sz w:val="18"/>
                <w:szCs w:val="18"/>
              </w:rPr>
              <w:t>21,761</w:t>
            </w:r>
          </w:p>
        </w:tc>
        <w:tc>
          <w:tcPr>
            <w:tcW w:w="992" w:type="dxa"/>
            <w:tcBorders>
              <w:top w:val="single" w:sz="4" w:space="0" w:color="auto"/>
              <w:bottom w:val="single" w:sz="4" w:space="0" w:color="auto"/>
              <w:right w:val="nil"/>
            </w:tcBorders>
            <w:vAlign w:val="center"/>
          </w:tcPr>
          <w:p w14:paraId="5F4593AF" w14:textId="722C2842" w:rsidR="007E659C" w:rsidRPr="00093F32" w:rsidRDefault="007E659C" w:rsidP="007E659C">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C95FB8">
              <w:rPr>
                <w:rFonts w:cs="Source Sans Pro Light"/>
                <w:b/>
                <w:color w:val="000000"/>
                <w:sz w:val="18"/>
                <w:szCs w:val="18"/>
              </w:rPr>
              <w:t>5,010</w:t>
            </w:r>
          </w:p>
        </w:tc>
      </w:tr>
      <w:tr w:rsidR="00402471" w:rsidRPr="00402471" w14:paraId="1E1D8DD0" w14:textId="77777777" w:rsidTr="00323290">
        <w:trPr>
          <w:trHeight w:val="118"/>
        </w:trPr>
        <w:tc>
          <w:tcPr>
            <w:tcW w:w="9781" w:type="dxa"/>
            <w:gridSpan w:val="5"/>
            <w:tcBorders>
              <w:top w:val="nil"/>
              <w:left w:val="nil"/>
              <w:bottom w:val="nil"/>
            </w:tcBorders>
          </w:tcPr>
          <w:p w14:paraId="1EF452EA" w14:textId="77777777" w:rsidR="00402471" w:rsidRPr="00093F32" w:rsidRDefault="00402471" w:rsidP="00402471">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r>
      <w:tr w:rsidR="00402471" w:rsidRPr="00402471" w14:paraId="27453F38" w14:textId="77777777" w:rsidTr="00323290">
        <w:trPr>
          <w:trHeight w:val="118"/>
        </w:trPr>
        <w:tc>
          <w:tcPr>
            <w:tcW w:w="9781" w:type="dxa"/>
            <w:gridSpan w:val="5"/>
            <w:tcBorders>
              <w:top w:val="nil"/>
              <w:bottom w:val="nil"/>
            </w:tcBorders>
          </w:tcPr>
          <w:p w14:paraId="6ED61DE1" w14:textId="77777777" w:rsidR="00402471" w:rsidRPr="001457B4"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1457B4">
              <w:rPr>
                <w:rFonts w:ascii="Calibri" w:eastAsia="Calibri" w:hAnsi="Calibri" w:cs="Source Sans Pro SemiBold"/>
                <w:b/>
                <w:bCs/>
                <w:color w:val="000000"/>
                <w:sz w:val="18"/>
                <w:szCs w:val="18"/>
              </w:rPr>
              <w:t>Cash Flows from Investing Activities</w:t>
            </w:r>
          </w:p>
        </w:tc>
      </w:tr>
      <w:tr w:rsidR="00402471" w:rsidRPr="00402471" w14:paraId="0CA1F39D" w14:textId="77777777" w:rsidTr="00323290">
        <w:trPr>
          <w:trHeight w:val="118"/>
        </w:trPr>
        <w:tc>
          <w:tcPr>
            <w:tcW w:w="9781" w:type="dxa"/>
            <w:gridSpan w:val="5"/>
            <w:tcBorders>
              <w:top w:val="nil"/>
            </w:tcBorders>
          </w:tcPr>
          <w:p w14:paraId="26971233" w14:textId="77777777" w:rsidR="00402471" w:rsidRPr="001457B4" w:rsidRDefault="00402471" w:rsidP="00402471">
            <w:pPr>
              <w:autoSpaceDE w:val="0"/>
              <w:autoSpaceDN w:val="0"/>
              <w:adjustRightInd w:val="0"/>
              <w:spacing w:before="40" w:after="40" w:line="240" w:lineRule="auto"/>
              <w:rPr>
                <w:rFonts w:ascii="Calibri" w:eastAsia="Calibri" w:hAnsi="Calibri" w:cs="Source Sans Pro SemiBold"/>
                <w:color w:val="000000"/>
                <w:sz w:val="18"/>
                <w:szCs w:val="18"/>
              </w:rPr>
            </w:pPr>
            <w:r w:rsidRPr="001457B4">
              <w:rPr>
                <w:rFonts w:ascii="Calibri" w:eastAsia="Calibri" w:hAnsi="Calibri" w:cs="Source Sans Pro SemiBold"/>
                <w:b/>
                <w:bCs/>
                <w:color w:val="000000"/>
                <w:sz w:val="18"/>
                <w:szCs w:val="18"/>
              </w:rPr>
              <w:t>Receipts</w:t>
            </w:r>
          </w:p>
        </w:tc>
      </w:tr>
      <w:tr w:rsidR="00DC68C2" w:rsidRPr="00402471" w14:paraId="21D44EA5" w14:textId="77777777" w:rsidTr="00323290">
        <w:trPr>
          <w:trHeight w:val="300"/>
        </w:trPr>
        <w:tc>
          <w:tcPr>
            <w:tcW w:w="5954" w:type="dxa"/>
          </w:tcPr>
          <w:p w14:paraId="3C0B93A5"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Proceeds from Sale/Maturities of Investments </w:t>
            </w:r>
          </w:p>
        </w:tc>
        <w:tc>
          <w:tcPr>
            <w:tcW w:w="709" w:type="dxa"/>
          </w:tcPr>
          <w:p w14:paraId="232BF0F8"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bottom w:val="single" w:sz="4" w:space="0" w:color="auto"/>
            </w:tcBorders>
          </w:tcPr>
          <w:p w14:paraId="67C80D45" w14:textId="7DC918C6"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30,000</w:t>
            </w:r>
          </w:p>
        </w:tc>
        <w:tc>
          <w:tcPr>
            <w:tcW w:w="1134" w:type="dxa"/>
            <w:tcBorders>
              <w:bottom w:val="single" w:sz="4" w:space="0" w:color="auto"/>
            </w:tcBorders>
            <w:vAlign w:val="center"/>
          </w:tcPr>
          <w:p w14:paraId="00B1EC3B" w14:textId="71967402"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8B75C4">
              <w:rPr>
                <w:rFonts w:cs="Source Sans Pro Light"/>
                <w:color w:val="000000"/>
                <w:sz w:val="18"/>
                <w:szCs w:val="18"/>
              </w:rPr>
              <w:t>30,000</w:t>
            </w:r>
          </w:p>
        </w:tc>
        <w:tc>
          <w:tcPr>
            <w:tcW w:w="992" w:type="dxa"/>
            <w:tcBorders>
              <w:bottom w:val="single" w:sz="4" w:space="0" w:color="auto"/>
            </w:tcBorders>
          </w:tcPr>
          <w:p w14:paraId="44C056F2" w14:textId="35DE99F9"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B702A1">
              <w:rPr>
                <w:rFonts w:cs="Source Sans Pro SemiBold"/>
                <w:bCs/>
                <w:color w:val="000000"/>
                <w:sz w:val="18"/>
                <w:szCs w:val="18"/>
              </w:rPr>
              <w:t>30,000</w:t>
            </w:r>
          </w:p>
        </w:tc>
      </w:tr>
      <w:tr w:rsidR="00DC68C2" w:rsidRPr="00402471" w14:paraId="1D506FC0" w14:textId="77777777" w:rsidTr="00E22DEB">
        <w:trPr>
          <w:trHeight w:val="300"/>
        </w:trPr>
        <w:tc>
          <w:tcPr>
            <w:tcW w:w="5954" w:type="dxa"/>
          </w:tcPr>
          <w:p w14:paraId="68D9CEE1"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Investing Activities </w:t>
            </w:r>
          </w:p>
        </w:tc>
        <w:tc>
          <w:tcPr>
            <w:tcW w:w="709" w:type="dxa"/>
          </w:tcPr>
          <w:p w14:paraId="06E27DC3"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39FF4428" w14:textId="354EDA8E"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30,000</w:t>
            </w:r>
          </w:p>
        </w:tc>
        <w:tc>
          <w:tcPr>
            <w:tcW w:w="1134" w:type="dxa"/>
            <w:tcBorders>
              <w:top w:val="single" w:sz="4" w:space="0" w:color="auto"/>
              <w:bottom w:val="single" w:sz="4" w:space="0" w:color="auto"/>
            </w:tcBorders>
          </w:tcPr>
          <w:p w14:paraId="10E693B7" w14:textId="3C22525A"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8B75C4">
              <w:rPr>
                <w:rFonts w:cs="Source Sans Pro Light"/>
                <w:b/>
                <w:color w:val="000000"/>
                <w:sz w:val="18"/>
                <w:szCs w:val="18"/>
              </w:rPr>
              <w:t>30,000</w:t>
            </w:r>
          </w:p>
        </w:tc>
        <w:tc>
          <w:tcPr>
            <w:tcW w:w="992" w:type="dxa"/>
            <w:tcBorders>
              <w:top w:val="single" w:sz="4" w:space="0" w:color="auto"/>
              <w:bottom w:val="single" w:sz="4" w:space="0" w:color="auto"/>
            </w:tcBorders>
          </w:tcPr>
          <w:p w14:paraId="78BD9D82" w14:textId="17B69C29"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B702A1">
              <w:rPr>
                <w:rFonts w:cs="Source Sans Pro SemiBold"/>
                <w:b/>
                <w:color w:val="000000"/>
                <w:sz w:val="18"/>
                <w:szCs w:val="18"/>
              </w:rPr>
              <w:t>30,000</w:t>
            </w:r>
          </w:p>
        </w:tc>
      </w:tr>
      <w:tr w:rsidR="00DC68C2" w:rsidRPr="00402471" w14:paraId="7F766F43" w14:textId="77777777" w:rsidTr="00323290">
        <w:trPr>
          <w:trHeight w:val="300"/>
        </w:trPr>
        <w:tc>
          <w:tcPr>
            <w:tcW w:w="5954" w:type="dxa"/>
          </w:tcPr>
          <w:p w14:paraId="31DBE567"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t>Payments</w:t>
            </w:r>
          </w:p>
        </w:tc>
        <w:tc>
          <w:tcPr>
            <w:tcW w:w="709" w:type="dxa"/>
          </w:tcPr>
          <w:p w14:paraId="5BFC734A" w14:textId="77777777" w:rsidR="00DC68C2" w:rsidRPr="00093F32" w:rsidRDefault="00DC68C2" w:rsidP="00DC68C2">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992" w:type="dxa"/>
            <w:tcBorders>
              <w:top w:val="single" w:sz="4" w:space="0" w:color="auto"/>
            </w:tcBorders>
          </w:tcPr>
          <w:p w14:paraId="7EDFB3AC" w14:textId="77777777" w:rsidR="00DC68C2" w:rsidRPr="00093F32" w:rsidRDefault="00DC68C2" w:rsidP="00DC68C2">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134" w:type="dxa"/>
            <w:tcBorders>
              <w:top w:val="single" w:sz="4" w:space="0" w:color="auto"/>
            </w:tcBorders>
          </w:tcPr>
          <w:p w14:paraId="66FCCCDC" w14:textId="77777777" w:rsidR="00DC68C2" w:rsidRPr="00093F32" w:rsidRDefault="00DC68C2" w:rsidP="00DC68C2">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992" w:type="dxa"/>
            <w:tcBorders>
              <w:top w:val="single" w:sz="4" w:space="0" w:color="auto"/>
            </w:tcBorders>
          </w:tcPr>
          <w:p w14:paraId="0B4C0C09" w14:textId="77777777" w:rsidR="00DC68C2" w:rsidRPr="00093F32" w:rsidRDefault="00DC68C2" w:rsidP="00DC68C2">
            <w:pPr>
              <w:autoSpaceDE w:val="0"/>
              <w:autoSpaceDN w:val="0"/>
              <w:adjustRightInd w:val="0"/>
              <w:spacing w:before="40" w:after="40" w:line="240" w:lineRule="auto"/>
              <w:rPr>
                <w:rFonts w:ascii="Calibri" w:eastAsia="Calibri" w:hAnsi="Calibri" w:cs="Source Sans Pro SemiBold"/>
                <w:bCs/>
                <w:color w:val="000000"/>
                <w:sz w:val="18"/>
                <w:szCs w:val="18"/>
                <w:highlight w:val="yellow"/>
              </w:rPr>
            </w:pPr>
          </w:p>
        </w:tc>
      </w:tr>
      <w:tr w:rsidR="00DC68C2" w:rsidRPr="00402471" w14:paraId="50B3E7E8" w14:textId="77777777" w:rsidTr="00323290">
        <w:trPr>
          <w:trHeight w:val="300"/>
        </w:trPr>
        <w:tc>
          <w:tcPr>
            <w:tcW w:w="5954" w:type="dxa"/>
          </w:tcPr>
          <w:p w14:paraId="7D974DCE"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Purchase of Investments </w:t>
            </w:r>
          </w:p>
        </w:tc>
        <w:tc>
          <w:tcPr>
            <w:tcW w:w="709" w:type="dxa"/>
          </w:tcPr>
          <w:p w14:paraId="3090CA67"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Pr>
          <w:p w14:paraId="3DB1A0EB" w14:textId="11F75205"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w:t>
            </w:r>
          </w:p>
        </w:tc>
        <w:tc>
          <w:tcPr>
            <w:tcW w:w="1134" w:type="dxa"/>
          </w:tcPr>
          <w:p w14:paraId="6277267E" w14:textId="51FF32CD"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8B75C4">
              <w:rPr>
                <w:rFonts w:cs="Source Sans Pro Light"/>
                <w:color w:val="000000"/>
                <w:sz w:val="18"/>
                <w:szCs w:val="18"/>
              </w:rPr>
              <w:t>30,000</w:t>
            </w:r>
          </w:p>
        </w:tc>
        <w:tc>
          <w:tcPr>
            <w:tcW w:w="992" w:type="dxa"/>
          </w:tcPr>
          <w:p w14:paraId="100CA8C9" w14:textId="09C9F043"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74475D">
              <w:rPr>
                <w:rFonts w:cs="Source Sans Pro SemiBold"/>
                <w:bCs/>
                <w:color w:val="000000"/>
                <w:sz w:val="18"/>
                <w:szCs w:val="18"/>
              </w:rPr>
              <w:t>30,000</w:t>
            </w:r>
          </w:p>
        </w:tc>
      </w:tr>
      <w:tr w:rsidR="00DC68C2" w:rsidRPr="00402471" w14:paraId="7667EA5E" w14:textId="77777777" w:rsidTr="00323290">
        <w:trPr>
          <w:trHeight w:val="300"/>
        </w:trPr>
        <w:tc>
          <w:tcPr>
            <w:tcW w:w="5954" w:type="dxa"/>
          </w:tcPr>
          <w:p w14:paraId="20D494A9"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Purchase of Fixed Assets </w:t>
            </w:r>
          </w:p>
        </w:tc>
        <w:tc>
          <w:tcPr>
            <w:tcW w:w="709" w:type="dxa"/>
          </w:tcPr>
          <w:p w14:paraId="1657E805"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bottom w:val="single" w:sz="4" w:space="0" w:color="auto"/>
            </w:tcBorders>
          </w:tcPr>
          <w:p w14:paraId="456CCC60" w14:textId="29E0C99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w:t>
            </w:r>
          </w:p>
        </w:tc>
        <w:tc>
          <w:tcPr>
            <w:tcW w:w="1134" w:type="dxa"/>
            <w:tcBorders>
              <w:bottom w:val="single" w:sz="4" w:space="0" w:color="auto"/>
            </w:tcBorders>
          </w:tcPr>
          <w:p w14:paraId="79E9606E" w14:textId="036C367E"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8B75C4">
              <w:rPr>
                <w:rFonts w:cs="Source Sans Pro Light"/>
                <w:color w:val="000000"/>
                <w:sz w:val="18"/>
                <w:szCs w:val="18"/>
              </w:rPr>
              <w:t>-</w:t>
            </w:r>
          </w:p>
        </w:tc>
        <w:tc>
          <w:tcPr>
            <w:tcW w:w="992" w:type="dxa"/>
            <w:tcBorders>
              <w:bottom w:val="single" w:sz="4" w:space="0" w:color="auto"/>
            </w:tcBorders>
          </w:tcPr>
          <w:p w14:paraId="092548D6" w14:textId="044E06BE"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B702A1">
              <w:rPr>
                <w:rFonts w:cs="Source Sans Pro SemiBold"/>
                <w:bCs/>
                <w:color w:val="000000"/>
                <w:sz w:val="18"/>
                <w:szCs w:val="18"/>
              </w:rPr>
              <w:t>-</w:t>
            </w:r>
          </w:p>
        </w:tc>
      </w:tr>
      <w:tr w:rsidR="00DC68C2" w:rsidRPr="00402471" w14:paraId="45BD0CB7" w14:textId="77777777" w:rsidTr="00E22DEB">
        <w:trPr>
          <w:trHeight w:val="300"/>
        </w:trPr>
        <w:tc>
          <w:tcPr>
            <w:tcW w:w="5954" w:type="dxa"/>
          </w:tcPr>
          <w:p w14:paraId="0B9713EF"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Investing Activities </w:t>
            </w:r>
          </w:p>
        </w:tc>
        <w:tc>
          <w:tcPr>
            <w:tcW w:w="709" w:type="dxa"/>
          </w:tcPr>
          <w:p w14:paraId="3DE46DFF"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7F5CB5FC" w14:textId="0D617A40"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w:t>
            </w:r>
          </w:p>
        </w:tc>
        <w:tc>
          <w:tcPr>
            <w:tcW w:w="1134" w:type="dxa"/>
            <w:tcBorders>
              <w:top w:val="single" w:sz="4" w:space="0" w:color="auto"/>
              <w:bottom w:val="single" w:sz="4" w:space="0" w:color="auto"/>
            </w:tcBorders>
          </w:tcPr>
          <w:p w14:paraId="22BE8966" w14:textId="4081F59D"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8B75C4">
              <w:rPr>
                <w:rFonts w:cs="Source Sans Pro Light"/>
                <w:b/>
                <w:color w:val="000000"/>
                <w:sz w:val="18"/>
                <w:szCs w:val="18"/>
              </w:rPr>
              <w:t>30,000</w:t>
            </w:r>
          </w:p>
        </w:tc>
        <w:tc>
          <w:tcPr>
            <w:tcW w:w="992" w:type="dxa"/>
            <w:tcBorders>
              <w:top w:val="single" w:sz="4" w:space="0" w:color="auto"/>
              <w:bottom w:val="single" w:sz="4" w:space="0" w:color="auto"/>
            </w:tcBorders>
          </w:tcPr>
          <w:p w14:paraId="02A9C37C" w14:textId="3E8FF711"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B702A1">
              <w:rPr>
                <w:rFonts w:cs="Source Sans Pro SemiBold"/>
                <w:b/>
                <w:color w:val="000000"/>
                <w:sz w:val="18"/>
                <w:szCs w:val="18"/>
              </w:rPr>
              <w:t>30,000</w:t>
            </w:r>
          </w:p>
        </w:tc>
      </w:tr>
      <w:tr w:rsidR="00DC68C2" w:rsidRPr="00402471" w14:paraId="7B25251D" w14:textId="77777777" w:rsidTr="00323290">
        <w:trPr>
          <w:trHeight w:val="300"/>
        </w:trPr>
        <w:tc>
          <w:tcPr>
            <w:tcW w:w="5954" w:type="dxa"/>
          </w:tcPr>
          <w:p w14:paraId="009DA9D2"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709" w:type="dxa"/>
          </w:tcPr>
          <w:p w14:paraId="3B887F88"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7E915E9E"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134" w:type="dxa"/>
            <w:tcBorders>
              <w:top w:val="single" w:sz="4" w:space="0" w:color="auto"/>
              <w:bottom w:val="single" w:sz="4" w:space="0" w:color="auto"/>
            </w:tcBorders>
          </w:tcPr>
          <w:p w14:paraId="29E7D361"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2" w:type="dxa"/>
            <w:tcBorders>
              <w:top w:val="single" w:sz="4" w:space="0" w:color="auto"/>
              <w:bottom w:val="single" w:sz="4" w:space="0" w:color="auto"/>
            </w:tcBorders>
          </w:tcPr>
          <w:p w14:paraId="3DA4ED01"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r>
      <w:tr w:rsidR="00DC68C2" w:rsidRPr="00402471" w14:paraId="5777CE1F" w14:textId="77777777" w:rsidTr="00E22DEB">
        <w:trPr>
          <w:trHeight w:val="300"/>
        </w:trPr>
        <w:tc>
          <w:tcPr>
            <w:tcW w:w="5954" w:type="dxa"/>
            <w:tcBorders>
              <w:bottom w:val="nil"/>
            </w:tcBorders>
          </w:tcPr>
          <w:p w14:paraId="5B0DBD00" w14:textId="41043752" w:rsidR="00DC68C2" w:rsidRPr="00402471" w:rsidRDefault="00DC68C2" w:rsidP="00DC68C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Inflows from Investing Activities </w:t>
            </w:r>
          </w:p>
        </w:tc>
        <w:tc>
          <w:tcPr>
            <w:tcW w:w="709" w:type="dxa"/>
            <w:tcBorders>
              <w:bottom w:val="nil"/>
            </w:tcBorders>
          </w:tcPr>
          <w:p w14:paraId="39187F65"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bottom"/>
          </w:tcPr>
          <w:p w14:paraId="7BDC09B9" w14:textId="6ACE60E1"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30,000</w:t>
            </w:r>
          </w:p>
        </w:tc>
        <w:tc>
          <w:tcPr>
            <w:tcW w:w="1134" w:type="dxa"/>
            <w:tcBorders>
              <w:top w:val="single" w:sz="4" w:space="0" w:color="auto"/>
              <w:bottom w:val="single" w:sz="4" w:space="0" w:color="auto"/>
            </w:tcBorders>
            <w:vAlign w:val="bottom"/>
          </w:tcPr>
          <w:p w14:paraId="436DFBB6" w14:textId="43148C1C"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8B75C4">
              <w:rPr>
                <w:rFonts w:cs="Source Sans Pro Light"/>
                <w:b/>
                <w:color w:val="000000"/>
                <w:sz w:val="18"/>
                <w:szCs w:val="18"/>
              </w:rPr>
              <w:t>-</w:t>
            </w:r>
          </w:p>
        </w:tc>
        <w:tc>
          <w:tcPr>
            <w:tcW w:w="992" w:type="dxa"/>
            <w:tcBorders>
              <w:top w:val="single" w:sz="4" w:space="0" w:color="auto"/>
              <w:bottom w:val="single" w:sz="4" w:space="0" w:color="auto"/>
            </w:tcBorders>
            <w:vAlign w:val="bottom"/>
          </w:tcPr>
          <w:p w14:paraId="6D5E588B" w14:textId="40A4825C"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B702A1">
              <w:rPr>
                <w:rFonts w:cs="Source Sans Pro SemiBold"/>
                <w:b/>
                <w:color w:val="000000"/>
                <w:sz w:val="18"/>
                <w:szCs w:val="18"/>
              </w:rPr>
              <w:t>-</w:t>
            </w:r>
          </w:p>
        </w:tc>
      </w:tr>
      <w:tr w:rsidR="00DC68C2" w:rsidRPr="00402471" w14:paraId="3D2D3E8D" w14:textId="77777777" w:rsidTr="00323290">
        <w:trPr>
          <w:trHeight w:val="118"/>
        </w:trPr>
        <w:tc>
          <w:tcPr>
            <w:tcW w:w="5954" w:type="dxa"/>
          </w:tcPr>
          <w:p w14:paraId="2A2B5E65" w14:textId="77777777" w:rsidR="00DC68C2" w:rsidRPr="00402471" w:rsidRDefault="00DC68C2" w:rsidP="00DC68C2">
            <w:pPr>
              <w:spacing w:after="160" w:line="259" w:lineRule="auto"/>
              <w:rPr>
                <w:rFonts w:ascii="Calibri" w:eastAsia="Calibri" w:hAnsi="Calibri" w:cs="Source Sans Pro SemiBold"/>
                <w:b/>
                <w:bCs/>
                <w:color w:val="000000"/>
                <w:sz w:val="18"/>
                <w:szCs w:val="18"/>
              </w:rPr>
            </w:pPr>
          </w:p>
        </w:tc>
        <w:tc>
          <w:tcPr>
            <w:tcW w:w="709" w:type="dxa"/>
          </w:tcPr>
          <w:p w14:paraId="5CD10814"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2" w:space="0" w:color="auto"/>
            </w:tcBorders>
          </w:tcPr>
          <w:p w14:paraId="5A2FDABB"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134" w:type="dxa"/>
            <w:tcBorders>
              <w:top w:val="single" w:sz="2" w:space="0" w:color="auto"/>
            </w:tcBorders>
          </w:tcPr>
          <w:p w14:paraId="78E70E3F"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2" w:type="dxa"/>
            <w:tcBorders>
              <w:top w:val="single" w:sz="2" w:space="0" w:color="auto"/>
            </w:tcBorders>
          </w:tcPr>
          <w:p w14:paraId="531A90AE"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r>
      <w:tr w:rsidR="00DC68C2" w:rsidRPr="00402471" w14:paraId="1838919B" w14:textId="77777777" w:rsidTr="00323290">
        <w:trPr>
          <w:trHeight w:val="118"/>
        </w:trPr>
        <w:tc>
          <w:tcPr>
            <w:tcW w:w="5954" w:type="dxa"/>
          </w:tcPr>
          <w:p w14:paraId="0BC56AD0" w14:textId="3F17E451" w:rsidR="00DC68C2" w:rsidRPr="00402471" w:rsidRDefault="00DC68C2" w:rsidP="00DC68C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Increase in Cash </w:t>
            </w:r>
          </w:p>
        </w:tc>
        <w:tc>
          <w:tcPr>
            <w:tcW w:w="709" w:type="dxa"/>
          </w:tcPr>
          <w:p w14:paraId="2F9F5AE5"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Pr>
          <w:p w14:paraId="0F6ED8EA" w14:textId="1AAFC9CD"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40,825</w:t>
            </w:r>
          </w:p>
        </w:tc>
        <w:tc>
          <w:tcPr>
            <w:tcW w:w="1134" w:type="dxa"/>
          </w:tcPr>
          <w:p w14:paraId="2A8434B1" w14:textId="1E0C6569"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8B75C4">
              <w:rPr>
                <w:rFonts w:cs="Source Sans Pro Light"/>
                <w:color w:val="000000"/>
                <w:sz w:val="18"/>
                <w:szCs w:val="18"/>
              </w:rPr>
              <w:t>21,761</w:t>
            </w:r>
          </w:p>
        </w:tc>
        <w:tc>
          <w:tcPr>
            <w:tcW w:w="992" w:type="dxa"/>
          </w:tcPr>
          <w:p w14:paraId="2CE6402C" w14:textId="4ACE50ED"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C052CB">
              <w:rPr>
                <w:rFonts w:cs="Source Sans Pro SemiBold"/>
                <w:bCs/>
                <w:color w:val="000000"/>
                <w:sz w:val="18"/>
                <w:szCs w:val="18"/>
              </w:rPr>
              <w:t>5,0</w:t>
            </w:r>
            <w:r>
              <w:rPr>
                <w:rFonts w:cs="Source Sans Pro SemiBold"/>
                <w:bCs/>
                <w:color w:val="000000"/>
                <w:sz w:val="18"/>
                <w:szCs w:val="18"/>
              </w:rPr>
              <w:t>10</w:t>
            </w:r>
          </w:p>
        </w:tc>
      </w:tr>
      <w:tr w:rsidR="00DC68C2" w:rsidRPr="00402471" w14:paraId="639C136F" w14:textId="77777777" w:rsidTr="00F81499">
        <w:trPr>
          <w:trHeight w:val="118"/>
        </w:trPr>
        <w:tc>
          <w:tcPr>
            <w:tcW w:w="5954" w:type="dxa"/>
            <w:tcBorders>
              <w:bottom w:val="nil"/>
            </w:tcBorders>
          </w:tcPr>
          <w:p w14:paraId="4D36B4EF"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Cash at the Beginning of the Reporting Period </w:t>
            </w:r>
          </w:p>
        </w:tc>
        <w:tc>
          <w:tcPr>
            <w:tcW w:w="709" w:type="dxa"/>
            <w:tcBorders>
              <w:bottom w:val="nil"/>
            </w:tcBorders>
          </w:tcPr>
          <w:p w14:paraId="46C8158E" w14:textId="7777777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bottom w:val="single" w:sz="2" w:space="0" w:color="auto"/>
            </w:tcBorders>
          </w:tcPr>
          <w:p w14:paraId="04EFD589" w14:textId="68C54907"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28,043</w:t>
            </w:r>
          </w:p>
        </w:tc>
        <w:tc>
          <w:tcPr>
            <w:tcW w:w="1134" w:type="dxa"/>
            <w:tcBorders>
              <w:bottom w:val="single" w:sz="2" w:space="0" w:color="auto"/>
            </w:tcBorders>
          </w:tcPr>
          <w:p w14:paraId="7FDFA04A" w14:textId="622E0838"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sidRPr="008B75C4">
              <w:rPr>
                <w:rFonts w:cs="Source Sans Pro Light"/>
                <w:color w:val="000000"/>
                <w:sz w:val="18"/>
                <w:szCs w:val="18"/>
              </w:rPr>
              <w:t>18,143</w:t>
            </w:r>
          </w:p>
        </w:tc>
        <w:tc>
          <w:tcPr>
            <w:tcW w:w="992" w:type="dxa"/>
            <w:tcBorders>
              <w:bottom w:val="single" w:sz="2" w:space="0" w:color="auto"/>
            </w:tcBorders>
          </w:tcPr>
          <w:p w14:paraId="41152793" w14:textId="23172A3B"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C052CB">
              <w:rPr>
                <w:rFonts w:cs="Source Sans Pro SemiBold"/>
                <w:bCs/>
                <w:color w:val="000000"/>
                <w:sz w:val="18"/>
                <w:szCs w:val="18"/>
              </w:rPr>
              <w:t>23,033</w:t>
            </w:r>
          </w:p>
        </w:tc>
      </w:tr>
      <w:tr w:rsidR="00DC68C2" w:rsidRPr="00402471" w14:paraId="0D964318" w14:textId="77777777" w:rsidTr="00F81499">
        <w:trPr>
          <w:trHeight w:val="118"/>
        </w:trPr>
        <w:tc>
          <w:tcPr>
            <w:tcW w:w="5954" w:type="dxa"/>
            <w:tcBorders>
              <w:top w:val="nil"/>
              <w:bottom w:val="single" w:sz="12" w:space="0" w:color="492581" w:themeColor="accent1"/>
            </w:tcBorders>
          </w:tcPr>
          <w:p w14:paraId="75A26BC7" w14:textId="77777777" w:rsidR="00DC68C2" w:rsidRPr="00402471" w:rsidRDefault="00DC68C2" w:rsidP="00DC68C2">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at the End of the Reporting Period</w:t>
            </w:r>
          </w:p>
        </w:tc>
        <w:tc>
          <w:tcPr>
            <w:tcW w:w="709" w:type="dxa"/>
            <w:tcBorders>
              <w:top w:val="nil"/>
              <w:bottom w:val="single" w:sz="12" w:space="0" w:color="492581" w:themeColor="accent1"/>
            </w:tcBorders>
          </w:tcPr>
          <w:p w14:paraId="730DA50E" w14:textId="77777777" w:rsidR="00DC68C2" w:rsidRPr="00093F32" w:rsidRDefault="00DC68C2" w:rsidP="00DC68C2">
            <w:pPr>
              <w:autoSpaceDE w:val="0"/>
              <w:autoSpaceDN w:val="0"/>
              <w:adjustRightInd w:val="0"/>
              <w:spacing w:before="40" w:after="40" w:line="240" w:lineRule="auto"/>
              <w:jc w:val="center"/>
              <w:rPr>
                <w:rFonts w:ascii="Calibri" w:eastAsia="Calibri" w:hAnsi="Calibri" w:cs="Source Sans Pro SemiBold"/>
                <w:color w:val="000000"/>
                <w:sz w:val="18"/>
                <w:szCs w:val="18"/>
                <w:highlight w:val="yellow"/>
              </w:rPr>
            </w:pPr>
            <w:r w:rsidRPr="00B85A5D">
              <w:rPr>
                <w:rFonts w:ascii="Calibri" w:eastAsia="Calibri" w:hAnsi="Calibri" w:cs="Source Sans Pro SemiBold"/>
                <w:color w:val="000000"/>
                <w:sz w:val="18"/>
                <w:szCs w:val="18"/>
              </w:rPr>
              <w:t xml:space="preserve">11(a) </w:t>
            </w:r>
          </w:p>
        </w:tc>
        <w:tc>
          <w:tcPr>
            <w:tcW w:w="992" w:type="dxa"/>
            <w:tcBorders>
              <w:top w:val="single" w:sz="2" w:space="0" w:color="auto"/>
              <w:bottom w:val="single" w:sz="12" w:space="0" w:color="492581" w:themeColor="accent1"/>
            </w:tcBorders>
          </w:tcPr>
          <w:p w14:paraId="6D81FC59" w14:textId="24E6F355"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68,868</w:t>
            </w:r>
          </w:p>
        </w:tc>
        <w:tc>
          <w:tcPr>
            <w:tcW w:w="1134" w:type="dxa"/>
            <w:tcBorders>
              <w:top w:val="single" w:sz="2" w:space="0" w:color="auto"/>
              <w:bottom w:val="single" w:sz="12" w:space="0" w:color="492581" w:themeColor="accent1"/>
            </w:tcBorders>
          </w:tcPr>
          <w:p w14:paraId="2EBAE2B0" w14:textId="033ADE25" w:rsidR="00DC68C2" w:rsidRPr="00093F32" w:rsidRDefault="00DC68C2" w:rsidP="00DC68C2">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sidRPr="008B75C4">
              <w:rPr>
                <w:rFonts w:cs="Source Sans Pro Light"/>
                <w:b/>
                <w:bCs/>
                <w:color w:val="000000"/>
                <w:sz w:val="18"/>
                <w:szCs w:val="18"/>
              </w:rPr>
              <w:t>39,904</w:t>
            </w:r>
          </w:p>
        </w:tc>
        <w:tc>
          <w:tcPr>
            <w:tcW w:w="992" w:type="dxa"/>
            <w:tcBorders>
              <w:top w:val="single" w:sz="2" w:space="0" w:color="auto"/>
              <w:bottom w:val="single" w:sz="12" w:space="0" w:color="492581" w:themeColor="accent1"/>
            </w:tcBorders>
          </w:tcPr>
          <w:p w14:paraId="52973342" w14:textId="495083F5" w:rsidR="00DC68C2" w:rsidRPr="00093F32" w:rsidRDefault="00DC68C2" w:rsidP="00DC68C2">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sidRPr="00C052CB">
              <w:rPr>
                <w:rFonts w:cs="Source Sans Pro SemiBold"/>
                <w:b/>
                <w:color w:val="000000"/>
                <w:sz w:val="18"/>
                <w:szCs w:val="18"/>
              </w:rPr>
              <w:t>28,04</w:t>
            </w:r>
            <w:r>
              <w:rPr>
                <w:rFonts w:cs="Source Sans Pro SemiBold"/>
                <w:b/>
                <w:color w:val="000000"/>
                <w:sz w:val="18"/>
                <w:szCs w:val="18"/>
              </w:rPr>
              <w:t>3</w:t>
            </w:r>
          </w:p>
        </w:tc>
      </w:tr>
    </w:tbl>
    <w:p w14:paraId="70E69CD1" w14:textId="5C1507B6" w:rsidR="000B512F" w:rsidRDefault="00316847" w:rsidP="006E5206">
      <w:pPr>
        <w:rPr>
          <w:rFonts w:ascii="Calibri" w:eastAsia="Calibri" w:hAnsi="Calibri" w:cs="Source Sans Pro Light"/>
          <w:i/>
          <w:iCs/>
          <w:color w:val="000000"/>
          <w:sz w:val="18"/>
          <w:szCs w:val="18"/>
        </w:rPr>
      </w:pPr>
      <w:r w:rsidRPr="00316847">
        <w:rPr>
          <w:rFonts w:ascii="Calibri" w:eastAsia="Calibri" w:hAnsi="Calibri" w:cs="Source Sans Pro Light"/>
          <w:i/>
          <w:iCs/>
          <w:color w:val="000000"/>
          <w:sz w:val="18"/>
          <w:szCs w:val="18"/>
        </w:rPr>
        <w:t>The above Statement of Cash Flows is to be read in conjunction with the accompanying notes.</w:t>
      </w:r>
    </w:p>
    <w:p w14:paraId="286F3EA6" w14:textId="77777777" w:rsidR="00316847" w:rsidRDefault="00316847" w:rsidP="006E5206">
      <w:pPr>
        <w:rPr>
          <w:iCs/>
        </w:rPr>
        <w:sectPr w:rsidR="00316847" w:rsidSect="003109A8">
          <w:headerReference w:type="default" r:id="rId59"/>
          <w:pgSz w:w="11907" w:h="16840" w:code="9"/>
          <w:pgMar w:top="1418" w:right="1417" w:bottom="1701" w:left="1418" w:header="567" w:footer="255" w:gutter="0"/>
          <w:cols w:space="720"/>
          <w:docGrid w:linePitch="326"/>
        </w:sectPr>
      </w:pPr>
    </w:p>
    <w:p w14:paraId="5F25CCCB" w14:textId="77777777" w:rsidR="00955FB5" w:rsidRPr="00136E17" w:rsidRDefault="00955FB5" w:rsidP="00955FB5">
      <w:pPr>
        <w:pStyle w:val="Pa4"/>
        <w:spacing w:before="140" w:after="140" w:line="240" w:lineRule="auto"/>
        <w:outlineLvl w:val="0"/>
        <w:rPr>
          <w:rFonts w:asciiTheme="minorHAnsi" w:hAnsiTheme="minorHAnsi" w:cs="Montserrat Semi Bold"/>
          <w:b/>
          <w:bCs/>
          <w:color w:val="000000"/>
          <w:sz w:val="30"/>
          <w:szCs w:val="30"/>
        </w:rPr>
      </w:pPr>
      <w:r w:rsidRPr="00136E17">
        <w:rPr>
          <w:rFonts w:asciiTheme="minorHAnsi" w:hAnsiTheme="minorHAnsi" w:cs="Montserrat Semi Bold"/>
          <w:b/>
          <w:bCs/>
          <w:color w:val="000000"/>
          <w:sz w:val="30"/>
          <w:szCs w:val="30"/>
        </w:rPr>
        <w:lastRenderedPageBreak/>
        <w:t xml:space="preserve">NOTE 1. OBJECTIVES OF THE ACT INSURANCE AUTHORITY </w:t>
      </w:r>
    </w:p>
    <w:p w14:paraId="482E7704" w14:textId="77777777" w:rsidR="00955FB5" w:rsidRPr="0016767B" w:rsidRDefault="00955FB5" w:rsidP="00955FB5">
      <w:pPr>
        <w:pStyle w:val="Pa11"/>
        <w:spacing w:before="40" w:after="100"/>
        <w:ind w:right="-1"/>
        <w:rPr>
          <w:rFonts w:asciiTheme="minorHAnsi" w:hAnsiTheme="minorHAnsi" w:cs="Montserrat Semi Bold"/>
          <w:color w:val="000000"/>
          <w:sz w:val="22"/>
          <w:szCs w:val="22"/>
        </w:rPr>
      </w:pPr>
      <w:r w:rsidRPr="0016767B">
        <w:rPr>
          <w:rFonts w:asciiTheme="minorHAnsi" w:hAnsiTheme="minorHAnsi" w:cs="Montserrat Semi Bold"/>
          <w:b/>
          <w:bCs/>
          <w:color w:val="000000"/>
          <w:sz w:val="22"/>
          <w:szCs w:val="22"/>
        </w:rPr>
        <w:t xml:space="preserve">Operations and Principal Activities of the ACT Insurance Authority </w:t>
      </w:r>
    </w:p>
    <w:p w14:paraId="3998A42D" w14:textId="77777777" w:rsidR="00955FB5" w:rsidRDefault="00955FB5" w:rsidP="00955FB5">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The ACT Insurance Authority (the Authority) </w:t>
      </w:r>
      <w:r>
        <w:rPr>
          <w:rFonts w:asciiTheme="minorHAnsi" w:hAnsiTheme="minorHAnsi" w:cs="Source Sans Pro Light"/>
          <w:color w:val="000000"/>
          <w:sz w:val="22"/>
          <w:szCs w:val="22"/>
        </w:rPr>
        <w:t xml:space="preserve">is a not-for-profit ACT Government entity </w:t>
      </w:r>
      <w:r w:rsidRPr="001A786D">
        <w:rPr>
          <w:rFonts w:asciiTheme="minorHAnsi" w:hAnsiTheme="minorHAnsi" w:cs="Source Sans Pro Light"/>
          <w:color w:val="000000"/>
          <w:sz w:val="22"/>
          <w:szCs w:val="22"/>
        </w:rPr>
        <w:t xml:space="preserve">established under the </w:t>
      </w:r>
      <w:r w:rsidRPr="00D43C22">
        <w:rPr>
          <w:rFonts w:asciiTheme="minorHAnsi" w:hAnsiTheme="minorHAnsi" w:cs="Source Sans Pro Light"/>
          <w:i/>
          <w:color w:val="000000"/>
          <w:sz w:val="22"/>
          <w:szCs w:val="22"/>
        </w:rPr>
        <w:t>Insurance Authority Act 2005</w:t>
      </w:r>
      <w:r w:rsidRPr="001A786D">
        <w:rPr>
          <w:rFonts w:asciiTheme="minorHAnsi" w:hAnsiTheme="minorHAnsi" w:cs="Source Sans Pro Light"/>
          <w:color w:val="000000"/>
          <w:sz w:val="22"/>
          <w:szCs w:val="22"/>
        </w:rPr>
        <w:t xml:space="preserve">. </w:t>
      </w:r>
    </w:p>
    <w:p w14:paraId="2FDF3661" w14:textId="77777777" w:rsidR="00955FB5" w:rsidRPr="001A786D" w:rsidRDefault="00955FB5" w:rsidP="00955FB5">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The </w:t>
      </w:r>
      <w:r>
        <w:rPr>
          <w:rFonts w:asciiTheme="minorHAnsi" w:hAnsiTheme="minorHAnsi" w:cs="Source Sans Pro Light"/>
          <w:color w:val="000000"/>
          <w:sz w:val="22"/>
          <w:szCs w:val="22"/>
        </w:rPr>
        <w:t>functions</w:t>
      </w:r>
      <w:r w:rsidRPr="001A786D">
        <w:rPr>
          <w:rFonts w:asciiTheme="minorHAnsi" w:hAnsiTheme="minorHAnsi" w:cs="Source Sans Pro Light"/>
          <w:color w:val="000000"/>
          <w:sz w:val="22"/>
          <w:szCs w:val="22"/>
        </w:rPr>
        <w:t xml:space="preserve"> of the Authority are to: </w:t>
      </w:r>
    </w:p>
    <w:p w14:paraId="2135ED86" w14:textId="77777777" w:rsidR="00955FB5" w:rsidRPr="001A786D" w:rsidRDefault="00955FB5" w:rsidP="00A36E9A">
      <w:pPr>
        <w:pStyle w:val="Default"/>
        <w:numPr>
          <w:ilvl w:val="0"/>
          <w:numId w:val="23"/>
        </w:numPr>
        <w:spacing w:after="47"/>
        <w:rPr>
          <w:rFonts w:asciiTheme="minorHAnsi" w:hAnsiTheme="minorHAnsi" w:cs="Source Sans Pro Light"/>
          <w:sz w:val="22"/>
          <w:szCs w:val="22"/>
        </w:rPr>
      </w:pPr>
      <w:proofErr w:type="gramStart"/>
      <w:r w:rsidRPr="001A786D">
        <w:rPr>
          <w:rFonts w:asciiTheme="minorHAnsi" w:hAnsiTheme="minorHAnsi" w:cs="Source Sans Pro Light"/>
          <w:sz w:val="22"/>
          <w:szCs w:val="22"/>
        </w:rPr>
        <w:t xml:space="preserve">carry </w:t>
      </w:r>
      <w:r>
        <w:rPr>
          <w:rFonts w:asciiTheme="minorHAnsi" w:hAnsiTheme="minorHAnsi" w:cs="Source Sans Pro Light"/>
          <w:sz w:val="22"/>
          <w:szCs w:val="22"/>
        </w:rPr>
        <w:t>on</w:t>
      </w:r>
      <w:proofErr w:type="gramEnd"/>
      <w:r w:rsidRPr="001A786D">
        <w:rPr>
          <w:rFonts w:asciiTheme="minorHAnsi" w:hAnsiTheme="minorHAnsi" w:cs="Source Sans Pro Light"/>
          <w:sz w:val="22"/>
          <w:szCs w:val="22"/>
        </w:rPr>
        <w:t xml:space="preserve"> the business of insurer of </w:t>
      </w:r>
      <w:r>
        <w:rPr>
          <w:rFonts w:asciiTheme="minorHAnsi" w:hAnsiTheme="minorHAnsi" w:cs="Source Sans Pro Light"/>
          <w:sz w:val="22"/>
          <w:szCs w:val="22"/>
        </w:rPr>
        <w:t>T</w:t>
      </w:r>
      <w:r w:rsidRPr="001A786D">
        <w:rPr>
          <w:rFonts w:asciiTheme="minorHAnsi" w:hAnsiTheme="minorHAnsi" w:cs="Source Sans Pro Light"/>
          <w:sz w:val="22"/>
          <w:szCs w:val="22"/>
        </w:rPr>
        <w:t xml:space="preserve">erritory risks; </w:t>
      </w:r>
    </w:p>
    <w:p w14:paraId="2CE5EFB1" w14:textId="77777777" w:rsidR="00955FB5" w:rsidRPr="001A786D" w:rsidRDefault="00955FB5" w:rsidP="00A36E9A">
      <w:pPr>
        <w:pStyle w:val="Default"/>
        <w:numPr>
          <w:ilvl w:val="0"/>
          <w:numId w:val="23"/>
        </w:numPr>
        <w:spacing w:after="47"/>
        <w:rPr>
          <w:rFonts w:asciiTheme="minorHAnsi" w:hAnsiTheme="minorHAnsi" w:cs="Source Sans Pro Light"/>
          <w:sz w:val="22"/>
          <w:szCs w:val="22"/>
        </w:rPr>
      </w:pPr>
      <w:r w:rsidRPr="001A786D">
        <w:rPr>
          <w:rFonts w:asciiTheme="minorHAnsi" w:hAnsiTheme="minorHAnsi" w:cs="Source Sans Pro Light"/>
          <w:sz w:val="22"/>
          <w:szCs w:val="22"/>
        </w:rPr>
        <w:t xml:space="preserve">take out insurance of Territory risks with other entities; </w:t>
      </w:r>
    </w:p>
    <w:p w14:paraId="0C29341E" w14:textId="77777777" w:rsidR="00955FB5" w:rsidRDefault="00955FB5" w:rsidP="00A36E9A">
      <w:pPr>
        <w:pStyle w:val="Default"/>
        <w:numPr>
          <w:ilvl w:val="0"/>
          <w:numId w:val="23"/>
        </w:numPr>
        <w:spacing w:after="47"/>
        <w:rPr>
          <w:rFonts w:asciiTheme="minorHAnsi" w:hAnsiTheme="minorHAnsi" w:cs="Source Sans Pro Light"/>
          <w:sz w:val="22"/>
          <w:szCs w:val="22"/>
        </w:rPr>
      </w:pPr>
      <w:r>
        <w:rPr>
          <w:rFonts w:asciiTheme="minorHAnsi" w:hAnsiTheme="minorHAnsi" w:cs="Source Sans Pro Light"/>
          <w:sz w:val="22"/>
          <w:szCs w:val="22"/>
        </w:rPr>
        <w:t>manage and</w:t>
      </w:r>
      <w:r w:rsidRPr="001A786D">
        <w:rPr>
          <w:rFonts w:asciiTheme="minorHAnsi" w:hAnsiTheme="minorHAnsi" w:cs="Source Sans Pro Light"/>
          <w:sz w:val="22"/>
          <w:szCs w:val="22"/>
        </w:rPr>
        <w:t xml:space="preserve"> settle claims in relation to Territory risks; </w:t>
      </w:r>
    </w:p>
    <w:p w14:paraId="23C11C12" w14:textId="77777777" w:rsidR="00955FB5" w:rsidRDefault="00955FB5" w:rsidP="00A36E9A">
      <w:pPr>
        <w:pStyle w:val="Default"/>
        <w:numPr>
          <w:ilvl w:val="0"/>
          <w:numId w:val="23"/>
        </w:numPr>
        <w:spacing w:after="47"/>
        <w:rPr>
          <w:rFonts w:asciiTheme="minorHAnsi" w:hAnsiTheme="minorHAnsi" w:cs="Source Sans Pro Light"/>
          <w:sz w:val="22"/>
          <w:szCs w:val="22"/>
        </w:rPr>
      </w:pPr>
      <w:proofErr w:type="gramStart"/>
      <w:r w:rsidRPr="001A786D">
        <w:rPr>
          <w:rFonts w:asciiTheme="minorHAnsi" w:hAnsiTheme="minorHAnsi" w:cs="Source Sans Pro Light"/>
          <w:sz w:val="22"/>
          <w:szCs w:val="22"/>
        </w:rPr>
        <w:t>take action</w:t>
      </w:r>
      <w:proofErr w:type="gramEnd"/>
      <w:r w:rsidRPr="001A786D">
        <w:rPr>
          <w:rFonts w:asciiTheme="minorHAnsi" w:hAnsiTheme="minorHAnsi" w:cs="Source Sans Pro Light"/>
          <w:sz w:val="22"/>
          <w:szCs w:val="22"/>
        </w:rPr>
        <w:t>, with the Treasurer’s approval, for the realising, enforcing, assigning or extinguishing rights against third parties arising out of or in relation to its business, including, fo</w:t>
      </w:r>
      <w:r>
        <w:rPr>
          <w:rFonts w:asciiTheme="minorHAnsi" w:hAnsiTheme="minorHAnsi" w:cs="Source Sans Pro Light"/>
          <w:sz w:val="22"/>
          <w:szCs w:val="22"/>
        </w:rPr>
        <w:t>r example:</w:t>
      </w:r>
    </w:p>
    <w:p w14:paraId="425EA8B8" w14:textId="77777777" w:rsidR="00955FB5" w:rsidRPr="001A786D" w:rsidRDefault="00955FB5" w:rsidP="00A36E9A">
      <w:pPr>
        <w:pStyle w:val="Default"/>
        <w:numPr>
          <w:ilvl w:val="0"/>
          <w:numId w:val="25"/>
        </w:numPr>
        <w:spacing w:after="47"/>
        <w:rPr>
          <w:rFonts w:asciiTheme="minorHAnsi" w:hAnsiTheme="minorHAnsi" w:cs="Source Sans Pro Light"/>
          <w:sz w:val="22"/>
          <w:szCs w:val="22"/>
        </w:rPr>
      </w:pPr>
      <w:r w:rsidRPr="001A786D">
        <w:rPr>
          <w:rFonts w:asciiTheme="minorHAnsi" w:hAnsiTheme="minorHAnsi" w:cs="Source Sans Pro Light"/>
          <w:sz w:val="22"/>
          <w:szCs w:val="22"/>
        </w:rPr>
        <w:t xml:space="preserve">taking possession of, dealing </w:t>
      </w:r>
      <w:proofErr w:type="gramStart"/>
      <w:r w:rsidRPr="001A786D">
        <w:rPr>
          <w:rFonts w:asciiTheme="minorHAnsi" w:hAnsiTheme="minorHAnsi" w:cs="Source Sans Pro Light"/>
          <w:sz w:val="22"/>
          <w:szCs w:val="22"/>
        </w:rPr>
        <w:t>with</w:t>
      </w:r>
      <w:proofErr w:type="gramEnd"/>
      <w:r w:rsidRPr="001A786D">
        <w:rPr>
          <w:rFonts w:asciiTheme="minorHAnsi" w:hAnsiTheme="minorHAnsi" w:cs="Source Sans Pro Light"/>
          <w:sz w:val="22"/>
          <w:szCs w:val="22"/>
        </w:rPr>
        <w:t xml:space="preserve"> or disposing of, property; or </w:t>
      </w:r>
    </w:p>
    <w:p w14:paraId="447B6DF0" w14:textId="77777777" w:rsidR="00955FB5" w:rsidRPr="001A786D" w:rsidRDefault="00955FB5" w:rsidP="00A36E9A">
      <w:pPr>
        <w:pStyle w:val="Default"/>
        <w:numPr>
          <w:ilvl w:val="0"/>
          <w:numId w:val="25"/>
        </w:numPr>
        <w:rPr>
          <w:rFonts w:asciiTheme="minorHAnsi" w:hAnsiTheme="minorHAnsi" w:cs="Source Sans Pro Light"/>
          <w:sz w:val="22"/>
          <w:szCs w:val="22"/>
        </w:rPr>
      </w:pPr>
      <w:r w:rsidRPr="001A786D">
        <w:rPr>
          <w:rFonts w:asciiTheme="minorHAnsi" w:hAnsiTheme="minorHAnsi" w:cs="Source Sans Pro Light"/>
          <w:sz w:val="22"/>
          <w:szCs w:val="22"/>
        </w:rPr>
        <w:t>carrying on a third part</w:t>
      </w:r>
      <w:r>
        <w:rPr>
          <w:rFonts w:asciiTheme="minorHAnsi" w:hAnsiTheme="minorHAnsi" w:cs="Source Sans Pro Light"/>
          <w:sz w:val="22"/>
          <w:szCs w:val="22"/>
        </w:rPr>
        <w:t>ies’</w:t>
      </w:r>
      <w:r w:rsidRPr="001A786D">
        <w:rPr>
          <w:rFonts w:asciiTheme="minorHAnsi" w:hAnsiTheme="minorHAnsi" w:cs="Source Sans Pro Light"/>
          <w:sz w:val="22"/>
          <w:szCs w:val="22"/>
        </w:rPr>
        <w:t xml:space="preserve"> business as a going concern;</w:t>
      </w:r>
    </w:p>
    <w:p w14:paraId="4E357AE3" w14:textId="77777777" w:rsidR="00955FB5" w:rsidRPr="001A786D" w:rsidRDefault="00955FB5" w:rsidP="00A36E9A">
      <w:pPr>
        <w:pStyle w:val="Default"/>
        <w:numPr>
          <w:ilvl w:val="0"/>
          <w:numId w:val="24"/>
        </w:numPr>
        <w:rPr>
          <w:rFonts w:asciiTheme="minorHAnsi" w:hAnsiTheme="minorHAnsi" w:cs="Source Sans Pro Light"/>
          <w:sz w:val="22"/>
          <w:szCs w:val="22"/>
        </w:rPr>
      </w:pPr>
      <w:r w:rsidRPr="001A786D">
        <w:rPr>
          <w:rFonts w:asciiTheme="minorHAnsi" w:hAnsiTheme="minorHAnsi" w:cs="Source Sans Pro Light"/>
          <w:sz w:val="22"/>
          <w:szCs w:val="22"/>
        </w:rPr>
        <w:t xml:space="preserve">develop and promote good practices for the management of Territory risks; and </w:t>
      </w:r>
    </w:p>
    <w:p w14:paraId="74B8231D" w14:textId="77777777" w:rsidR="00955FB5" w:rsidRPr="001A786D" w:rsidRDefault="00955FB5" w:rsidP="00A36E9A">
      <w:pPr>
        <w:pStyle w:val="Default"/>
        <w:numPr>
          <w:ilvl w:val="0"/>
          <w:numId w:val="24"/>
        </w:numPr>
        <w:spacing w:after="140" w:line="211" w:lineRule="atLeast"/>
        <w:rPr>
          <w:rFonts w:asciiTheme="minorHAnsi" w:hAnsiTheme="minorHAnsi" w:cs="Source Sans Pro Light"/>
          <w:sz w:val="22"/>
          <w:szCs w:val="22"/>
        </w:rPr>
      </w:pPr>
      <w:r w:rsidRPr="001A786D">
        <w:rPr>
          <w:rFonts w:asciiTheme="minorHAnsi" w:hAnsiTheme="minorHAnsi" w:cs="Source Sans Pro Light"/>
          <w:sz w:val="22"/>
          <w:szCs w:val="22"/>
        </w:rPr>
        <w:t xml:space="preserve">give advice to the </w:t>
      </w:r>
      <w:r>
        <w:rPr>
          <w:rFonts w:asciiTheme="minorHAnsi" w:hAnsiTheme="minorHAnsi" w:cs="Source Sans Pro Light"/>
          <w:sz w:val="22"/>
          <w:szCs w:val="22"/>
        </w:rPr>
        <w:t>Minister</w:t>
      </w:r>
      <w:r w:rsidRPr="001A786D">
        <w:rPr>
          <w:rFonts w:asciiTheme="minorHAnsi" w:hAnsiTheme="minorHAnsi" w:cs="Source Sans Pro Light"/>
          <w:sz w:val="22"/>
          <w:szCs w:val="22"/>
        </w:rPr>
        <w:t xml:space="preserve"> about insurance and the management of Territory risks. </w:t>
      </w:r>
    </w:p>
    <w:p w14:paraId="572808C5" w14:textId="77777777" w:rsidR="00955FB5" w:rsidRPr="001A786D" w:rsidRDefault="00955FB5" w:rsidP="00955FB5">
      <w:pPr>
        <w:pStyle w:val="Pa6"/>
        <w:spacing w:after="140"/>
        <w:ind w:right="-1"/>
        <w:rPr>
          <w:rFonts w:asciiTheme="minorHAnsi" w:hAnsiTheme="minorHAnsi" w:cs="Source Sans Pro Light"/>
          <w:color w:val="000000"/>
          <w:sz w:val="22"/>
          <w:szCs w:val="22"/>
        </w:rPr>
      </w:pPr>
      <w:r>
        <w:rPr>
          <w:rFonts w:asciiTheme="minorHAnsi" w:hAnsiTheme="minorHAnsi" w:cs="Source Sans Pro Light"/>
          <w:color w:val="000000"/>
          <w:sz w:val="22"/>
          <w:szCs w:val="22"/>
        </w:rPr>
        <w:t>T</w:t>
      </w:r>
      <w:r w:rsidRPr="001A786D">
        <w:rPr>
          <w:rFonts w:asciiTheme="minorHAnsi" w:hAnsiTheme="minorHAnsi" w:cs="Source Sans Pro Light"/>
          <w:color w:val="000000"/>
          <w:sz w:val="22"/>
          <w:szCs w:val="22"/>
        </w:rPr>
        <w:t xml:space="preserve">he Authority also </w:t>
      </w:r>
      <w:r>
        <w:rPr>
          <w:rFonts w:asciiTheme="minorHAnsi" w:hAnsiTheme="minorHAnsi" w:cs="Source Sans Pro Light"/>
          <w:color w:val="000000"/>
          <w:sz w:val="22"/>
          <w:szCs w:val="22"/>
        </w:rPr>
        <w:t>administers</w:t>
      </w:r>
      <w:r w:rsidRPr="001A786D">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the</w:t>
      </w:r>
      <w:r w:rsidRPr="001A786D">
        <w:rPr>
          <w:rFonts w:asciiTheme="minorHAnsi" w:hAnsiTheme="minorHAnsi" w:cs="Source Sans Pro Light"/>
          <w:color w:val="000000"/>
          <w:sz w:val="22"/>
          <w:szCs w:val="22"/>
        </w:rPr>
        <w:t xml:space="preserve">: </w:t>
      </w:r>
    </w:p>
    <w:p w14:paraId="35E54383" w14:textId="77777777" w:rsidR="00955FB5" w:rsidRPr="001A786D" w:rsidRDefault="00955FB5" w:rsidP="00A36E9A">
      <w:pPr>
        <w:pStyle w:val="Default"/>
        <w:numPr>
          <w:ilvl w:val="0"/>
          <w:numId w:val="26"/>
        </w:numPr>
        <w:spacing w:after="47"/>
        <w:ind w:left="357" w:hanging="357"/>
        <w:rPr>
          <w:rFonts w:asciiTheme="minorHAnsi" w:hAnsiTheme="minorHAnsi" w:cs="Source Sans Pro Light"/>
          <w:sz w:val="22"/>
          <w:szCs w:val="22"/>
        </w:rPr>
      </w:pPr>
      <w:r w:rsidRPr="001A786D">
        <w:rPr>
          <w:rFonts w:asciiTheme="minorHAnsi" w:hAnsiTheme="minorHAnsi" w:cs="Source Sans Pro Light"/>
          <w:sz w:val="22"/>
          <w:szCs w:val="22"/>
        </w:rPr>
        <w:t xml:space="preserve">Office of the Nominal Defendant of the ACT, for claims against uninsured </w:t>
      </w:r>
      <w:r>
        <w:rPr>
          <w:rFonts w:asciiTheme="minorHAnsi" w:hAnsiTheme="minorHAnsi" w:cs="Source Sans Pro Light"/>
          <w:sz w:val="22"/>
          <w:szCs w:val="22"/>
        </w:rPr>
        <w:t xml:space="preserve">and/or </w:t>
      </w:r>
      <w:r w:rsidRPr="001A786D">
        <w:rPr>
          <w:rFonts w:asciiTheme="minorHAnsi" w:hAnsiTheme="minorHAnsi" w:cs="Source Sans Pro Light"/>
          <w:sz w:val="22"/>
          <w:szCs w:val="22"/>
        </w:rPr>
        <w:t xml:space="preserve">unidentified vehicles for the </w:t>
      </w:r>
      <w:r>
        <w:rPr>
          <w:rFonts w:asciiTheme="minorHAnsi" w:hAnsiTheme="minorHAnsi" w:cs="Source Sans Pro Light"/>
          <w:sz w:val="22"/>
          <w:szCs w:val="22"/>
        </w:rPr>
        <w:t>Motor Accident</w:t>
      </w:r>
      <w:r w:rsidRPr="001A786D">
        <w:rPr>
          <w:rFonts w:asciiTheme="minorHAnsi" w:hAnsiTheme="minorHAnsi" w:cs="Source Sans Pro Light"/>
          <w:sz w:val="22"/>
          <w:szCs w:val="22"/>
        </w:rPr>
        <w:t xml:space="preserve"> I</w:t>
      </w:r>
      <w:r>
        <w:rPr>
          <w:rFonts w:asciiTheme="minorHAnsi" w:hAnsiTheme="minorHAnsi" w:cs="Source Sans Pro Light"/>
          <w:sz w:val="22"/>
          <w:szCs w:val="22"/>
        </w:rPr>
        <w:t>njury</w:t>
      </w:r>
      <w:r w:rsidRPr="001A786D">
        <w:rPr>
          <w:rFonts w:asciiTheme="minorHAnsi" w:hAnsiTheme="minorHAnsi" w:cs="Source Sans Pro Light"/>
          <w:sz w:val="22"/>
          <w:szCs w:val="22"/>
        </w:rPr>
        <w:t xml:space="preserve"> Scheme; and </w:t>
      </w:r>
    </w:p>
    <w:p w14:paraId="375BB92E" w14:textId="77777777" w:rsidR="00955FB5" w:rsidRPr="001A786D" w:rsidRDefault="00955FB5" w:rsidP="00A36E9A">
      <w:pPr>
        <w:pStyle w:val="Default"/>
        <w:numPr>
          <w:ilvl w:val="0"/>
          <w:numId w:val="26"/>
        </w:numPr>
        <w:spacing w:after="140" w:line="211" w:lineRule="atLeast"/>
        <w:ind w:left="357" w:hanging="357"/>
        <w:rPr>
          <w:rFonts w:asciiTheme="minorHAnsi" w:hAnsiTheme="minorHAnsi" w:cs="Source Sans Pro Light"/>
          <w:sz w:val="22"/>
          <w:szCs w:val="22"/>
        </w:rPr>
      </w:pPr>
      <w:r w:rsidRPr="001A786D">
        <w:rPr>
          <w:rFonts w:asciiTheme="minorHAnsi" w:hAnsiTheme="minorHAnsi" w:cs="Source Sans Pro Light"/>
          <w:sz w:val="22"/>
          <w:szCs w:val="22"/>
        </w:rPr>
        <w:t xml:space="preserve">Default Insurance Fund, for default claims under the ACT Private Workers’ Compensation Scheme. </w:t>
      </w:r>
    </w:p>
    <w:p w14:paraId="54DBE337" w14:textId="77777777" w:rsidR="00955FB5" w:rsidRDefault="00955FB5" w:rsidP="00955FB5">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Financial Statements for these </w:t>
      </w:r>
      <w:r>
        <w:rPr>
          <w:rFonts w:asciiTheme="minorHAnsi" w:hAnsiTheme="minorHAnsi" w:cs="Source Sans Pro Light"/>
          <w:color w:val="000000"/>
          <w:sz w:val="22"/>
          <w:szCs w:val="22"/>
        </w:rPr>
        <w:t xml:space="preserve">two </w:t>
      </w:r>
      <w:r w:rsidRPr="001A786D">
        <w:rPr>
          <w:rFonts w:asciiTheme="minorHAnsi" w:hAnsiTheme="minorHAnsi" w:cs="Source Sans Pro Light"/>
          <w:color w:val="000000"/>
          <w:sz w:val="22"/>
          <w:szCs w:val="22"/>
        </w:rPr>
        <w:t xml:space="preserve">entities are </w:t>
      </w:r>
      <w:r>
        <w:rPr>
          <w:rFonts w:asciiTheme="minorHAnsi" w:hAnsiTheme="minorHAnsi" w:cs="Source Sans Pro Light"/>
          <w:color w:val="000000"/>
          <w:sz w:val="22"/>
          <w:szCs w:val="22"/>
        </w:rPr>
        <w:t xml:space="preserve">included </w:t>
      </w:r>
      <w:r w:rsidRPr="001A786D">
        <w:rPr>
          <w:rFonts w:asciiTheme="minorHAnsi" w:hAnsiTheme="minorHAnsi" w:cs="Source Sans Pro Light"/>
          <w:color w:val="000000"/>
          <w:sz w:val="22"/>
          <w:szCs w:val="22"/>
        </w:rPr>
        <w:t xml:space="preserve">in Volume 2 of the Chief Minister, Treasury and Economic Development Directorate </w:t>
      </w:r>
      <w:r>
        <w:rPr>
          <w:rFonts w:asciiTheme="minorHAnsi" w:hAnsiTheme="minorHAnsi" w:cs="Source Sans Pro Light"/>
          <w:color w:val="000000"/>
          <w:sz w:val="22"/>
          <w:szCs w:val="22"/>
        </w:rPr>
        <w:t>2023-24</w:t>
      </w:r>
      <w:r w:rsidRPr="001A786D">
        <w:rPr>
          <w:rFonts w:asciiTheme="minorHAnsi" w:hAnsiTheme="minorHAnsi" w:cs="Source Sans Pro Light"/>
          <w:color w:val="000000"/>
          <w:sz w:val="22"/>
          <w:szCs w:val="22"/>
        </w:rPr>
        <w:t xml:space="preserve"> Annual Report. </w:t>
      </w:r>
    </w:p>
    <w:p w14:paraId="79419EED" w14:textId="5FD2FFFF" w:rsidR="00322267" w:rsidRPr="00C57BB5" w:rsidRDefault="00322267" w:rsidP="00322267">
      <w:pPr>
        <w:autoSpaceDE w:val="0"/>
        <w:autoSpaceDN w:val="0"/>
        <w:adjustRightInd w:val="0"/>
        <w:spacing w:after="140" w:line="211" w:lineRule="atLeast"/>
        <w:ind w:right="-1"/>
        <w:rPr>
          <w:rFonts w:ascii="Calibri" w:eastAsia="Calibri" w:hAnsi="Calibri" w:cs="Source Sans Pro Light"/>
          <w:color w:val="000000"/>
          <w:sz w:val="22"/>
          <w:szCs w:val="22"/>
          <w:highlight w:val="yellow"/>
        </w:rPr>
      </w:pPr>
    </w:p>
    <w:p w14:paraId="3DE2A95A" w14:textId="77777777" w:rsidR="00ED11BB" w:rsidRPr="00136E17" w:rsidRDefault="00ED11BB" w:rsidP="00ED11BB">
      <w:pPr>
        <w:pStyle w:val="Pa4"/>
        <w:spacing w:before="140" w:after="140" w:line="240" w:lineRule="auto"/>
        <w:outlineLvl w:val="0"/>
        <w:rPr>
          <w:rFonts w:asciiTheme="minorHAnsi" w:hAnsiTheme="minorHAnsi" w:cs="Montserrat Semi Bold"/>
          <w:b/>
          <w:bCs/>
          <w:color w:val="000000"/>
          <w:sz w:val="30"/>
          <w:szCs w:val="30"/>
        </w:rPr>
      </w:pPr>
      <w:r w:rsidRPr="00E73459">
        <w:rPr>
          <w:rFonts w:asciiTheme="minorHAnsi" w:hAnsiTheme="minorHAnsi" w:cs="Montserrat Semi Bold"/>
          <w:b/>
          <w:bCs/>
          <w:color w:val="000000"/>
          <w:sz w:val="30"/>
          <w:szCs w:val="30"/>
        </w:rPr>
        <w:t xml:space="preserve">NOTE 2. </w:t>
      </w:r>
      <w:r w:rsidRPr="000C1FF5">
        <w:rPr>
          <w:rFonts w:asciiTheme="minorHAnsi" w:hAnsiTheme="minorHAnsi" w:cs="Montserrat Semi Bold"/>
          <w:b/>
          <w:bCs/>
          <w:color w:val="000000"/>
          <w:sz w:val="30"/>
          <w:szCs w:val="30"/>
        </w:rPr>
        <w:t>BASIS OF PREPARATION OF THE FINANCIAL STATEMENTS</w:t>
      </w:r>
    </w:p>
    <w:p w14:paraId="3B87AA9A" w14:textId="77777777" w:rsidR="00ED11BB" w:rsidRPr="00DC1185" w:rsidRDefault="00ED11BB" w:rsidP="00ED11BB">
      <w:pPr>
        <w:pStyle w:val="Pa11"/>
        <w:spacing w:before="40" w:after="100"/>
        <w:outlineLvl w:val="0"/>
        <w:rPr>
          <w:rFonts w:asciiTheme="minorHAnsi" w:hAnsiTheme="minorHAnsi" w:cs="Montserrat Semi Bold"/>
          <w:b/>
          <w:bCs/>
          <w:color w:val="000000"/>
          <w:sz w:val="22"/>
          <w:szCs w:val="22"/>
        </w:rPr>
      </w:pPr>
      <w:r w:rsidRPr="00DC1185">
        <w:rPr>
          <w:rFonts w:asciiTheme="minorHAnsi" w:hAnsiTheme="minorHAnsi" w:cs="Montserrat Semi Bold"/>
          <w:b/>
          <w:bCs/>
          <w:color w:val="000000"/>
          <w:sz w:val="22"/>
          <w:szCs w:val="22"/>
        </w:rPr>
        <w:t>Legislative Requirement</w:t>
      </w:r>
    </w:p>
    <w:p w14:paraId="5EA8A5AB" w14:textId="716F306F" w:rsidR="00ED11BB" w:rsidRDefault="00ED11BB" w:rsidP="00ED11BB">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w:t>
      </w:r>
      <w:r>
        <w:rPr>
          <w:rFonts w:asciiTheme="minorHAnsi" w:hAnsiTheme="minorHAnsi" w:cs="Source Sans Pro Light"/>
          <w:i/>
          <w:color w:val="000000"/>
          <w:sz w:val="22"/>
          <w:szCs w:val="22"/>
        </w:rPr>
        <w:t>Financial Management Act 1996</w:t>
      </w:r>
      <w:r>
        <w:rPr>
          <w:rFonts w:asciiTheme="minorHAnsi" w:hAnsiTheme="minorHAnsi" w:cs="Source Sans Pro Light"/>
          <w:color w:val="000000"/>
          <w:sz w:val="22"/>
          <w:szCs w:val="22"/>
        </w:rPr>
        <w:t xml:space="preserve"> (FMA) requires the preparation of annual financial statements for</w:t>
      </w:r>
      <w:r w:rsidR="006B571C">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 xml:space="preserve">ACT Government agencies. </w:t>
      </w:r>
    </w:p>
    <w:p w14:paraId="06E87527" w14:textId="77777777" w:rsidR="00ED11BB" w:rsidRDefault="00ED11BB" w:rsidP="00ED11BB">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FMA and the </w:t>
      </w:r>
      <w:r>
        <w:rPr>
          <w:rFonts w:asciiTheme="minorHAnsi" w:hAnsiTheme="minorHAnsi" w:cs="Source Sans Pro Light"/>
          <w:i/>
          <w:color w:val="000000"/>
          <w:sz w:val="22"/>
          <w:szCs w:val="22"/>
        </w:rPr>
        <w:t>Financial Management Guidelines</w:t>
      </w:r>
      <w:r>
        <w:rPr>
          <w:rFonts w:asciiTheme="minorHAnsi" w:hAnsiTheme="minorHAnsi" w:cs="Source Sans Pro Light"/>
          <w:color w:val="000000"/>
          <w:sz w:val="22"/>
          <w:szCs w:val="22"/>
        </w:rPr>
        <w:t xml:space="preserve"> issued under the Act, requires that an Authority’s financial statements include: </w:t>
      </w:r>
    </w:p>
    <w:p w14:paraId="1EE31F74"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an Operating Statement for the year; </w:t>
      </w:r>
    </w:p>
    <w:p w14:paraId="0A3A6728"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Balance Sheet at the end of the year; </w:t>
      </w:r>
    </w:p>
    <w:p w14:paraId="7D941DFA"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Statement of Changes in Equity for the year; </w:t>
      </w:r>
    </w:p>
    <w:p w14:paraId="364F05B8"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Statement of Cash Flows for the year; </w:t>
      </w:r>
    </w:p>
    <w:p w14:paraId="109B2E1A"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significant accounting policies adopted for the year; and </w:t>
      </w:r>
    </w:p>
    <w:p w14:paraId="2C444F26" w14:textId="77777777" w:rsidR="00ED11BB" w:rsidRDefault="00ED11BB" w:rsidP="00A36E9A">
      <w:pPr>
        <w:pStyle w:val="Pa6"/>
        <w:numPr>
          <w:ilvl w:val="0"/>
          <w:numId w:val="27"/>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other statements as are necessary to fairly reflect the financial operations of the Authority during the year and its financial position at the end of the year. </w:t>
      </w:r>
    </w:p>
    <w:p w14:paraId="6D457FEE" w14:textId="77777777" w:rsidR="00DB05BD" w:rsidRDefault="00DB05BD">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61892C6D" w14:textId="71629044" w:rsidR="004F6360" w:rsidRPr="004F6360" w:rsidRDefault="004F6360" w:rsidP="004F6360">
      <w:pPr>
        <w:autoSpaceDE w:val="0"/>
        <w:autoSpaceDN w:val="0"/>
        <w:adjustRightInd w:val="0"/>
        <w:spacing w:before="140" w:after="140" w:line="240" w:lineRule="auto"/>
        <w:outlineLvl w:val="0"/>
        <w:rPr>
          <w:rFonts w:ascii="Calibri" w:eastAsia="Calibri" w:hAnsi="Calibri" w:cs="Montserrat Semi Bold"/>
          <w:b/>
          <w:bCs/>
          <w:color w:val="000000"/>
          <w:sz w:val="30"/>
          <w:szCs w:val="30"/>
        </w:rPr>
      </w:pPr>
      <w:r w:rsidRPr="004F6360">
        <w:rPr>
          <w:rFonts w:ascii="Calibri" w:eastAsia="Calibri" w:hAnsi="Calibri" w:cs="Montserrat Semi Bold"/>
          <w:b/>
          <w:bCs/>
          <w:color w:val="000000"/>
          <w:sz w:val="30"/>
          <w:szCs w:val="30"/>
        </w:rPr>
        <w:lastRenderedPageBreak/>
        <w:t>NOTE 2. BASIS OF PREPARATION OF THE FINANCIAL STATEMENTS - CONTINUED</w:t>
      </w:r>
    </w:p>
    <w:p w14:paraId="539D2504" w14:textId="5855757D" w:rsidR="00ED11BB" w:rsidRDefault="00ED11BB" w:rsidP="00ED11BB">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These general-purpose financial statements have been prepared to comply with Australian Accounting Standards as required by the FMA and ACT Accounting and Disclosure Policies. </w:t>
      </w:r>
    </w:p>
    <w:p w14:paraId="032EC025" w14:textId="77777777" w:rsidR="0064241C" w:rsidRPr="0016767B" w:rsidRDefault="0064241C" w:rsidP="0064241C">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Accrual Accounting</w:t>
      </w:r>
    </w:p>
    <w:p w14:paraId="338DED89" w14:textId="77777777" w:rsidR="0064241C" w:rsidRPr="0016767B" w:rsidRDefault="0064241C" w:rsidP="0064241C">
      <w:pPr>
        <w:pStyle w:val="Pa6"/>
        <w:spacing w:after="140" w:line="240" w:lineRule="auto"/>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 xml:space="preserve">The financial statements have been prepared using the accrual basis of accounting. The financial statements </w:t>
      </w:r>
      <w:r>
        <w:rPr>
          <w:rFonts w:asciiTheme="minorHAnsi" w:hAnsiTheme="minorHAnsi" w:cs="Source Sans Pro Light"/>
          <w:color w:val="000000"/>
          <w:sz w:val="22"/>
          <w:szCs w:val="22"/>
        </w:rPr>
        <w:t>are</w:t>
      </w:r>
      <w:r w:rsidRPr="0016767B">
        <w:rPr>
          <w:rFonts w:asciiTheme="minorHAnsi" w:hAnsiTheme="minorHAnsi" w:cs="Source Sans Pro Light"/>
          <w:color w:val="000000"/>
          <w:sz w:val="22"/>
          <w:szCs w:val="22"/>
        </w:rPr>
        <w:t xml:space="preserve"> prepared according to the historical cost convention, except for financial instruments which were measured at fair value in accordance with the (re)valuation policies applicable to the Authority during the reporting period.</w:t>
      </w:r>
    </w:p>
    <w:p w14:paraId="66DE6D0C" w14:textId="77777777" w:rsidR="0064241C" w:rsidRPr="0016767B" w:rsidRDefault="0064241C" w:rsidP="0064241C">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Currency</w:t>
      </w:r>
    </w:p>
    <w:p w14:paraId="7E0A52C0" w14:textId="77777777" w:rsidR="0064241C" w:rsidRPr="0016767B" w:rsidRDefault="0064241C" w:rsidP="0064241C">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 financial statements are presented in Australian dollars, which is the Authority’s functional currency.</w:t>
      </w:r>
    </w:p>
    <w:p w14:paraId="6D159771" w14:textId="77777777" w:rsidR="0064241C" w:rsidRPr="0016767B" w:rsidRDefault="0064241C" w:rsidP="0064241C">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Individual Reporting Entity</w:t>
      </w:r>
    </w:p>
    <w:p w14:paraId="705FC874" w14:textId="77777777" w:rsidR="0064241C" w:rsidRPr="0016767B" w:rsidRDefault="0064241C" w:rsidP="0064241C">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 Authority is an individual not-for-profit reporting entity.</w:t>
      </w:r>
    </w:p>
    <w:p w14:paraId="2599F477" w14:textId="77777777" w:rsidR="0064241C" w:rsidRPr="0016767B" w:rsidRDefault="0064241C" w:rsidP="0064241C">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Reporting Period</w:t>
      </w:r>
    </w:p>
    <w:p w14:paraId="1E44497B" w14:textId="77777777" w:rsidR="0064241C" w:rsidRPr="0016767B" w:rsidRDefault="0064241C" w:rsidP="0064241C">
      <w:pPr>
        <w:pStyle w:val="Pa6"/>
        <w:spacing w:after="140" w:line="240" w:lineRule="auto"/>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These financial statements state the financial performance, changes in equity and cash flows of the Authority for the year ended 30 June 202</w:t>
      </w:r>
      <w:r>
        <w:rPr>
          <w:rFonts w:asciiTheme="minorHAnsi" w:hAnsiTheme="minorHAnsi" w:cs="Source Sans Pro Light"/>
          <w:color w:val="000000"/>
          <w:sz w:val="22"/>
          <w:szCs w:val="22"/>
        </w:rPr>
        <w:t>4</w:t>
      </w:r>
      <w:r w:rsidRPr="0016767B">
        <w:rPr>
          <w:rFonts w:asciiTheme="minorHAnsi" w:hAnsiTheme="minorHAnsi" w:cs="Source Sans Pro Light"/>
          <w:color w:val="000000"/>
          <w:sz w:val="22"/>
          <w:szCs w:val="22"/>
        </w:rPr>
        <w:t xml:space="preserve"> together with the financial position of the </w:t>
      </w:r>
      <w:r>
        <w:rPr>
          <w:rFonts w:asciiTheme="minorHAnsi" w:hAnsiTheme="minorHAnsi" w:cs="Source Sans Pro Light"/>
          <w:color w:val="000000"/>
          <w:sz w:val="22"/>
          <w:szCs w:val="22"/>
        </w:rPr>
        <w:t>Authority</w:t>
      </w:r>
      <w:r w:rsidRPr="0016767B">
        <w:rPr>
          <w:rFonts w:asciiTheme="minorHAnsi" w:hAnsiTheme="minorHAnsi" w:cs="Source Sans Pro Light"/>
          <w:color w:val="000000"/>
          <w:sz w:val="22"/>
          <w:szCs w:val="22"/>
        </w:rPr>
        <w:t xml:space="preserve"> as at 30</w:t>
      </w:r>
      <w:r>
        <w:rPr>
          <w:rFonts w:asciiTheme="minorHAnsi" w:hAnsiTheme="minorHAnsi" w:cs="Source Sans Pro Light"/>
          <w:color w:val="000000"/>
          <w:sz w:val="22"/>
          <w:szCs w:val="22"/>
        </w:rPr>
        <w:t> </w:t>
      </w:r>
      <w:r w:rsidRPr="0016767B">
        <w:rPr>
          <w:rFonts w:asciiTheme="minorHAnsi" w:hAnsiTheme="minorHAnsi" w:cs="Source Sans Pro Light"/>
          <w:color w:val="000000"/>
          <w:sz w:val="22"/>
          <w:szCs w:val="22"/>
        </w:rPr>
        <w:t>June 202</w:t>
      </w:r>
      <w:r>
        <w:rPr>
          <w:rFonts w:asciiTheme="minorHAnsi" w:hAnsiTheme="minorHAnsi" w:cs="Source Sans Pro Light"/>
          <w:color w:val="000000"/>
          <w:sz w:val="22"/>
          <w:szCs w:val="22"/>
        </w:rPr>
        <w:t>4</w:t>
      </w:r>
      <w:r w:rsidRPr="0016767B">
        <w:rPr>
          <w:rFonts w:asciiTheme="minorHAnsi" w:hAnsiTheme="minorHAnsi" w:cs="Source Sans Pro Light"/>
          <w:color w:val="000000"/>
          <w:sz w:val="22"/>
          <w:szCs w:val="22"/>
        </w:rPr>
        <w:t>.</w:t>
      </w:r>
    </w:p>
    <w:p w14:paraId="3A02E335" w14:textId="77777777" w:rsidR="00EF7ED1" w:rsidRPr="0016767B" w:rsidRDefault="00EF7ED1" w:rsidP="00EF7ED1">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Comparative Figures</w:t>
      </w:r>
    </w:p>
    <w:p w14:paraId="1BD33608" w14:textId="77777777" w:rsidR="00EF7ED1" w:rsidRPr="006B39CB" w:rsidRDefault="00EF7ED1" w:rsidP="00EF7ED1">
      <w:pPr>
        <w:pStyle w:val="Pa6"/>
        <w:spacing w:after="140" w:line="240" w:lineRule="auto"/>
        <w:rPr>
          <w:rFonts w:asciiTheme="minorHAnsi" w:hAnsiTheme="minorHAnsi" w:cs="Source Sans Pro Light"/>
          <w:i/>
          <w:iCs/>
          <w:color w:val="000000"/>
          <w:sz w:val="22"/>
          <w:szCs w:val="22"/>
        </w:rPr>
      </w:pPr>
      <w:r w:rsidRPr="006B39CB">
        <w:rPr>
          <w:rFonts w:asciiTheme="minorHAnsi" w:hAnsiTheme="minorHAnsi" w:cs="Source Sans Pro Light"/>
          <w:i/>
          <w:iCs/>
          <w:color w:val="000000"/>
          <w:sz w:val="22"/>
          <w:szCs w:val="22"/>
        </w:rPr>
        <w:t xml:space="preserve">Prior Year Comparatives </w:t>
      </w:r>
    </w:p>
    <w:p w14:paraId="10CC9937" w14:textId="77777777" w:rsidR="00EF7ED1" w:rsidRPr="0016767B" w:rsidRDefault="00EF7ED1" w:rsidP="00EF7ED1">
      <w:pPr>
        <w:pStyle w:val="Pa6"/>
        <w:spacing w:after="140" w:line="240" w:lineRule="auto"/>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Comparative information has been disclosed in respect of the previous period for amounts reported in the financial statements, except where an Australian Accounting Standard does not require comparative information to be disclosed.</w:t>
      </w:r>
    </w:p>
    <w:p w14:paraId="141E9153" w14:textId="77777777" w:rsidR="00EF7ED1" w:rsidRPr="0016767B" w:rsidRDefault="00EF7ED1" w:rsidP="00EF7ED1">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Where necessary, comparatives have been reclassified to conform to changes in presentation in the current year.</w:t>
      </w:r>
    </w:p>
    <w:p w14:paraId="73B9D56C" w14:textId="77777777" w:rsidR="00EF7ED1" w:rsidRPr="006B39CB" w:rsidRDefault="00EF7ED1" w:rsidP="00EF7ED1">
      <w:pPr>
        <w:pStyle w:val="Pa11"/>
        <w:spacing w:before="40" w:after="100"/>
        <w:ind w:right="-1"/>
        <w:rPr>
          <w:rFonts w:asciiTheme="minorHAnsi" w:hAnsiTheme="minorHAnsi" w:cs="Montserrat Semi Bold"/>
          <w:i/>
          <w:iCs/>
          <w:color w:val="000000"/>
          <w:sz w:val="22"/>
          <w:szCs w:val="22"/>
        </w:rPr>
      </w:pPr>
      <w:r w:rsidRPr="006B39CB">
        <w:rPr>
          <w:rFonts w:asciiTheme="minorHAnsi" w:hAnsiTheme="minorHAnsi" w:cs="Montserrat Semi Bold"/>
          <w:i/>
          <w:iCs/>
          <w:color w:val="000000"/>
          <w:sz w:val="22"/>
          <w:szCs w:val="22"/>
        </w:rPr>
        <w:t xml:space="preserve">Budget Figures </w:t>
      </w:r>
    </w:p>
    <w:p w14:paraId="3B3D79E2" w14:textId="77777777" w:rsidR="00EF7ED1" w:rsidRDefault="00EF7ED1" w:rsidP="00EF7ED1">
      <w:pPr>
        <w:pStyle w:val="Pa6"/>
        <w:spacing w:after="140"/>
        <w:rPr>
          <w:rFonts w:asciiTheme="minorHAnsi" w:hAnsiTheme="minorHAnsi" w:cs="Source Sans Pro Light"/>
          <w:color w:val="000000"/>
          <w:sz w:val="22"/>
          <w:szCs w:val="22"/>
        </w:rPr>
      </w:pPr>
      <w:r w:rsidRPr="00B202A1">
        <w:rPr>
          <w:rFonts w:asciiTheme="minorHAnsi" w:hAnsiTheme="minorHAnsi" w:cs="Source Sans Pro Light"/>
          <w:color w:val="000000"/>
          <w:sz w:val="22"/>
          <w:szCs w:val="22"/>
        </w:rPr>
        <w:t>To facilitate a comparison with the Budget Papers, as required by the FMA, budget information for 2023-24 has been presented in the financial statements. Budget numbers in the financial statements are the original budget numbers that appear in the Statement of Intent</w:t>
      </w:r>
      <w:r>
        <w:rPr>
          <w:rFonts w:asciiTheme="minorHAnsi" w:hAnsiTheme="minorHAnsi" w:cs="Source Sans Pro Light"/>
          <w:color w:val="000000"/>
          <w:sz w:val="22"/>
          <w:szCs w:val="22"/>
        </w:rPr>
        <w:t>.</w:t>
      </w:r>
    </w:p>
    <w:p w14:paraId="4079B170" w14:textId="77777777" w:rsidR="00EF7ED1" w:rsidRPr="006B39CB" w:rsidRDefault="00EF7ED1" w:rsidP="00EF7ED1">
      <w:pPr>
        <w:pStyle w:val="Pa11"/>
        <w:spacing w:before="40" w:after="100"/>
        <w:ind w:right="-1"/>
        <w:rPr>
          <w:rFonts w:asciiTheme="minorHAnsi" w:hAnsiTheme="minorHAnsi" w:cs="Montserrat Semi Bold"/>
          <w:i/>
          <w:iCs/>
          <w:color w:val="000000"/>
          <w:sz w:val="22"/>
          <w:szCs w:val="22"/>
        </w:rPr>
      </w:pPr>
      <w:r w:rsidRPr="006B39CB">
        <w:rPr>
          <w:rFonts w:asciiTheme="minorHAnsi" w:hAnsiTheme="minorHAnsi" w:cs="Montserrat Semi Bold"/>
          <w:i/>
          <w:iCs/>
          <w:color w:val="000000"/>
          <w:sz w:val="22"/>
          <w:szCs w:val="22"/>
        </w:rPr>
        <w:t xml:space="preserve">Rounding </w:t>
      </w:r>
    </w:p>
    <w:p w14:paraId="71ED4EC3" w14:textId="3802C9B1" w:rsidR="00BB4396" w:rsidRDefault="00EF7ED1" w:rsidP="00EF7ED1">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All amounts in the financial statements have been rounded to the nearest thousand dollars ($’000). Use of</w:t>
      </w:r>
      <w:r>
        <w:rPr>
          <w:rFonts w:asciiTheme="minorHAnsi" w:hAnsiTheme="minorHAnsi" w:cs="Source Sans Pro Light"/>
          <w:color w:val="000000"/>
          <w:sz w:val="22"/>
          <w:szCs w:val="22"/>
        </w:rPr>
        <w:t xml:space="preserve"> “-” represents</w:t>
      </w:r>
      <w:r w:rsidRPr="0016767B">
        <w:rPr>
          <w:rFonts w:asciiTheme="minorHAnsi" w:hAnsiTheme="minorHAnsi" w:cs="Source Sans Pro Light"/>
          <w:color w:val="000000"/>
          <w:sz w:val="22"/>
          <w:szCs w:val="22"/>
        </w:rPr>
        <w:t xml:space="preserve"> zero amounts or amounts rounded down to zero. </w:t>
      </w:r>
    </w:p>
    <w:p w14:paraId="459EFEFA" w14:textId="77777777" w:rsidR="001130BC" w:rsidRDefault="001130BC" w:rsidP="001130BC">
      <w:pPr>
        <w:pStyle w:val="Pa11"/>
        <w:spacing w:before="40" w:after="100"/>
        <w:ind w:right="-1"/>
        <w:rPr>
          <w:rFonts w:asciiTheme="minorHAnsi" w:hAnsiTheme="minorHAnsi" w:cs="Montserrat Semi Bold"/>
          <w:b/>
          <w:bCs/>
          <w:color w:val="000000"/>
          <w:sz w:val="22"/>
          <w:szCs w:val="22"/>
        </w:rPr>
      </w:pPr>
      <w:r w:rsidRPr="00360D40">
        <w:rPr>
          <w:rFonts w:asciiTheme="minorHAnsi" w:hAnsiTheme="minorHAnsi" w:cs="Montserrat Semi Bold"/>
          <w:b/>
          <w:bCs/>
          <w:color w:val="000000"/>
          <w:sz w:val="22"/>
          <w:szCs w:val="22"/>
        </w:rPr>
        <w:t>Going Concern</w:t>
      </w:r>
    </w:p>
    <w:p w14:paraId="02B61257" w14:textId="2BD65E3D" w:rsidR="008F7D5A" w:rsidRDefault="001130BC" w:rsidP="001C3810">
      <w:pPr>
        <w:pStyle w:val="Pa6"/>
        <w:spacing w:after="140"/>
        <w:rPr>
          <w:rFonts w:asciiTheme="minorHAnsi" w:hAnsiTheme="minorHAnsi" w:cs="Source Sans Pro Light"/>
          <w:color w:val="000000"/>
          <w:sz w:val="22"/>
          <w:szCs w:val="22"/>
        </w:rPr>
      </w:pPr>
      <w:r w:rsidRPr="00111425">
        <w:rPr>
          <w:rFonts w:asciiTheme="minorHAnsi" w:hAnsiTheme="minorHAnsi" w:cs="Source Sans Pro Light"/>
          <w:color w:val="000000"/>
          <w:sz w:val="22"/>
          <w:szCs w:val="22"/>
        </w:rPr>
        <w:t xml:space="preserve">The 2023-24 financial statements have been prepared on a going concern basis as </w:t>
      </w:r>
      <w:r>
        <w:rPr>
          <w:rFonts w:asciiTheme="minorHAnsi" w:hAnsiTheme="minorHAnsi" w:cs="Source Sans Pro Light"/>
          <w:color w:val="000000"/>
          <w:sz w:val="22"/>
          <w:szCs w:val="22"/>
        </w:rPr>
        <w:t>the Authority</w:t>
      </w:r>
      <w:r w:rsidRPr="00111425">
        <w:rPr>
          <w:rFonts w:asciiTheme="minorHAnsi" w:hAnsiTheme="minorHAnsi" w:cs="Source Sans Pro Light"/>
          <w:color w:val="000000"/>
          <w:sz w:val="22"/>
          <w:szCs w:val="22"/>
        </w:rPr>
        <w:t xml:space="preserve"> has been funded in the ACT Government 2024-25 Budget and the Budget Papers include forward estimates for </w:t>
      </w:r>
      <w:r>
        <w:rPr>
          <w:rFonts w:asciiTheme="minorHAnsi" w:hAnsiTheme="minorHAnsi" w:cs="Source Sans Pro Light"/>
          <w:color w:val="000000"/>
          <w:sz w:val="22"/>
          <w:szCs w:val="22"/>
        </w:rPr>
        <w:t>the Authority</w:t>
      </w:r>
      <w:r w:rsidRPr="00111425">
        <w:rPr>
          <w:rFonts w:asciiTheme="minorHAnsi" w:hAnsiTheme="minorHAnsi" w:cs="Source Sans Pro Light"/>
          <w:color w:val="000000"/>
          <w:sz w:val="22"/>
          <w:szCs w:val="22"/>
        </w:rPr>
        <w:t>.</w:t>
      </w:r>
    </w:p>
    <w:p w14:paraId="76440DE7" w14:textId="1CAF7D80" w:rsidR="00EF7ED1" w:rsidRPr="001C3810" w:rsidRDefault="008F7D5A" w:rsidP="008F7D5A">
      <w:pPr>
        <w:spacing w:after="0" w:line="240" w:lineRule="auto"/>
        <w:rPr>
          <w:rFonts w:cs="Source Sans Pro Light"/>
          <w:color w:val="000000"/>
          <w:sz w:val="22"/>
          <w:szCs w:val="22"/>
        </w:rPr>
      </w:pPr>
      <w:r>
        <w:rPr>
          <w:rFonts w:cs="Source Sans Pro Light"/>
          <w:color w:val="000000"/>
          <w:sz w:val="22"/>
          <w:szCs w:val="22"/>
        </w:rPr>
        <w:br w:type="page"/>
      </w:r>
    </w:p>
    <w:p w14:paraId="261DA34A" w14:textId="3BFCA471" w:rsidR="001C3810" w:rsidRDefault="001C3810" w:rsidP="001C3810">
      <w:pPr>
        <w:pStyle w:val="Pa4"/>
        <w:spacing w:before="140" w:after="140" w:line="240" w:lineRule="auto"/>
        <w:outlineLvl w:val="0"/>
        <w:rPr>
          <w:rFonts w:asciiTheme="minorHAnsi" w:hAnsiTheme="minorHAnsi" w:cs="Montserrat Semi Bold"/>
          <w:b/>
          <w:bCs/>
          <w:color w:val="000000"/>
          <w:sz w:val="30"/>
          <w:szCs w:val="30"/>
        </w:rPr>
      </w:pPr>
      <w:r w:rsidRPr="00E60A90">
        <w:rPr>
          <w:rFonts w:asciiTheme="minorHAnsi" w:hAnsiTheme="minorHAnsi" w:cs="Montserrat Semi Bold"/>
          <w:b/>
          <w:bCs/>
          <w:color w:val="000000"/>
          <w:sz w:val="30"/>
          <w:szCs w:val="30"/>
        </w:rPr>
        <w:lastRenderedPageBreak/>
        <w:t>NOTE 3. IMPACT OF ACCOUNTING STANDARDS ISSUED BUT YET TO BE APPLIED</w:t>
      </w:r>
    </w:p>
    <w:p w14:paraId="5A0E0D32" w14:textId="77777777" w:rsidR="001C3810" w:rsidRPr="00D26A54" w:rsidRDefault="001C3810" w:rsidP="001C3810">
      <w:pPr>
        <w:pStyle w:val="Pa6"/>
        <w:spacing w:after="140" w:line="240" w:lineRule="auto"/>
        <w:rPr>
          <w:rFonts w:asciiTheme="minorHAnsi" w:hAnsiTheme="minorHAnsi" w:cs="Source Sans Pro Light"/>
          <w:sz w:val="22"/>
          <w:szCs w:val="22"/>
        </w:rPr>
      </w:pPr>
      <w:r w:rsidRPr="00D26A54">
        <w:rPr>
          <w:rFonts w:asciiTheme="minorHAnsi" w:hAnsiTheme="minorHAnsi" w:cs="Source Sans Pro Light"/>
          <w:sz w:val="22"/>
          <w:szCs w:val="22"/>
        </w:rPr>
        <w:t xml:space="preserve">Accounting Standards and Interpretations issued by the Australian Accounting Standards Board (AASB) </w:t>
      </w:r>
      <w:proofErr w:type="gramStart"/>
      <w:r w:rsidRPr="00D26A54">
        <w:rPr>
          <w:rFonts w:asciiTheme="minorHAnsi" w:hAnsiTheme="minorHAnsi" w:cs="Source Sans Pro Light"/>
          <w:sz w:val="22"/>
          <w:szCs w:val="22"/>
        </w:rPr>
        <w:t>but yet</w:t>
      </w:r>
      <w:proofErr w:type="gramEnd"/>
      <w:r w:rsidRPr="00D26A54">
        <w:rPr>
          <w:rFonts w:asciiTheme="minorHAnsi" w:hAnsiTheme="minorHAnsi" w:cs="Source Sans Pro Light"/>
          <w:sz w:val="22"/>
          <w:szCs w:val="22"/>
        </w:rPr>
        <w:t xml:space="preserve"> to be applied have been assessed as not being relevant to the Authority or will have an immaterial financial impact. However, the Authority is currently assessing whether AASB 2022-8 and AASB 2022-9 will have a material financial impact.</w:t>
      </w:r>
    </w:p>
    <w:p w14:paraId="681D23A8" w14:textId="77777777" w:rsidR="001C3810" w:rsidRPr="00D26A54" w:rsidRDefault="001C3810" w:rsidP="00A36E9A">
      <w:pPr>
        <w:pStyle w:val="Pa6"/>
        <w:numPr>
          <w:ilvl w:val="0"/>
          <w:numId w:val="28"/>
        </w:numPr>
        <w:spacing w:after="140" w:line="240" w:lineRule="auto"/>
        <w:rPr>
          <w:rFonts w:asciiTheme="minorHAnsi" w:hAnsiTheme="minorHAnsi" w:cs="Source Sans Pro Light"/>
          <w:b/>
          <w:bCs/>
          <w:i/>
          <w:iCs/>
          <w:sz w:val="22"/>
          <w:szCs w:val="22"/>
        </w:rPr>
      </w:pPr>
      <w:r w:rsidRPr="00D26A54">
        <w:rPr>
          <w:rFonts w:asciiTheme="minorHAnsi" w:hAnsiTheme="minorHAnsi" w:cs="Source Sans Pro Light"/>
          <w:sz w:val="22"/>
          <w:szCs w:val="22"/>
        </w:rPr>
        <w:t xml:space="preserve">AASB 2022-8 </w:t>
      </w:r>
      <w:r w:rsidRPr="00D26A54">
        <w:rPr>
          <w:rFonts w:asciiTheme="minorHAnsi" w:hAnsiTheme="minorHAnsi" w:cs="Source Sans Pro Light"/>
          <w:i/>
          <w:iCs/>
          <w:sz w:val="22"/>
          <w:szCs w:val="22"/>
        </w:rPr>
        <w:t>Amendments to Australian Accounting Standards – Insurance Contracts: Consequential Amendments</w:t>
      </w:r>
      <w:r w:rsidRPr="00D26A54">
        <w:rPr>
          <w:rFonts w:asciiTheme="minorHAnsi" w:hAnsiTheme="minorHAnsi" w:cs="Source Sans Pro Light"/>
          <w:b/>
          <w:bCs/>
          <w:i/>
          <w:iCs/>
          <w:sz w:val="22"/>
          <w:szCs w:val="22"/>
        </w:rPr>
        <w:t>.</w:t>
      </w:r>
    </w:p>
    <w:p w14:paraId="40EDE4D5" w14:textId="77777777" w:rsidR="001C3810" w:rsidRPr="00D26A54" w:rsidRDefault="001C3810" w:rsidP="001C3810">
      <w:pPr>
        <w:pStyle w:val="Pa6"/>
        <w:spacing w:after="140" w:line="240" w:lineRule="auto"/>
        <w:rPr>
          <w:rFonts w:asciiTheme="minorHAnsi" w:hAnsiTheme="minorHAnsi" w:cs="Source Sans Pro Light"/>
          <w:sz w:val="22"/>
          <w:szCs w:val="22"/>
        </w:rPr>
      </w:pPr>
      <w:r w:rsidRPr="00D26A54">
        <w:rPr>
          <w:rFonts w:asciiTheme="minorHAnsi" w:hAnsiTheme="minorHAnsi" w:cs="Source Sans Pro Light"/>
          <w:sz w:val="22"/>
          <w:szCs w:val="22"/>
        </w:rPr>
        <w:t xml:space="preserve">The AASB decided to defer the mandatory application date of AASB 17 </w:t>
      </w:r>
      <w:r w:rsidRPr="00D26A54">
        <w:rPr>
          <w:rFonts w:asciiTheme="minorHAnsi" w:hAnsiTheme="minorHAnsi" w:cs="Source Sans Pro Light"/>
          <w:i/>
          <w:iCs/>
          <w:sz w:val="22"/>
          <w:szCs w:val="22"/>
        </w:rPr>
        <w:t>Insurance Contracts</w:t>
      </w:r>
      <w:r w:rsidRPr="00D26A54">
        <w:rPr>
          <w:rFonts w:asciiTheme="minorHAnsi" w:hAnsiTheme="minorHAnsi" w:cs="Source Sans Pro Light"/>
          <w:sz w:val="22"/>
          <w:szCs w:val="22"/>
        </w:rPr>
        <w:t xml:space="preserve"> for public sector entities to annual periods beginning on or after 1 July 2026, as the AASB is amending AASB 17 for application by public sector entities. Therefore, this Standard amends all accounting standards that refer to AASB 17 </w:t>
      </w:r>
      <w:proofErr w:type="gramStart"/>
      <w:r w:rsidRPr="00D26A54">
        <w:rPr>
          <w:rFonts w:asciiTheme="minorHAnsi" w:hAnsiTheme="minorHAnsi" w:cs="Source Sans Pro Light"/>
          <w:sz w:val="22"/>
          <w:szCs w:val="22"/>
        </w:rPr>
        <w:t>in order to</w:t>
      </w:r>
      <w:proofErr w:type="gramEnd"/>
      <w:r w:rsidRPr="00D26A54">
        <w:rPr>
          <w:rFonts w:asciiTheme="minorHAnsi" w:hAnsiTheme="minorHAnsi" w:cs="Source Sans Pro Light"/>
          <w:sz w:val="22"/>
          <w:szCs w:val="22"/>
        </w:rPr>
        <w:t xml:space="preserve"> permit public sector entities to continue applying AASB 1023 to annual periods beginning on or after 1 January 2023 but before 1 July 2026.</w:t>
      </w:r>
    </w:p>
    <w:p w14:paraId="0170A270" w14:textId="77777777" w:rsidR="001C3810" w:rsidRPr="00D26A54" w:rsidRDefault="001C3810" w:rsidP="001C3810">
      <w:pPr>
        <w:pStyle w:val="Pa6"/>
        <w:spacing w:after="140" w:line="240" w:lineRule="auto"/>
        <w:rPr>
          <w:rFonts w:cs="Montserrat Semi Bold"/>
          <w:color w:val="000000"/>
        </w:rPr>
      </w:pPr>
      <w:r w:rsidRPr="00D26A54">
        <w:rPr>
          <w:rFonts w:asciiTheme="minorHAnsi" w:hAnsiTheme="minorHAnsi" w:cs="Source Sans Pro Light"/>
          <w:sz w:val="22"/>
          <w:szCs w:val="22"/>
        </w:rPr>
        <w:t>The Authority assessed no impact from this transitional arrangement as the Standard permits the Authority to continue to apply AASB 1023 for the transition period to the annual reporting periods beginning on or after 1 July 2026.</w:t>
      </w:r>
    </w:p>
    <w:p w14:paraId="59145B1B" w14:textId="77777777" w:rsidR="001C3810" w:rsidRPr="00D26A54" w:rsidRDefault="001C3810" w:rsidP="00A36E9A">
      <w:pPr>
        <w:pStyle w:val="Pa6"/>
        <w:numPr>
          <w:ilvl w:val="0"/>
          <w:numId w:val="28"/>
        </w:numPr>
        <w:spacing w:after="140" w:line="240" w:lineRule="auto"/>
        <w:rPr>
          <w:rFonts w:asciiTheme="minorHAnsi" w:hAnsiTheme="minorHAnsi" w:cs="Source Sans Pro Light"/>
          <w:i/>
          <w:iCs/>
          <w:sz w:val="22"/>
          <w:szCs w:val="22"/>
        </w:rPr>
      </w:pPr>
      <w:r w:rsidRPr="00D26A54">
        <w:rPr>
          <w:rFonts w:asciiTheme="minorHAnsi" w:hAnsiTheme="minorHAnsi" w:cs="Source Sans Pro Light"/>
          <w:sz w:val="22"/>
          <w:szCs w:val="22"/>
        </w:rPr>
        <w:t xml:space="preserve">AASB 2022-9 </w:t>
      </w:r>
      <w:r w:rsidRPr="00D26A54">
        <w:rPr>
          <w:rFonts w:asciiTheme="minorHAnsi" w:hAnsiTheme="minorHAnsi" w:cs="Source Sans Pro Light"/>
          <w:i/>
          <w:iCs/>
          <w:sz w:val="22"/>
          <w:szCs w:val="22"/>
        </w:rPr>
        <w:t>Amendments to Australian Accounting Standards - Insurance Contracts in the Public Sector</w:t>
      </w:r>
    </w:p>
    <w:p w14:paraId="7CF81264" w14:textId="77777777" w:rsidR="001C3810" w:rsidRPr="00D26A54" w:rsidRDefault="001C3810" w:rsidP="001C3810">
      <w:pPr>
        <w:pStyle w:val="Default"/>
        <w:rPr>
          <w:rFonts w:asciiTheme="minorHAnsi" w:hAnsiTheme="minorHAnsi" w:cstheme="minorHAnsi"/>
          <w:sz w:val="22"/>
          <w:szCs w:val="22"/>
        </w:rPr>
      </w:pPr>
      <w:r w:rsidRPr="00D26A54">
        <w:rPr>
          <w:rFonts w:asciiTheme="minorHAnsi" w:hAnsiTheme="minorHAnsi" w:cstheme="minorHAnsi"/>
          <w:sz w:val="22"/>
          <w:szCs w:val="22"/>
        </w:rPr>
        <w:t>This standard makes key modifications to the requirements of AASB 17 </w:t>
      </w:r>
      <w:r w:rsidRPr="00D26A54">
        <w:rPr>
          <w:rFonts w:asciiTheme="minorHAnsi" w:hAnsiTheme="minorHAnsi" w:cstheme="minorHAnsi"/>
          <w:i/>
          <w:iCs/>
          <w:sz w:val="22"/>
          <w:szCs w:val="22"/>
        </w:rPr>
        <w:t xml:space="preserve">Insurance Contracts </w:t>
      </w:r>
      <w:r w:rsidRPr="00D26A54">
        <w:rPr>
          <w:rFonts w:asciiTheme="minorHAnsi" w:hAnsiTheme="minorHAnsi" w:cstheme="minorHAnsi"/>
          <w:sz w:val="22"/>
          <w:szCs w:val="22"/>
        </w:rPr>
        <w:t xml:space="preserve">specific to public sector entities. The modifications relate to providing public sector entities with: </w:t>
      </w:r>
    </w:p>
    <w:p w14:paraId="53E68E19"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pre-requisites, indicators and other considerations that need to </w:t>
      </w:r>
      <w:proofErr w:type="gramStart"/>
      <w:r w:rsidRPr="00D26A54">
        <w:rPr>
          <w:rFonts w:asciiTheme="minorHAnsi" w:hAnsiTheme="minorHAnsi" w:cstheme="minorHAnsi"/>
          <w:sz w:val="22"/>
          <w:szCs w:val="22"/>
        </w:rPr>
        <w:t>be judged</w:t>
      </w:r>
      <w:proofErr w:type="gramEnd"/>
      <w:r w:rsidRPr="00D26A54">
        <w:rPr>
          <w:rFonts w:asciiTheme="minorHAnsi" w:hAnsiTheme="minorHAnsi" w:cstheme="minorHAnsi"/>
          <w:sz w:val="22"/>
          <w:szCs w:val="22"/>
        </w:rPr>
        <w:t xml:space="preserve"> to identify arrangements that fall within the scope of AASB 17 in a public sector context; </w:t>
      </w:r>
    </w:p>
    <w:p w14:paraId="4EE63404"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an exemption from sub-grouping onerous versus non-onerous contracts at initial recognition; </w:t>
      </w:r>
    </w:p>
    <w:p w14:paraId="70665C9C"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an exemption from sub-grouping contracts issued no more than a year apart; </w:t>
      </w:r>
    </w:p>
    <w:p w14:paraId="21FBC0BD"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an amendment to the initial recognition requirements so that they do not depend on when contracts become onerous; </w:t>
      </w:r>
    </w:p>
    <w:p w14:paraId="521DD412"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guidance on coverage periods in a public sector context, which has consequences for determining the cash flows used to measure insurance liabilities and the pattern of revenue recognition; </w:t>
      </w:r>
    </w:p>
    <w:p w14:paraId="5D5DA655"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an accounting policy choice to measure liabilities for remaining coverage applying the premium allocation approach; and</w:t>
      </w:r>
    </w:p>
    <w:p w14:paraId="6CC2E504" w14:textId="77777777" w:rsidR="001C3810" w:rsidRPr="00D26A54" w:rsidRDefault="001C3810" w:rsidP="00A36E9A">
      <w:pPr>
        <w:pStyle w:val="Default"/>
        <w:numPr>
          <w:ilvl w:val="0"/>
          <w:numId w:val="29"/>
        </w:numPr>
        <w:rPr>
          <w:rFonts w:asciiTheme="minorHAnsi" w:hAnsiTheme="minorHAnsi" w:cstheme="minorHAnsi"/>
          <w:sz w:val="22"/>
          <w:szCs w:val="22"/>
        </w:rPr>
      </w:pPr>
      <w:r w:rsidRPr="00D26A54">
        <w:rPr>
          <w:rFonts w:asciiTheme="minorHAnsi" w:hAnsiTheme="minorHAnsi" w:cstheme="minorHAnsi"/>
          <w:sz w:val="22"/>
          <w:szCs w:val="22"/>
        </w:rPr>
        <w:t xml:space="preserve">a transition requirement grandfathering the existing classification of arrangements constituting a liability for settlement of claims incurred before the liability </w:t>
      </w:r>
      <w:proofErr w:type="gramStart"/>
      <w:r w:rsidRPr="00D26A54">
        <w:rPr>
          <w:rFonts w:asciiTheme="minorHAnsi" w:hAnsiTheme="minorHAnsi" w:cstheme="minorHAnsi"/>
          <w:sz w:val="22"/>
          <w:szCs w:val="22"/>
        </w:rPr>
        <w:t>was acquired</w:t>
      </w:r>
      <w:proofErr w:type="gramEnd"/>
      <w:r w:rsidRPr="00D26A54">
        <w:rPr>
          <w:rFonts w:asciiTheme="minorHAnsi" w:hAnsiTheme="minorHAnsi" w:cstheme="minorHAnsi"/>
          <w:sz w:val="22"/>
          <w:szCs w:val="22"/>
        </w:rPr>
        <w:t xml:space="preserve"> in a transfer as either a liability for incurred claims within the scope of AASB 17 or a provision within the scope of AASB 137 </w:t>
      </w:r>
      <w:r w:rsidRPr="00D26A54">
        <w:rPr>
          <w:rFonts w:asciiTheme="minorHAnsi" w:hAnsiTheme="minorHAnsi" w:cstheme="minorHAnsi"/>
          <w:i/>
          <w:iCs/>
          <w:sz w:val="22"/>
          <w:szCs w:val="22"/>
        </w:rPr>
        <w:t>Provisions, Contingent Liabilities and Contingent Assets</w:t>
      </w:r>
      <w:r w:rsidRPr="00D26A54">
        <w:rPr>
          <w:rFonts w:asciiTheme="minorHAnsi" w:hAnsiTheme="minorHAnsi" w:cstheme="minorHAnsi"/>
          <w:sz w:val="22"/>
          <w:szCs w:val="22"/>
        </w:rPr>
        <w:t>.</w:t>
      </w:r>
    </w:p>
    <w:p w14:paraId="0BD8B800" w14:textId="77777777" w:rsidR="001C3810" w:rsidRPr="00D26A54" w:rsidRDefault="001C3810" w:rsidP="001C3810">
      <w:pPr>
        <w:pStyle w:val="Default"/>
        <w:rPr>
          <w:rFonts w:asciiTheme="minorHAnsi" w:hAnsiTheme="minorHAnsi" w:cstheme="minorHAnsi"/>
          <w:sz w:val="22"/>
          <w:szCs w:val="22"/>
        </w:rPr>
      </w:pPr>
    </w:p>
    <w:p w14:paraId="1417A10F" w14:textId="77777777" w:rsidR="001C3810" w:rsidRPr="00D26A54" w:rsidRDefault="001C3810" w:rsidP="001C3810">
      <w:pPr>
        <w:pStyle w:val="Default"/>
        <w:rPr>
          <w:rFonts w:asciiTheme="minorHAnsi" w:hAnsiTheme="minorHAnsi" w:cstheme="minorHAnsi"/>
          <w:sz w:val="22"/>
          <w:szCs w:val="22"/>
        </w:rPr>
      </w:pPr>
      <w:r w:rsidRPr="00D26A54">
        <w:rPr>
          <w:rFonts w:asciiTheme="minorHAnsi" w:hAnsiTheme="minorHAnsi" w:cstheme="minorHAnsi"/>
          <w:sz w:val="22"/>
          <w:szCs w:val="22"/>
        </w:rPr>
        <w:t xml:space="preserve">This Standard also amends AASB 1050 </w:t>
      </w:r>
      <w:r w:rsidRPr="00D26A54">
        <w:rPr>
          <w:rFonts w:asciiTheme="minorHAnsi" w:hAnsiTheme="minorHAnsi" w:cstheme="minorHAnsi"/>
          <w:i/>
          <w:iCs/>
          <w:sz w:val="22"/>
          <w:szCs w:val="22"/>
        </w:rPr>
        <w:t>Administered Items</w:t>
      </w:r>
      <w:r w:rsidRPr="00D26A54">
        <w:rPr>
          <w:rFonts w:asciiTheme="minorHAnsi" w:hAnsiTheme="minorHAnsi" w:cstheme="minorHAnsi"/>
          <w:sz w:val="22"/>
          <w:szCs w:val="22"/>
        </w:rPr>
        <w:t xml:space="preserve"> to provide an accounting policy choice for the Authority to apply either AASB 17 or AASB 137 in determining the information to </w:t>
      </w:r>
      <w:proofErr w:type="gramStart"/>
      <w:r w:rsidRPr="00D26A54">
        <w:rPr>
          <w:rFonts w:asciiTheme="minorHAnsi" w:hAnsiTheme="minorHAnsi" w:cstheme="minorHAnsi"/>
          <w:sz w:val="22"/>
          <w:szCs w:val="22"/>
        </w:rPr>
        <w:t>be disclosed</w:t>
      </w:r>
      <w:proofErr w:type="gramEnd"/>
      <w:r w:rsidRPr="00D26A54">
        <w:rPr>
          <w:rFonts w:asciiTheme="minorHAnsi" w:hAnsiTheme="minorHAnsi" w:cstheme="minorHAnsi"/>
          <w:sz w:val="22"/>
          <w:szCs w:val="22"/>
        </w:rPr>
        <w:t xml:space="preserve"> about administered captive insurer activities. Because AASB 17 applies to all entities for annual periods beginning on or after 1 July 2026, this Standard also:</w:t>
      </w:r>
    </w:p>
    <w:p w14:paraId="698A73BE" w14:textId="77777777" w:rsidR="001C3810" w:rsidRPr="00633BBA" w:rsidRDefault="001C3810" w:rsidP="00A36E9A">
      <w:pPr>
        <w:pStyle w:val="ListParagraph"/>
        <w:numPr>
          <w:ilvl w:val="0"/>
          <w:numId w:val="30"/>
        </w:numPr>
        <w:spacing w:after="0" w:line="259" w:lineRule="auto"/>
        <w:ind w:left="714" w:hanging="357"/>
        <w:rPr>
          <w:rFonts w:cstheme="minorHAnsi"/>
          <w:color w:val="000000"/>
          <w:sz w:val="22"/>
          <w:szCs w:val="22"/>
        </w:rPr>
      </w:pPr>
      <w:r w:rsidRPr="00633BBA">
        <w:rPr>
          <w:rFonts w:cstheme="minorHAnsi"/>
          <w:color w:val="000000"/>
          <w:sz w:val="22"/>
          <w:szCs w:val="22"/>
        </w:rPr>
        <w:t xml:space="preserve">repeals AASB 1023 General Insurance Contracts; and </w:t>
      </w:r>
    </w:p>
    <w:p w14:paraId="79877CB7" w14:textId="7EBDB2BB" w:rsidR="00C16E1C" w:rsidRPr="00D37C67" w:rsidRDefault="001C3810" w:rsidP="00A36E9A">
      <w:pPr>
        <w:pStyle w:val="Default"/>
        <w:numPr>
          <w:ilvl w:val="0"/>
          <w:numId w:val="30"/>
        </w:numPr>
        <w:ind w:left="714" w:hanging="357"/>
        <w:rPr>
          <w:rFonts w:asciiTheme="minorHAnsi" w:hAnsiTheme="minorHAnsi" w:cstheme="minorHAnsi"/>
          <w:sz w:val="22"/>
          <w:szCs w:val="22"/>
        </w:rPr>
      </w:pPr>
      <w:r w:rsidRPr="00D26A54">
        <w:rPr>
          <w:rFonts w:asciiTheme="minorHAnsi" w:hAnsiTheme="minorHAnsi" w:cstheme="minorHAnsi"/>
          <w:sz w:val="22"/>
          <w:szCs w:val="22"/>
        </w:rPr>
        <w:t xml:space="preserve">reverses the temporary consequential amendments set out in AASB 2022-8 </w:t>
      </w:r>
      <w:r w:rsidRPr="00D26A54">
        <w:rPr>
          <w:rFonts w:asciiTheme="minorHAnsi" w:hAnsiTheme="minorHAnsi" w:cstheme="minorHAnsi"/>
          <w:i/>
          <w:iCs/>
          <w:sz w:val="22"/>
          <w:szCs w:val="22"/>
        </w:rPr>
        <w:t>Amendments to Australian Accounting Standards – Insurance Contracts</w:t>
      </w:r>
      <w:r w:rsidRPr="00D26A54">
        <w:rPr>
          <w:rFonts w:asciiTheme="minorHAnsi" w:hAnsiTheme="minorHAnsi" w:cstheme="minorHAnsi"/>
          <w:sz w:val="22"/>
          <w:szCs w:val="22"/>
        </w:rPr>
        <w:t xml:space="preserve">: </w:t>
      </w:r>
      <w:r w:rsidRPr="00D26A54">
        <w:rPr>
          <w:rFonts w:asciiTheme="minorHAnsi" w:hAnsiTheme="minorHAnsi" w:cstheme="minorHAnsi"/>
          <w:i/>
          <w:iCs/>
          <w:sz w:val="22"/>
          <w:szCs w:val="22"/>
        </w:rPr>
        <w:t>Consequential Amendments</w:t>
      </w:r>
      <w:r w:rsidRPr="00D26A54">
        <w:rPr>
          <w:rFonts w:asciiTheme="minorHAnsi" w:hAnsiTheme="minorHAnsi" w:cstheme="minorHAnsi"/>
          <w:sz w:val="22"/>
          <w:szCs w:val="22"/>
        </w:rPr>
        <w:t xml:space="preserve"> that amended various Standards to permit public sector entities to continue applying AASB 1023 to annual periods beginning on or after 1 January 2023 but before 1 July 2026</w:t>
      </w:r>
      <w:r w:rsidR="00F17AE5">
        <w:rPr>
          <w:rFonts w:asciiTheme="minorHAnsi" w:hAnsiTheme="minorHAnsi" w:cstheme="minorHAnsi"/>
          <w:sz w:val="22"/>
          <w:szCs w:val="22"/>
        </w:rPr>
        <w:t>.</w:t>
      </w:r>
    </w:p>
    <w:p w14:paraId="5BE27654" w14:textId="77777777" w:rsidR="00CB48E5" w:rsidRDefault="00CB48E5" w:rsidP="00CB48E5">
      <w:pPr>
        <w:pStyle w:val="Pa4"/>
        <w:spacing w:before="240" w:after="140" w:line="240" w:lineRule="auto"/>
        <w:outlineLvl w:val="0"/>
        <w:rPr>
          <w:rFonts w:asciiTheme="minorHAnsi" w:hAnsiTheme="minorHAnsi" w:cs="Montserrat Semi Bold"/>
          <w:b/>
          <w:bCs/>
          <w:color w:val="000000"/>
          <w:sz w:val="30"/>
          <w:szCs w:val="30"/>
        </w:rPr>
      </w:pPr>
      <w:r w:rsidRPr="00E60A90">
        <w:rPr>
          <w:rFonts w:asciiTheme="minorHAnsi" w:hAnsiTheme="minorHAnsi" w:cs="Montserrat Semi Bold"/>
          <w:b/>
          <w:bCs/>
          <w:color w:val="000000"/>
          <w:sz w:val="30"/>
          <w:szCs w:val="30"/>
        </w:rPr>
        <w:lastRenderedPageBreak/>
        <w:t>NOTE 3. IMPACT OF ACCOUNTING STANDARDS ISSUED BUT YET TO BE APPLIED</w:t>
      </w:r>
      <w:r>
        <w:rPr>
          <w:rFonts w:asciiTheme="minorHAnsi" w:hAnsiTheme="minorHAnsi" w:cs="Montserrat Semi Bold"/>
          <w:b/>
          <w:bCs/>
          <w:color w:val="000000"/>
          <w:sz w:val="30"/>
          <w:szCs w:val="30"/>
        </w:rPr>
        <w:t xml:space="preserve"> – CONTINUED</w:t>
      </w:r>
    </w:p>
    <w:p w14:paraId="19E26523" w14:textId="77777777" w:rsidR="00CB48E5" w:rsidRPr="00D26A54" w:rsidRDefault="00CB48E5" w:rsidP="00CB48E5">
      <w:pPr>
        <w:pStyle w:val="Default"/>
        <w:spacing w:before="120"/>
        <w:rPr>
          <w:rFonts w:asciiTheme="minorHAnsi" w:hAnsiTheme="minorHAnsi" w:cstheme="minorHAnsi"/>
          <w:sz w:val="22"/>
          <w:szCs w:val="22"/>
        </w:rPr>
      </w:pPr>
      <w:r w:rsidRPr="00D26A54">
        <w:rPr>
          <w:rFonts w:asciiTheme="minorHAnsi" w:hAnsiTheme="minorHAnsi" w:cstheme="minorHAnsi"/>
          <w:sz w:val="22"/>
          <w:szCs w:val="22"/>
        </w:rPr>
        <w:t xml:space="preserve">Public sector entities </w:t>
      </w:r>
      <w:proofErr w:type="gramStart"/>
      <w:r w:rsidRPr="00D26A54">
        <w:rPr>
          <w:rFonts w:asciiTheme="minorHAnsi" w:hAnsiTheme="minorHAnsi" w:cstheme="minorHAnsi"/>
          <w:sz w:val="22"/>
          <w:szCs w:val="22"/>
        </w:rPr>
        <w:t>are required</w:t>
      </w:r>
      <w:proofErr w:type="gramEnd"/>
      <w:r w:rsidRPr="00D26A54">
        <w:rPr>
          <w:rFonts w:asciiTheme="minorHAnsi" w:hAnsiTheme="minorHAnsi" w:cstheme="minorHAnsi"/>
          <w:sz w:val="22"/>
          <w:szCs w:val="22"/>
        </w:rPr>
        <w:t xml:space="preserve"> to apply AASB 17 to an insurance arrangement if, and only if, it is enforceable, has an identifiable coverage period and gives rise to insurance contracts based on certain indicators and considerations.</w:t>
      </w:r>
    </w:p>
    <w:p w14:paraId="16ACBBBB" w14:textId="77777777" w:rsidR="00CB48E5" w:rsidRDefault="00CB48E5" w:rsidP="00CB48E5">
      <w:pPr>
        <w:pStyle w:val="Default"/>
        <w:rPr>
          <w:rFonts w:asciiTheme="minorHAnsi" w:hAnsiTheme="minorHAnsi" w:cstheme="minorHAnsi"/>
          <w:sz w:val="22"/>
          <w:szCs w:val="22"/>
        </w:rPr>
      </w:pPr>
    </w:p>
    <w:p w14:paraId="6CE00015" w14:textId="4A255EA5" w:rsidR="00CB48E5" w:rsidRPr="00CB48E5" w:rsidRDefault="00CB48E5" w:rsidP="00CB48E5">
      <w:pPr>
        <w:pStyle w:val="Default"/>
        <w:rPr>
          <w:rFonts w:asciiTheme="minorHAnsi" w:hAnsiTheme="minorHAnsi" w:cstheme="minorHAnsi"/>
          <w:sz w:val="22"/>
          <w:szCs w:val="22"/>
        </w:rPr>
      </w:pPr>
      <w:r w:rsidRPr="00CB48E5">
        <w:rPr>
          <w:rFonts w:asciiTheme="minorHAnsi" w:hAnsiTheme="minorHAnsi" w:cstheme="minorHAnsi"/>
          <w:sz w:val="22"/>
          <w:szCs w:val="22"/>
        </w:rPr>
        <w:t xml:space="preserve">Based on an initial assessment by applying the pre-requisites, indicators and other considerations outlined in AASB 2022-9, there is a likelihood that the Authority’s core scheme (consisting of multiple classes of insurance coverage for the ACT Government directorates and agencies such as Medical Negligence, Public liability, Professional Indemnity, Property and Motor) may not fall under the scope of AASB 17.  However, a full and detailed scope assessment on applicability and potential </w:t>
      </w:r>
      <w:proofErr w:type="gramStart"/>
      <w:r w:rsidRPr="00CB48E5">
        <w:rPr>
          <w:rFonts w:asciiTheme="minorHAnsi" w:hAnsiTheme="minorHAnsi" w:cstheme="minorHAnsi"/>
          <w:sz w:val="22"/>
          <w:szCs w:val="22"/>
        </w:rPr>
        <w:t>financial impact</w:t>
      </w:r>
      <w:proofErr w:type="gramEnd"/>
      <w:r w:rsidRPr="00CB48E5">
        <w:rPr>
          <w:rFonts w:asciiTheme="minorHAnsi" w:hAnsiTheme="minorHAnsi" w:cstheme="minorHAnsi"/>
          <w:sz w:val="22"/>
          <w:szCs w:val="22"/>
        </w:rPr>
        <w:t xml:space="preserve"> will be undertaken during 2024-25 financial year. </w:t>
      </w:r>
    </w:p>
    <w:p w14:paraId="2D072013" w14:textId="77777777" w:rsidR="00DD2024" w:rsidRPr="00C57BB5" w:rsidRDefault="00DD2024" w:rsidP="00AF14FC">
      <w:pPr>
        <w:autoSpaceDE w:val="0"/>
        <w:autoSpaceDN w:val="0"/>
        <w:adjustRightInd w:val="0"/>
        <w:spacing w:after="0" w:line="240" w:lineRule="auto"/>
        <w:jc w:val="both"/>
        <w:rPr>
          <w:rFonts w:ascii="Calibri" w:eastAsia="Calibri" w:hAnsi="Calibri" w:cs="Calibri"/>
          <w:color w:val="000000"/>
          <w:sz w:val="22"/>
          <w:szCs w:val="22"/>
          <w:highlight w:val="yellow"/>
        </w:rPr>
      </w:pPr>
    </w:p>
    <w:p w14:paraId="4D8BFAF0" w14:textId="77777777" w:rsidR="003C6E2A" w:rsidRPr="0016767B" w:rsidRDefault="003C6E2A" w:rsidP="003C6E2A">
      <w:pPr>
        <w:spacing w:after="60"/>
        <w:rPr>
          <w:rFonts w:cs="Montserrat Semi Bold"/>
          <w:b/>
          <w:bCs/>
          <w:color w:val="000000"/>
          <w:sz w:val="30"/>
          <w:szCs w:val="30"/>
        </w:rPr>
      </w:pPr>
      <w:r w:rsidRPr="0016767B">
        <w:rPr>
          <w:rFonts w:cs="Montserrat Semi Bold"/>
          <w:b/>
          <w:bCs/>
          <w:color w:val="000000"/>
          <w:sz w:val="30"/>
          <w:szCs w:val="30"/>
        </w:rPr>
        <w:t xml:space="preserve">NOTE 4. CHANGE IN ACCOUNTING ESTIMATES </w:t>
      </w:r>
    </w:p>
    <w:p w14:paraId="0E26A01C" w14:textId="77777777" w:rsidR="003C6E2A" w:rsidRPr="0016767B" w:rsidRDefault="003C6E2A" w:rsidP="003C6E2A">
      <w:pPr>
        <w:pStyle w:val="Pa6"/>
        <w:spacing w:after="132"/>
        <w:rPr>
          <w:rFonts w:asciiTheme="minorHAnsi" w:hAnsiTheme="minorHAnsi" w:cs="Source Sans Pro"/>
          <w:b/>
          <w:bCs/>
          <w:color w:val="000000"/>
          <w:sz w:val="22"/>
          <w:szCs w:val="22"/>
        </w:rPr>
      </w:pPr>
      <w:r w:rsidRPr="0016767B">
        <w:rPr>
          <w:rFonts w:asciiTheme="minorHAnsi" w:hAnsiTheme="minorHAnsi" w:cs="Source Sans Pro"/>
          <w:b/>
          <w:bCs/>
          <w:color w:val="000000"/>
          <w:sz w:val="22"/>
          <w:szCs w:val="22"/>
        </w:rPr>
        <w:t xml:space="preserve">Changes in Accounting Estimates </w:t>
      </w:r>
    </w:p>
    <w:p w14:paraId="7AD8FA41" w14:textId="77777777" w:rsidR="003C6E2A" w:rsidRPr="00403246" w:rsidRDefault="003C6E2A" w:rsidP="003C6E2A">
      <w:pPr>
        <w:pStyle w:val="Pa6"/>
        <w:spacing w:after="140"/>
        <w:rPr>
          <w:rFonts w:asciiTheme="minorHAnsi" w:hAnsiTheme="minorHAnsi" w:cs="Source Sans Pro Light"/>
          <w:i/>
          <w:iCs/>
          <w:color w:val="000000"/>
          <w:sz w:val="22"/>
          <w:szCs w:val="22"/>
        </w:rPr>
      </w:pPr>
      <w:r w:rsidRPr="00403246">
        <w:rPr>
          <w:rFonts w:asciiTheme="minorHAnsi" w:hAnsiTheme="minorHAnsi" w:cs="Source Sans Pro Light"/>
          <w:i/>
          <w:iCs/>
          <w:color w:val="000000"/>
          <w:sz w:val="22"/>
          <w:szCs w:val="22"/>
        </w:rPr>
        <w:t>Changes in Actuarial Assumptions</w:t>
      </w:r>
    </w:p>
    <w:p w14:paraId="710596A2" w14:textId="77777777" w:rsidR="003C6E2A" w:rsidRDefault="003C6E2A" w:rsidP="003C6E2A">
      <w:pPr>
        <w:pStyle w:val="Pa6"/>
        <w:spacing w:before="120"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Refer to Note 1</w:t>
      </w:r>
      <w:r>
        <w:rPr>
          <w:rFonts w:asciiTheme="minorHAnsi" w:hAnsiTheme="minorHAnsi" w:cs="Source Sans Pro Light"/>
          <w:color w:val="000000"/>
          <w:sz w:val="22"/>
          <w:szCs w:val="22"/>
        </w:rPr>
        <w:t>5:</w:t>
      </w:r>
      <w:r w:rsidRPr="0016767B">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w:t>
      </w:r>
      <w:r w:rsidRPr="0016767B">
        <w:rPr>
          <w:rFonts w:asciiTheme="minorHAnsi" w:hAnsiTheme="minorHAnsi" w:cs="Source Sans Pro Light"/>
          <w:color w:val="000000"/>
          <w:sz w:val="22"/>
          <w:szCs w:val="22"/>
        </w:rPr>
        <w:t>Outstanding Claims</w:t>
      </w:r>
      <w:r>
        <w:rPr>
          <w:rFonts w:asciiTheme="minorHAnsi" w:hAnsiTheme="minorHAnsi" w:cs="Source Sans Pro Light"/>
          <w:color w:val="000000"/>
          <w:sz w:val="22"/>
          <w:szCs w:val="22"/>
        </w:rPr>
        <w:t>’</w:t>
      </w:r>
      <w:r w:rsidRPr="0016767B">
        <w:rPr>
          <w:rFonts w:asciiTheme="minorHAnsi" w:hAnsiTheme="minorHAnsi" w:cs="Source Sans Pro Light"/>
          <w:color w:val="000000"/>
          <w:sz w:val="22"/>
          <w:szCs w:val="22"/>
        </w:rPr>
        <w:t xml:space="preserve"> for changes in accounting estimates for actuarial assumptions and sensitivity analysis on outstanding claims liabilities.</w:t>
      </w:r>
    </w:p>
    <w:p w14:paraId="7E70AAFA" w14:textId="77777777" w:rsidR="003C6E2A" w:rsidRPr="00C16288" w:rsidRDefault="003C6E2A" w:rsidP="003C6E2A">
      <w:pPr>
        <w:pStyle w:val="Default"/>
      </w:pPr>
    </w:p>
    <w:p w14:paraId="435C28D7" w14:textId="77777777" w:rsidR="003C6E2A" w:rsidRPr="002D4797" w:rsidRDefault="003C6E2A" w:rsidP="003C6E2A">
      <w:pPr>
        <w:pStyle w:val="Appxhead2"/>
        <w:spacing w:before="120" w:after="100"/>
        <w:rPr>
          <w:rFonts w:asciiTheme="minorHAnsi" w:hAnsiTheme="minorHAnsi"/>
          <w:snapToGrid w:val="0"/>
          <w:color w:val="492581" w:themeColor="accent1"/>
          <w:sz w:val="30"/>
          <w:szCs w:val="30"/>
        </w:rPr>
      </w:pPr>
      <w:r w:rsidRPr="002D4797">
        <w:rPr>
          <w:rFonts w:asciiTheme="minorHAnsi" w:hAnsiTheme="minorHAnsi"/>
          <w:snapToGrid w:val="0"/>
          <w:color w:val="492581" w:themeColor="accent1"/>
          <w:sz w:val="30"/>
          <w:szCs w:val="30"/>
        </w:rPr>
        <w:t>Income AND EXPENSES Notes</w:t>
      </w:r>
    </w:p>
    <w:p w14:paraId="419788DC" w14:textId="77777777" w:rsidR="003C6E2A" w:rsidRPr="002D4797" w:rsidRDefault="003C6E2A" w:rsidP="003C6E2A">
      <w:pPr>
        <w:pStyle w:val="Pa11"/>
        <w:spacing w:before="40" w:after="100"/>
        <w:rPr>
          <w:rFonts w:asciiTheme="minorHAnsi" w:hAnsiTheme="minorHAnsi" w:cstheme="minorHAnsi"/>
          <w:b/>
          <w:bCs/>
          <w:color w:val="492581" w:themeColor="accent1"/>
          <w:sz w:val="22"/>
          <w:szCs w:val="22"/>
        </w:rPr>
      </w:pPr>
      <w:r w:rsidRPr="002D4797">
        <w:rPr>
          <w:rFonts w:asciiTheme="minorHAnsi" w:hAnsiTheme="minorHAnsi" w:cstheme="minorHAnsi"/>
          <w:b/>
          <w:bCs/>
          <w:color w:val="492581" w:themeColor="accent1"/>
          <w:sz w:val="22"/>
          <w:szCs w:val="22"/>
        </w:rPr>
        <w:t>Material Accounting Policies – Income and Expenses</w:t>
      </w:r>
    </w:p>
    <w:p w14:paraId="43E6C1D9" w14:textId="77777777" w:rsidR="00DD2024" w:rsidRPr="00C57BB5" w:rsidRDefault="00DD2024" w:rsidP="00DD2024">
      <w:pPr>
        <w:autoSpaceDE w:val="0"/>
        <w:autoSpaceDN w:val="0"/>
        <w:adjustRightInd w:val="0"/>
        <w:spacing w:after="0" w:line="240" w:lineRule="auto"/>
        <w:rPr>
          <w:rFonts w:ascii="Montserrat Semi Bold" w:eastAsia="Calibri" w:hAnsi="Montserrat Semi Bold" w:cs="Montserrat Semi Bold"/>
          <w:color w:val="000000"/>
          <w:highlight w:val="yellow"/>
        </w:rPr>
      </w:pPr>
    </w:p>
    <w:p w14:paraId="742EEA10" w14:textId="77777777" w:rsidR="00CD6ABA" w:rsidRDefault="00CD6ABA" w:rsidP="00CD6ABA">
      <w:pPr>
        <w:pStyle w:val="Pa4"/>
        <w:spacing w:after="137" w:line="240" w:lineRule="auto"/>
        <w:outlineLvl w:val="0"/>
        <w:rPr>
          <w:rFonts w:asciiTheme="minorHAnsi" w:hAnsiTheme="minorHAnsi" w:cs="Montserrat Semi Bold"/>
          <w:b/>
          <w:bCs/>
          <w:color w:val="000000"/>
          <w:sz w:val="30"/>
          <w:szCs w:val="30"/>
        </w:rPr>
      </w:pPr>
      <w:bookmarkStart w:id="84" w:name="_Hlk173573905"/>
      <w:r w:rsidRPr="00FD1785">
        <w:rPr>
          <w:rFonts w:asciiTheme="minorHAnsi" w:hAnsiTheme="minorHAnsi" w:cs="Montserrat Semi Bold"/>
          <w:b/>
          <w:bCs/>
          <w:color w:val="000000"/>
          <w:sz w:val="30"/>
          <w:szCs w:val="30"/>
        </w:rPr>
        <w:t xml:space="preserve">NOTE </w:t>
      </w:r>
      <w:r>
        <w:rPr>
          <w:rFonts w:asciiTheme="minorHAnsi" w:hAnsiTheme="minorHAnsi" w:cs="Montserrat Semi Bold"/>
          <w:b/>
          <w:bCs/>
          <w:color w:val="000000"/>
          <w:sz w:val="30"/>
          <w:szCs w:val="30"/>
        </w:rPr>
        <w:t>5</w:t>
      </w:r>
      <w:r w:rsidRPr="00FD1785">
        <w:rPr>
          <w:rFonts w:asciiTheme="minorHAnsi" w:hAnsiTheme="minorHAnsi" w:cs="Montserrat Semi Bold"/>
          <w:b/>
          <w:bCs/>
          <w:color w:val="000000"/>
          <w:sz w:val="30"/>
          <w:szCs w:val="30"/>
        </w:rPr>
        <w:t xml:space="preserve">. UNDERWRITING RESULT </w:t>
      </w:r>
    </w:p>
    <w:bookmarkEnd w:id="84"/>
    <w:p w14:paraId="46D6579B" w14:textId="77777777" w:rsidR="00CD6ABA" w:rsidRPr="0016767B" w:rsidRDefault="00CD6ABA" w:rsidP="00CD6ABA">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Description and Material Accounting Policies relating to Underwriting Result</w:t>
      </w:r>
    </w:p>
    <w:p w14:paraId="27EBAF73" w14:textId="77777777" w:rsidR="00CD6ABA" w:rsidRPr="0016767B" w:rsidRDefault="00CD6ABA" w:rsidP="00CD6ABA">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Gross Earned Insurance Premiums</w:t>
      </w:r>
    </w:p>
    <w:p w14:paraId="17B695F6" w14:textId="1E74B8BE" w:rsidR="00CD6ABA" w:rsidRPr="0016767B" w:rsidRDefault="00CD6ABA" w:rsidP="00CD6ABA">
      <w:pPr>
        <w:pStyle w:val="Pa6"/>
        <w:spacing w:after="140"/>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Gross Earned Insurance Premiums is recognised in the Operating Statement in accordance with </w:t>
      </w:r>
      <w:r w:rsidRPr="00D63C7D">
        <w:rPr>
          <w:rFonts w:asciiTheme="minorHAnsi" w:hAnsiTheme="minorHAnsi" w:cstheme="minorHAnsi"/>
          <w:i/>
          <w:iCs/>
          <w:color w:val="000000"/>
          <w:sz w:val="22"/>
          <w:szCs w:val="22"/>
        </w:rPr>
        <w:t>AASB</w:t>
      </w:r>
      <w:r w:rsidR="00F17C7A">
        <w:rPr>
          <w:rFonts w:asciiTheme="minorHAnsi" w:hAnsiTheme="minorHAnsi" w:cstheme="minorHAnsi"/>
          <w:i/>
          <w:iCs/>
          <w:color w:val="000000"/>
          <w:sz w:val="22"/>
          <w:szCs w:val="22"/>
        </w:rPr>
        <w:t> </w:t>
      </w:r>
      <w:r w:rsidRPr="00D63C7D">
        <w:rPr>
          <w:rFonts w:asciiTheme="minorHAnsi" w:hAnsiTheme="minorHAnsi" w:cstheme="minorHAnsi"/>
          <w:i/>
          <w:iCs/>
          <w:color w:val="000000"/>
          <w:sz w:val="22"/>
          <w:szCs w:val="22"/>
        </w:rPr>
        <w:t>1023 General Insurance Contracts</w:t>
      </w:r>
      <w:r w:rsidRPr="0016767B">
        <w:rPr>
          <w:rFonts w:asciiTheme="minorHAnsi" w:hAnsiTheme="minorHAnsi" w:cstheme="minorHAnsi"/>
          <w:color w:val="000000"/>
          <w:sz w:val="22"/>
          <w:szCs w:val="22"/>
        </w:rPr>
        <w:t xml:space="preserve"> and is measured evenly over the expected risk period. </w:t>
      </w:r>
    </w:p>
    <w:p w14:paraId="52A3C746" w14:textId="77777777" w:rsidR="00CD6ABA" w:rsidRPr="0016767B" w:rsidRDefault="00CD6ABA" w:rsidP="00CD6ABA">
      <w:pPr>
        <w:pStyle w:val="Pa6"/>
        <w:spacing w:after="140" w:line="240" w:lineRule="auto"/>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Insurance premium revenue comprises amounts charged to </w:t>
      </w:r>
      <w:r>
        <w:rPr>
          <w:rFonts w:asciiTheme="minorHAnsi" w:hAnsiTheme="minorHAnsi" w:cstheme="minorHAnsi"/>
          <w:color w:val="000000"/>
          <w:sz w:val="22"/>
          <w:szCs w:val="22"/>
        </w:rPr>
        <w:t xml:space="preserve">directorates, </w:t>
      </w:r>
      <w:proofErr w:type="gramStart"/>
      <w:r w:rsidRPr="0016767B">
        <w:rPr>
          <w:rFonts w:asciiTheme="minorHAnsi" w:hAnsiTheme="minorHAnsi" w:cstheme="minorHAnsi"/>
          <w:color w:val="000000"/>
          <w:sz w:val="22"/>
          <w:szCs w:val="22"/>
        </w:rPr>
        <w:t>agencies</w:t>
      </w:r>
      <w:proofErr w:type="gramEnd"/>
      <w:r>
        <w:rPr>
          <w:rFonts w:asciiTheme="minorHAnsi" w:hAnsiTheme="minorHAnsi" w:cstheme="minorHAnsi"/>
          <w:color w:val="000000"/>
          <w:sz w:val="22"/>
          <w:szCs w:val="22"/>
        </w:rPr>
        <w:t xml:space="preserve"> and statutory authorities</w:t>
      </w:r>
      <w:r w:rsidRPr="0016767B">
        <w:rPr>
          <w:rFonts w:asciiTheme="minorHAnsi" w:hAnsiTheme="minorHAnsi" w:cstheme="minorHAnsi"/>
          <w:color w:val="000000"/>
          <w:sz w:val="22"/>
          <w:szCs w:val="22"/>
        </w:rPr>
        <w:t>. All gross earned insurance premiums are written and earned in the current reporting period as all policies cover the period fr</w:t>
      </w:r>
      <w:r>
        <w:rPr>
          <w:rFonts w:asciiTheme="minorHAnsi" w:hAnsiTheme="minorHAnsi" w:cstheme="minorHAnsi"/>
          <w:color w:val="000000"/>
          <w:sz w:val="22"/>
          <w:szCs w:val="22"/>
        </w:rPr>
        <w:t xml:space="preserve">om </w:t>
      </w:r>
      <w:r w:rsidRPr="0016767B">
        <w:rPr>
          <w:rFonts w:asciiTheme="minorHAnsi" w:hAnsiTheme="minorHAnsi" w:cstheme="minorHAnsi"/>
          <w:color w:val="000000"/>
          <w:sz w:val="22"/>
          <w:szCs w:val="22"/>
        </w:rPr>
        <w:t>1 July 202</w:t>
      </w:r>
      <w:r>
        <w:rPr>
          <w:rFonts w:asciiTheme="minorHAnsi" w:hAnsiTheme="minorHAnsi" w:cstheme="minorHAnsi"/>
          <w:color w:val="000000"/>
          <w:sz w:val="22"/>
          <w:szCs w:val="22"/>
        </w:rPr>
        <w:t>3</w:t>
      </w:r>
      <w:r w:rsidRPr="0016767B">
        <w:rPr>
          <w:rFonts w:asciiTheme="minorHAnsi" w:hAnsiTheme="minorHAnsi" w:cstheme="minorHAnsi"/>
          <w:color w:val="000000"/>
          <w:sz w:val="22"/>
          <w:szCs w:val="22"/>
        </w:rPr>
        <w:t xml:space="preserve"> to 30 June 202</w:t>
      </w:r>
      <w:r>
        <w:rPr>
          <w:rFonts w:asciiTheme="minorHAnsi" w:hAnsiTheme="minorHAnsi" w:cstheme="minorHAnsi"/>
          <w:color w:val="000000"/>
          <w:sz w:val="22"/>
          <w:szCs w:val="22"/>
        </w:rPr>
        <w:t>4</w:t>
      </w:r>
      <w:r w:rsidRPr="0016767B">
        <w:rPr>
          <w:rFonts w:asciiTheme="minorHAnsi" w:hAnsiTheme="minorHAnsi" w:cstheme="minorHAnsi"/>
          <w:color w:val="000000"/>
          <w:sz w:val="22"/>
          <w:szCs w:val="22"/>
        </w:rPr>
        <w:t xml:space="preserve">. Premiums are treated as earned from the date of attachment of risk and is recognised evenly over the policy period, which closely approximates the pattern of risks underwritten. </w:t>
      </w:r>
    </w:p>
    <w:p w14:paraId="70209827" w14:textId="77777777" w:rsidR="00CD6ABA" w:rsidRPr="0016767B" w:rsidRDefault="00CD6ABA" w:rsidP="00CD6ABA">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 xml:space="preserve">Claims Related Recoveries </w:t>
      </w:r>
    </w:p>
    <w:p w14:paraId="2D79F433" w14:textId="77777777" w:rsidR="00CD6ABA" w:rsidRDefault="00CD6ABA" w:rsidP="00CD6ABA">
      <w:pPr>
        <w:pStyle w:val="Pa6"/>
        <w:spacing w:after="140" w:line="240" w:lineRule="auto"/>
        <w:rPr>
          <w:rFonts w:asciiTheme="minorHAnsi" w:hAnsiTheme="minorHAnsi" w:cstheme="minorHAnsi"/>
          <w:color w:val="000000"/>
          <w:sz w:val="22"/>
          <w:szCs w:val="22"/>
        </w:rPr>
      </w:pPr>
      <w:r w:rsidRPr="00D63C7D">
        <w:rPr>
          <w:rFonts w:asciiTheme="minorHAnsi" w:hAnsiTheme="minorHAnsi" w:cstheme="minorHAnsi"/>
          <w:color w:val="000000"/>
          <w:sz w:val="22"/>
          <w:szCs w:val="22"/>
        </w:rPr>
        <w:t>Claims Related recoveries recognised in the operating statement include any reinsurance or external recoveries received and the movement in the estimated claims related recoveries receivables from reinsurance and external parties. Refer to Gross Claims Expenses, Note 1</w:t>
      </w:r>
      <w:r>
        <w:rPr>
          <w:rFonts w:asciiTheme="minorHAnsi" w:hAnsiTheme="minorHAnsi" w:cstheme="minorHAnsi"/>
          <w:color w:val="000000"/>
          <w:sz w:val="22"/>
          <w:szCs w:val="22"/>
        </w:rPr>
        <w:t>3</w:t>
      </w:r>
      <w:r w:rsidRPr="00D63C7D">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D63C7D">
        <w:rPr>
          <w:rFonts w:asciiTheme="minorHAnsi" w:hAnsiTheme="minorHAnsi" w:cstheme="minorHAnsi"/>
          <w:color w:val="000000"/>
          <w:sz w:val="22"/>
          <w:szCs w:val="22"/>
        </w:rPr>
        <w:t>Claims Related Recoveries</w:t>
      </w:r>
      <w:r>
        <w:rPr>
          <w:rFonts w:asciiTheme="minorHAnsi" w:hAnsiTheme="minorHAnsi" w:cstheme="minorHAnsi"/>
          <w:color w:val="000000"/>
          <w:sz w:val="22"/>
          <w:szCs w:val="22"/>
        </w:rPr>
        <w:t>’</w:t>
      </w:r>
      <w:r w:rsidRPr="00D63C7D">
        <w:rPr>
          <w:rFonts w:asciiTheme="minorHAnsi" w:hAnsiTheme="minorHAnsi" w:cstheme="minorHAnsi"/>
          <w:color w:val="000000"/>
          <w:sz w:val="22"/>
          <w:szCs w:val="22"/>
        </w:rPr>
        <w:t xml:space="preserve"> and Note 1</w:t>
      </w:r>
      <w:r>
        <w:rPr>
          <w:rFonts w:asciiTheme="minorHAnsi" w:hAnsiTheme="minorHAnsi" w:cstheme="minorHAnsi"/>
          <w:color w:val="000000"/>
          <w:sz w:val="22"/>
          <w:szCs w:val="22"/>
        </w:rPr>
        <w:t>5</w:t>
      </w:r>
      <w:r w:rsidRPr="00D63C7D">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D63C7D">
        <w:rPr>
          <w:rFonts w:asciiTheme="minorHAnsi" w:hAnsiTheme="minorHAnsi" w:cstheme="minorHAnsi"/>
          <w:color w:val="000000"/>
          <w:sz w:val="22"/>
          <w:szCs w:val="22"/>
        </w:rPr>
        <w:t>Outstanding Claims</w:t>
      </w:r>
      <w:r>
        <w:rPr>
          <w:rFonts w:asciiTheme="minorHAnsi" w:hAnsiTheme="minorHAnsi" w:cstheme="minorHAnsi"/>
          <w:color w:val="000000"/>
          <w:sz w:val="22"/>
          <w:szCs w:val="22"/>
        </w:rPr>
        <w:t>’</w:t>
      </w:r>
      <w:r w:rsidRPr="00D63C7D">
        <w:rPr>
          <w:rFonts w:asciiTheme="minorHAnsi" w:hAnsiTheme="minorHAnsi" w:cstheme="minorHAnsi"/>
          <w:color w:val="000000"/>
          <w:sz w:val="22"/>
          <w:szCs w:val="22"/>
        </w:rPr>
        <w:t xml:space="preserve"> for the methodology for valuation and estimates. The estimates for </w:t>
      </w:r>
      <w:r>
        <w:rPr>
          <w:rFonts w:asciiTheme="minorHAnsi" w:hAnsiTheme="minorHAnsi" w:cstheme="minorHAnsi"/>
          <w:color w:val="000000"/>
          <w:sz w:val="22"/>
          <w:szCs w:val="22"/>
        </w:rPr>
        <w:t>c</w:t>
      </w:r>
      <w:r w:rsidRPr="00D63C7D">
        <w:rPr>
          <w:rFonts w:asciiTheme="minorHAnsi" w:hAnsiTheme="minorHAnsi" w:cstheme="minorHAnsi"/>
          <w:color w:val="000000"/>
          <w:sz w:val="22"/>
          <w:szCs w:val="22"/>
        </w:rPr>
        <w:t xml:space="preserve">laims related recoveries receivable includes an assessment of reinsurance policy coverage maintained by the Authority on behalf of the Territory and involvement of external parties to indemnify the Authority against those estimated claims costs. </w:t>
      </w:r>
    </w:p>
    <w:p w14:paraId="31D6CAC5" w14:textId="77777777" w:rsidR="0043228B" w:rsidRPr="00C57BB5" w:rsidRDefault="0043228B">
      <w:pPr>
        <w:spacing w:after="0" w:line="240" w:lineRule="auto"/>
        <w:rPr>
          <w:rFonts w:ascii="Calibri" w:eastAsia="Calibri" w:hAnsi="Calibri" w:cs="Calibri"/>
          <w:b/>
          <w:bCs/>
          <w:color w:val="000000"/>
          <w:sz w:val="22"/>
          <w:szCs w:val="22"/>
          <w:highlight w:val="yellow"/>
        </w:rPr>
      </w:pPr>
      <w:r w:rsidRPr="00C57BB5">
        <w:rPr>
          <w:rFonts w:ascii="Calibri" w:eastAsia="Calibri" w:hAnsi="Calibri" w:cs="Calibri"/>
          <w:b/>
          <w:bCs/>
          <w:color w:val="000000"/>
          <w:sz w:val="22"/>
          <w:szCs w:val="22"/>
          <w:highlight w:val="yellow"/>
        </w:rPr>
        <w:br w:type="page"/>
      </w:r>
    </w:p>
    <w:p w14:paraId="4AC4FF47" w14:textId="77777777" w:rsidR="00AD4737" w:rsidRDefault="00AD4737" w:rsidP="00AD4737">
      <w:pPr>
        <w:pStyle w:val="Pa4"/>
        <w:spacing w:after="137" w:line="240" w:lineRule="auto"/>
        <w:outlineLvl w:val="0"/>
        <w:rPr>
          <w:rFonts w:asciiTheme="minorHAnsi" w:hAnsiTheme="minorHAnsi" w:cs="Montserrat Semi Bold"/>
          <w:b/>
          <w:bCs/>
          <w:color w:val="000000"/>
          <w:sz w:val="30"/>
          <w:szCs w:val="30"/>
        </w:rPr>
      </w:pPr>
      <w:r w:rsidRPr="004368F8">
        <w:rPr>
          <w:rFonts w:asciiTheme="minorHAnsi" w:hAnsiTheme="minorHAnsi" w:cs="Montserrat Semi Bold"/>
          <w:b/>
          <w:bCs/>
          <w:color w:val="000000"/>
          <w:sz w:val="30"/>
          <w:szCs w:val="30"/>
        </w:rPr>
        <w:lastRenderedPageBreak/>
        <w:t>NOTE 5. UNDERWRITING RESULT - CONTINUE</w:t>
      </w:r>
      <w:r>
        <w:rPr>
          <w:rFonts w:asciiTheme="minorHAnsi" w:hAnsiTheme="minorHAnsi" w:cs="Montserrat Semi Bold"/>
          <w:b/>
          <w:bCs/>
          <w:color w:val="000000"/>
          <w:sz w:val="30"/>
          <w:szCs w:val="30"/>
        </w:rPr>
        <w:t>D</w:t>
      </w:r>
      <w:r w:rsidRPr="00FD1785">
        <w:rPr>
          <w:rFonts w:asciiTheme="minorHAnsi" w:hAnsiTheme="minorHAnsi" w:cs="Montserrat Semi Bold"/>
          <w:b/>
          <w:bCs/>
          <w:color w:val="000000"/>
          <w:sz w:val="30"/>
          <w:szCs w:val="30"/>
        </w:rPr>
        <w:t xml:space="preserve"> </w:t>
      </w:r>
    </w:p>
    <w:p w14:paraId="5EBFF554" w14:textId="02823278" w:rsidR="00DD2024" w:rsidRPr="00C57BB5" w:rsidRDefault="00AD4737" w:rsidP="00AD4737">
      <w:pPr>
        <w:autoSpaceDE w:val="0"/>
        <w:autoSpaceDN w:val="0"/>
        <w:adjustRightInd w:val="0"/>
        <w:spacing w:before="40" w:after="100" w:line="261" w:lineRule="atLeast"/>
        <w:rPr>
          <w:rFonts w:ascii="Calibri" w:eastAsia="Calibri" w:hAnsi="Calibri" w:cs="Calibri"/>
          <w:b/>
          <w:bCs/>
          <w:color w:val="000000"/>
          <w:sz w:val="22"/>
          <w:szCs w:val="22"/>
          <w:highlight w:val="yellow"/>
        </w:rPr>
      </w:pPr>
      <w:r w:rsidRPr="0016767B">
        <w:rPr>
          <w:rFonts w:cstheme="minorHAnsi"/>
          <w:b/>
          <w:bCs/>
          <w:color w:val="000000"/>
          <w:sz w:val="22"/>
          <w:szCs w:val="22"/>
        </w:rPr>
        <w:t>Gross Claims Expenses</w:t>
      </w:r>
    </w:p>
    <w:p w14:paraId="5E8C10D4" w14:textId="77777777" w:rsidR="00DB57C1" w:rsidRDefault="00DB57C1" w:rsidP="00DB57C1">
      <w:pPr>
        <w:pStyle w:val="Pa6"/>
        <w:spacing w:after="140" w:line="240" w:lineRule="auto"/>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Gross claims expenses include the movement in liability for outstanding claims and related claims expenses and are recognised in the financial statements. The liability covers claims reported but not yet paid; incurred but not yet reported (IBNR); incurred but not enough reported (IBNER) and the anticipated direct and indirect costs of settling those claims. Outstanding claims are actuarially assessed by reviewing claim data and estimating changes in the ultimate cost of settling claims, IBNRs and associated settlement costs using statistics based on </w:t>
      </w:r>
      <w:proofErr w:type="gramStart"/>
      <w:r w:rsidRPr="0016767B">
        <w:rPr>
          <w:rFonts w:asciiTheme="minorHAnsi" w:hAnsiTheme="minorHAnsi" w:cstheme="minorHAnsi"/>
          <w:color w:val="000000"/>
          <w:sz w:val="22"/>
          <w:szCs w:val="22"/>
        </w:rPr>
        <w:t>past experience</w:t>
      </w:r>
      <w:proofErr w:type="gramEnd"/>
      <w:r w:rsidRPr="0016767B">
        <w:rPr>
          <w:rFonts w:asciiTheme="minorHAnsi" w:hAnsiTheme="minorHAnsi" w:cstheme="minorHAnsi"/>
          <w:color w:val="000000"/>
          <w:sz w:val="22"/>
          <w:szCs w:val="22"/>
        </w:rPr>
        <w:t xml:space="preserve"> and trends. </w:t>
      </w:r>
    </w:p>
    <w:p w14:paraId="3E6E7347" w14:textId="77777777" w:rsidR="00DB57C1" w:rsidRPr="000748F7" w:rsidRDefault="00DB57C1" w:rsidP="00DB57C1">
      <w:pPr>
        <w:pStyle w:val="Pa6"/>
        <w:spacing w:after="140" w:line="240" w:lineRule="auto"/>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The liability for outstanding claims is measured as the net central estimate of the present value of the expected future payments, against claims incurred at the reporting date with an additional risk margin to allow for the inherent uncertainty in the central estimate. The expected future payments are estimated based on the ultimate cost of settling claims, which is affected by factors arising during the period to settlement such as normal inflation and superimposed inflation. Superimposed inflation refers to factors such as trends in court awards, for example increases in the level and period of compensation for injury. The present value of future payments is estimated using the Commonwealth Government Bond risk free </w:t>
      </w:r>
      <w:r>
        <w:rPr>
          <w:rFonts w:asciiTheme="minorHAnsi" w:hAnsiTheme="minorHAnsi" w:cstheme="minorHAnsi"/>
          <w:color w:val="000000"/>
          <w:sz w:val="22"/>
          <w:szCs w:val="22"/>
        </w:rPr>
        <w:t>yield curve derived from yields on Commonwealth Government Bonds.</w:t>
      </w:r>
    </w:p>
    <w:p w14:paraId="54681C16" w14:textId="77777777" w:rsidR="00432853" w:rsidRPr="0016767B" w:rsidRDefault="00432853" w:rsidP="00432853">
      <w:pPr>
        <w:pStyle w:val="Pa11"/>
        <w:spacing w:before="40" w:after="100"/>
        <w:rPr>
          <w:rFonts w:asciiTheme="minorHAnsi" w:hAnsiTheme="minorHAnsi" w:cstheme="minorHAnsi"/>
          <w:color w:val="000000"/>
          <w:sz w:val="22"/>
          <w:szCs w:val="22"/>
        </w:rPr>
      </w:pPr>
      <w:r w:rsidRPr="0016767B">
        <w:rPr>
          <w:rFonts w:asciiTheme="minorHAnsi" w:hAnsiTheme="minorHAnsi" w:cstheme="minorHAnsi"/>
          <w:b/>
          <w:bCs/>
          <w:color w:val="000000"/>
          <w:sz w:val="22"/>
          <w:szCs w:val="22"/>
        </w:rPr>
        <w:t xml:space="preserve">Reinsurance Premium </w:t>
      </w:r>
      <w:r w:rsidRPr="00D84A48">
        <w:rPr>
          <w:rFonts w:asciiTheme="minorHAnsi" w:hAnsiTheme="minorHAnsi"/>
          <w:b/>
          <w:bCs/>
          <w:sz w:val="22"/>
          <w:szCs w:val="22"/>
        </w:rPr>
        <w:t>Expenses</w:t>
      </w:r>
    </w:p>
    <w:p w14:paraId="390A60D1" w14:textId="77777777" w:rsidR="00432853" w:rsidRPr="0016767B" w:rsidRDefault="00432853" w:rsidP="00432853">
      <w:pPr>
        <w:pStyle w:val="Pa6"/>
        <w:spacing w:after="140" w:line="240" w:lineRule="auto"/>
        <w:rPr>
          <w:rFonts w:asciiTheme="minorHAnsi" w:hAnsiTheme="minorHAnsi" w:cstheme="minorHAnsi"/>
          <w:color w:val="000000"/>
          <w:sz w:val="22"/>
          <w:szCs w:val="22"/>
        </w:rPr>
      </w:pPr>
      <w:r w:rsidRPr="0016767B">
        <w:rPr>
          <w:rFonts w:asciiTheme="minorHAnsi" w:hAnsiTheme="minorHAnsi" w:cstheme="minorHAnsi"/>
          <w:sz w:val="22"/>
          <w:szCs w:val="22"/>
        </w:rPr>
        <w:t>Reinsurance premium is recognised in the operating statement based on the period of coverage for reinsurance contract</w:t>
      </w:r>
      <w:r>
        <w:rPr>
          <w:rFonts w:asciiTheme="minorHAnsi" w:hAnsiTheme="minorHAnsi" w:cstheme="minorHAnsi"/>
          <w:sz w:val="22"/>
          <w:szCs w:val="22"/>
        </w:rPr>
        <w:t>s</w:t>
      </w:r>
      <w:r w:rsidRPr="0016767B">
        <w:rPr>
          <w:rFonts w:asciiTheme="minorHAnsi" w:hAnsiTheme="minorHAnsi" w:cstheme="minorHAnsi"/>
          <w:sz w:val="22"/>
          <w:szCs w:val="22"/>
        </w:rPr>
        <w:t xml:space="preserve">. </w:t>
      </w:r>
      <w:r w:rsidRPr="0016767B">
        <w:rPr>
          <w:rFonts w:asciiTheme="minorHAnsi" w:hAnsiTheme="minorHAnsi" w:cstheme="minorHAnsi"/>
          <w:color w:val="000000"/>
          <w:sz w:val="22"/>
          <w:szCs w:val="22"/>
        </w:rPr>
        <w:t>The Authority purchases reinsurance to cover catastrophic and accumulated risk exposures for those major insurance classes which it underwrites, includ</w:t>
      </w:r>
      <w:r>
        <w:rPr>
          <w:rFonts w:asciiTheme="minorHAnsi" w:hAnsiTheme="minorHAnsi" w:cstheme="minorHAnsi"/>
          <w:color w:val="000000"/>
          <w:sz w:val="22"/>
          <w:szCs w:val="22"/>
        </w:rPr>
        <w:t>ing</w:t>
      </w:r>
      <w:r w:rsidRPr="0016767B">
        <w:rPr>
          <w:rFonts w:asciiTheme="minorHAnsi" w:hAnsiTheme="minorHAnsi" w:cstheme="minorHAnsi"/>
          <w:color w:val="000000"/>
          <w:sz w:val="22"/>
          <w:szCs w:val="22"/>
        </w:rPr>
        <w:t xml:space="preserve"> insurance against: </w:t>
      </w:r>
    </w:p>
    <w:p w14:paraId="5E31102F" w14:textId="77777777" w:rsidR="00432853" w:rsidRPr="0016767B" w:rsidRDefault="00432853" w:rsidP="00A36E9A">
      <w:pPr>
        <w:pStyle w:val="Default"/>
        <w:numPr>
          <w:ilvl w:val="0"/>
          <w:numId w:val="31"/>
        </w:numPr>
        <w:spacing w:after="140"/>
        <w:ind w:left="357" w:hanging="357"/>
        <w:contextualSpacing/>
        <w:rPr>
          <w:rFonts w:asciiTheme="minorHAnsi" w:hAnsiTheme="minorHAnsi" w:cstheme="minorHAnsi"/>
          <w:sz w:val="22"/>
          <w:szCs w:val="22"/>
        </w:rPr>
      </w:pPr>
      <w:r w:rsidRPr="0016767B">
        <w:rPr>
          <w:rFonts w:asciiTheme="minorHAnsi" w:hAnsiTheme="minorHAnsi" w:cstheme="minorHAnsi"/>
          <w:sz w:val="22"/>
          <w:szCs w:val="22"/>
        </w:rPr>
        <w:t xml:space="preserve">loss, damage, or destruction of Territory assets; and </w:t>
      </w:r>
    </w:p>
    <w:p w14:paraId="10F64699" w14:textId="7B42EFA7" w:rsidR="000F2F3F" w:rsidRPr="006B078C" w:rsidRDefault="00432853" w:rsidP="00A36E9A">
      <w:pPr>
        <w:pStyle w:val="Default"/>
        <w:numPr>
          <w:ilvl w:val="0"/>
          <w:numId w:val="31"/>
        </w:numPr>
        <w:spacing w:after="140"/>
        <w:ind w:left="357" w:hanging="357"/>
        <w:contextualSpacing/>
        <w:rPr>
          <w:rFonts w:asciiTheme="minorHAnsi" w:hAnsiTheme="minorHAnsi" w:cstheme="minorHAnsi"/>
          <w:sz w:val="22"/>
          <w:szCs w:val="22"/>
        </w:rPr>
      </w:pPr>
      <w:r w:rsidRPr="0016767B">
        <w:rPr>
          <w:rFonts w:asciiTheme="minorHAnsi" w:hAnsiTheme="minorHAnsi" w:cstheme="minorHAnsi"/>
          <w:sz w:val="22"/>
          <w:szCs w:val="22"/>
        </w:rPr>
        <w:t xml:space="preserve">the legal liabilities incurred by the Territory for third party property damage and personal injury to third parties. </w:t>
      </w:r>
    </w:p>
    <w:tbl>
      <w:tblPr>
        <w:tblW w:w="9413" w:type="dxa"/>
        <w:tblInd w:w="-142" w:type="dxa"/>
        <w:tblLayout w:type="fixed"/>
        <w:tblLook w:val="0000" w:firstRow="0" w:lastRow="0" w:firstColumn="0" w:lastColumn="0" w:noHBand="0" w:noVBand="0"/>
      </w:tblPr>
      <w:tblGrid>
        <w:gridCol w:w="4276"/>
        <w:gridCol w:w="1565"/>
        <w:gridCol w:w="1854"/>
        <w:gridCol w:w="1568"/>
        <w:gridCol w:w="150"/>
      </w:tblGrid>
      <w:tr w:rsidR="000F2F3F" w:rsidRPr="000F2F3F" w14:paraId="56DA51F6" w14:textId="77777777" w:rsidTr="00286D57">
        <w:trPr>
          <w:gridAfter w:val="1"/>
          <w:wAfter w:w="150" w:type="dxa"/>
          <w:cantSplit/>
          <w:trHeight w:val="429"/>
        </w:trPr>
        <w:tc>
          <w:tcPr>
            <w:tcW w:w="4276" w:type="dxa"/>
            <w:tcBorders>
              <w:top w:val="single" w:sz="12" w:space="0" w:color="492581" w:themeColor="accent1"/>
              <w:bottom w:val="single" w:sz="12" w:space="0" w:color="492581" w:themeColor="accent1"/>
            </w:tcBorders>
          </w:tcPr>
          <w:p w14:paraId="352D3DAB" w14:textId="77777777" w:rsidR="000F2F3F" w:rsidRPr="000F2F3F" w:rsidRDefault="000F2F3F" w:rsidP="000F2F3F">
            <w:pPr>
              <w:spacing w:before="40" w:after="40" w:line="240" w:lineRule="auto"/>
              <w:rPr>
                <w:rFonts w:ascii="Calibri" w:eastAsia="Times New Roman" w:hAnsi="Calibri" w:cs="Times New Roman"/>
                <w:sz w:val="18"/>
                <w:szCs w:val="18"/>
              </w:rPr>
            </w:pPr>
          </w:p>
        </w:tc>
        <w:tc>
          <w:tcPr>
            <w:tcW w:w="1565" w:type="dxa"/>
            <w:tcBorders>
              <w:top w:val="single" w:sz="12" w:space="0" w:color="492581" w:themeColor="accent1"/>
              <w:bottom w:val="single" w:sz="12" w:space="0" w:color="492581" w:themeColor="accent1"/>
            </w:tcBorders>
          </w:tcPr>
          <w:p w14:paraId="23A3A2D0"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Note</w:t>
            </w:r>
          </w:p>
          <w:p w14:paraId="57A9C94C"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w:t>
            </w:r>
          </w:p>
        </w:tc>
        <w:tc>
          <w:tcPr>
            <w:tcW w:w="1854" w:type="dxa"/>
            <w:tcBorders>
              <w:top w:val="single" w:sz="12" w:space="0" w:color="492581" w:themeColor="accent1"/>
              <w:bottom w:val="single" w:sz="12" w:space="0" w:color="492581" w:themeColor="accent1"/>
            </w:tcBorders>
          </w:tcPr>
          <w:p w14:paraId="279C4A3E" w14:textId="0E2FA2D0"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202</w:t>
            </w:r>
            <w:r w:rsidR="00C57BB5">
              <w:rPr>
                <w:rFonts w:ascii="Calibri" w:eastAsia="Times New Roman" w:hAnsi="Calibri" w:cs="Times New Roman"/>
                <w:b/>
                <w:sz w:val="18"/>
                <w:szCs w:val="18"/>
              </w:rPr>
              <w:t>4</w:t>
            </w:r>
          </w:p>
          <w:p w14:paraId="31D8FA00" w14:textId="77777777" w:rsidR="000F2F3F" w:rsidRPr="000F2F3F" w:rsidRDefault="000F2F3F" w:rsidP="000F2F3F">
            <w:pPr>
              <w:tabs>
                <w:tab w:val="left" w:pos="435"/>
              </w:tabs>
              <w:spacing w:after="0" w:line="240" w:lineRule="auto"/>
              <w:jc w:val="right"/>
              <w:rPr>
                <w:rFonts w:ascii="Calibri" w:eastAsia="Times New Roman" w:hAnsi="Calibri" w:cs="Times New Roman"/>
                <w:sz w:val="18"/>
                <w:szCs w:val="18"/>
              </w:rPr>
            </w:pPr>
            <w:r w:rsidRPr="000F2F3F">
              <w:rPr>
                <w:rFonts w:ascii="Calibri" w:eastAsia="Times New Roman" w:hAnsi="Calibri" w:cs="Times New Roman"/>
                <w:b/>
                <w:sz w:val="18"/>
                <w:szCs w:val="18"/>
              </w:rPr>
              <w:t>$’000</w:t>
            </w:r>
          </w:p>
        </w:tc>
        <w:tc>
          <w:tcPr>
            <w:tcW w:w="1568" w:type="dxa"/>
            <w:tcBorders>
              <w:top w:val="single" w:sz="12" w:space="0" w:color="492581" w:themeColor="accent1"/>
              <w:bottom w:val="single" w:sz="12" w:space="0" w:color="492581" w:themeColor="accent1"/>
            </w:tcBorders>
          </w:tcPr>
          <w:p w14:paraId="6BFBA4CB" w14:textId="27D3B4EC"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202</w:t>
            </w:r>
            <w:r w:rsidR="00C57BB5">
              <w:rPr>
                <w:rFonts w:ascii="Calibri" w:eastAsia="Times New Roman" w:hAnsi="Calibri" w:cs="Times New Roman"/>
                <w:b/>
                <w:sz w:val="18"/>
                <w:szCs w:val="18"/>
              </w:rPr>
              <w:t>3</w:t>
            </w:r>
          </w:p>
          <w:p w14:paraId="2FEDF4EF" w14:textId="77777777" w:rsidR="000F2F3F" w:rsidRPr="000F2F3F" w:rsidRDefault="000F2F3F" w:rsidP="000F2F3F">
            <w:pPr>
              <w:spacing w:after="0" w:line="240" w:lineRule="auto"/>
              <w:jc w:val="right"/>
              <w:rPr>
                <w:rFonts w:ascii="Calibri" w:eastAsia="Times New Roman" w:hAnsi="Calibri" w:cs="Times New Roman"/>
                <w:b/>
                <w:sz w:val="18"/>
                <w:szCs w:val="18"/>
              </w:rPr>
            </w:pPr>
            <w:r w:rsidRPr="000F2F3F">
              <w:rPr>
                <w:rFonts w:ascii="Calibri" w:eastAsia="Times New Roman" w:hAnsi="Calibri" w:cs="Times New Roman"/>
                <w:b/>
                <w:sz w:val="18"/>
                <w:szCs w:val="18"/>
              </w:rPr>
              <w:t>$’000</w:t>
            </w:r>
          </w:p>
        </w:tc>
      </w:tr>
      <w:tr w:rsidR="000F2F3F" w:rsidRPr="000F2F3F" w14:paraId="2A5B2059" w14:textId="77777777" w:rsidTr="00C51C53">
        <w:trPr>
          <w:gridAfter w:val="1"/>
          <w:wAfter w:w="150" w:type="dxa"/>
          <w:cantSplit/>
          <w:trHeight w:hRule="exact" w:val="284"/>
        </w:trPr>
        <w:tc>
          <w:tcPr>
            <w:tcW w:w="4276" w:type="dxa"/>
            <w:tcBorders>
              <w:top w:val="single" w:sz="12" w:space="0" w:color="492581" w:themeColor="accent1"/>
            </w:tcBorders>
          </w:tcPr>
          <w:p w14:paraId="10871BBE" w14:textId="77777777" w:rsidR="000F2F3F" w:rsidRPr="000F2F3F" w:rsidRDefault="000F2F3F" w:rsidP="000F2F3F">
            <w:pPr>
              <w:tabs>
                <w:tab w:val="left" w:pos="425"/>
              </w:tabs>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65" w:type="dxa"/>
            <w:tcBorders>
              <w:top w:val="single" w:sz="12" w:space="0" w:color="492581" w:themeColor="accent1"/>
            </w:tcBorders>
          </w:tcPr>
          <w:p w14:paraId="2A40058B"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54" w:type="dxa"/>
            <w:tcBorders>
              <w:top w:val="single" w:sz="12" w:space="0" w:color="492581" w:themeColor="accent1"/>
            </w:tcBorders>
          </w:tcPr>
          <w:p w14:paraId="75215DD7" w14:textId="77777777" w:rsidR="000F2F3F" w:rsidRPr="000F2F3F" w:rsidRDefault="000F2F3F" w:rsidP="000F2F3F">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12" w:space="0" w:color="492581" w:themeColor="accent1"/>
            </w:tcBorders>
          </w:tcPr>
          <w:p w14:paraId="1C19F1BA" w14:textId="77777777" w:rsidR="000F2F3F" w:rsidRPr="000F2F3F" w:rsidRDefault="000F2F3F" w:rsidP="000F2F3F">
            <w:pPr>
              <w:spacing w:before="40" w:after="40" w:line="240" w:lineRule="auto"/>
              <w:jc w:val="right"/>
              <w:rPr>
                <w:rFonts w:ascii="Calibri" w:eastAsia="Times New Roman" w:hAnsi="Calibri" w:cs="Times New Roman"/>
                <w:sz w:val="18"/>
                <w:szCs w:val="18"/>
                <w:highlight w:val="yellow"/>
              </w:rPr>
            </w:pPr>
          </w:p>
        </w:tc>
      </w:tr>
      <w:tr w:rsidR="00DE263A" w:rsidRPr="000F2F3F" w14:paraId="75027BBD" w14:textId="77777777" w:rsidTr="00C51C53">
        <w:trPr>
          <w:gridAfter w:val="1"/>
          <w:wAfter w:w="150" w:type="dxa"/>
          <w:cantSplit/>
          <w:trHeight w:hRule="exact" w:val="284"/>
        </w:trPr>
        <w:tc>
          <w:tcPr>
            <w:tcW w:w="4276" w:type="dxa"/>
          </w:tcPr>
          <w:p w14:paraId="04F4BD85" w14:textId="77777777" w:rsidR="00DE263A" w:rsidRPr="000F2F3F" w:rsidRDefault="00DE263A" w:rsidP="00DE263A">
            <w:pPr>
              <w:spacing w:before="40" w:after="40" w:line="240" w:lineRule="auto"/>
              <w:rPr>
                <w:rFonts w:ascii="Calibri" w:eastAsia="Times New Roman" w:hAnsi="Calibri" w:cs="Times New Roman"/>
                <w:bCs/>
                <w:sz w:val="18"/>
                <w:szCs w:val="18"/>
              </w:rPr>
            </w:pPr>
            <w:r w:rsidRPr="000F2F3F">
              <w:rPr>
                <w:rFonts w:ascii="Calibri" w:eastAsia="Times New Roman" w:hAnsi="Calibri" w:cs="Times New Roman"/>
                <w:bCs/>
                <w:sz w:val="18"/>
                <w:szCs w:val="18"/>
              </w:rPr>
              <w:t>Gross Earned Insurance Premiums</w:t>
            </w:r>
          </w:p>
        </w:tc>
        <w:tc>
          <w:tcPr>
            <w:tcW w:w="1565" w:type="dxa"/>
          </w:tcPr>
          <w:p w14:paraId="3C1739DC"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Pr>
          <w:p w14:paraId="62137CA5" w14:textId="04B3F519"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85,225</w:t>
            </w:r>
          </w:p>
        </w:tc>
        <w:tc>
          <w:tcPr>
            <w:tcW w:w="1568" w:type="dxa"/>
          </w:tcPr>
          <w:p w14:paraId="20A1A9F9" w14:textId="3AB2556C" w:rsidR="00DE263A" w:rsidRPr="002B6C90" w:rsidRDefault="00DE263A" w:rsidP="00DE263A">
            <w:pPr>
              <w:spacing w:before="40" w:after="40" w:line="240" w:lineRule="auto"/>
              <w:jc w:val="right"/>
              <w:rPr>
                <w:rFonts w:ascii="Calibri" w:eastAsia="Times New Roman" w:hAnsi="Calibri" w:cs="Times New Roman"/>
                <w:sz w:val="18"/>
                <w:szCs w:val="18"/>
                <w:highlight w:val="yellow"/>
              </w:rPr>
            </w:pPr>
            <w:r w:rsidRPr="002B6C90">
              <w:rPr>
                <w:bCs/>
                <w:sz w:val="18"/>
                <w:szCs w:val="18"/>
              </w:rPr>
              <w:t>68,443</w:t>
            </w:r>
          </w:p>
        </w:tc>
      </w:tr>
      <w:tr w:rsidR="00DE263A" w:rsidRPr="000F2F3F" w14:paraId="64EEF1E0" w14:textId="77777777" w:rsidTr="00C51C53">
        <w:trPr>
          <w:gridAfter w:val="1"/>
          <w:wAfter w:w="150" w:type="dxa"/>
          <w:cantSplit/>
          <w:trHeight w:hRule="exact" w:val="284"/>
        </w:trPr>
        <w:tc>
          <w:tcPr>
            <w:tcW w:w="4276" w:type="dxa"/>
          </w:tcPr>
          <w:p w14:paraId="7B51EA08" w14:textId="77777777" w:rsidR="00DE263A" w:rsidRPr="000F2F3F" w:rsidRDefault="00DE263A" w:rsidP="00DE263A">
            <w:pPr>
              <w:tabs>
                <w:tab w:val="left" w:pos="4495"/>
              </w:tabs>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Claims Related Recoveries</w:t>
            </w:r>
          </w:p>
        </w:tc>
        <w:tc>
          <w:tcPr>
            <w:tcW w:w="1565" w:type="dxa"/>
          </w:tcPr>
          <w:p w14:paraId="108C3629" w14:textId="77777777" w:rsidR="00DE263A" w:rsidRPr="000F2F3F" w:rsidRDefault="00DE263A" w:rsidP="00DE263A">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54" w:type="dxa"/>
            <w:tcBorders>
              <w:bottom w:val="single" w:sz="4" w:space="0" w:color="auto"/>
            </w:tcBorders>
          </w:tcPr>
          <w:p w14:paraId="6E06831B" w14:textId="6BFFE05C"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19,742</w:t>
            </w:r>
          </w:p>
        </w:tc>
        <w:tc>
          <w:tcPr>
            <w:tcW w:w="1568" w:type="dxa"/>
            <w:tcBorders>
              <w:bottom w:val="single" w:sz="4" w:space="0" w:color="auto"/>
            </w:tcBorders>
          </w:tcPr>
          <w:p w14:paraId="0AE09634" w14:textId="3EACB6F3"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20,030</w:t>
            </w:r>
          </w:p>
        </w:tc>
      </w:tr>
      <w:tr w:rsidR="00DE263A" w:rsidRPr="000F2F3F" w14:paraId="1DE80921" w14:textId="77777777" w:rsidTr="00C51C53">
        <w:trPr>
          <w:gridAfter w:val="1"/>
          <w:wAfter w:w="150" w:type="dxa"/>
          <w:cantSplit/>
          <w:trHeight w:hRule="exact" w:val="284"/>
        </w:trPr>
        <w:tc>
          <w:tcPr>
            <w:tcW w:w="4276" w:type="dxa"/>
          </w:tcPr>
          <w:p w14:paraId="3DC205ED" w14:textId="77777777" w:rsidR="00DE263A" w:rsidRPr="000F2F3F" w:rsidRDefault="00DE263A" w:rsidP="00DE263A">
            <w:pPr>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65" w:type="dxa"/>
          </w:tcPr>
          <w:p w14:paraId="576A2FFC"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bottom w:val="single" w:sz="4" w:space="0" w:color="auto"/>
            </w:tcBorders>
          </w:tcPr>
          <w:p w14:paraId="1FBFBD0D" w14:textId="4C2D9FE9"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104,967</w:t>
            </w:r>
          </w:p>
        </w:tc>
        <w:tc>
          <w:tcPr>
            <w:tcW w:w="1568" w:type="dxa"/>
            <w:tcBorders>
              <w:top w:val="single" w:sz="4" w:space="0" w:color="auto"/>
              <w:bottom w:val="single" w:sz="4" w:space="0" w:color="auto"/>
            </w:tcBorders>
          </w:tcPr>
          <w:p w14:paraId="19C461C9" w14:textId="301FFBBC"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88,473</w:t>
            </w:r>
          </w:p>
        </w:tc>
      </w:tr>
      <w:tr w:rsidR="00DE263A" w:rsidRPr="000F2F3F" w14:paraId="35F15A88" w14:textId="77777777" w:rsidTr="00C51C53">
        <w:trPr>
          <w:gridAfter w:val="1"/>
          <w:wAfter w:w="150" w:type="dxa"/>
          <w:cantSplit/>
          <w:trHeight w:hRule="exact" w:val="284"/>
        </w:trPr>
        <w:tc>
          <w:tcPr>
            <w:tcW w:w="4276" w:type="dxa"/>
          </w:tcPr>
          <w:p w14:paraId="69B2F7CD" w14:textId="77777777" w:rsidR="00DE263A" w:rsidRPr="000F2F3F" w:rsidRDefault="00DE263A" w:rsidP="00DE263A">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revenues relate to operating activities</w:t>
            </w:r>
          </w:p>
        </w:tc>
        <w:tc>
          <w:tcPr>
            <w:tcW w:w="1565" w:type="dxa"/>
          </w:tcPr>
          <w:p w14:paraId="11D951E3"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59271FD8" w14:textId="77777777"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4" w:space="0" w:color="auto"/>
            </w:tcBorders>
          </w:tcPr>
          <w:p w14:paraId="4CFD8C04" w14:textId="77777777"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p>
        </w:tc>
      </w:tr>
      <w:tr w:rsidR="00DE263A" w:rsidRPr="000F2F3F" w14:paraId="5FE2A567" w14:textId="77777777" w:rsidTr="00C51C53">
        <w:trPr>
          <w:gridAfter w:val="1"/>
          <w:wAfter w:w="150" w:type="dxa"/>
          <w:cantSplit/>
          <w:trHeight w:hRule="exact" w:val="284"/>
        </w:trPr>
        <w:tc>
          <w:tcPr>
            <w:tcW w:w="4276" w:type="dxa"/>
          </w:tcPr>
          <w:p w14:paraId="072AEE86"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65" w:type="dxa"/>
          </w:tcPr>
          <w:p w14:paraId="150D395D"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Pr>
          <w:p w14:paraId="375E5E7B" w14:textId="77777777"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p>
        </w:tc>
        <w:tc>
          <w:tcPr>
            <w:tcW w:w="1568" w:type="dxa"/>
          </w:tcPr>
          <w:p w14:paraId="3A5B6947" w14:textId="77777777"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p>
        </w:tc>
      </w:tr>
      <w:tr w:rsidR="00DE263A" w:rsidRPr="000F2F3F" w14:paraId="347F2885" w14:textId="77777777" w:rsidTr="00C51C53">
        <w:trPr>
          <w:gridAfter w:val="1"/>
          <w:wAfter w:w="150" w:type="dxa"/>
          <w:cantSplit/>
          <w:trHeight w:hRule="exact" w:val="284"/>
        </w:trPr>
        <w:tc>
          <w:tcPr>
            <w:tcW w:w="4276" w:type="dxa"/>
          </w:tcPr>
          <w:p w14:paraId="14F04DBE" w14:textId="77777777" w:rsidR="00DE263A" w:rsidRPr="000F2F3F" w:rsidRDefault="00DE263A" w:rsidP="00DE263A">
            <w:pPr>
              <w:spacing w:before="40" w:after="40" w:line="240" w:lineRule="auto"/>
              <w:rPr>
                <w:rFonts w:ascii="Calibri" w:eastAsia="Times New Roman" w:hAnsi="Calibri" w:cs="Times New Roman"/>
                <w:sz w:val="18"/>
                <w:szCs w:val="18"/>
                <w:vertAlign w:val="superscript"/>
              </w:rPr>
            </w:pPr>
            <w:r w:rsidRPr="000F2F3F">
              <w:rPr>
                <w:rFonts w:ascii="Calibri" w:eastAsia="Times New Roman" w:hAnsi="Calibri" w:cs="Times New Roman"/>
                <w:sz w:val="18"/>
                <w:szCs w:val="18"/>
              </w:rPr>
              <w:t>Claims Expenses</w:t>
            </w:r>
          </w:p>
        </w:tc>
        <w:tc>
          <w:tcPr>
            <w:tcW w:w="1565" w:type="dxa"/>
          </w:tcPr>
          <w:p w14:paraId="61E32606" w14:textId="77777777" w:rsidR="00DE263A" w:rsidRPr="000F2F3F" w:rsidRDefault="00DE263A" w:rsidP="00DE263A">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54" w:type="dxa"/>
          </w:tcPr>
          <w:p w14:paraId="62369044" w14:textId="37A7AFA6"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(98,110)</w:t>
            </w:r>
          </w:p>
        </w:tc>
        <w:tc>
          <w:tcPr>
            <w:tcW w:w="1568" w:type="dxa"/>
          </w:tcPr>
          <w:p w14:paraId="6249639B" w14:textId="21F64DD7"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(138,162)</w:t>
            </w:r>
          </w:p>
        </w:tc>
      </w:tr>
      <w:tr w:rsidR="00DE263A" w:rsidRPr="000F2F3F" w14:paraId="5993A282" w14:textId="77777777" w:rsidTr="00C51C53">
        <w:trPr>
          <w:gridAfter w:val="1"/>
          <w:wAfter w:w="150" w:type="dxa"/>
          <w:cantSplit/>
          <w:trHeight w:hRule="exact" w:val="284"/>
        </w:trPr>
        <w:tc>
          <w:tcPr>
            <w:tcW w:w="4276" w:type="dxa"/>
          </w:tcPr>
          <w:p w14:paraId="0D424FC9"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Reinsurance Premium Expenses</w:t>
            </w:r>
          </w:p>
        </w:tc>
        <w:tc>
          <w:tcPr>
            <w:tcW w:w="1565" w:type="dxa"/>
          </w:tcPr>
          <w:p w14:paraId="43FB80DA"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bottom w:val="single" w:sz="4" w:space="0" w:color="auto"/>
            </w:tcBorders>
          </w:tcPr>
          <w:p w14:paraId="228AF2D4" w14:textId="1A38B24D"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(16,374)</w:t>
            </w:r>
          </w:p>
        </w:tc>
        <w:tc>
          <w:tcPr>
            <w:tcW w:w="1568" w:type="dxa"/>
            <w:tcBorders>
              <w:bottom w:val="single" w:sz="4" w:space="0" w:color="auto"/>
            </w:tcBorders>
          </w:tcPr>
          <w:p w14:paraId="47927B5E" w14:textId="504351C6"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(14,481)</w:t>
            </w:r>
          </w:p>
        </w:tc>
      </w:tr>
      <w:tr w:rsidR="00DE263A" w:rsidRPr="000F2F3F" w14:paraId="4B8719C6" w14:textId="77777777" w:rsidTr="00C51C53">
        <w:trPr>
          <w:gridAfter w:val="1"/>
          <w:wAfter w:w="150" w:type="dxa"/>
          <w:cantSplit/>
          <w:trHeight w:hRule="exact" w:val="284"/>
        </w:trPr>
        <w:tc>
          <w:tcPr>
            <w:tcW w:w="4276" w:type="dxa"/>
          </w:tcPr>
          <w:p w14:paraId="0FCE3B82"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65" w:type="dxa"/>
          </w:tcPr>
          <w:p w14:paraId="75CD9B60"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bottom w:val="single" w:sz="4" w:space="0" w:color="auto"/>
            </w:tcBorders>
          </w:tcPr>
          <w:p w14:paraId="6BCEB812" w14:textId="6E3AA5C5"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(114,485)</w:t>
            </w:r>
          </w:p>
        </w:tc>
        <w:tc>
          <w:tcPr>
            <w:tcW w:w="1568" w:type="dxa"/>
            <w:tcBorders>
              <w:top w:val="single" w:sz="4" w:space="0" w:color="auto"/>
              <w:bottom w:val="single" w:sz="4" w:space="0" w:color="auto"/>
            </w:tcBorders>
          </w:tcPr>
          <w:p w14:paraId="747870AA" w14:textId="3CD26E55"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(152,643)</w:t>
            </w:r>
          </w:p>
        </w:tc>
      </w:tr>
      <w:tr w:rsidR="00DE263A" w:rsidRPr="000F2F3F" w14:paraId="77DDB931" w14:textId="77777777" w:rsidTr="00C51C53">
        <w:trPr>
          <w:gridAfter w:val="1"/>
          <w:wAfter w:w="150" w:type="dxa"/>
          <w:cantSplit/>
          <w:trHeight w:hRule="exact" w:val="284"/>
        </w:trPr>
        <w:tc>
          <w:tcPr>
            <w:tcW w:w="4276" w:type="dxa"/>
          </w:tcPr>
          <w:p w14:paraId="18F4B00D" w14:textId="77777777" w:rsidR="00DE263A" w:rsidRPr="000F2F3F" w:rsidRDefault="00DE263A" w:rsidP="00DE263A">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expenses relate to operating activities</w:t>
            </w:r>
          </w:p>
        </w:tc>
        <w:tc>
          <w:tcPr>
            <w:tcW w:w="1565" w:type="dxa"/>
          </w:tcPr>
          <w:p w14:paraId="7E12A482"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2C3DFB80" w14:textId="77777777"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4" w:space="0" w:color="auto"/>
            </w:tcBorders>
          </w:tcPr>
          <w:p w14:paraId="60E6231B" w14:textId="77777777"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p>
        </w:tc>
      </w:tr>
      <w:tr w:rsidR="00DE263A" w:rsidRPr="000F2F3F" w14:paraId="76E1C63D" w14:textId="77777777" w:rsidTr="00C51C53">
        <w:trPr>
          <w:gridAfter w:val="1"/>
          <w:wAfter w:w="150" w:type="dxa"/>
          <w:cantSplit/>
          <w:trHeight w:hRule="exact" w:val="284"/>
        </w:trPr>
        <w:tc>
          <w:tcPr>
            <w:tcW w:w="4276" w:type="dxa"/>
          </w:tcPr>
          <w:p w14:paraId="10168CB5"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Results</w:t>
            </w:r>
          </w:p>
        </w:tc>
        <w:tc>
          <w:tcPr>
            <w:tcW w:w="1565" w:type="dxa"/>
          </w:tcPr>
          <w:p w14:paraId="4C20B1A0"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Pr>
          <w:p w14:paraId="1D4B37F8" w14:textId="77777777"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p>
        </w:tc>
        <w:tc>
          <w:tcPr>
            <w:tcW w:w="1568" w:type="dxa"/>
          </w:tcPr>
          <w:p w14:paraId="69AEEDB2" w14:textId="77777777"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p>
        </w:tc>
      </w:tr>
      <w:tr w:rsidR="00DE263A" w:rsidRPr="000F2F3F" w14:paraId="01E48A02" w14:textId="77777777" w:rsidTr="00C51C53">
        <w:trPr>
          <w:gridAfter w:val="1"/>
          <w:wAfter w:w="150" w:type="dxa"/>
          <w:cantSplit/>
          <w:trHeight w:hRule="exact" w:val="284"/>
        </w:trPr>
        <w:tc>
          <w:tcPr>
            <w:tcW w:w="4276" w:type="dxa"/>
          </w:tcPr>
          <w:p w14:paraId="4E7F06AC"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Revenues</w:t>
            </w:r>
          </w:p>
        </w:tc>
        <w:tc>
          <w:tcPr>
            <w:tcW w:w="1565" w:type="dxa"/>
          </w:tcPr>
          <w:p w14:paraId="7A2FDFB4"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Pr>
          <w:p w14:paraId="19A5F9D3" w14:textId="6A85CA49"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104,967</w:t>
            </w:r>
          </w:p>
        </w:tc>
        <w:tc>
          <w:tcPr>
            <w:tcW w:w="1568" w:type="dxa"/>
          </w:tcPr>
          <w:p w14:paraId="0F6DC9D4" w14:textId="1DDC6993"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88,473</w:t>
            </w:r>
          </w:p>
        </w:tc>
      </w:tr>
      <w:tr w:rsidR="00DE263A" w:rsidRPr="000F2F3F" w14:paraId="2CD74C77" w14:textId="77777777" w:rsidTr="00C51C53">
        <w:trPr>
          <w:gridAfter w:val="1"/>
          <w:wAfter w:w="150" w:type="dxa"/>
          <w:cantSplit/>
          <w:trHeight w:hRule="exact" w:val="284"/>
        </w:trPr>
        <w:tc>
          <w:tcPr>
            <w:tcW w:w="4276" w:type="dxa"/>
          </w:tcPr>
          <w:p w14:paraId="378F26D9" w14:textId="77777777" w:rsidR="00DE263A" w:rsidRPr="000F2F3F" w:rsidRDefault="00DE263A" w:rsidP="00DE263A">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Expenses</w:t>
            </w:r>
          </w:p>
        </w:tc>
        <w:tc>
          <w:tcPr>
            <w:tcW w:w="1565" w:type="dxa"/>
          </w:tcPr>
          <w:p w14:paraId="09D22E8D"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bottom w:val="single" w:sz="4" w:space="0" w:color="auto"/>
            </w:tcBorders>
          </w:tcPr>
          <w:p w14:paraId="5F5087ED" w14:textId="21FE40C6"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(114,485)</w:t>
            </w:r>
          </w:p>
        </w:tc>
        <w:tc>
          <w:tcPr>
            <w:tcW w:w="1568" w:type="dxa"/>
            <w:tcBorders>
              <w:bottom w:val="single" w:sz="4" w:space="0" w:color="auto"/>
            </w:tcBorders>
          </w:tcPr>
          <w:p w14:paraId="2F7B6B7C" w14:textId="6B52953E" w:rsidR="00DE263A" w:rsidRPr="002B6C90" w:rsidRDefault="00DE263A" w:rsidP="00DE263A">
            <w:pPr>
              <w:spacing w:before="40" w:after="40" w:line="240" w:lineRule="auto"/>
              <w:jc w:val="right"/>
              <w:rPr>
                <w:rFonts w:ascii="Calibri" w:eastAsia="Times New Roman" w:hAnsi="Calibri" w:cs="Times New Roman"/>
                <w:bCs/>
                <w:sz w:val="18"/>
                <w:szCs w:val="18"/>
                <w:highlight w:val="yellow"/>
              </w:rPr>
            </w:pPr>
            <w:r w:rsidRPr="002B6C90">
              <w:rPr>
                <w:bCs/>
                <w:sz w:val="18"/>
                <w:szCs w:val="18"/>
              </w:rPr>
              <w:t>(152,643)</w:t>
            </w:r>
          </w:p>
        </w:tc>
      </w:tr>
      <w:tr w:rsidR="00DE263A" w:rsidRPr="000F2F3F" w14:paraId="3194CCF0" w14:textId="77777777" w:rsidTr="00C51C53">
        <w:trPr>
          <w:gridAfter w:val="1"/>
          <w:wAfter w:w="150" w:type="dxa"/>
          <w:cantSplit/>
          <w:trHeight w:hRule="exact" w:val="284"/>
        </w:trPr>
        <w:tc>
          <w:tcPr>
            <w:tcW w:w="4276" w:type="dxa"/>
          </w:tcPr>
          <w:p w14:paraId="5A9D3198" w14:textId="48B1548E" w:rsidR="0030059C" w:rsidRPr="006B59C8" w:rsidRDefault="00DE263A" w:rsidP="00DE263A">
            <w:pPr>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Result</w:t>
            </w:r>
          </w:p>
        </w:tc>
        <w:tc>
          <w:tcPr>
            <w:tcW w:w="1565" w:type="dxa"/>
          </w:tcPr>
          <w:p w14:paraId="5B846F2E" w14:textId="77777777" w:rsidR="00DE263A" w:rsidRPr="000F2F3F" w:rsidRDefault="00DE263A" w:rsidP="00DE263A">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02AA252F" w14:textId="2477F9F6"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(9,518)</w:t>
            </w:r>
          </w:p>
        </w:tc>
        <w:tc>
          <w:tcPr>
            <w:tcW w:w="1568" w:type="dxa"/>
            <w:tcBorders>
              <w:top w:val="single" w:sz="4" w:space="0" w:color="auto"/>
            </w:tcBorders>
          </w:tcPr>
          <w:p w14:paraId="54613E03" w14:textId="57F42ED5" w:rsidR="00DE263A" w:rsidRPr="002B6C90" w:rsidRDefault="00DE263A" w:rsidP="00DE263A">
            <w:pPr>
              <w:spacing w:before="40" w:after="40" w:line="240" w:lineRule="auto"/>
              <w:jc w:val="right"/>
              <w:rPr>
                <w:rFonts w:ascii="Calibri" w:eastAsia="Times New Roman" w:hAnsi="Calibri" w:cs="Times New Roman"/>
                <w:b/>
                <w:sz w:val="18"/>
                <w:szCs w:val="18"/>
                <w:highlight w:val="yellow"/>
              </w:rPr>
            </w:pPr>
            <w:r w:rsidRPr="002B6C90">
              <w:rPr>
                <w:b/>
                <w:sz w:val="18"/>
                <w:szCs w:val="18"/>
              </w:rPr>
              <w:t>(64,170)</w:t>
            </w:r>
          </w:p>
        </w:tc>
      </w:tr>
      <w:tr w:rsidR="00072DD1" w:rsidRPr="000F2F3F" w14:paraId="366B40C9" w14:textId="77777777" w:rsidTr="00D50C79">
        <w:trPr>
          <w:cantSplit/>
          <w:trHeight w:val="1153"/>
        </w:trPr>
        <w:tc>
          <w:tcPr>
            <w:tcW w:w="9413" w:type="dxa"/>
            <w:gridSpan w:val="5"/>
            <w:tcBorders>
              <w:top w:val="single" w:sz="12" w:space="0" w:color="492581" w:themeColor="accent1"/>
              <w:bottom w:val="single" w:sz="12" w:space="0" w:color="492581" w:themeColor="accent1"/>
            </w:tcBorders>
          </w:tcPr>
          <w:p w14:paraId="3486E77C" w14:textId="5F66BAD4" w:rsidR="00072DD1" w:rsidRPr="00E7083A" w:rsidRDefault="00072DD1" w:rsidP="00A575FB">
            <w:pPr>
              <w:spacing w:before="120" w:after="120" w:line="240" w:lineRule="auto"/>
              <w:rPr>
                <w:rFonts w:eastAsia="Times New Roman" w:cstheme="minorHAnsi"/>
                <w:color w:val="000000"/>
                <w:sz w:val="17"/>
                <w:szCs w:val="17"/>
              </w:rPr>
            </w:pPr>
            <w:r w:rsidRPr="00E7083A">
              <w:rPr>
                <w:rFonts w:cstheme="minorHAnsi"/>
                <w:i/>
                <w:iCs/>
                <w:sz w:val="17"/>
                <w:szCs w:val="17"/>
              </w:rPr>
              <w:t xml:space="preserve">The increase in the underwriting result compared to 2022-23 is mainly due to the increase in annual insurance premiums </w:t>
            </w:r>
            <w:r w:rsidRPr="00E7083A">
              <w:rPr>
                <w:rFonts w:cstheme="minorHAnsi"/>
                <w:i/>
                <w:iCs/>
                <w:color w:val="000000"/>
                <w:sz w:val="17"/>
                <w:szCs w:val="17"/>
              </w:rPr>
              <w:t>primarily</w:t>
            </w:r>
            <w:r w:rsidRPr="00E7083A">
              <w:rPr>
                <w:rFonts w:cstheme="minorHAnsi"/>
                <w:i/>
                <w:iCs/>
                <w:sz w:val="17"/>
                <w:szCs w:val="17"/>
              </w:rPr>
              <w:t xml:space="preserve"> due to deteriorating claims experience in the medical malpractice and property insurance classes and challenging </w:t>
            </w:r>
            <w:r w:rsidRPr="00E7083A">
              <w:rPr>
                <w:rFonts w:cstheme="minorHAnsi"/>
                <w:i/>
                <w:iCs/>
                <w:color w:val="000000"/>
                <w:sz w:val="17"/>
                <w:szCs w:val="17"/>
              </w:rPr>
              <w:t>insurance</w:t>
            </w:r>
            <w:r w:rsidRPr="00E7083A">
              <w:rPr>
                <w:rFonts w:cstheme="minorHAnsi"/>
                <w:i/>
                <w:iCs/>
                <w:sz w:val="17"/>
                <w:szCs w:val="17"/>
              </w:rPr>
              <w:t xml:space="preserve"> market conditions resulting in an expected increase in the Territory’s reinsurance costs, and the decrease in claims expenses mainly due to the expectation of claims expenses and liabilities returning to the longer-term claims experience pattern, based on actuarial estimations. Refer to Discounted Gross Incurred Claims and Related Expenses in Note 6: ‘Net Incurred Claims’.</w:t>
            </w:r>
          </w:p>
        </w:tc>
      </w:tr>
    </w:tbl>
    <w:p w14:paraId="660388C6" w14:textId="77777777" w:rsidR="00EF3F7C" w:rsidRDefault="00EF3F7C">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6ACB0CD7" w14:textId="0D4332E1" w:rsidR="00BC63C0" w:rsidRPr="00BC63C0" w:rsidRDefault="00BC63C0" w:rsidP="00BC63C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BC63C0">
        <w:rPr>
          <w:rFonts w:ascii="Calibri" w:eastAsia="Calibri" w:hAnsi="Calibri" w:cs="Montserrat Semi Bold"/>
          <w:b/>
          <w:bCs/>
          <w:color w:val="000000"/>
          <w:sz w:val="30"/>
          <w:szCs w:val="30"/>
        </w:rPr>
        <w:lastRenderedPageBreak/>
        <w:t>NOTE 6. NET INCURRED CLAIMS</w:t>
      </w:r>
    </w:p>
    <w:p w14:paraId="7246E97F" w14:textId="77777777" w:rsidR="00892615" w:rsidRPr="00EA17F9" w:rsidRDefault="00892615" w:rsidP="00892615">
      <w:pPr>
        <w:spacing w:before="40" w:after="100"/>
        <w:rPr>
          <w:sz w:val="22"/>
          <w:szCs w:val="22"/>
        </w:rPr>
      </w:pPr>
      <w:r w:rsidRPr="00EA17F9">
        <w:rPr>
          <w:rFonts w:cs="Montserrat Semi Bold"/>
          <w:b/>
          <w:bCs/>
          <w:color w:val="000000"/>
          <w:sz w:val="22"/>
          <w:szCs w:val="22"/>
        </w:rPr>
        <w:t>Description and Material Accounting Policies relating to Net Incurred Claims</w:t>
      </w:r>
    </w:p>
    <w:p w14:paraId="2F369C53" w14:textId="55F0759D" w:rsidR="00BC63C0" w:rsidRPr="00EA17F9" w:rsidRDefault="00892615" w:rsidP="00CA7F25">
      <w:pPr>
        <w:spacing w:after="140" w:line="240" w:lineRule="auto"/>
        <w:rPr>
          <w:sz w:val="22"/>
          <w:szCs w:val="22"/>
        </w:rPr>
      </w:pPr>
      <w:r w:rsidRPr="00EA17F9">
        <w:rPr>
          <w:sz w:val="22"/>
          <w:szCs w:val="22"/>
        </w:rPr>
        <w:t>Net incurred claims are separated into those contributed from the current insurance year and those from prior insurance years, which are impacted by changes in economic factors and the assumptions used in the actuarial valuation of the outstanding claims liabilities.</w:t>
      </w:r>
    </w:p>
    <w:tbl>
      <w:tblPr>
        <w:tblpPr w:leftFromText="180" w:rightFromText="180" w:vertAnchor="text" w:tblpX="-136" w:tblpY="1"/>
        <w:tblOverlap w:val="never"/>
        <w:tblW w:w="9639" w:type="dxa"/>
        <w:tblBorders>
          <w:top w:val="single" w:sz="4" w:space="0" w:color="auto"/>
          <w:bottom w:val="single" w:sz="4" w:space="0" w:color="auto"/>
        </w:tblBorders>
        <w:tblLayout w:type="fixed"/>
        <w:tblLook w:val="0000" w:firstRow="0" w:lastRow="0" w:firstColumn="0" w:lastColumn="0" w:noHBand="0" w:noVBand="0"/>
      </w:tblPr>
      <w:tblGrid>
        <w:gridCol w:w="4961"/>
        <w:gridCol w:w="850"/>
        <w:gridCol w:w="1135"/>
        <w:gridCol w:w="424"/>
        <w:gridCol w:w="1134"/>
        <w:gridCol w:w="1135"/>
      </w:tblGrid>
      <w:tr w:rsidR="00D331D2" w:rsidRPr="00550A7E" w14:paraId="79F3D22C" w14:textId="77777777" w:rsidTr="00823A0B">
        <w:trPr>
          <w:cantSplit/>
          <w:trHeight w:val="687"/>
        </w:trPr>
        <w:tc>
          <w:tcPr>
            <w:tcW w:w="4961" w:type="dxa"/>
            <w:tcBorders>
              <w:top w:val="single" w:sz="12" w:space="0" w:color="492581" w:themeColor="accent1"/>
              <w:bottom w:val="single" w:sz="12" w:space="0" w:color="492581" w:themeColor="accent1"/>
            </w:tcBorders>
            <w:vAlign w:val="bottom"/>
          </w:tcPr>
          <w:p w14:paraId="03550E42" w14:textId="7BE841E1" w:rsidR="00D331D2" w:rsidRPr="00161185" w:rsidRDefault="00D331D2" w:rsidP="00323290">
            <w:pPr>
              <w:pStyle w:val="VAText"/>
              <w:rPr>
                <w:rFonts w:asciiTheme="minorHAnsi" w:hAnsiTheme="minorHAnsi"/>
                <w:b/>
                <w:sz w:val="28"/>
                <w:szCs w:val="28"/>
              </w:rPr>
            </w:pPr>
            <w:r>
              <w:rPr>
                <w:rFonts w:asciiTheme="minorHAnsi" w:hAnsiTheme="minorHAnsi"/>
                <w:b/>
                <w:sz w:val="28"/>
                <w:szCs w:val="28"/>
              </w:rPr>
              <w:t>202</w:t>
            </w:r>
            <w:r w:rsidR="00C57BB5">
              <w:rPr>
                <w:rFonts w:asciiTheme="minorHAnsi" w:hAnsiTheme="minorHAnsi"/>
                <w:b/>
                <w:sz w:val="28"/>
                <w:szCs w:val="28"/>
              </w:rPr>
              <w:t>4</w:t>
            </w:r>
          </w:p>
        </w:tc>
        <w:tc>
          <w:tcPr>
            <w:tcW w:w="850" w:type="dxa"/>
            <w:tcBorders>
              <w:top w:val="single" w:sz="12" w:space="0" w:color="492581" w:themeColor="accent1"/>
              <w:bottom w:val="single" w:sz="12" w:space="0" w:color="492581" w:themeColor="accent1"/>
            </w:tcBorders>
            <w:vAlign w:val="bottom"/>
          </w:tcPr>
          <w:p w14:paraId="7110B4F1" w14:textId="77777777" w:rsidR="00D331D2" w:rsidRPr="00412065" w:rsidRDefault="00D331D2" w:rsidP="00323290">
            <w:pPr>
              <w:pStyle w:val="VAText"/>
              <w:jc w:val="center"/>
              <w:rPr>
                <w:rFonts w:asciiTheme="minorHAnsi" w:hAnsiTheme="minorHAnsi"/>
                <w:b/>
                <w:szCs w:val="18"/>
              </w:rPr>
            </w:pPr>
            <w:r w:rsidRPr="00412065">
              <w:rPr>
                <w:rFonts w:asciiTheme="minorHAnsi" w:hAnsiTheme="minorHAnsi"/>
                <w:b/>
                <w:szCs w:val="18"/>
              </w:rPr>
              <w:br/>
              <w:t>Note</w:t>
            </w:r>
          </w:p>
          <w:p w14:paraId="28FA7FE2" w14:textId="77777777" w:rsidR="00D331D2" w:rsidRPr="00412065" w:rsidRDefault="00D331D2" w:rsidP="00323290">
            <w:pPr>
              <w:pStyle w:val="VAText"/>
              <w:jc w:val="center"/>
              <w:rPr>
                <w:rFonts w:asciiTheme="minorHAnsi" w:hAnsiTheme="minorHAnsi"/>
                <w:b/>
                <w:szCs w:val="18"/>
              </w:rPr>
            </w:pPr>
            <w:r w:rsidRPr="00412065">
              <w:rPr>
                <w:rFonts w:asciiTheme="minorHAnsi" w:hAnsiTheme="minorHAnsi"/>
                <w:b/>
                <w:szCs w:val="18"/>
              </w:rPr>
              <w:t>No.</w:t>
            </w:r>
          </w:p>
        </w:tc>
        <w:tc>
          <w:tcPr>
            <w:tcW w:w="1135" w:type="dxa"/>
            <w:tcBorders>
              <w:top w:val="single" w:sz="12" w:space="0" w:color="492581" w:themeColor="accent1"/>
              <w:bottom w:val="single" w:sz="12" w:space="0" w:color="492581" w:themeColor="accent1"/>
            </w:tcBorders>
            <w:vAlign w:val="bottom"/>
          </w:tcPr>
          <w:p w14:paraId="2D08D519" w14:textId="77777777" w:rsidR="00D331D2" w:rsidRPr="00BA3E7A" w:rsidRDefault="00D331D2" w:rsidP="00323290">
            <w:pPr>
              <w:pStyle w:val="VAText"/>
              <w:jc w:val="right"/>
              <w:rPr>
                <w:rFonts w:asciiTheme="minorHAnsi" w:hAnsiTheme="minorHAnsi"/>
                <w:b/>
                <w:bCs/>
                <w:szCs w:val="18"/>
              </w:rPr>
            </w:pPr>
            <w:r w:rsidRPr="00BA3E7A">
              <w:rPr>
                <w:rFonts w:asciiTheme="minorHAnsi" w:hAnsiTheme="minorHAnsi"/>
                <w:b/>
                <w:bCs/>
                <w:szCs w:val="18"/>
              </w:rPr>
              <w:t>Current</w:t>
            </w:r>
            <w:r w:rsidRPr="00BA3E7A">
              <w:rPr>
                <w:rFonts w:asciiTheme="minorHAnsi" w:hAnsiTheme="minorHAnsi"/>
                <w:b/>
                <w:bCs/>
                <w:szCs w:val="18"/>
              </w:rPr>
              <w:br/>
              <w:t>Year</w:t>
            </w:r>
          </w:p>
          <w:p w14:paraId="46E3EB4F" w14:textId="77777777" w:rsidR="00D331D2" w:rsidRPr="00BA3E7A" w:rsidRDefault="00D331D2" w:rsidP="00323290">
            <w:pPr>
              <w:pStyle w:val="VAText"/>
              <w:jc w:val="right"/>
              <w:rPr>
                <w:rFonts w:asciiTheme="minorHAnsi" w:hAnsiTheme="minorHAnsi"/>
                <w:b/>
                <w:bCs/>
                <w:szCs w:val="18"/>
              </w:rPr>
            </w:pPr>
            <w:r w:rsidRPr="00BA3E7A">
              <w:rPr>
                <w:rFonts w:asciiTheme="minorHAnsi" w:hAnsiTheme="minorHAnsi"/>
                <w:b/>
                <w:bCs/>
                <w:szCs w:val="18"/>
              </w:rPr>
              <w:t>$'000</w:t>
            </w:r>
          </w:p>
        </w:tc>
        <w:tc>
          <w:tcPr>
            <w:tcW w:w="424" w:type="dxa"/>
            <w:tcBorders>
              <w:top w:val="single" w:sz="12" w:space="0" w:color="492581" w:themeColor="accent1"/>
              <w:bottom w:val="single" w:sz="12" w:space="0" w:color="492581" w:themeColor="accent1"/>
            </w:tcBorders>
          </w:tcPr>
          <w:p w14:paraId="30C71DA0" w14:textId="77777777" w:rsidR="00D331D2" w:rsidRPr="00BA3E7A" w:rsidRDefault="00D331D2" w:rsidP="00323290">
            <w:pPr>
              <w:pStyle w:val="VAText"/>
              <w:jc w:val="right"/>
              <w:rPr>
                <w:rFonts w:asciiTheme="minorHAnsi" w:hAnsiTheme="minorHAnsi"/>
                <w:b/>
                <w:bCs/>
                <w:szCs w:val="18"/>
              </w:rPr>
            </w:pPr>
          </w:p>
        </w:tc>
        <w:tc>
          <w:tcPr>
            <w:tcW w:w="1134" w:type="dxa"/>
            <w:tcBorders>
              <w:top w:val="single" w:sz="12" w:space="0" w:color="492581" w:themeColor="accent1"/>
              <w:bottom w:val="single" w:sz="12" w:space="0" w:color="492581" w:themeColor="accent1"/>
            </w:tcBorders>
            <w:vAlign w:val="bottom"/>
          </w:tcPr>
          <w:p w14:paraId="61C85A7D" w14:textId="77777777" w:rsidR="00D331D2" w:rsidRPr="00BA3E7A" w:rsidRDefault="00D331D2" w:rsidP="00323290">
            <w:pPr>
              <w:pStyle w:val="VAText"/>
              <w:jc w:val="right"/>
              <w:rPr>
                <w:rFonts w:asciiTheme="minorHAnsi" w:hAnsiTheme="minorHAnsi"/>
                <w:b/>
                <w:bCs/>
                <w:szCs w:val="18"/>
              </w:rPr>
            </w:pPr>
            <w:r w:rsidRPr="00BA3E7A">
              <w:rPr>
                <w:rFonts w:asciiTheme="minorHAnsi" w:hAnsiTheme="minorHAnsi"/>
                <w:b/>
                <w:bCs/>
                <w:szCs w:val="18"/>
              </w:rPr>
              <w:t xml:space="preserve">Prior </w:t>
            </w:r>
            <w:r w:rsidRPr="00BA3E7A">
              <w:rPr>
                <w:rFonts w:asciiTheme="minorHAnsi" w:hAnsiTheme="minorHAnsi"/>
                <w:b/>
                <w:bCs/>
                <w:szCs w:val="18"/>
              </w:rPr>
              <w:br/>
              <w:t>Years</w:t>
            </w:r>
          </w:p>
          <w:p w14:paraId="5E4465AB" w14:textId="77777777" w:rsidR="00D331D2" w:rsidRPr="00BA3E7A" w:rsidRDefault="00D331D2" w:rsidP="00323290">
            <w:pPr>
              <w:pStyle w:val="VAText"/>
              <w:jc w:val="right"/>
              <w:rPr>
                <w:rFonts w:asciiTheme="minorHAnsi" w:hAnsiTheme="minorHAnsi"/>
                <w:b/>
                <w:bCs/>
                <w:szCs w:val="18"/>
              </w:rPr>
            </w:pPr>
            <w:r w:rsidRPr="00BA3E7A">
              <w:rPr>
                <w:rFonts w:asciiTheme="minorHAnsi" w:hAnsiTheme="minorHAnsi"/>
                <w:b/>
                <w:bCs/>
                <w:szCs w:val="18"/>
              </w:rPr>
              <w:t>$'000</w:t>
            </w:r>
          </w:p>
        </w:tc>
        <w:tc>
          <w:tcPr>
            <w:tcW w:w="1135" w:type="dxa"/>
            <w:tcBorders>
              <w:top w:val="single" w:sz="12" w:space="0" w:color="492581" w:themeColor="accent1"/>
              <w:bottom w:val="single" w:sz="12" w:space="0" w:color="492581" w:themeColor="accent1"/>
            </w:tcBorders>
            <w:vAlign w:val="bottom"/>
          </w:tcPr>
          <w:p w14:paraId="00FD3F6B" w14:textId="77777777" w:rsidR="00D331D2" w:rsidRPr="00412065" w:rsidRDefault="00D331D2" w:rsidP="00323290">
            <w:pPr>
              <w:pStyle w:val="VAText"/>
              <w:tabs>
                <w:tab w:val="left" w:pos="225"/>
              </w:tabs>
              <w:jc w:val="right"/>
              <w:rPr>
                <w:rFonts w:asciiTheme="minorHAnsi" w:hAnsiTheme="minorHAnsi"/>
                <w:b/>
                <w:szCs w:val="18"/>
              </w:rPr>
            </w:pPr>
            <w:r w:rsidRPr="00412065">
              <w:rPr>
                <w:rFonts w:asciiTheme="minorHAnsi" w:hAnsiTheme="minorHAnsi"/>
                <w:b/>
                <w:szCs w:val="18"/>
              </w:rPr>
              <w:br/>
              <w:t>Total</w:t>
            </w:r>
          </w:p>
          <w:p w14:paraId="0E76ADBD" w14:textId="77777777" w:rsidR="00D331D2" w:rsidRPr="00412065" w:rsidRDefault="00D331D2" w:rsidP="00323290">
            <w:pPr>
              <w:pStyle w:val="VAText"/>
              <w:tabs>
                <w:tab w:val="left" w:pos="225"/>
              </w:tabs>
              <w:jc w:val="right"/>
              <w:rPr>
                <w:rFonts w:asciiTheme="minorHAnsi" w:hAnsiTheme="minorHAnsi"/>
                <w:b/>
                <w:szCs w:val="18"/>
              </w:rPr>
            </w:pPr>
            <w:r w:rsidRPr="00412065">
              <w:rPr>
                <w:rFonts w:asciiTheme="minorHAnsi" w:hAnsiTheme="minorHAnsi"/>
                <w:b/>
                <w:szCs w:val="18"/>
              </w:rPr>
              <w:t>$'000</w:t>
            </w:r>
          </w:p>
        </w:tc>
      </w:tr>
      <w:tr w:rsidR="00D331D2" w:rsidRPr="00550A7E" w14:paraId="4945C864" w14:textId="77777777" w:rsidTr="00823A0B">
        <w:trPr>
          <w:cantSplit/>
          <w:trHeight w:val="241"/>
        </w:trPr>
        <w:tc>
          <w:tcPr>
            <w:tcW w:w="4961" w:type="dxa"/>
            <w:tcBorders>
              <w:top w:val="single" w:sz="12" w:space="0" w:color="492581" w:themeColor="accent1"/>
              <w:bottom w:val="nil"/>
            </w:tcBorders>
            <w:vAlign w:val="bottom"/>
          </w:tcPr>
          <w:p w14:paraId="19D2D544" w14:textId="77777777" w:rsidR="00D331D2" w:rsidRPr="00016FCB" w:rsidRDefault="00D331D2" w:rsidP="00323290">
            <w:pPr>
              <w:pStyle w:val="VAText"/>
              <w:spacing w:before="40" w:after="40"/>
              <w:rPr>
                <w:rFonts w:asciiTheme="minorHAnsi" w:hAnsiTheme="minorHAnsi" w:cs="Source Sans Pro Light"/>
                <w:color w:val="000000"/>
                <w:szCs w:val="18"/>
              </w:rPr>
            </w:pPr>
          </w:p>
        </w:tc>
        <w:tc>
          <w:tcPr>
            <w:tcW w:w="850" w:type="dxa"/>
            <w:tcBorders>
              <w:top w:val="single" w:sz="12" w:space="0" w:color="492581" w:themeColor="accent1"/>
              <w:bottom w:val="nil"/>
            </w:tcBorders>
            <w:vAlign w:val="bottom"/>
          </w:tcPr>
          <w:p w14:paraId="484C4388" w14:textId="77777777" w:rsidR="00D331D2" w:rsidRPr="00016FCB" w:rsidRDefault="00D331D2" w:rsidP="00323290">
            <w:pPr>
              <w:pStyle w:val="VAText"/>
              <w:spacing w:before="40" w:after="40"/>
              <w:jc w:val="center"/>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30C78A3B"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424" w:type="dxa"/>
            <w:tcBorders>
              <w:top w:val="single" w:sz="12" w:space="0" w:color="492581" w:themeColor="accent1"/>
              <w:bottom w:val="nil"/>
            </w:tcBorders>
          </w:tcPr>
          <w:p w14:paraId="720EBA65"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1134" w:type="dxa"/>
            <w:tcBorders>
              <w:top w:val="single" w:sz="12" w:space="0" w:color="492581" w:themeColor="accent1"/>
              <w:bottom w:val="nil"/>
            </w:tcBorders>
            <w:vAlign w:val="bottom"/>
          </w:tcPr>
          <w:p w14:paraId="3A11A10A"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515BC949" w14:textId="77777777" w:rsidR="00D331D2" w:rsidRPr="00016FCB" w:rsidRDefault="00D331D2" w:rsidP="00323290">
            <w:pPr>
              <w:pStyle w:val="VAText"/>
              <w:tabs>
                <w:tab w:val="left" w:pos="225"/>
              </w:tabs>
              <w:spacing w:before="40" w:after="40"/>
              <w:jc w:val="right"/>
              <w:rPr>
                <w:rFonts w:asciiTheme="minorHAnsi" w:hAnsiTheme="minorHAnsi" w:cs="Source Sans Pro Light"/>
                <w:color w:val="000000"/>
                <w:szCs w:val="18"/>
              </w:rPr>
            </w:pPr>
          </w:p>
        </w:tc>
      </w:tr>
      <w:tr w:rsidR="00762998" w:rsidRPr="00550A7E" w14:paraId="0CF5C21C" w14:textId="77777777" w:rsidTr="00323290">
        <w:trPr>
          <w:cantSplit/>
          <w:trHeight w:val="164"/>
        </w:trPr>
        <w:tc>
          <w:tcPr>
            <w:tcW w:w="4961" w:type="dxa"/>
            <w:tcBorders>
              <w:top w:val="nil"/>
            </w:tcBorders>
            <w:vAlign w:val="center"/>
          </w:tcPr>
          <w:p w14:paraId="15257A20" w14:textId="77777777" w:rsidR="00762998" w:rsidRPr="00412065" w:rsidRDefault="00762998" w:rsidP="00762998">
            <w:pPr>
              <w:pStyle w:val="VAText"/>
              <w:spacing w:before="40" w:after="40"/>
              <w:ind w:left="119" w:hanging="119"/>
              <w:rPr>
                <w:rFonts w:asciiTheme="minorHAnsi" w:hAnsiTheme="minorHAnsi"/>
                <w:b/>
                <w:szCs w:val="18"/>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tcBorders>
            <w:vAlign w:val="center"/>
          </w:tcPr>
          <w:p w14:paraId="59CAD046" w14:textId="77777777" w:rsidR="00762998" w:rsidRPr="00412065" w:rsidRDefault="00762998" w:rsidP="00762998">
            <w:pPr>
              <w:pStyle w:val="VAText"/>
              <w:spacing w:before="40" w:after="40"/>
              <w:jc w:val="center"/>
              <w:rPr>
                <w:rFonts w:asciiTheme="minorHAnsi" w:hAnsiTheme="minorHAnsi"/>
                <w:szCs w:val="18"/>
              </w:rPr>
            </w:pPr>
          </w:p>
        </w:tc>
        <w:tc>
          <w:tcPr>
            <w:tcW w:w="1135" w:type="dxa"/>
            <w:tcBorders>
              <w:top w:val="nil"/>
              <w:bottom w:val="nil"/>
            </w:tcBorders>
            <w:vAlign w:val="center"/>
          </w:tcPr>
          <w:p w14:paraId="54A5058A" w14:textId="6938A3C1" w:rsidR="00762998" w:rsidRPr="00C57BB5" w:rsidRDefault="00762998" w:rsidP="00762998">
            <w:pPr>
              <w:pStyle w:val="VAText"/>
              <w:spacing w:before="40" w:after="40"/>
              <w:jc w:val="right"/>
              <w:rPr>
                <w:rFonts w:asciiTheme="minorHAnsi" w:hAnsiTheme="minorHAnsi"/>
                <w:szCs w:val="18"/>
                <w:highlight w:val="yellow"/>
              </w:rPr>
            </w:pPr>
            <w:r w:rsidRPr="007F2B39">
              <w:rPr>
                <w:rFonts w:asciiTheme="minorHAnsi" w:hAnsiTheme="minorHAnsi"/>
                <w:color w:val="000000" w:themeColor="text1"/>
              </w:rPr>
              <w:t>(1</w:t>
            </w:r>
            <w:r>
              <w:rPr>
                <w:rFonts w:asciiTheme="minorHAnsi" w:hAnsiTheme="minorHAnsi"/>
                <w:color w:val="000000" w:themeColor="text1"/>
              </w:rPr>
              <w:t>02</w:t>
            </w:r>
            <w:r w:rsidRPr="007F2B39">
              <w:rPr>
                <w:rFonts w:asciiTheme="minorHAnsi" w:hAnsiTheme="minorHAnsi"/>
                <w:color w:val="000000" w:themeColor="text1"/>
              </w:rPr>
              <w:t>,</w:t>
            </w:r>
            <w:r>
              <w:rPr>
                <w:rFonts w:asciiTheme="minorHAnsi" w:hAnsiTheme="minorHAnsi"/>
                <w:color w:val="000000" w:themeColor="text1"/>
              </w:rPr>
              <w:t>663</w:t>
            </w:r>
            <w:r w:rsidRPr="007F2B39">
              <w:rPr>
                <w:rFonts w:asciiTheme="minorHAnsi" w:hAnsiTheme="minorHAnsi"/>
                <w:color w:val="000000" w:themeColor="text1"/>
              </w:rPr>
              <w:t>)</w:t>
            </w:r>
          </w:p>
        </w:tc>
        <w:tc>
          <w:tcPr>
            <w:tcW w:w="424" w:type="dxa"/>
            <w:tcBorders>
              <w:top w:val="nil"/>
              <w:bottom w:val="nil"/>
            </w:tcBorders>
            <w:vAlign w:val="center"/>
          </w:tcPr>
          <w:p w14:paraId="59D25F7D" w14:textId="77777777" w:rsidR="00762998" w:rsidRPr="00C57BB5" w:rsidRDefault="00762998" w:rsidP="00762998">
            <w:pPr>
              <w:pStyle w:val="VAText"/>
              <w:spacing w:before="40" w:after="40"/>
              <w:jc w:val="right"/>
              <w:rPr>
                <w:rFonts w:asciiTheme="minorHAnsi" w:hAnsiTheme="minorHAnsi"/>
                <w:szCs w:val="18"/>
                <w:highlight w:val="yellow"/>
              </w:rPr>
            </w:pPr>
          </w:p>
        </w:tc>
        <w:tc>
          <w:tcPr>
            <w:tcW w:w="1134" w:type="dxa"/>
            <w:tcBorders>
              <w:top w:val="nil"/>
              <w:bottom w:val="nil"/>
            </w:tcBorders>
            <w:vAlign w:val="center"/>
          </w:tcPr>
          <w:p w14:paraId="76A62EE0" w14:textId="3A02F070" w:rsidR="00762998" w:rsidRPr="00C57BB5" w:rsidRDefault="00762998" w:rsidP="00762998">
            <w:pPr>
              <w:pStyle w:val="VAText"/>
              <w:spacing w:before="40" w:after="40"/>
              <w:jc w:val="right"/>
              <w:rPr>
                <w:rFonts w:asciiTheme="minorHAnsi" w:hAnsiTheme="minorHAnsi"/>
                <w:szCs w:val="18"/>
                <w:highlight w:val="yellow"/>
              </w:rPr>
            </w:pPr>
            <w:r w:rsidRPr="007F2B39">
              <w:rPr>
                <w:rFonts w:asciiTheme="minorHAnsi" w:hAnsiTheme="minorHAnsi"/>
                <w:color w:val="000000" w:themeColor="text1"/>
              </w:rPr>
              <w:t>(</w:t>
            </w:r>
            <w:r>
              <w:rPr>
                <w:rFonts w:asciiTheme="minorHAnsi" w:hAnsiTheme="minorHAnsi"/>
                <w:color w:val="000000" w:themeColor="text1"/>
              </w:rPr>
              <w:t>7,947</w:t>
            </w:r>
            <w:r w:rsidRPr="007F2B39">
              <w:rPr>
                <w:rFonts w:asciiTheme="minorHAnsi" w:hAnsiTheme="minorHAnsi"/>
                <w:color w:val="000000" w:themeColor="text1"/>
              </w:rPr>
              <w:t>)</w:t>
            </w:r>
          </w:p>
        </w:tc>
        <w:tc>
          <w:tcPr>
            <w:tcW w:w="1135" w:type="dxa"/>
            <w:tcBorders>
              <w:top w:val="nil"/>
              <w:bottom w:val="nil"/>
            </w:tcBorders>
            <w:vAlign w:val="center"/>
          </w:tcPr>
          <w:p w14:paraId="606139DD" w14:textId="236F2B35" w:rsidR="00762998" w:rsidRPr="00C57BB5" w:rsidRDefault="00762998" w:rsidP="00762998">
            <w:pPr>
              <w:pStyle w:val="VAText"/>
              <w:tabs>
                <w:tab w:val="left" w:pos="225"/>
              </w:tabs>
              <w:spacing w:before="40" w:after="40"/>
              <w:jc w:val="right"/>
              <w:rPr>
                <w:rFonts w:asciiTheme="minorHAnsi" w:hAnsiTheme="minorHAnsi"/>
                <w:bCs/>
                <w:szCs w:val="18"/>
                <w:highlight w:val="yellow"/>
              </w:rPr>
            </w:pPr>
            <w:r w:rsidRPr="007F2B39">
              <w:rPr>
                <w:rFonts w:asciiTheme="minorHAnsi" w:hAnsiTheme="minorHAnsi"/>
                <w:color w:val="000000" w:themeColor="text1"/>
              </w:rPr>
              <w:t>(1</w:t>
            </w:r>
            <w:r>
              <w:rPr>
                <w:rFonts w:asciiTheme="minorHAnsi" w:hAnsiTheme="minorHAnsi"/>
                <w:color w:val="000000" w:themeColor="text1"/>
              </w:rPr>
              <w:t>10</w:t>
            </w:r>
            <w:r w:rsidRPr="007F2B39">
              <w:rPr>
                <w:rFonts w:asciiTheme="minorHAnsi" w:hAnsiTheme="minorHAnsi"/>
                <w:color w:val="000000" w:themeColor="text1"/>
              </w:rPr>
              <w:t>,</w:t>
            </w:r>
            <w:r>
              <w:rPr>
                <w:rFonts w:asciiTheme="minorHAnsi" w:hAnsiTheme="minorHAnsi"/>
                <w:color w:val="000000" w:themeColor="text1"/>
              </w:rPr>
              <w:t>610</w:t>
            </w:r>
            <w:r w:rsidRPr="007F2B39">
              <w:rPr>
                <w:rFonts w:asciiTheme="minorHAnsi" w:hAnsiTheme="minorHAnsi"/>
                <w:color w:val="000000" w:themeColor="text1"/>
              </w:rPr>
              <w:t>)</w:t>
            </w:r>
          </w:p>
        </w:tc>
      </w:tr>
      <w:tr w:rsidR="00762998" w:rsidRPr="00550A7E" w14:paraId="03A96EF8" w14:textId="77777777" w:rsidTr="00323290">
        <w:trPr>
          <w:cantSplit/>
          <w:trHeight w:val="164"/>
        </w:trPr>
        <w:tc>
          <w:tcPr>
            <w:tcW w:w="4961" w:type="dxa"/>
            <w:vAlign w:val="center"/>
          </w:tcPr>
          <w:p w14:paraId="4B245216" w14:textId="77777777" w:rsidR="00762998" w:rsidRPr="00412065" w:rsidRDefault="00762998" w:rsidP="00762998">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vAlign w:val="center"/>
          </w:tcPr>
          <w:p w14:paraId="4B6DEC62" w14:textId="77777777" w:rsidR="00762998" w:rsidRPr="00412065" w:rsidRDefault="00762998" w:rsidP="00762998">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3125600" w14:textId="7E7DB248" w:rsidR="00762998" w:rsidRPr="00C57BB5" w:rsidRDefault="00762998" w:rsidP="00762998">
            <w:pPr>
              <w:pStyle w:val="VAText"/>
              <w:spacing w:before="40" w:after="40"/>
              <w:jc w:val="right"/>
              <w:rPr>
                <w:rFonts w:asciiTheme="minorHAnsi" w:hAnsiTheme="minorHAnsi"/>
                <w:bCs/>
                <w:szCs w:val="18"/>
                <w:highlight w:val="yellow"/>
              </w:rPr>
            </w:pPr>
            <w:r>
              <w:rPr>
                <w:rFonts w:asciiTheme="minorHAnsi" w:hAnsiTheme="minorHAnsi"/>
                <w:color w:val="000000" w:themeColor="text1"/>
              </w:rPr>
              <w:t>18</w:t>
            </w:r>
            <w:r w:rsidRPr="007F2B39">
              <w:rPr>
                <w:rFonts w:asciiTheme="minorHAnsi" w:hAnsiTheme="minorHAnsi"/>
                <w:color w:val="000000" w:themeColor="text1"/>
              </w:rPr>
              <w:t>,</w:t>
            </w:r>
            <w:r>
              <w:rPr>
                <w:rFonts w:asciiTheme="minorHAnsi" w:hAnsiTheme="minorHAnsi"/>
                <w:color w:val="000000" w:themeColor="text1"/>
              </w:rPr>
              <w:t>37</w:t>
            </w:r>
            <w:r w:rsidRPr="007F2B39">
              <w:rPr>
                <w:rFonts w:asciiTheme="minorHAnsi" w:hAnsiTheme="minorHAnsi"/>
                <w:color w:val="000000" w:themeColor="text1"/>
              </w:rPr>
              <w:t>6</w:t>
            </w:r>
          </w:p>
        </w:tc>
        <w:tc>
          <w:tcPr>
            <w:tcW w:w="424" w:type="dxa"/>
            <w:tcBorders>
              <w:top w:val="nil"/>
              <w:bottom w:val="single" w:sz="4" w:space="0" w:color="auto"/>
            </w:tcBorders>
            <w:vAlign w:val="center"/>
          </w:tcPr>
          <w:p w14:paraId="017A1525" w14:textId="77777777" w:rsidR="00762998" w:rsidRPr="00C57BB5" w:rsidRDefault="00762998" w:rsidP="00762998">
            <w:pPr>
              <w:pStyle w:val="VAText"/>
              <w:spacing w:before="40" w:after="40"/>
              <w:jc w:val="right"/>
              <w:rPr>
                <w:rFonts w:asciiTheme="minorHAnsi" w:hAnsiTheme="minorHAnsi"/>
                <w:bCs/>
                <w:szCs w:val="18"/>
                <w:highlight w:val="yellow"/>
              </w:rPr>
            </w:pPr>
          </w:p>
        </w:tc>
        <w:tc>
          <w:tcPr>
            <w:tcW w:w="1134" w:type="dxa"/>
            <w:tcBorders>
              <w:top w:val="nil"/>
              <w:bottom w:val="single" w:sz="4" w:space="0" w:color="auto"/>
            </w:tcBorders>
            <w:vAlign w:val="center"/>
          </w:tcPr>
          <w:p w14:paraId="4389E96F" w14:textId="62C2229A" w:rsidR="00762998" w:rsidRPr="00C57BB5" w:rsidRDefault="00762998" w:rsidP="00762998">
            <w:pPr>
              <w:pStyle w:val="VAText"/>
              <w:spacing w:before="40" w:after="40"/>
              <w:jc w:val="right"/>
              <w:rPr>
                <w:rFonts w:asciiTheme="minorHAnsi" w:hAnsiTheme="minorHAnsi"/>
                <w:bCs/>
                <w:szCs w:val="18"/>
                <w:highlight w:val="yellow"/>
              </w:rPr>
            </w:pPr>
            <w:r w:rsidRPr="007F2B39">
              <w:rPr>
                <w:rFonts w:asciiTheme="minorHAnsi" w:hAnsiTheme="minorHAnsi"/>
                <w:color w:val="000000" w:themeColor="text1"/>
              </w:rPr>
              <w:t>(</w:t>
            </w:r>
            <w:r>
              <w:rPr>
                <w:rFonts w:asciiTheme="minorHAnsi" w:hAnsiTheme="minorHAnsi"/>
                <w:color w:val="000000" w:themeColor="text1"/>
              </w:rPr>
              <w:t>5</w:t>
            </w:r>
            <w:r w:rsidRPr="007F2B39">
              <w:rPr>
                <w:rFonts w:asciiTheme="minorHAnsi" w:hAnsiTheme="minorHAnsi"/>
                <w:color w:val="000000" w:themeColor="text1"/>
              </w:rPr>
              <w:t>,</w:t>
            </w:r>
            <w:r>
              <w:rPr>
                <w:rFonts w:asciiTheme="minorHAnsi" w:hAnsiTheme="minorHAnsi"/>
                <w:color w:val="000000" w:themeColor="text1"/>
              </w:rPr>
              <w:t>875</w:t>
            </w:r>
            <w:r w:rsidRPr="007F2B39">
              <w:rPr>
                <w:rFonts w:asciiTheme="minorHAnsi" w:hAnsiTheme="minorHAnsi"/>
                <w:color w:val="000000" w:themeColor="text1"/>
              </w:rPr>
              <w:t>)</w:t>
            </w:r>
          </w:p>
        </w:tc>
        <w:tc>
          <w:tcPr>
            <w:tcW w:w="1135" w:type="dxa"/>
            <w:tcBorders>
              <w:top w:val="nil"/>
              <w:bottom w:val="single" w:sz="4" w:space="0" w:color="auto"/>
            </w:tcBorders>
            <w:vAlign w:val="center"/>
          </w:tcPr>
          <w:p w14:paraId="1CCD1B9F" w14:textId="0B64F3BC" w:rsidR="00762998" w:rsidRPr="00C57BB5" w:rsidRDefault="00762998" w:rsidP="00762998">
            <w:pPr>
              <w:pStyle w:val="VAText"/>
              <w:tabs>
                <w:tab w:val="left" w:pos="225"/>
              </w:tabs>
              <w:spacing w:before="40" w:after="40"/>
              <w:jc w:val="right"/>
              <w:rPr>
                <w:rFonts w:asciiTheme="minorHAnsi" w:hAnsiTheme="minorHAnsi"/>
                <w:bCs/>
                <w:szCs w:val="18"/>
                <w:highlight w:val="yellow"/>
              </w:rPr>
            </w:pPr>
            <w:r w:rsidRPr="007F2B39">
              <w:rPr>
                <w:rFonts w:asciiTheme="minorHAnsi" w:hAnsiTheme="minorHAnsi"/>
                <w:color w:val="000000" w:themeColor="text1"/>
              </w:rPr>
              <w:t>1</w:t>
            </w:r>
            <w:r>
              <w:rPr>
                <w:rFonts w:asciiTheme="minorHAnsi" w:hAnsiTheme="minorHAnsi"/>
                <w:color w:val="000000" w:themeColor="text1"/>
              </w:rPr>
              <w:t>2</w:t>
            </w:r>
            <w:r w:rsidRPr="007F2B39">
              <w:rPr>
                <w:rFonts w:asciiTheme="minorHAnsi" w:hAnsiTheme="minorHAnsi"/>
                <w:color w:val="000000" w:themeColor="text1"/>
              </w:rPr>
              <w:t>,</w:t>
            </w:r>
            <w:r>
              <w:rPr>
                <w:rFonts w:asciiTheme="minorHAnsi" w:hAnsiTheme="minorHAnsi"/>
                <w:color w:val="000000" w:themeColor="text1"/>
              </w:rPr>
              <w:t>500</w:t>
            </w:r>
          </w:p>
        </w:tc>
      </w:tr>
      <w:tr w:rsidR="00762998" w:rsidRPr="004B1A9E" w14:paraId="0E25FC0A" w14:textId="77777777" w:rsidTr="00323290">
        <w:trPr>
          <w:cantSplit/>
          <w:trHeight w:val="177"/>
        </w:trPr>
        <w:tc>
          <w:tcPr>
            <w:tcW w:w="4961" w:type="dxa"/>
            <w:vAlign w:val="center"/>
          </w:tcPr>
          <w:p w14:paraId="1612C928" w14:textId="77777777" w:rsidR="00762998" w:rsidRPr="000E1823" w:rsidRDefault="00762998" w:rsidP="00762998">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69BBCBAF" w14:textId="77777777" w:rsidR="00762998" w:rsidRPr="00412065" w:rsidRDefault="00762998" w:rsidP="00762998">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6481F5B4" w14:textId="4F99792E" w:rsidR="00762998" w:rsidRPr="00C57BB5" w:rsidRDefault="00762998" w:rsidP="00762998">
            <w:pPr>
              <w:pStyle w:val="VAText"/>
              <w:spacing w:before="40" w:after="40"/>
              <w:jc w:val="right"/>
              <w:rPr>
                <w:rFonts w:asciiTheme="minorHAnsi" w:hAnsiTheme="minorHAnsi"/>
                <w:b/>
                <w:bCs/>
                <w:szCs w:val="18"/>
                <w:highlight w:val="yellow"/>
              </w:rPr>
            </w:pPr>
            <w:r w:rsidRPr="007F2B39">
              <w:rPr>
                <w:rFonts w:asciiTheme="minorHAnsi" w:hAnsiTheme="minorHAnsi"/>
                <w:b/>
                <w:color w:val="000000" w:themeColor="text1"/>
              </w:rPr>
              <w:t>(8</w:t>
            </w:r>
            <w:r>
              <w:rPr>
                <w:rFonts w:asciiTheme="minorHAnsi" w:hAnsiTheme="minorHAnsi"/>
                <w:b/>
                <w:color w:val="000000" w:themeColor="text1"/>
              </w:rPr>
              <w:t>4</w:t>
            </w:r>
            <w:r w:rsidRPr="007F2B39">
              <w:rPr>
                <w:rFonts w:asciiTheme="minorHAnsi" w:hAnsiTheme="minorHAnsi"/>
                <w:b/>
                <w:color w:val="000000" w:themeColor="text1"/>
              </w:rPr>
              <w:t>,</w:t>
            </w:r>
            <w:r>
              <w:rPr>
                <w:rFonts w:asciiTheme="minorHAnsi" w:hAnsiTheme="minorHAnsi"/>
                <w:b/>
                <w:bCs/>
                <w:color w:val="000000" w:themeColor="text1"/>
              </w:rPr>
              <w:t>288</w:t>
            </w:r>
            <w:r w:rsidRPr="007F2B39">
              <w:rPr>
                <w:rFonts w:asciiTheme="minorHAnsi" w:hAnsiTheme="minorHAnsi"/>
                <w:b/>
                <w:color w:val="000000" w:themeColor="text1"/>
              </w:rPr>
              <w:t>)</w:t>
            </w:r>
          </w:p>
        </w:tc>
        <w:tc>
          <w:tcPr>
            <w:tcW w:w="424" w:type="dxa"/>
            <w:tcBorders>
              <w:top w:val="single" w:sz="4" w:space="0" w:color="auto"/>
              <w:bottom w:val="single" w:sz="4" w:space="0" w:color="auto"/>
            </w:tcBorders>
            <w:vAlign w:val="center"/>
          </w:tcPr>
          <w:p w14:paraId="68BBE144" w14:textId="77777777" w:rsidR="00762998" w:rsidRPr="00C57BB5" w:rsidRDefault="00762998" w:rsidP="00762998">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4" w:space="0" w:color="auto"/>
            </w:tcBorders>
            <w:vAlign w:val="center"/>
          </w:tcPr>
          <w:p w14:paraId="0ABDD69B" w14:textId="75E0C82D" w:rsidR="00762998" w:rsidRPr="00C57BB5" w:rsidRDefault="00762998" w:rsidP="00762998">
            <w:pPr>
              <w:pStyle w:val="VAText"/>
              <w:spacing w:before="40" w:after="40"/>
              <w:jc w:val="right"/>
              <w:rPr>
                <w:rFonts w:asciiTheme="minorHAnsi" w:hAnsiTheme="minorHAnsi"/>
                <w:b/>
                <w:bCs/>
                <w:szCs w:val="18"/>
                <w:highlight w:val="yellow"/>
              </w:rPr>
            </w:pPr>
            <w:r w:rsidRPr="007F2B39">
              <w:rPr>
                <w:rFonts w:asciiTheme="minorHAnsi" w:hAnsiTheme="minorHAnsi"/>
                <w:b/>
                <w:color w:val="000000" w:themeColor="text1"/>
              </w:rPr>
              <w:t>(1</w:t>
            </w:r>
            <w:r>
              <w:rPr>
                <w:rFonts w:asciiTheme="minorHAnsi" w:hAnsiTheme="minorHAnsi"/>
                <w:b/>
                <w:color w:val="000000" w:themeColor="text1"/>
              </w:rPr>
              <w:t>3</w:t>
            </w:r>
            <w:r w:rsidRPr="007F2B39">
              <w:rPr>
                <w:rFonts w:asciiTheme="minorHAnsi" w:hAnsiTheme="minorHAnsi"/>
                <w:b/>
                <w:color w:val="000000" w:themeColor="text1"/>
              </w:rPr>
              <w:t>,</w:t>
            </w:r>
            <w:r>
              <w:rPr>
                <w:rFonts w:asciiTheme="minorHAnsi" w:hAnsiTheme="minorHAnsi"/>
                <w:b/>
                <w:bCs/>
                <w:color w:val="000000" w:themeColor="text1"/>
              </w:rPr>
              <w:t>822</w:t>
            </w:r>
            <w:r w:rsidRPr="007F2B39">
              <w:rPr>
                <w:rFonts w:asciiTheme="minorHAnsi" w:hAnsiTheme="minorHAnsi"/>
                <w:b/>
                <w:color w:val="000000" w:themeColor="text1"/>
              </w:rPr>
              <w:t>)</w:t>
            </w:r>
          </w:p>
        </w:tc>
        <w:tc>
          <w:tcPr>
            <w:tcW w:w="1135" w:type="dxa"/>
            <w:tcBorders>
              <w:top w:val="single" w:sz="4" w:space="0" w:color="auto"/>
              <w:bottom w:val="single" w:sz="4" w:space="0" w:color="auto"/>
            </w:tcBorders>
            <w:vAlign w:val="center"/>
          </w:tcPr>
          <w:p w14:paraId="2FDEB72D" w14:textId="1476D149" w:rsidR="00762998" w:rsidRPr="00C57BB5" w:rsidRDefault="00762998" w:rsidP="00762998">
            <w:pPr>
              <w:pStyle w:val="VAText"/>
              <w:tabs>
                <w:tab w:val="left" w:pos="225"/>
              </w:tabs>
              <w:spacing w:before="40" w:after="40"/>
              <w:jc w:val="right"/>
              <w:rPr>
                <w:rFonts w:asciiTheme="minorHAnsi" w:hAnsiTheme="minorHAnsi"/>
                <w:b/>
                <w:szCs w:val="18"/>
                <w:highlight w:val="yellow"/>
              </w:rPr>
            </w:pPr>
            <w:r w:rsidRPr="007F2B39">
              <w:rPr>
                <w:rFonts w:asciiTheme="minorHAnsi" w:hAnsiTheme="minorHAnsi"/>
                <w:b/>
                <w:color w:val="000000" w:themeColor="text1"/>
              </w:rPr>
              <w:t>(</w:t>
            </w:r>
            <w:r>
              <w:rPr>
                <w:rFonts w:asciiTheme="minorHAnsi" w:hAnsiTheme="minorHAnsi"/>
                <w:b/>
                <w:color w:val="000000" w:themeColor="text1"/>
              </w:rPr>
              <w:t>98</w:t>
            </w:r>
            <w:r w:rsidRPr="007F2B39">
              <w:rPr>
                <w:rFonts w:asciiTheme="minorHAnsi" w:hAnsiTheme="minorHAnsi"/>
                <w:b/>
                <w:color w:val="000000" w:themeColor="text1"/>
              </w:rPr>
              <w:t>,</w:t>
            </w:r>
            <w:r>
              <w:rPr>
                <w:rFonts w:asciiTheme="minorHAnsi" w:hAnsiTheme="minorHAnsi"/>
                <w:b/>
                <w:bCs/>
                <w:color w:val="000000" w:themeColor="text1"/>
              </w:rPr>
              <w:t>110</w:t>
            </w:r>
            <w:r w:rsidRPr="007F2B39">
              <w:rPr>
                <w:rFonts w:asciiTheme="minorHAnsi" w:hAnsiTheme="minorHAnsi"/>
                <w:b/>
                <w:color w:val="000000" w:themeColor="text1"/>
              </w:rPr>
              <w:t>)</w:t>
            </w:r>
          </w:p>
        </w:tc>
      </w:tr>
      <w:tr w:rsidR="00762998" w:rsidRPr="004B1A9E" w14:paraId="4D9F8AC2" w14:textId="77777777" w:rsidTr="00F026A4">
        <w:trPr>
          <w:cantSplit/>
          <w:trHeight w:val="177"/>
        </w:trPr>
        <w:tc>
          <w:tcPr>
            <w:tcW w:w="4961" w:type="dxa"/>
            <w:vAlign w:val="center"/>
          </w:tcPr>
          <w:p w14:paraId="6242B212" w14:textId="77777777" w:rsidR="00762998" w:rsidRPr="00412065" w:rsidRDefault="00762998" w:rsidP="00762998">
            <w:pPr>
              <w:pStyle w:val="VAText"/>
              <w:spacing w:before="40" w:after="40"/>
              <w:rPr>
                <w:rFonts w:asciiTheme="minorHAnsi" w:hAnsiTheme="minorHAnsi"/>
                <w:szCs w:val="18"/>
              </w:rPr>
            </w:pPr>
          </w:p>
        </w:tc>
        <w:tc>
          <w:tcPr>
            <w:tcW w:w="850" w:type="dxa"/>
            <w:tcBorders>
              <w:bottom w:val="nil"/>
            </w:tcBorders>
            <w:vAlign w:val="center"/>
          </w:tcPr>
          <w:p w14:paraId="33B63D59" w14:textId="77777777" w:rsidR="00762998" w:rsidRPr="00412065" w:rsidRDefault="00762998" w:rsidP="00762998">
            <w:pPr>
              <w:pStyle w:val="VAText"/>
              <w:spacing w:before="40" w:after="40"/>
              <w:jc w:val="center"/>
              <w:rPr>
                <w:rFonts w:asciiTheme="minorHAnsi" w:hAnsiTheme="minorHAnsi"/>
                <w:szCs w:val="18"/>
              </w:rPr>
            </w:pPr>
          </w:p>
        </w:tc>
        <w:tc>
          <w:tcPr>
            <w:tcW w:w="1135" w:type="dxa"/>
            <w:tcBorders>
              <w:top w:val="single" w:sz="4" w:space="0" w:color="auto"/>
            </w:tcBorders>
            <w:vAlign w:val="center"/>
          </w:tcPr>
          <w:p w14:paraId="715C4CE1" w14:textId="77777777" w:rsidR="00762998" w:rsidRPr="00C57BB5" w:rsidRDefault="00762998" w:rsidP="00762998">
            <w:pPr>
              <w:pStyle w:val="VAText"/>
              <w:spacing w:before="40" w:after="40"/>
              <w:jc w:val="right"/>
              <w:rPr>
                <w:rFonts w:asciiTheme="minorHAnsi" w:hAnsiTheme="minorHAnsi"/>
                <w:szCs w:val="18"/>
                <w:highlight w:val="yellow"/>
              </w:rPr>
            </w:pPr>
          </w:p>
        </w:tc>
        <w:tc>
          <w:tcPr>
            <w:tcW w:w="424" w:type="dxa"/>
            <w:tcBorders>
              <w:top w:val="single" w:sz="4" w:space="0" w:color="auto"/>
            </w:tcBorders>
            <w:vAlign w:val="center"/>
          </w:tcPr>
          <w:p w14:paraId="7CFE53DD" w14:textId="77777777" w:rsidR="00762998" w:rsidRPr="00C57BB5" w:rsidRDefault="00762998" w:rsidP="00762998">
            <w:pPr>
              <w:pStyle w:val="VAText"/>
              <w:spacing w:before="40" w:after="40"/>
              <w:jc w:val="right"/>
              <w:rPr>
                <w:rFonts w:asciiTheme="minorHAnsi" w:hAnsiTheme="minorHAnsi"/>
                <w:szCs w:val="18"/>
                <w:highlight w:val="yellow"/>
              </w:rPr>
            </w:pPr>
          </w:p>
        </w:tc>
        <w:tc>
          <w:tcPr>
            <w:tcW w:w="1134" w:type="dxa"/>
            <w:tcBorders>
              <w:top w:val="single" w:sz="4" w:space="0" w:color="auto"/>
            </w:tcBorders>
            <w:vAlign w:val="center"/>
          </w:tcPr>
          <w:p w14:paraId="43E43680" w14:textId="77777777" w:rsidR="00762998" w:rsidRPr="00C57BB5" w:rsidRDefault="00762998" w:rsidP="00762998">
            <w:pPr>
              <w:pStyle w:val="VAText"/>
              <w:spacing w:before="40" w:after="40"/>
              <w:jc w:val="right"/>
              <w:rPr>
                <w:rFonts w:asciiTheme="minorHAnsi" w:hAnsiTheme="minorHAnsi"/>
                <w:szCs w:val="18"/>
                <w:highlight w:val="yellow"/>
              </w:rPr>
            </w:pPr>
          </w:p>
        </w:tc>
        <w:tc>
          <w:tcPr>
            <w:tcW w:w="1135" w:type="dxa"/>
            <w:tcBorders>
              <w:top w:val="single" w:sz="4" w:space="0" w:color="auto"/>
            </w:tcBorders>
            <w:vAlign w:val="center"/>
          </w:tcPr>
          <w:p w14:paraId="250BB806" w14:textId="77777777" w:rsidR="00762998" w:rsidRPr="00C57BB5" w:rsidRDefault="00762998" w:rsidP="00762998">
            <w:pPr>
              <w:pStyle w:val="VAText"/>
              <w:tabs>
                <w:tab w:val="left" w:pos="225"/>
              </w:tabs>
              <w:spacing w:before="40" w:after="40"/>
              <w:jc w:val="right"/>
              <w:rPr>
                <w:rFonts w:asciiTheme="minorHAnsi" w:hAnsiTheme="minorHAnsi"/>
                <w:b/>
                <w:szCs w:val="18"/>
                <w:highlight w:val="yellow"/>
              </w:rPr>
            </w:pPr>
          </w:p>
        </w:tc>
      </w:tr>
      <w:tr w:rsidR="00762998" w:rsidRPr="004B1A9E" w14:paraId="619AA16D" w14:textId="77777777" w:rsidTr="00F026A4">
        <w:trPr>
          <w:cantSplit/>
          <w:trHeight w:val="177"/>
        </w:trPr>
        <w:tc>
          <w:tcPr>
            <w:tcW w:w="4961" w:type="dxa"/>
            <w:tcBorders>
              <w:bottom w:val="nil"/>
            </w:tcBorders>
            <w:vAlign w:val="center"/>
          </w:tcPr>
          <w:p w14:paraId="7C9B0060" w14:textId="77777777" w:rsidR="00762998" w:rsidRPr="00303295" w:rsidRDefault="00762998" w:rsidP="00762998">
            <w:pPr>
              <w:pStyle w:val="VAText"/>
              <w:spacing w:before="40" w:after="40"/>
              <w:rPr>
                <w:rFonts w:asciiTheme="minorHAnsi" w:hAnsiTheme="minorHAnsi"/>
                <w:b/>
                <w:szCs w:val="18"/>
                <w:vertAlign w:val="superscript"/>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top w:val="nil"/>
              <w:bottom w:val="nil"/>
            </w:tcBorders>
            <w:vAlign w:val="center"/>
          </w:tcPr>
          <w:p w14:paraId="616A6327" w14:textId="77777777" w:rsidR="00762998" w:rsidRPr="00412065" w:rsidRDefault="00762998" w:rsidP="00762998">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496AA7CF" w14:textId="2FFC5C81" w:rsidR="00762998" w:rsidRPr="00C57BB5" w:rsidRDefault="00762998" w:rsidP="00762998">
            <w:pPr>
              <w:pStyle w:val="VAText"/>
              <w:spacing w:before="40" w:after="40"/>
              <w:jc w:val="right"/>
              <w:rPr>
                <w:rFonts w:asciiTheme="minorHAnsi" w:hAnsiTheme="minorHAnsi"/>
                <w:szCs w:val="18"/>
                <w:highlight w:val="yellow"/>
              </w:rPr>
            </w:pPr>
            <w:r>
              <w:rPr>
                <w:rFonts w:asciiTheme="minorHAnsi" w:hAnsiTheme="minorHAnsi"/>
                <w:color w:val="000000" w:themeColor="text1"/>
              </w:rPr>
              <w:t>-</w:t>
            </w:r>
          </w:p>
        </w:tc>
        <w:tc>
          <w:tcPr>
            <w:tcW w:w="424" w:type="dxa"/>
            <w:tcBorders>
              <w:top w:val="nil"/>
              <w:bottom w:val="single" w:sz="4" w:space="0" w:color="auto"/>
            </w:tcBorders>
            <w:vAlign w:val="center"/>
          </w:tcPr>
          <w:p w14:paraId="1BB48578" w14:textId="77777777" w:rsidR="00762998" w:rsidRPr="00C57BB5" w:rsidRDefault="00762998" w:rsidP="00762998">
            <w:pPr>
              <w:pStyle w:val="VAText"/>
              <w:spacing w:before="40" w:after="40"/>
              <w:jc w:val="right"/>
              <w:rPr>
                <w:rFonts w:asciiTheme="minorHAnsi" w:hAnsiTheme="minorHAnsi"/>
                <w:szCs w:val="18"/>
                <w:highlight w:val="yellow"/>
              </w:rPr>
            </w:pPr>
          </w:p>
        </w:tc>
        <w:tc>
          <w:tcPr>
            <w:tcW w:w="1134" w:type="dxa"/>
            <w:tcBorders>
              <w:top w:val="nil"/>
              <w:bottom w:val="single" w:sz="4" w:space="0" w:color="auto"/>
            </w:tcBorders>
            <w:vAlign w:val="center"/>
          </w:tcPr>
          <w:p w14:paraId="77711B31" w14:textId="5D1EA42D" w:rsidR="00762998" w:rsidRPr="00C57BB5" w:rsidRDefault="00762998" w:rsidP="00762998">
            <w:pPr>
              <w:pStyle w:val="VAText"/>
              <w:spacing w:before="40" w:after="40"/>
              <w:jc w:val="right"/>
              <w:rPr>
                <w:rFonts w:asciiTheme="minorHAnsi" w:hAnsiTheme="minorHAnsi"/>
                <w:szCs w:val="18"/>
                <w:highlight w:val="yellow"/>
              </w:rPr>
            </w:pPr>
            <w:r w:rsidRPr="007F2B39">
              <w:rPr>
                <w:rFonts w:asciiTheme="minorHAnsi" w:hAnsiTheme="minorHAnsi"/>
                <w:color w:val="000000" w:themeColor="text1"/>
              </w:rPr>
              <w:t>19,</w:t>
            </w:r>
            <w:r>
              <w:rPr>
                <w:rFonts w:asciiTheme="minorHAnsi" w:hAnsiTheme="minorHAnsi"/>
                <w:color w:val="000000" w:themeColor="text1"/>
              </w:rPr>
              <w:t>742</w:t>
            </w:r>
          </w:p>
        </w:tc>
        <w:tc>
          <w:tcPr>
            <w:tcW w:w="1135" w:type="dxa"/>
            <w:tcBorders>
              <w:top w:val="nil"/>
              <w:bottom w:val="single" w:sz="4" w:space="0" w:color="auto"/>
            </w:tcBorders>
            <w:vAlign w:val="center"/>
          </w:tcPr>
          <w:p w14:paraId="492D1565" w14:textId="714F85D5" w:rsidR="00762998" w:rsidRPr="00C57BB5" w:rsidRDefault="00762998" w:rsidP="00762998">
            <w:pPr>
              <w:pStyle w:val="VAText"/>
              <w:tabs>
                <w:tab w:val="left" w:pos="225"/>
              </w:tabs>
              <w:spacing w:before="40" w:after="40"/>
              <w:jc w:val="right"/>
              <w:rPr>
                <w:rFonts w:asciiTheme="minorHAnsi" w:hAnsiTheme="minorHAnsi"/>
                <w:bCs/>
                <w:szCs w:val="18"/>
                <w:highlight w:val="yellow"/>
              </w:rPr>
            </w:pPr>
            <w:r w:rsidRPr="007F2B39">
              <w:rPr>
                <w:rFonts w:asciiTheme="minorHAnsi" w:hAnsiTheme="minorHAnsi"/>
                <w:color w:val="000000" w:themeColor="text1"/>
              </w:rPr>
              <w:t>19,</w:t>
            </w:r>
            <w:r>
              <w:rPr>
                <w:rFonts w:asciiTheme="minorHAnsi" w:hAnsiTheme="minorHAnsi"/>
                <w:color w:val="000000" w:themeColor="text1"/>
              </w:rPr>
              <w:t>742</w:t>
            </w:r>
          </w:p>
        </w:tc>
      </w:tr>
      <w:tr w:rsidR="00762998" w:rsidRPr="004B1A9E" w14:paraId="4BB19B74" w14:textId="77777777" w:rsidTr="00F026A4">
        <w:trPr>
          <w:cantSplit/>
          <w:trHeight w:val="177"/>
        </w:trPr>
        <w:tc>
          <w:tcPr>
            <w:tcW w:w="4961" w:type="dxa"/>
            <w:tcBorders>
              <w:top w:val="nil"/>
              <w:bottom w:val="single" w:sz="12" w:space="0" w:color="492581" w:themeColor="accent1"/>
            </w:tcBorders>
            <w:vAlign w:val="center"/>
          </w:tcPr>
          <w:p w14:paraId="042FB55B" w14:textId="77777777" w:rsidR="00762998" w:rsidRPr="00443AB6" w:rsidRDefault="00762998" w:rsidP="00762998">
            <w:pPr>
              <w:pStyle w:val="VAText"/>
              <w:spacing w:before="40" w:after="40"/>
              <w:rPr>
                <w:rFonts w:asciiTheme="minorHAnsi" w:hAnsiTheme="minorHAnsi"/>
                <w:bCs/>
                <w:szCs w:val="18"/>
                <w:vertAlign w:val="superscript"/>
              </w:rPr>
            </w:pPr>
            <w:r>
              <w:rPr>
                <w:rFonts w:asciiTheme="minorHAnsi" w:hAnsiTheme="minorHAnsi"/>
                <w:b/>
                <w:szCs w:val="18"/>
              </w:rPr>
              <w:t>Net Incurred Claims</w:t>
            </w:r>
          </w:p>
        </w:tc>
        <w:tc>
          <w:tcPr>
            <w:tcW w:w="850" w:type="dxa"/>
            <w:tcBorders>
              <w:top w:val="nil"/>
              <w:bottom w:val="single" w:sz="12" w:space="0" w:color="492581" w:themeColor="accent1"/>
            </w:tcBorders>
            <w:vAlign w:val="center"/>
          </w:tcPr>
          <w:p w14:paraId="354D26F8" w14:textId="77777777" w:rsidR="00762998" w:rsidRDefault="00762998" w:rsidP="00762998">
            <w:pPr>
              <w:pStyle w:val="VAText"/>
              <w:spacing w:before="40" w:after="40"/>
              <w:jc w:val="center"/>
              <w:rPr>
                <w:rFonts w:asciiTheme="minorHAnsi" w:hAnsiTheme="minorHAnsi"/>
                <w:szCs w:val="18"/>
              </w:rPr>
            </w:pPr>
          </w:p>
        </w:tc>
        <w:tc>
          <w:tcPr>
            <w:tcW w:w="1135" w:type="dxa"/>
            <w:tcBorders>
              <w:top w:val="single" w:sz="4" w:space="0" w:color="auto"/>
              <w:bottom w:val="single" w:sz="12" w:space="0" w:color="492581" w:themeColor="accent1"/>
            </w:tcBorders>
            <w:vAlign w:val="center"/>
          </w:tcPr>
          <w:p w14:paraId="6BDCD9CC" w14:textId="0A8A0DD0" w:rsidR="00762998" w:rsidRPr="00C57BB5" w:rsidRDefault="00762998" w:rsidP="00762998">
            <w:pPr>
              <w:pStyle w:val="VAText"/>
              <w:spacing w:before="40" w:after="40"/>
              <w:jc w:val="right"/>
              <w:rPr>
                <w:rFonts w:asciiTheme="minorHAnsi" w:hAnsiTheme="minorHAnsi"/>
                <w:b/>
                <w:bCs/>
                <w:szCs w:val="18"/>
                <w:highlight w:val="yellow"/>
              </w:rPr>
            </w:pPr>
            <w:r w:rsidRPr="007F2B39">
              <w:rPr>
                <w:rFonts w:asciiTheme="minorHAnsi" w:hAnsiTheme="minorHAnsi"/>
                <w:b/>
                <w:color w:val="000000" w:themeColor="text1"/>
              </w:rPr>
              <w:t>(8</w:t>
            </w:r>
            <w:r>
              <w:rPr>
                <w:rFonts w:asciiTheme="minorHAnsi" w:hAnsiTheme="minorHAnsi"/>
                <w:b/>
                <w:color w:val="000000" w:themeColor="text1"/>
              </w:rPr>
              <w:t>4</w:t>
            </w:r>
            <w:r w:rsidRPr="007F2B39">
              <w:rPr>
                <w:rFonts w:asciiTheme="minorHAnsi" w:hAnsiTheme="minorHAnsi"/>
                <w:b/>
                <w:color w:val="000000" w:themeColor="text1"/>
              </w:rPr>
              <w:t>,</w:t>
            </w:r>
            <w:r>
              <w:rPr>
                <w:rFonts w:asciiTheme="minorHAnsi" w:hAnsiTheme="minorHAnsi"/>
                <w:b/>
                <w:color w:val="000000" w:themeColor="text1"/>
              </w:rPr>
              <w:t>288</w:t>
            </w:r>
            <w:r w:rsidRPr="007F2B39">
              <w:rPr>
                <w:rFonts w:asciiTheme="minorHAnsi" w:hAnsiTheme="minorHAnsi"/>
                <w:b/>
                <w:color w:val="000000" w:themeColor="text1"/>
              </w:rPr>
              <w:t>)</w:t>
            </w:r>
          </w:p>
        </w:tc>
        <w:tc>
          <w:tcPr>
            <w:tcW w:w="424" w:type="dxa"/>
            <w:tcBorders>
              <w:top w:val="single" w:sz="4" w:space="0" w:color="auto"/>
              <w:bottom w:val="single" w:sz="12" w:space="0" w:color="492581" w:themeColor="accent1"/>
            </w:tcBorders>
            <w:vAlign w:val="center"/>
          </w:tcPr>
          <w:p w14:paraId="129C61EC" w14:textId="77777777" w:rsidR="00762998" w:rsidRPr="00C57BB5" w:rsidRDefault="00762998" w:rsidP="00762998">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12" w:space="0" w:color="492581" w:themeColor="accent1"/>
            </w:tcBorders>
            <w:vAlign w:val="center"/>
          </w:tcPr>
          <w:p w14:paraId="14654320" w14:textId="643A909A" w:rsidR="00762998" w:rsidRPr="00C57BB5" w:rsidRDefault="00762998" w:rsidP="00762998">
            <w:pPr>
              <w:pStyle w:val="VAText"/>
              <w:spacing w:before="40" w:after="40"/>
              <w:jc w:val="right"/>
              <w:rPr>
                <w:rFonts w:asciiTheme="minorHAnsi" w:hAnsiTheme="minorHAnsi"/>
                <w:b/>
                <w:bCs/>
                <w:szCs w:val="18"/>
                <w:highlight w:val="yellow"/>
              </w:rPr>
            </w:pPr>
            <w:r>
              <w:rPr>
                <w:rFonts w:asciiTheme="minorHAnsi" w:hAnsiTheme="minorHAnsi"/>
                <w:b/>
                <w:color w:val="000000" w:themeColor="text1"/>
              </w:rPr>
              <w:t>5</w:t>
            </w:r>
            <w:r w:rsidRPr="007F2B39">
              <w:rPr>
                <w:rFonts w:asciiTheme="minorHAnsi" w:hAnsiTheme="minorHAnsi"/>
                <w:b/>
                <w:color w:val="000000" w:themeColor="text1"/>
              </w:rPr>
              <w:t>,</w:t>
            </w:r>
            <w:r>
              <w:rPr>
                <w:rFonts w:asciiTheme="minorHAnsi" w:hAnsiTheme="minorHAnsi"/>
                <w:b/>
                <w:bCs/>
                <w:color w:val="000000" w:themeColor="text1"/>
              </w:rPr>
              <w:t>919</w:t>
            </w:r>
          </w:p>
        </w:tc>
        <w:tc>
          <w:tcPr>
            <w:tcW w:w="1135" w:type="dxa"/>
            <w:tcBorders>
              <w:top w:val="single" w:sz="4" w:space="0" w:color="auto"/>
              <w:bottom w:val="single" w:sz="12" w:space="0" w:color="492581" w:themeColor="accent1"/>
            </w:tcBorders>
            <w:vAlign w:val="center"/>
          </w:tcPr>
          <w:p w14:paraId="0BCCD26F" w14:textId="2D68BA65" w:rsidR="00762998" w:rsidRPr="00C57BB5" w:rsidRDefault="00762998" w:rsidP="00762998">
            <w:pPr>
              <w:pStyle w:val="VAText"/>
              <w:tabs>
                <w:tab w:val="left" w:pos="225"/>
              </w:tabs>
              <w:spacing w:before="40" w:after="40"/>
              <w:jc w:val="right"/>
              <w:rPr>
                <w:rFonts w:asciiTheme="minorHAnsi" w:hAnsiTheme="minorHAnsi"/>
                <w:b/>
                <w:szCs w:val="18"/>
                <w:highlight w:val="yellow"/>
              </w:rPr>
            </w:pPr>
            <w:r w:rsidRPr="007F2B39">
              <w:rPr>
                <w:rFonts w:asciiTheme="minorHAnsi" w:hAnsiTheme="minorHAnsi"/>
                <w:b/>
                <w:color w:val="000000" w:themeColor="text1"/>
              </w:rPr>
              <w:t>(</w:t>
            </w:r>
            <w:r>
              <w:rPr>
                <w:rFonts w:asciiTheme="minorHAnsi" w:hAnsiTheme="minorHAnsi"/>
                <w:b/>
                <w:color w:val="000000" w:themeColor="text1"/>
              </w:rPr>
              <w:t>78</w:t>
            </w:r>
            <w:r w:rsidRPr="007F2B39">
              <w:rPr>
                <w:rFonts w:asciiTheme="minorHAnsi" w:hAnsiTheme="minorHAnsi"/>
                <w:b/>
                <w:color w:val="000000" w:themeColor="text1"/>
              </w:rPr>
              <w:t>,</w:t>
            </w:r>
            <w:r>
              <w:rPr>
                <w:rFonts w:asciiTheme="minorHAnsi" w:hAnsiTheme="minorHAnsi"/>
                <w:b/>
                <w:bCs/>
                <w:color w:val="000000" w:themeColor="text1"/>
              </w:rPr>
              <w:t>369</w:t>
            </w:r>
            <w:r w:rsidRPr="007F2B39">
              <w:rPr>
                <w:rFonts w:asciiTheme="minorHAnsi" w:hAnsiTheme="minorHAnsi"/>
                <w:b/>
                <w:color w:val="000000" w:themeColor="text1"/>
              </w:rPr>
              <w:t>)</w:t>
            </w:r>
          </w:p>
        </w:tc>
      </w:tr>
      <w:tr w:rsidR="00D331D2" w:rsidRPr="00550A7E" w14:paraId="206915ED" w14:textId="77777777" w:rsidTr="00F026A4">
        <w:trPr>
          <w:cantSplit/>
          <w:trHeight w:val="453"/>
        </w:trPr>
        <w:tc>
          <w:tcPr>
            <w:tcW w:w="4961" w:type="dxa"/>
            <w:tcBorders>
              <w:top w:val="single" w:sz="12" w:space="0" w:color="492581" w:themeColor="accent1"/>
              <w:bottom w:val="single" w:sz="12" w:space="0" w:color="492581" w:themeColor="accent1"/>
            </w:tcBorders>
            <w:vAlign w:val="center"/>
          </w:tcPr>
          <w:p w14:paraId="77A594A4" w14:textId="30830C57" w:rsidR="00D331D2" w:rsidRPr="00053DD8" w:rsidRDefault="009E63C4" w:rsidP="00323290">
            <w:pPr>
              <w:pStyle w:val="VAText"/>
              <w:rPr>
                <w:rFonts w:asciiTheme="minorHAnsi" w:hAnsiTheme="minorHAnsi"/>
                <w:b/>
                <w:szCs w:val="18"/>
                <w:vertAlign w:val="superscript"/>
              </w:rPr>
            </w:pPr>
            <w:r>
              <w:rPr>
                <w:rFonts w:asciiTheme="minorHAnsi" w:hAnsiTheme="minorHAnsi"/>
                <w:b/>
                <w:sz w:val="28"/>
                <w:szCs w:val="28"/>
              </w:rPr>
              <w:br/>
            </w:r>
            <w:r w:rsidR="00D331D2">
              <w:rPr>
                <w:rFonts w:asciiTheme="minorHAnsi" w:hAnsiTheme="minorHAnsi"/>
                <w:b/>
                <w:sz w:val="28"/>
                <w:szCs w:val="28"/>
              </w:rPr>
              <w:t>202</w:t>
            </w:r>
            <w:r w:rsidR="00C57BB5">
              <w:rPr>
                <w:rFonts w:asciiTheme="minorHAnsi" w:hAnsiTheme="minorHAnsi"/>
                <w:b/>
                <w:sz w:val="28"/>
                <w:szCs w:val="28"/>
              </w:rPr>
              <w:t>3</w:t>
            </w:r>
          </w:p>
        </w:tc>
        <w:tc>
          <w:tcPr>
            <w:tcW w:w="850" w:type="dxa"/>
            <w:tcBorders>
              <w:top w:val="single" w:sz="12" w:space="0" w:color="492581" w:themeColor="accent1"/>
              <w:bottom w:val="single" w:sz="12" w:space="0" w:color="492581" w:themeColor="accent1"/>
            </w:tcBorders>
            <w:vAlign w:val="center"/>
          </w:tcPr>
          <w:p w14:paraId="2644602D" w14:textId="77777777" w:rsidR="00D331D2" w:rsidRPr="00053DD8" w:rsidRDefault="00D331D2" w:rsidP="00323290">
            <w:pPr>
              <w:pStyle w:val="VAText"/>
              <w:spacing w:before="40" w:after="40"/>
              <w:jc w:val="center"/>
              <w:rPr>
                <w:rFonts w:asciiTheme="minorHAnsi" w:hAnsiTheme="minorHAnsi"/>
                <w:szCs w:val="18"/>
              </w:rPr>
            </w:pPr>
          </w:p>
        </w:tc>
        <w:tc>
          <w:tcPr>
            <w:tcW w:w="1135" w:type="dxa"/>
            <w:tcBorders>
              <w:top w:val="single" w:sz="12" w:space="0" w:color="492581" w:themeColor="accent1"/>
              <w:bottom w:val="single" w:sz="12" w:space="0" w:color="492581" w:themeColor="accent1"/>
            </w:tcBorders>
            <w:vAlign w:val="center"/>
          </w:tcPr>
          <w:p w14:paraId="282A56EC" w14:textId="77777777" w:rsidR="00D331D2" w:rsidRPr="00412065" w:rsidRDefault="00D331D2" w:rsidP="00323290">
            <w:pPr>
              <w:pStyle w:val="VAText"/>
              <w:spacing w:before="40" w:after="40"/>
              <w:jc w:val="right"/>
              <w:rPr>
                <w:rFonts w:asciiTheme="minorHAnsi" w:hAnsiTheme="minorHAnsi"/>
                <w:szCs w:val="18"/>
              </w:rPr>
            </w:pPr>
          </w:p>
        </w:tc>
        <w:tc>
          <w:tcPr>
            <w:tcW w:w="424" w:type="dxa"/>
            <w:tcBorders>
              <w:top w:val="single" w:sz="12" w:space="0" w:color="492581" w:themeColor="accent1"/>
              <w:bottom w:val="single" w:sz="12" w:space="0" w:color="492581" w:themeColor="accent1"/>
            </w:tcBorders>
            <w:vAlign w:val="center"/>
          </w:tcPr>
          <w:p w14:paraId="7B555487" w14:textId="77777777" w:rsidR="00D331D2" w:rsidRDefault="00D331D2" w:rsidP="00323290">
            <w:pPr>
              <w:pStyle w:val="VAText"/>
              <w:spacing w:before="40" w:after="40"/>
              <w:jc w:val="right"/>
              <w:rPr>
                <w:rFonts w:asciiTheme="minorHAnsi" w:hAnsiTheme="minorHAnsi"/>
                <w:szCs w:val="18"/>
              </w:rPr>
            </w:pPr>
          </w:p>
        </w:tc>
        <w:tc>
          <w:tcPr>
            <w:tcW w:w="1134" w:type="dxa"/>
            <w:tcBorders>
              <w:top w:val="single" w:sz="12" w:space="0" w:color="492581" w:themeColor="accent1"/>
              <w:bottom w:val="single" w:sz="12" w:space="0" w:color="492581" w:themeColor="accent1"/>
            </w:tcBorders>
            <w:vAlign w:val="center"/>
          </w:tcPr>
          <w:p w14:paraId="1398B31C" w14:textId="77777777" w:rsidR="00D331D2" w:rsidRPr="00412065" w:rsidRDefault="00D331D2" w:rsidP="00323290">
            <w:pPr>
              <w:pStyle w:val="VAText"/>
              <w:spacing w:before="40" w:after="40"/>
              <w:jc w:val="right"/>
              <w:rPr>
                <w:rFonts w:asciiTheme="minorHAnsi" w:hAnsiTheme="minorHAnsi"/>
                <w:szCs w:val="18"/>
              </w:rPr>
            </w:pPr>
          </w:p>
        </w:tc>
        <w:tc>
          <w:tcPr>
            <w:tcW w:w="1135" w:type="dxa"/>
            <w:tcBorders>
              <w:top w:val="single" w:sz="12" w:space="0" w:color="492581" w:themeColor="accent1"/>
              <w:bottom w:val="single" w:sz="12" w:space="0" w:color="492581" w:themeColor="accent1"/>
            </w:tcBorders>
            <w:vAlign w:val="center"/>
          </w:tcPr>
          <w:p w14:paraId="641BFA95" w14:textId="77777777" w:rsidR="00D331D2" w:rsidRPr="00412065" w:rsidRDefault="00D331D2" w:rsidP="00323290">
            <w:pPr>
              <w:pStyle w:val="VAText"/>
              <w:tabs>
                <w:tab w:val="left" w:pos="225"/>
              </w:tabs>
              <w:spacing w:before="40" w:after="40"/>
              <w:jc w:val="right"/>
              <w:rPr>
                <w:rFonts w:asciiTheme="minorHAnsi" w:hAnsiTheme="minorHAnsi"/>
                <w:b/>
                <w:szCs w:val="18"/>
              </w:rPr>
            </w:pPr>
          </w:p>
        </w:tc>
      </w:tr>
      <w:tr w:rsidR="00D331D2" w:rsidRPr="00550A7E" w14:paraId="13BD4DF6" w14:textId="77777777" w:rsidTr="00F026A4">
        <w:trPr>
          <w:cantSplit/>
          <w:trHeight w:val="241"/>
        </w:trPr>
        <w:tc>
          <w:tcPr>
            <w:tcW w:w="4961" w:type="dxa"/>
            <w:tcBorders>
              <w:top w:val="single" w:sz="12" w:space="0" w:color="492581" w:themeColor="accent1"/>
              <w:bottom w:val="nil"/>
            </w:tcBorders>
            <w:vAlign w:val="bottom"/>
          </w:tcPr>
          <w:p w14:paraId="7A7AD8DF" w14:textId="77777777" w:rsidR="00D331D2" w:rsidRPr="00016FCB" w:rsidRDefault="00D331D2" w:rsidP="00323290">
            <w:pPr>
              <w:pStyle w:val="VAText"/>
              <w:spacing w:before="40" w:after="40"/>
              <w:rPr>
                <w:rFonts w:asciiTheme="minorHAnsi" w:hAnsiTheme="minorHAnsi" w:cs="Source Sans Pro Light"/>
                <w:color w:val="000000"/>
                <w:szCs w:val="18"/>
              </w:rPr>
            </w:pPr>
          </w:p>
        </w:tc>
        <w:tc>
          <w:tcPr>
            <w:tcW w:w="850" w:type="dxa"/>
            <w:tcBorders>
              <w:top w:val="single" w:sz="12" w:space="0" w:color="492581" w:themeColor="accent1"/>
              <w:bottom w:val="nil"/>
            </w:tcBorders>
            <w:vAlign w:val="bottom"/>
          </w:tcPr>
          <w:p w14:paraId="55DED08E" w14:textId="77777777" w:rsidR="00D331D2" w:rsidRPr="00016FCB" w:rsidRDefault="00D331D2" w:rsidP="00323290">
            <w:pPr>
              <w:pStyle w:val="VAText"/>
              <w:spacing w:before="40" w:after="40"/>
              <w:jc w:val="center"/>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5FF3C701"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424" w:type="dxa"/>
            <w:tcBorders>
              <w:top w:val="single" w:sz="12" w:space="0" w:color="492581" w:themeColor="accent1"/>
              <w:bottom w:val="nil"/>
            </w:tcBorders>
          </w:tcPr>
          <w:p w14:paraId="26264F07"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1134" w:type="dxa"/>
            <w:tcBorders>
              <w:top w:val="single" w:sz="12" w:space="0" w:color="492581" w:themeColor="accent1"/>
              <w:bottom w:val="nil"/>
            </w:tcBorders>
            <w:vAlign w:val="bottom"/>
          </w:tcPr>
          <w:p w14:paraId="26B274F8" w14:textId="77777777" w:rsidR="00D331D2" w:rsidRPr="00016FCB" w:rsidRDefault="00D331D2" w:rsidP="00323290">
            <w:pPr>
              <w:pStyle w:val="VAText"/>
              <w:spacing w:before="40" w:after="40"/>
              <w:jc w:val="right"/>
              <w:rPr>
                <w:rFonts w:asciiTheme="minorHAnsi" w:hAnsiTheme="minorHAnsi" w:cs="Source Sans Pro Light"/>
                <w:color w:val="000000"/>
                <w:szCs w:val="18"/>
              </w:rPr>
            </w:pPr>
          </w:p>
        </w:tc>
        <w:tc>
          <w:tcPr>
            <w:tcW w:w="1135" w:type="dxa"/>
            <w:tcBorders>
              <w:top w:val="single" w:sz="12" w:space="0" w:color="492581" w:themeColor="accent1"/>
              <w:bottom w:val="nil"/>
            </w:tcBorders>
            <w:vAlign w:val="bottom"/>
          </w:tcPr>
          <w:p w14:paraId="273E1521" w14:textId="77777777" w:rsidR="00D331D2" w:rsidRPr="00016FCB" w:rsidRDefault="00D331D2" w:rsidP="00323290">
            <w:pPr>
              <w:pStyle w:val="VAText"/>
              <w:tabs>
                <w:tab w:val="left" w:pos="225"/>
              </w:tabs>
              <w:spacing w:before="40" w:after="40"/>
              <w:jc w:val="right"/>
              <w:rPr>
                <w:rFonts w:asciiTheme="minorHAnsi" w:hAnsiTheme="minorHAnsi" w:cs="Source Sans Pro Light"/>
                <w:color w:val="000000"/>
                <w:szCs w:val="18"/>
              </w:rPr>
            </w:pPr>
          </w:p>
        </w:tc>
      </w:tr>
      <w:tr w:rsidR="00986D4E" w:rsidRPr="00550A7E" w14:paraId="7DD53A79" w14:textId="77777777" w:rsidTr="00323290">
        <w:trPr>
          <w:cantSplit/>
          <w:trHeight w:val="241"/>
        </w:trPr>
        <w:tc>
          <w:tcPr>
            <w:tcW w:w="4961" w:type="dxa"/>
            <w:tcBorders>
              <w:top w:val="nil"/>
              <w:bottom w:val="nil"/>
            </w:tcBorders>
            <w:vAlign w:val="center"/>
          </w:tcPr>
          <w:p w14:paraId="606487F8" w14:textId="77777777" w:rsidR="00986D4E" w:rsidRPr="00053DD8" w:rsidRDefault="00986D4E" w:rsidP="00986D4E">
            <w:pPr>
              <w:pStyle w:val="VAText"/>
              <w:spacing w:before="40" w:after="40"/>
              <w:rPr>
                <w:rFonts w:asciiTheme="minorHAnsi" w:hAnsiTheme="minorHAnsi"/>
                <w:b/>
                <w:szCs w:val="18"/>
                <w:vertAlign w:val="superscript"/>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bottom w:val="nil"/>
            </w:tcBorders>
            <w:vAlign w:val="center"/>
          </w:tcPr>
          <w:p w14:paraId="0BC11861" w14:textId="77777777" w:rsidR="00986D4E" w:rsidRPr="00053DD8" w:rsidRDefault="00986D4E" w:rsidP="00986D4E">
            <w:pPr>
              <w:pStyle w:val="VAText"/>
              <w:spacing w:before="40" w:after="40"/>
              <w:jc w:val="center"/>
              <w:rPr>
                <w:rFonts w:asciiTheme="minorHAnsi" w:hAnsiTheme="minorHAnsi"/>
                <w:szCs w:val="18"/>
              </w:rPr>
            </w:pPr>
          </w:p>
        </w:tc>
        <w:tc>
          <w:tcPr>
            <w:tcW w:w="1135" w:type="dxa"/>
            <w:tcBorders>
              <w:top w:val="nil"/>
              <w:bottom w:val="nil"/>
            </w:tcBorders>
            <w:vAlign w:val="center"/>
          </w:tcPr>
          <w:p w14:paraId="09D0E834" w14:textId="235657A3" w:rsidR="00986D4E" w:rsidRPr="00C57BB5" w:rsidRDefault="00986D4E" w:rsidP="00986D4E">
            <w:pPr>
              <w:pStyle w:val="VAText"/>
              <w:spacing w:before="40" w:after="40"/>
              <w:jc w:val="right"/>
              <w:rPr>
                <w:rFonts w:asciiTheme="minorHAnsi" w:hAnsiTheme="minorHAnsi"/>
                <w:szCs w:val="18"/>
                <w:highlight w:val="yellow"/>
              </w:rPr>
            </w:pPr>
            <w:r>
              <w:rPr>
                <w:rFonts w:asciiTheme="minorHAnsi" w:hAnsiTheme="minorHAnsi"/>
                <w:szCs w:val="18"/>
              </w:rPr>
              <w:t>(142,067)</w:t>
            </w:r>
          </w:p>
        </w:tc>
        <w:tc>
          <w:tcPr>
            <w:tcW w:w="424" w:type="dxa"/>
            <w:tcBorders>
              <w:top w:val="nil"/>
              <w:bottom w:val="nil"/>
            </w:tcBorders>
            <w:vAlign w:val="center"/>
          </w:tcPr>
          <w:p w14:paraId="2E68D7C0" w14:textId="77777777" w:rsidR="00986D4E" w:rsidRPr="00C57BB5" w:rsidRDefault="00986D4E" w:rsidP="00986D4E">
            <w:pPr>
              <w:pStyle w:val="VAText"/>
              <w:spacing w:before="40" w:after="40"/>
              <w:jc w:val="right"/>
              <w:rPr>
                <w:rFonts w:asciiTheme="minorHAnsi" w:hAnsiTheme="minorHAnsi"/>
                <w:szCs w:val="18"/>
                <w:highlight w:val="yellow"/>
              </w:rPr>
            </w:pPr>
          </w:p>
        </w:tc>
        <w:tc>
          <w:tcPr>
            <w:tcW w:w="1134" w:type="dxa"/>
            <w:tcBorders>
              <w:top w:val="nil"/>
              <w:bottom w:val="nil"/>
            </w:tcBorders>
            <w:vAlign w:val="center"/>
          </w:tcPr>
          <w:p w14:paraId="0729B7D2" w14:textId="61521C7F" w:rsidR="00986D4E" w:rsidRPr="00C57BB5" w:rsidRDefault="00986D4E" w:rsidP="00986D4E">
            <w:pPr>
              <w:pStyle w:val="VAText"/>
              <w:spacing w:before="40" w:after="40"/>
              <w:jc w:val="right"/>
              <w:rPr>
                <w:rFonts w:asciiTheme="minorHAnsi" w:hAnsiTheme="minorHAnsi"/>
                <w:szCs w:val="18"/>
                <w:highlight w:val="yellow"/>
              </w:rPr>
            </w:pPr>
            <w:r>
              <w:rPr>
                <w:rFonts w:asciiTheme="minorHAnsi" w:hAnsiTheme="minorHAnsi"/>
                <w:bCs/>
                <w:szCs w:val="18"/>
              </w:rPr>
              <w:t>(14,025)</w:t>
            </w:r>
          </w:p>
        </w:tc>
        <w:tc>
          <w:tcPr>
            <w:tcW w:w="1135" w:type="dxa"/>
            <w:tcBorders>
              <w:top w:val="nil"/>
              <w:bottom w:val="nil"/>
            </w:tcBorders>
            <w:vAlign w:val="center"/>
          </w:tcPr>
          <w:p w14:paraId="667DA94F" w14:textId="1EF78E7C" w:rsidR="00986D4E" w:rsidRPr="00C57BB5" w:rsidRDefault="00986D4E" w:rsidP="00986D4E">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(156,092)</w:t>
            </w:r>
          </w:p>
        </w:tc>
      </w:tr>
      <w:tr w:rsidR="00986D4E" w:rsidRPr="00550A7E" w14:paraId="2947A518" w14:textId="77777777" w:rsidTr="00323290">
        <w:trPr>
          <w:cantSplit/>
          <w:trHeight w:val="164"/>
        </w:trPr>
        <w:tc>
          <w:tcPr>
            <w:tcW w:w="4961" w:type="dxa"/>
            <w:tcBorders>
              <w:top w:val="nil"/>
            </w:tcBorders>
            <w:vAlign w:val="center"/>
          </w:tcPr>
          <w:p w14:paraId="7831410B" w14:textId="77777777" w:rsidR="00986D4E" w:rsidRPr="00053DD8" w:rsidRDefault="00986D4E" w:rsidP="00986D4E">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tcBorders>
              <w:top w:val="nil"/>
            </w:tcBorders>
            <w:vAlign w:val="center"/>
          </w:tcPr>
          <w:p w14:paraId="14994466" w14:textId="77777777" w:rsidR="00986D4E" w:rsidRPr="00053DD8" w:rsidRDefault="00986D4E" w:rsidP="00986D4E">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6E1CB34" w14:textId="2184DF4B" w:rsidR="00986D4E" w:rsidRPr="00C57BB5" w:rsidRDefault="00986D4E" w:rsidP="00986D4E">
            <w:pPr>
              <w:pStyle w:val="VAText"/>
              <w:spacing w:before="40" w:after="40"/>
              <w:jc w:val="right"/>
              <w:rPr>
                <w:rFonts w:asciiTheme="minorHAnsi" w:hAnsiTheme="minorHAnsi"/>
                <w:bCs/>
                <w:szCs w:val="18"/>
                <w:highlight w:val="yellow"/>
              </w:rPr>
            </w:pPr>
            <w:r>
              <w:rPr>
                <w:rFonts w:asciiTheme="minorHAnsi" w:hAnsiTheme="minorHAnsi"/>
                <w:bCs/>
                <w:szCs w:val="18"/>
              </w:rPr>
              <w:t>19,728</w:t>
            </w:r>
          </w:p>
        </w:tc>
        <w:tc>
          <w:tcPr>
            <w:tcW w:w="424" w:type="dxa"/>
            <w:tcBorders>
              <w:top w:val="nil"/>
              <w:bottom w:val="single" w:sz="4" w:space="0" w:color="auto"/>
            </w:tcBorders>
            <w:vAlign w:val="center"/>
          </w:tcPr>
          <w:p w14:paraId="2F3D750A" w14:textId="77777777" w:rsidR="00986D4E" w:rsidRPr="00C57BB5" w:rsidRDefault="00986D4E" w:rsidP="00986D4E">
            <w:pPr>
              <w:pStyle w:val="VAText"/>
              <w:spacing w:before="40" w:after="40"/>
              <w:jc w:val="right"/>
              <w:rPr>
                <w:rFonts w:asciiTheme="minorHAnsi" w:hAnsiTheme="minorHAnsi"/>
                <w:bCs/>
                <w:szCs w:val="18"/>
                <w:highlight w:val="yellow"/>
              </w:rPr>
            </w:pPr>
          </w:p>
        </w:tc>
        <w:tc>
          <w:tcPr>
            <w:tcW w:w="1134" w:type="dxa"/>
            <w:tcBorders>
              <w:top w:val="nil"/>
              <w:bottom w:val="single" w:sz="4" w:space="0" w:color="auto"/>
            </w:tcBorders>
            <w:vAlign w:val="center"/>
          </w:tcPr>
          <w:p w14:paraId="63BFD0BB" w14:textId="4C3CE8B2" w:rsidR="00986D4E" w:rsidRPr="00C57BB5" w:rsidRDefault="00986D4E" w:rsidP="00986D4E">
            <w:pPr>
              <w:pStyle w:val="VAText"/>
              <w:spacing w:before="40" w:after="40"/>
              <w:jc w:val="right"/>
              <w:rPr>
                <w:rFonts w:asciiTheme="minorHAnsi" w:hAnsiTheme="minorHAnsi"/>
                <w:bCs/>
                <w:szCs w:val="18"/>
                <w:highlight w:val="yellow"/>
              </w:rPr>
            </w:pPr>
            <w:r>
              <w:rPr>
                <w:rFonts w:asciiTheme="minorHAnsi" w:hAnsiTheme="minorHAnsi"/>
                <w:bCs/>
                <w:szCs w:val="18"/>
              </w:rPr>
              <w:t>(1,798)</w:t>
            </w:r>
          </w:p>
        </w:tc>
        <w:tc>
          <w:tcPr>
            <w:tcW w:w="1135" w:type="dxa"/>
            <w:tcBorders>
              <w:top w:val="nil"/>
              <w:bottom w:val="single" w:sz="4" w:space="0" w:color="auto"/>
            </w:tcBorders>
            <w:vAlign w:val="center"/>
          </w:tcPr>
          <w:p w14:paraId="50B77671" w14:textId="438DD013" w:rsidR="00986D4E" w:rsidRPr="00C57BB5" w:rsidRDefault="00986D4E" w:rsidP="00986D4E">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17,930</w:t>
            </w:r>
          </w:p>
        </w:tc>
      </w:tr>
      <w:tr w:rsidR="00986D4E" w:rsidRPr="00550A7E" w14:paraId="45D903F4" w14:textId="77777777" w:rsidTr="00323290">
        <w:trPr>
          <w:cantSplit/>
          <w:trHeight w:val="164"/>
        </w:trPr>
        <w:tc>
          <w:tcPr>
            <w:tcW w:w="4961" w:type="dxa"/>
            <w:vAlign w:val="center"/>
          </w:tcPr>
          <w:p w14:paraId="3C954D9B" w14:textId="77777777" w:rsidR="00986D4E" w:rsidRPr="002A615F" w:rsidRDefault="00986D4E" w:rsidP="00986D4E">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46CEFC83" w14:textId="77777777" w:rsidR="00986D4E" w:rsidRPr="00053DD8" w:rsidRDefault="00986D4E" w:rsidP="00986D4E">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0DBA1931" w14:textId="30A74AE7" w:rsidR="00986D4E" w:rsidRPr="00C57BB5" w:rsidRDefault="00986D4E" w:rsidP="00986D4E">
            <w:pPr>
              <w:pStyle w:val="VAText"/>
              <w:spacing w:before="40" w:after="40"/>
              <w:jc w:val="right"/>
              <w:rPr>
                <w:rFonts w:asciiTheme="minorHAnsi" w:hAnsiTheme="minorHAnsi"/>
                <w:b/>
                <w:bCs/>
                <w:szCs w:val="18"/>
                <w:highlight w:val="yellow"/>
              </w:rPr>
            </w:pPr>
            <w:r>
              <w:rPr>
                <w:rFonts w:asciiTheme="minorHAnsi" w:hAnsiTheme="minorHAnsi"/>
                <w:b/>
                <w:bCs/>
                <w:szCs w:val="18"/>
              </w:rPr>
              <w:t>(122,339)</w:t>
            </w:r>
          </w:p>
        </w:tc>
        <w:tc>
          <w:tcPr>
            <w:tcW w:w="424" w:type="dxa"/>
            <w:tcBorders>
              <w:top w:val="single" w:sz="4" w:space="0" w:color="auto"/>
              <w:bottom w:val="single" w:sz="4" w:space="0" w:color="auto"/>
            </w:tcBorders>
            <w:vAlign w:val="center"/>
          </w:tcPr>
          <w:p w14:paraId="376519FC" w14:textId="77777777" w:rsidR="00986D4E" w:rsidRPr="00C57BB5" w:rsidRDefault="00986D4E" w:rsidP="00986D4E">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4" w:space="0" w:color="auto"/>
            </w:tcBorders>
            <w:vAlign w:val="center"/>
          </w:tcPr>
          <w:p w14:paraId="3CA2A054" w14:textId="72E1EF93" w:rsidR="00986D4E" w:rsidRPr="00C57BB5" w:rsidRDefault="00986D4E" w:rsidP="00986D4E">
            <w:pPr>
              <w:pStyle w:val="VAText"/>
              <w:spacing w:before="40" w:after="40"/>
              <w:jc w:val="right"/>
              <w:rPr>
                <w:rFonts w:asciiTheme="minorHAnsi" w:hAnsiTheme="minorHAnsi"/>
                <w:b/>
                <w:bCs/>
                <w:szCs w:val="18"/>
                <w:highlight w:val="yellow"/>
              </w:rPr>
            </w:pPr>
            <w:r w:rsidRPr="00BA3E7A">
              <w:rPr>
                <w:rFonts w:asciiTheme="minorHAnsi" w:hAnsiTheme="minorHAnsi"/>
                <w:b/>
                <w:bCs/>
                <w:szCs w:val="18"/>
              </w:rPr>
              <w:t>(</w:t>
            </w:r>
            <w:r>
              <w:rPr>
                <w:rFonts w:asciiTheme="minorHAnsi" w:hAnsiTheme="minorHAnsi"/>
                <w:b/>
                <w:bCs/>
                <w:szCs w:val="18"/>
              </w:rPr>
              <w:t>15</w:t>
            </w:r>
            <w:r w:rsidRPr="00BA3E7A">
              <w:rPr>
                <w:rFonts w:asciiTheme="minorHAnsi" w:hAnsiTheme="minorHAnsi"/>
                <w:b/>
                <w:bCs/>
                <w:szCs w:val="18"/>
              </w:rPr>
              <w:t>,</w:t>
            </w:r>
            <w:r>
              <w:rPr>
                <w:rFonts w:asciiTheme="minorHAnsi" w:hAnsiTheme="minorHAnsi"/>
                <w:b/>
                <w:bCs/>
                <w:szCs w:val="18"/>
              </w:rPr>
              <w:t>823</w:t>
            </w:r>
            <w:r w:rsidRPr="00BA3E7A">
              <w:rPr>
                <w:rFonts w:asciiTheme="minorHAnsi" w:hAnsiTheme="minorHAnsi"/>
                <w:b/>
                <w:bCs/>
                <w:szCs w:val="18"/>
              </w:rPr>
              <w:t>)</w:t>
            </w:r>
          </w:p>
        </w:tc>
        <w:tc>
          <w:tcPr>
            <w:tcW w:w="1135" w:type="dxa"/>
            <w:tcBorders>
              <w:top w:val="single" w:sz="4" w:space="0" w:color="auto"/>
              <w:bottom w:val="single" w:sz="4" w:space="0" w:color="auto"/>
            </w:tcBorders>
            <w:vAlign w:val="center"/>
          </w:tcPr>
          <w:p w14:paraId="45ED90CE" w14:textId="7BF8BB77" w:rsidR="00986D4E" w:rsidRPr="00C57BB5" w:rsidRDefault="00986D4E" w:rsidP="00986D4E">
            <w:pPr>
              <w:pStyle w:val="VAText"/>
              <w:tabs>
                <w:tab w:val="left" w:pos="225"/>
              </w:tabs>
              <w:spacing w:before="40" w:after="40"/>
              <w:jc w:val="right"/>
              <w:rPr>
                <w:rFonts w:asciiTheme="minorHAnsi" w:hAnsiTheme="minorHAnsi"/>
                <w:b/>
                <w:bCs/>
                <w:szCs w:val="18"/>
                <w:highlight w:val="yellow"/>
              </w:rPr>
            </w:pPr>
            <w:r>
              <w:rPr>
                <w:rFonts w:asciiTheme="minorHAnsi" w:hAnsiTheme="minorHAnsi"/>
                <w:b/>
                <w:bCs/>
                <w:szCs w:val="18"/>
              </w:rPr>
              <w:t>(138,162)</w:t>
            </w:r>
          </w:p>
        </w:tc>
      </w:tr>
      <w:tr w:rsidR="00986D4E" w:rsidRPr="004B1A9E" w14:paraId="21129864" w14:textId="77777777" w:rsidTr="00323290">
        <w:trPr>
          <w:cantSplit/>
          <w:trHeight w:val="177"/>
        </w:trPr>
        <w:tc>
          <w:tcPr>
            <w:tcW w:w="4961" w:type="dxa"/>
            <w:vAlign w:val="center"/>
          </w:tcPr>
          <w:p w14:paraId="31798EAB" w14:textId="77777777" w:rsidR="00986D4E" w:rsidRPr="00053DD8" w:rsidRDefault="00986D4E" w:rsidP="00986D4E">
            <w:pPr>
              <w:pStyle w:val="VAText"/>
              <w:spacing w:before="40" w:after="40"/>
              <w:rPr>
                <w:rFonts w:asciiTheme="minorHAnsi" w:hAnsiTheme="minorHAnsi"/>
                <w:szCs w:val="18"/>
              </w:rPr>
            </w:pPr>
          </w:p>
        </w:tc>
        <w:tc>
          <w:tcPr>
            <w:tcW w:w="850" w:type="dxa"/>
            <w:vAlign w:val="center"/>
          </w:tcPr>
          <w:p w14:paraId="1F630699" w14:textId="77777777" w:rsidR="00986D4E" w:rsidRPr="00053DD8" w:rsidRDefault="00986D4E" w:rsidP="00986D4E">
            <w:pPr>
              <w:pStyle w:val="VAText"/>
              <w:spacing w:before="40" w:after="40"/>
              <w:jc w:val="center"/>
              <w:rPr>
                <w:rFonts w:asciiTheme="minorHAnsi" w:hAnsiTheme="minorHAnsi"/>
                <w:szCs w:val="18"/>
              </w:rPr>
            </w:pPr>
          </w:p>
        </w:tc>
        <w:tc>
          <w:tcPr>
            <w:tcW w:w="1135" w:type="dxa"/>
            <w:tcBorders>
              <w:top w:val="single" w:sz="4" w:space="0" w:color="auto"/>
              <w:bottom w:val="nil"/>
            </w:tcBorders>
            <w:vAlign w:val="center"/>
          </w:tcPr>
          <w:p w14:paraId="3500D235" w14:textId="77777777" w:rsidR="00986D4E" w:rsidRPr="00C57BB5" w:rsidRDefault="00986D4E" w:rsidP="00986D4E">
            <w:pPr>
              <w:pStyle w:val="VAText"/>
              <w:spacing w:before="40" w:after="40"/>
              <w:jc w:val="right"/>
              <w:rPr>
                <w:rFonts w:asciiTheme="minorHAnsi" w:hAnsiTheme="minorHAnsi"/>
                <w:szCs w:val="18"/>
                <w:highlight w:val="yellow"/>
              </w:rPr>
            </w:pPr>
          </w:p>
        </w:tc>
        <w:tc>
          <w:tcPr>
            <w:tcW w:w="424" w:type="dxa"/>
            <w:tcBorders>
              <w:top w:val="single" w:sz="4" w:space="0" w:color="auto"/>
              <w:bottom w:val="nil"/>
            </w:tcBorders>
            <w:vAlign w:val="center"/>
          </w:tcPr>
          <w:p w14:paraId="7B8CFEB0" w14:textId="77777777" w:rsidR="00986D4E" w:rsidRPr="00C57BB5" w:rsidRDefault="00986D4E" w:rsidP="00986D4E">
            <w:pPr>
              <w:pStyle w:val="VAText"/>
              <w:spacing w:before="40" w:after="40"/>
              <w:jc w:val="right"/>
              <w:rPr>
                <w:rFonts w:asciiTheme="minorHAnsi" w:hAnsiTheme="minorHAnsi"/>
                <w:szCs w:val="18"/>
                <w:highlight w:val="yellow"/>
              </w:rPr>
            </w:pPr>
          </w:p>
        </w:tc>
        <w:tc>
          <w:tcPr>
            <w:tcW w:w="1134" w:type="dxa"/>
            <w:tcBorders>
              <w:top w:val="single" w:sz="4" w:space="0" w:color="auto"/>
              <w:bottom w:val="nil"/>
            </w:tcBorders>
            <w:vAlign w:val="center"/>
          </w:tcPr>
          <w:p w14:paraId="6B13920F" w14:textId="77777777" w:rsidR="00986D4E" w:rsidRPr="00C57BB5" w:rsidRDefault="00986D4E" w:rsidP="00986D4E">
            <w:pPr>
              <w:pStyle w:val="VAText"/>
              <w:spacing w:before="40" w:after="40"/>
              <w:jc w:val="right"/>
              <w:rPr>
                <w:rFonts w:asciiTheme="minorHAnsi" w:hAnsiTheme="minorHAnsi"/>
                <w:szCs w:val="18"/>
                <w:highlight w:val="yellow"/>
              </w:rPr>
            </w:pPr>
          </w:p>
        </w:tc>
        <w:tc>
          <w:tcPr>
            <w:tcW w:w="1135" w:type="dxa"/>
            <w:tcBorders>
              <w:top w:val="single" w:sz="4" w:space="0" w:color="auto"/>
              <w:bottom w:val="nil"/>
            </w:tcBorders>
            <w:vAlign w:val="center"/>
          </w:tcPr>
          <w:p w14:paraId="68D7277B" w14:textId="77777777" w:rsidR="00986D4E" w:rsidRPr="00C57BB5" w:rsidRDefault="00986D4E" w:rsidP="00986D4E">
            <w:pPr>
              <w:pStyle w:val="VAText"/>
              <w:tabs>
                <w:tab w:val="left" w:pos="225"/>
              </w:tabs>
              <w:spacing w:before="40" w:after="40"/>
              <w:jc w:val="right"/>
              <w:rPr>
                <w:rFonts w:asciiTheme="minorHAnsi" w:hAnsiTheme="minorHAnsi"/>
                <w:b/>
                <w:szCs w:val="18"/>
                <w:highlight w:val="yellow"/>
              </w:rPr>
            </w:pPr>
          </w:p>
        </w:tc>
      </w:tr>
      <w:tr w:rsidR="00986D4E" w:rsidRPr="004B1A9E" w14:paraId="3D3A5791" w14:textId="77777777" w:rsidTr="00F026A4">
        <w:trPr>
          <w:cantSplit/>
          <w:trHeight w:val="177"/>
        </w:trPr>
        <w:tc>
          <w:tcPr>
            <w:tcW w:w="4961" w:type="dxa"/>
            <w:tcBorders>
              <w:bottom w:val="nil"/>
            </w:tcBorders>
            <w:vAlign w:val="center"/>
          </w:tcPr>
          <w:p w14:paraId="616CEDB9" w14:textId="77777777" w:rsidR="00986D4E" w:rsidRPr="00053DD8" w:rsidRDefault="00986D4E" w:rsidP="00986D4E">
            <w:pPr>
              <w:pStyle w:val="VAText"/>
              <w:spacing w:before="40" w:after="40"/>
              <w:rPr>
                <w:rFonts w:asciiTheme="minorHAnsi" w:hAnsiTheme="minorHAnsi"/>
                <w:szCs w:val="18"/>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bottom w:val="nil"/>
            </w:tcBorders>
            <w:vAlign w:val="center"/>
          </w:tcPr>
          <w:p w14:paraId="2AE8B14B" w14:textId="77777777" w:rsidR="00986D4E" w:rsidRPr="00053DD8" w:rsidRDefault="00986D4E" w:rsidP="00986D4E">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3BE650FB" w14:textId="066846BA" w:rsidR="00986D4E" w:rsidRPr="00C57BB5" w:rsidRDefault="00986D4E" w:rsidP="00986D4E">
            <w:pPr>
              <w:pStyle w:val="VAText"/>
              <w:spacing w:before="40" w:after="40"/>
              <w:jc w:val="right"/>
              <w:rPr>
                <w:rFonts w:asciiTheme="minorHAnsi" w:hAnsiTheme="minorHAnsi"/>
                <w:szCs w:val="18"/>
                <w:highlight w:val="yellow"/>
              </w:rPr>
            </w:pPr>
            <w:r>
              <w:rPr>
                <w:rFonts w:asciiTheme="minorHAnsi" w:hAnsiTheme="minorHAnsi"/>
                <w:szCs w:val="18"/>
              </w:rPr>
              <w:t>22,707</w:t>
            </w:r>
          </w:p>
        </w:tc>
        <w:tc>
          <w:tcPr>
            <w:tcW w:w="424" w:type="dxa"/>
            <w:tcBorders>
              <w:top w:val="nil"/>
              <w:bottom w:val="single" w:sz="4" w:space="0" w:color="auto"/>
            </w:tcBorders>
            <w:vAlign w:val="center"/>
          </w:tcPr>
          <w:p w14:paraId="0DBD72A5" w14:textId="77777777" w:rsidR="00986D4E" w:rsidRPr="00C57BB5" w:rsidRDefault="00986D4E" w:rsidP="00986D4E">
            <w:pPr>
              <w:pStyle w:val="VAText"/>
              <w:spacing w:before="40" w:after="40"/>
              <w:jc w:val="right"/>
              <w:rPr>
                <w:rFonts w:asciiTheme="minorHAnsi" w:hAnsiTheme="minorHAnsi"/>
                <w:szCs w:val="18"/>
                <w:highlight w:val="yellow"/>
              </w:rPr>
            </w:pPr>
          </w:p>
        </w:tc>
        <w:tc>
          <w:tcPr>
            <w:tcW w:w="1134" w:type="dxa"/>
            <w:tcBorders>
              <w:top w:val="nil"/>
              <w:bottom w:val="single" w:sz="4" w:space="0" w:color="auto"/>
            </w:tcBorders>
            <w:vAlign w:val="center"/>
          </w:tcPr>
          <w:p w14:paraId="37E3E607" w14:textId="3D250FC8" w:rsidR="00986D4E" w:rsidRPr="00C57BB5" w:rsidRDefault="00986D4E" w:rsidP="00986D4E">
            <w:pPr>
              <w:pStyle w:val="VAText"/>
              <w:spacing w:before="40" w:after="40"/>
              <w:jc w:val="right"/>
              <w:rPr>
                <w:rFonts w:asciiTheme="minorHAnsi" w:hAnsiTheme="minorHAnsi"/>
                <w:szCs w:val="18"/>
                <w:highlight w:val="yellow"/>
              </w:rPr>
            </w:pPr>
            <w:r>
              <w:rPr>
                <w:rFonts w:asciiTheme="minorHAnsi" w:hAnsiTheme="minorHAnsi"/>
                <w:szCs w:val="18"/>
              </w:rPr>
              <w:t>(2,677)</w:t>
            </w:r>
          </w:p>
        </w:tc>
        <w:tc>
          <w:tcPr>
            <w:tcW w:w="1135" w:type="dxa"/>
            <w:tcBorders>
              <w:top w:val="nil"/>
              <w:bottom w:val="single" w:sz="4" w:space="0" w:color="auto"/>
            </w:tcBorders>
            <w:vAlign w:val="center"/>
          </w:tcPr>
          <w:p w14:paraId="3CFC7C53" w14:textId="61F7E279" w:rsidR="00986D4E" w:rsidRPr="00C57BB5" w:rsidRDefault="00986D4E" w:rsidP="00986D4E">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20,030</w:t>
            </w:r>
          </w:p>
        </w:tc>
      </w:tr>
      <w:tr w:rsidR="00986D4E" w:rsidRPr="004B1A9E" w14:paraId="2A0FFAE1" w14:textId="77777777" w:rsidTr="00F026A4">
        <w:trPr>
          <w:cantSplit/>
          <w:trHeight w:val="177"/>
        </w:trPr>
        <w:tc>
          <w:tcPr>
            <w:tcW w:w="4961" w:type="dxa"/>
            <w:tcBorders>
              <w:top w:val="nil"/>
              <w:bottom w:val="single" w:sz="12" w:space="0" w:color="492581" w:themeColor="accent1"/>
            </w:tcBorders>
            <w:vAlign w:val="center"/>
          </w:tcPr>
          <w:p w14:paraId="023E203C" w14:textId="77777777" w:rsidR="00986D4E" w:rsidRPr="00B73E33" w:rsidRDefault="00986D4E" w:rsidP="00986D4E">
            <w:pPr>
              <w:pStyle w:val="VAText"/>
              <w:spacing w:before="40" w:after="40"/>
              <w:rPr>
                <w:rFonts w:asciiTheme="minorHAnsi" w:hAnsiTheme="minorHAnsi"/>
                <w:b/>
                <w:szCs w:val="18"/>
                <w:vertAlign w:val="superscript"/>
              </w:rPr>
            </w:pPr>
            <w:r>
              <w:rPr>
                <w:rFonts w:asciiTheme="minorHAnsi" w:hAnsiTheme="minorHAnsi"/>
                <w:b/>
                <w:szCs w:val="18"/>
              </w:rPr>
              <w:t>Net Incurred Claims</w:t>
            </w:r>
          </w:p>
        </w:tc>
        <w:tc>
          <w:tcPr>
            <w:tcW w:w="850" w:type="dxa"/>
            <w:tcBorders>
              <w:top w:val="nil"/>
              <w:bottom w:val="single" w:sz="12" w:space="0" w:color="492581" w:themeColor="accent1"/>
            </w:tcBorders>
            <w:vAlign w:val="center"/>
          </w:tcPr>
          <w:p w14:paraId="24674702" w14:textId="77777777" w:rsidR="00986D4E" w:rsidRPr="00053DD8" w:rsidRDefault="00986D4E" w:rsidP="00986D4E">
            <w:pPr>
              <w:pStyle w:val="VAText"/>
              <w:spacing w:before="40" w:after="40"/>
              <w:jc w:val="center"/>
              <w:rPr>
                <w:rFonts w:asciiTheme="minorHAnsi" w:hAnsiTheme="minorHAnsi"/>
                <w:szCs w:val="18"/>
              </w:rPr>
            </w:pPr>
          </w:p>
        </w:tc>
        <w:tc>
          <w:tcPr>
            <w:tcW w:w="1135" w:type="dxa"/>
            <w:tcBorders>
              <w:top w:val="single" w:sz="4" w:space="0" w:color="auto"/>
              <w:bottom w:val="single" w:sz="12" w:space="0" w:color="492581" w:themeColor="accent1"/>
            </w:tcBorders>
            <w:vAlign w:val="center"/>
          </w:tcPr>
          <w:p w14:paraId="291BEDD3" w14:textId="1DE079FA" w:rsidR="00986D4E" w:rsidRPr="00C57BB5" w:rsidRDefault="00986D4E" w:rsidP="00986D4E">
            <w:pPr>
              <w:pStyle w:val="VAText"/>
              <w:spacing w:before="40" w:after="40"/>
              <w:jc w:val="right"/>
              <w:rPr>
                <w:rFonts w:asciiTheme="minorHAnsi" w:hAnsiTheme="minorHAnsi"/>
                <w:b/>
                <w:bCs/>
                <w:szCs w:val="18"/>
                <w:highlight w:val="yellow"/>
              </w:rPr>
            </w:pPr>
            <w:r>
              <w:rPr>
                <w:rFonts w:asciiTheme="minorHAnsi" w:hAnsiTheme="minorHAnsi"/>
                <w:b/>
                <w:bCs/>
                <w:szCs w:val="18"/>
              </w:rPr>
              <w:t>(99,632)</w:t>
            </w:r>
          </w:p>
        </w:tc>
        <w:tc>
          <w:tcPr>
            <w:tcW w:w="424" w:type="dxa"/>
            <w:tcBorders>
              <w:top w:val="single" w:sz="4" w:space="0" w:color="auto"/>
              <w:bottom w:val="single" w:sz="12" w:space="0" w:color="492581" w:themeColor="accent1"/>
            </w:tcBorders>
            <w:vAlign w:val="center"/>
          </w:tcPr>
          <w:p w14:paraId="2F7F76D1" w14:textId="77777777" w:rsidR="00986D4E" w:rsidRPr="00C57BB5" w:rsidRDefault="00986D4E" w:rsidP="00986D4E">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12" w:space="0" w:color="492581" w:themeColor="accent1"/>
            </w:tcBorders>
            <w:vAlign w:val="center"/>
          </w:tcPr>
          <w:p w14:paraId="47FE0E7C" w14:textId="669F9B92" w:rsidR="00986D4E" w:rsidRPr="00C57BB5" w:rsidRDefault="00986D4E" w:rsidP="00986D4E">
            <w:pPr>
              <w:pStyle w:val="VAText"/>
              <w:spacing w:before="40" w:after="40"/>
              <w:jc w:val="right"/>
              <w:rPr>
                <w:rFonts w:asciiTheme="minorHAnsi" w:hAnsiTheme="minorHAnsi"/>
                <w:b/>
                <w:bCs/>
                <w:szCs w:val="18"/>
                <w:highlight w:val="yellow"/>
              </w:rPr>
            </w:pPr>
            <w:r w:rsidRPr="00BA3E7A">
              <w:rPr>
                <w:rFonts w:asciiTheme="minorHAnsi" w:hAnsiTheme="minorHAnsi"/>
                <w:b/>
                <w:bCs/>
                <w:szCs w:val="18"/>
              </w:rPr>
              <w:t>(</w:t>
            </w:r>
            <w:r>
              <w:rPr>
                <w:rFonts w:asciiTheme="minorHAnsi" w:hAnsiTheme="minorHAnsi"/>
                <w:b/>
                <w:bCs/>
                <w:szCs w:val="18"/>
              </w:rPr>
              <w:t>18,500)</w:t>
            </w:r>
          </w:p>
        </w:tc>
        <w:tc>
          <w:tcPr>
            <w:tcW w:w="1135" w:type="dxa"/>
            <w:tcBorders>
              <w:top w:val="single" w:sz="4" w:space="0" w:color="auto"/>
              <w:bottom w:val="single" w:sz="12" w:space="0" w:color="492581" w:themeColor="accent1"/>
            </w:tcBorders>
            <w:vAlign w:val="center"/>
          </w:tcPr>
          <w:p w14:paraId="787E8DB9" w14:textId="2CF6C51A" w:rsidR="00986D4E" w:rsidRPr="00C57BB5" w:rsidRDefault="00986D4E" w:rsidP="00986D4E">
            <w:pPr>
              <w:pStyle w:val="VAText"/>
              <w:tabs>
                <w:tab w:val="left" w:pos="225"/>
              </w:tabs>
              <w:spacing w:before="40" w:after="40"/>
              <w:jc w:val="right"/>
              <w:rPr>
                <w:rFonts w:asciiTheme="minorHAnsi" w:hAnsiTheme="minorHAnsi"/>
                <w:b/>
                <w:bCs/>
                <w:szCs w:val="18"/>
                <w:highlight w:val="yellow"/>
              </w:rPr>
            </w:pPr>
            <w:r>
              <w:rPr>
                <w:rFonts w:asciiTheme="minorHAnsi" w:hAnsiTheme="minorHAnsi"/>
                <w:b/>
                <w:bCs/>
                <w:szCs w:val="18"/>
              </w:rPr>
              <w:t>(118,132)</w:t>
            </w:r>
          </w:p>
        </w:tc>
      </w:tr>
      <w:tr w:rsidR="00D331D2" w:rsidRPr="004B1A9E" w14:paraId="4B196690" w14:textId="77777777" w:rsidTr="00B07508">
        <w:trPr>
          <w:cantSplit/>
          <w:trHeight w:val="177"/>
        </w:trPr>
        <w:tc>
          <w:tcPr>
            <w:tcW w:w="9639" w:type="dxa"/>
            <w:gridSpan w:val="6"/>
            <w:tcBorders>
              <w:top w:val="single" w:sz="12" w:space="0" w:color="492581" w:themeColor="accent1"/>
              <w:bottom w:val="single" w:sz="12" w:space="0" w:color="492581" w:themeColor="accent1"/>
            </w:tcBorders>
            <w:vAlign w:val="center"/>
          </w:tcPr>
          <w:p w14:paraId="7F20F5EE" w14:textId="77777777" w:rsidR="002E2AC5" w:rsidRPr="00D831AC" w:rsidRDefault="002E2AC5" w:rsidP="002E2AC5">
            <w:pPr>
              <w:pStyle w:val="Pa10"/>
              <w:spacing w:before="120" w:line="240" w:lineRule="auto"/>
              <w:rPr>
                <w:rFonts w:asciiTheme="minorHAnsi" w:hAnsiTheme="minorHAnsi" w:cs="Source Sans Pro Light"/>
                <w:i/>
                <w:strike/>
                <w:color w:val="000000" w:themeColor="text1"/>
                <w:sz w:val="17"/>
                <w:szCs w:val="17"/>
              </w:rPr>
            </w:pPr>
            <w:bookmarkStart w:id="85" w:name="_Hlk113437649"/>
            <w:r w:rsidRPr="00D831AC">
              <w:rPr>
                <w:rFonts w:asciiTheme="minorHAnsi" w:hAnsiTheme="minorHAnsi" w:cs="Source Sans Pro Light"/>
                <w:i/>
                <w:iCs/>
                <w:color w:val="000000" w:themeColor="text1"/>
                <w:sz w:val="17"/>
                <w:szCs w:val="17"/>
                <w:vertAlign w:val="superscript"/>
              </w:rPr>
              <w:t>a</w:t>
            </w:r>
            <w:r w:rsidRPr="00D831AC">
              <w:rPr>
                <w:rFonts w:asciiTheme="minorHAnsi" w:hAnsiTheme="minorHAnsi" w:cs="Source Sans Pro Light"/>
                <w:i/>
                <w:iCs/>
                <w:color w:val="000000" w:themeColor="text1"/>
                <w:sz w:val="17"/>
                <w:szCs w:val="17"/>
              </w:rPr>
              <w:t xml:space="preserve"> The discounted gross incurred claims and related expenses reflects the cost of claim payments </w:t>
            </w:r>
            <w:proofErr w:type="gramStart"/>
            <w:r w:rsidRPr="00D831AC">
              <w:rPr>
                <w:rFonts w:asciiTheme="minorHAnsi" w:hAnsiTheme="minorHAnsi" w:cs="Source Sans Pro Light"/>
                <w:i/>
                <w:iCs/>
                <w:color w:val="000000" w:themeColor="text1"/>
                <w:sz w:val="17"/>
                <w:szCs w:val="17"/>
              </w:rPr>
              <w:t>actually made</w:t>
            </w:r>
            <w:proofErr w:type="gramEnd"/>
            <w:r w:rsidRPr="00D831AC">
              <w:rPr>
                <w:rFonts w:asciiTheme="minorHAnsi" w:hAnsiTheme="minorHAnsi" w:cs="Source Sans Pro Light"/>
                <w:i/>
                <w:iCs/>
                <w:color w:val="000000" w:themeColor="text1"/>
                <w:sz w:val="17"/>
                <w:szCs w:val="17"/>
              </w:rPr>
              <w:t>, as well as changes in the value of outstanding claims liabilities between valuation dates. In 2023-24, the total net incurred claims expenses are $78.4 million. Of this amount, $84.3 million relates to the current year in discounted gross incurred claims and related expenses, largely the result of estimated new claims liabilities. The Authority made claim payments of $65.2 million during the year on prior year claims.</w:t>
            </w:r>
          </w:p>
          <w:p w14:paraId="38BD23F6" w14:textId="45FB8B66" w:rsidR="00D331D2" w:rsidRPr="00180F69" w:rsidRDefault="002E2AC5" w:rsidP="00C17E59">
            <w:pPr>
              <w:pStyle w:val="VAText"/>
              <w:tabs>
                <w:tab w:val="left" w:pos="225"/>
              </w:tabs>
              <w:spacing w:beforeLines="40" w:before="96" w:afterLines="40" w:after="96"/>
              <w:rPr>
                <w:rFonts w:asciiTheme="minorHAnsi" w:hAnsiTheme="minorHAnsi" w:cs="Source Sans Pro Light"/>
                <w:i/>
                <w:iCs/>
                <w:szCs w:val="18"/>
              </w:rPr>
            </w:pPr>
            <w:r w:rsidRPr="00D831AC">
              <w:rPr>
                <w:rFonts w:asciiTheme="minorHAnsi" w:eastAsiaTheme="minorEastAsia" w:hAnsiTheme="minorHAnsi" w:cs="Source Sans Pro Light"/>
                <w:i/>
                <w:iCs/>
                <w:color w:val="000000" w:themeColor="text1"/>
                <w:sz w:val="17"/>
                <w:szCs w:val="17"/>
              </w:rPr>
              <w:t xml:space="preserve">Discounted gross claims expense for 2023-24 is $98.1 million compared to $138.2 million in 2022-23. This equates to a $40.1 million decrease in discounted gross incurred claims and related expenses between 2022-23 and 2023-24. This is mainly because the 2022-23 results were significantly unfavourable due to the deteriorating claims experience in medical malpractice and property insurance classes </w:t>
            </w:r>
            <w:proofErr w:type="gramStart"/>
            <w:r w:rsidRPr="00D831AC">
              <w:rPr>
                <w:rFonts w:asciiTheme="minorHAnsi" w:eastAsiaTheme="minorEastAsia" w:hAnsiTheme="minorHAnsi" w:cs="Source Sans Pro Light"/>
                <w:i/>
                <w:iCs/>
                <w:color w:val="000000" w:themeColor="text1"/>
                <w:sz w:val="17"/>
                <w:szCs w:val="17"/>
              </w:rPr>
              <w:t>as a result of</w:t>
            </w:r>
            <w:proofErr w:type="gramEnd"/>
            <w:r w:rsidRPr="00D831AC">
              <w:rPr>
                <w:rFonts w:asciiTheme="minorHAnsi" w:eastAsiaTheme="minorEastAsia" w:hAnsiTheme="minorHAnsi" w:cs="Source Sans Pro Light"/>
                <w:i/>
                <w:iCs/>
                <w:color w:val="000000" w:themeColor="text1"/>
                <w:sz w:val="17"/>
                <w:szCs w:val="17"/>
              </w:rPr>
              <w:t xml:space="preserve"> an increase in the number of medical negligence claims, and large property damage claims for significant fire events at the Hume Material Recovery Facility and North Canberra Hospital (formerly Calvary Public Hospital Bruce).</w:t>
            </w:r>
            <w:bookmarkEnd w:id="85"/>
          </w:p>
        </w:tc>
      </w:tr>
    </w:tbl>
    <w:p w14:paraId="655711DA" w14:textId="312C815C" w:rsidR="002F01A0" w:rsidRDefault="002F01A0" w:rsidP="00B8454B">
      <w:pPr>
        <w:autoSpaceDE w:val="0"/>
        <w:autoSpaceDN w:val="0"/>
        <w:adjustRightInd w:val="0"/>
        <w:spacing w:after="140" w:line="240" w:lineRule="auto"/>
        <w:contextualSpacing/>
        <w:rPr>
          <w:rFonts w:ascii="Calibri" w:eastAsia="Calibri" w:hAnsi="Calibri" w:cs="Calibri"/>
          <w:color w:val="000000"/>
          <w:sz w:val="22"/>
          <w:szCs w:val="22"/>
        </w:rPr>
      </w:pPr>
    </w:p>
    <w:p w14:paraId="136B7ECE" w14:textId="77777777" w:rsidR="002F01A0" w:rsidRDefault="002F01A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6801CD8B" w14:textId="77777777" w:rsidR="00EC6193" w:rsidRDefault="00EC6193" w:rsidP="00EC6193">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7</w:t>
      </w:r>
      <w:r w:rsidRPr="00FD1785">
        <w:rPr>
          <w:rFonts w:asciiTheme="minorHAnsi" w:hAnsiTheme="minorHAnsi" w:cs="Montserrat Semi Bold"/>
          <w:b/>
          <w:bCs/>
          <w:color w:val="000000"/>
          <w:sz w:val="30"/>
          <w:szCs w:val="30"/>
        </w:rPr>
        <w:t xml:space="preserve">. </w:t>
      </w:r>
      <w:r>
        <w:rPr>
          <w:rFonts w:asciiTheme="minorHAnsi" w:hAnsiTheme="minorHAnsi" w:cs="Montserrat Semi Bold"/>
          <w:b/>
          <w:bCs/>
          <w:color w:val="000000"/>
          <w:sz w:val="30"/>
          <w:szCs w:val="30"/>
        </w:rPr>
        <w:t>INVESTMENT AND INTEREST REVENUE</w:t>
      </w:r>
    </w:p>
    <w:p w14:paraId="28372C82" w14:textId="77777777" w:rsidR="00EC6193" w:rsidRPr="00450A2F" w:rsidRDefault="00EC6193" w:rsidP="00EC6193">
      <w:pPr>
        <w:spacing w:before="40" w:after="140"/>
        <w:rPr>
          <w:sz w:val="22"/>
          <w:szCs w:val="22"/>
        </w:rPr>
      </w:pPr>
      <w:r w:rsidRPr="00450A2F">
        <w:rPr>
          <w:rFonts w:cs="Montserrat Semi Bold"/>
          <w:b/>
          <w:bCs/>
          <w:color w:val="000000"/>
          <w:sz w:val="22"/>
          <w:szCs w:val="22"/>
        </w:rPr>
        <w:t>Description and Material Accounting Policies relating to Investment and Interest Revenue</w:t>
      </w:r>
    </w:p>
    <w:p w14:paraId="67B336FD" w14:textId="77777777" w:rsidR="00EC6193" w:rsidRPr="00DF794B" w:rsidRDefault="00EC6193" w:rsidP="00EC6193">
      <w:pPr>
        <w:pStyle w:val="Pa11"/>
        <w:spacing w:before="40" w:after="100"/>
        <w:rPr>
          <w:rFonts w:asciiTheme="minorHAnsi" w:hAnsiTheme="minorHAnsi" w:cs="Montserrat Semi Bold"/>
          <w:i/>
          <w:iCs/>
          <w:color w:val="000000"/>
          <w:sz w:val="22"/>
          <w:szCs w:val="22"/>
        </w:rPr>
      </w:pPr>
      <w:r w:rsidRPr="00DF794B">
        <w:rPr>
          <w:rFonts w:asciiTheme="minorHAnsi" w:hAnsiTheme="minorHAnsi" w:cs="Montserrat Semi Bold"/>
          <w:i/>
          <w:iCs/>
          <w:color w:val="000000"/>
          <w:sz w:val="22"/>
          <w:szCs w:val="22"/>
        </w:rPr>
        <w:t>Interest</w:t>
      </w:r>
    </w:p>
    <w:p w14:paraId="615177DA" w14:textId="77777777" w:rsidR="00EC6193" w:rsidRPr="004F2B69" w:rsidRDefault="00EC6193" w:rsidP="00EC6193">
      <w:pPr>
        <w:pStyle w:val="Pa6"/>
        <w:spacing w:after="140"/>
        <w:rPr>
          <w:rFonts w:asciiTheme="minorHAnsi" w:hAnsiTheme="minorHAnsi" w:cs="Source Sans Pro Light"/>
          <w:color w:val="000000"/>
          <w:sz w:val="22"/>
          <w:szCs w:val="22"/>
        </w:rPr>
      </w:pPr>
      <w:r w:rsidRPr="004F2B69">
        <w:rPr>
          <w:rFonts w:asciiTheme="minorHAnsi" w:hAnsiTheme="minorHAnsi" w:cs="Source Sans Pro Light"/>
          <w:color w:val="000000"/>
          <w:sz w:val="22"/>
          <w:szCs w:val="22"/>
        </w:rPr>
        <w:t>Interest revenue</w:t>
      </w:r>
      <w:r>
        <w:rPr>
          <w:rFonts w:asciiTheme="minorHAnsi" w:hAnsiTheme="minorHAnsi" w:cs="Source Sans Pro Light"/>
          <w:color w:val="000000"/>
          <w:sz w:val="22"/>
          <w:szCs w:val="22"/>
        </w:rPr>
        <w:t xml:space="preserve"> relates to the variable interest earned in the operating bank account maintained with Westpac Bank</w:t>
      </w:r>
      <w:r w:rsidRPr="004F2B69">
        <w:rPr>
          <w:rFonts w:asciiTheme="minorHAnsi" w:hAnsiTheme="minorHAnsi" w:cs="Source Sans Pro Light"/>
          <w:color w:val="000000"/>
          <w:sz w:val="22"/>
          <w:szCs w:val="22"/>
        </w:rPr>
        <w:t>.</w:t>
      </w:r>
      <w:r>
        <w:rPr>
          <w:rFonts w:asciiTheme="minorHAnsi" w:hAnsiTheme="minorHAnsi" w:cs="Source Sans Pro Light"/>
          <w:color w:val="000000"/>
          <w:sz w:val="22"/>
          <w:szCs w:val="22"/>
        </w:rPr>
        <w:t xml:space="preserve"> Interest is recognised based on monthly interest received in the bank statement. Refer to Note 11: ‘Cash and Investments’ for further details.</w:t>
      </w:r>
      <w:r w:rsidRPr="00136A63">
        <w:rPr>
          <w:rFonts w:asciiTheme="minorHAnsi" w:hAnsiTheme="minorHAnsi"/>
          <w:bCs/>
          <w:szCs w:val="18"/>
        </w:rPr>
        <w:t xml:space="preserve"> </w:t>
      </w:r>
      <w:r w:rsidRPr="00136A63">
        <w:rPr>
          <w:rFonts w:asciiTheme="minorHAnsi" w:hAnsiTheme="minorHAnsi" w:cs="Source Sans Pro Light"/>
          <w:color w:val="000000"/>
          <w:sz w:val="22"/>
          <w:szCs w:val="22"/>
        </w:rPr>
        <w:t xml:space="preserve">Interest </w:t>
      </w:r>
      <w:r>
        <w:rPr>
          <w:rFonts w:asciiTheme="minorHAnsi" w:hAnsiTheme="minorHAnsi" w:cs="Source Sans Pro Light"/>
          <w:color w:val="000000"/>
          <w:sz w:val="22"/>
          <w:szCs w:val="22"/>
        </w:rPr>
        <w:t xml:space="preserve">for the </w:t>
      </w:r>
      <w:r w:rsidRPr="00136A63">
        <w:rPr>
          <w:rFonts w:asciiTheme="minorHAnsi" w:hAnsiTheme="minorHAnsi" w:cs="Source Sans Pro Light"/>
          <w:color w:val="000000"/>
          <w:sz w:val="22"/>
          <w:szCs w:val="22"/>
        </w:rPr>
        <w:t>Builders Warranty Insurance</w:t>
      </w:r>
      <w:r>
        <w:rPr>
          <w:rFonts w:asciiTheme="minorHAnsi" w:hAnsiTheme="minorHAnsi" w:cs="Source Sans Pro Light"/>
          <w:color w:val="000000"/>
          <w:sz w:val="22"/>
          <w:szCs w:val="22"/>
        </w:rPr>
        <w:t xml:space="preserve"> scheme is allocated based on the closing General Ledger bank balance for the scheme.</w:t>
      </w:r>
    </w:p>
    <w:p w14:paraId="0D6FCE46" w14:textId="77777777" w:rsidR="00EC6193" w:rsidRPr="00DF794B" w:rsidRDefault="00EC6193" w:rsidP="00EC6193">
      <w:pPr>
        <w:pStyle w:val="Pa11"/>
        <w:spacing w:before="40" w:after="100"/>
        <w:rPr>
          <w:rFonts w:asciiTheme="minorHAnsi" w:hAnsiTheme="minorHAnsi" w:cs="Montserrat Semi Bold"/>
          <w:i/>
          <w:iCs/>
          <w:color w:val="000000"/>
          <w:sz w:val="22"/>
          <w:szCs w:val="22"/>
        </w:rPr>
      </w:pPr>
      <w:r w:rsidRPr="00DF794B">
        <w:rPr>
          <w:rFonts w:asciiTheme="minorHAnsi" w:hAnsiTheme="minorHAnsi" w:cs="Montserrat Semi Bold"/>
          <w:i/>
          <w:iCs/>
          <w:color w:val="000000"/>
          <w:sz w:val="22"/>
          <w:szCs w:val="22"/>
        </w:rPr>
        <w:t>Distributions from Investments</w:t>
      </w:r>
    </w:p>
    <w:p w14:paraId="1549125F" w14:textId="77777777" w:rsidR="00EC6193" w:rsidRDefault="00EC6193" w:rsidP="00EC6193">
      <w:pPr>
        <w:pStyle w:val="Pa6"/>
        <w:spacing w:after="140" w:line="240" w:lineRule="auto"/>
        <w:rPr>
          <w:rFonts w:asciiTheme="minorHAnsi" w:hAnsiTheme="minorHAnsi" w:cs="Source Sans Pro Light"/>
          <w:color w:val="000000"/>
          <w:sz w:val="22"/>
          <w:szCs w:val="22"/>
        </w:rPr>
      </w:pPr>
      <w:r w:rsidRPr="004F2B69">
        <w:rPr>
          <w:rFonts w:asciiTheme="minorHAnsi" w:hAnsiTheme="minorHAnsi" w:cs="Source Sans Pro Light"/>
          <w:color w:val="000000"/>
          <w:sz w:val="22"/>
          <w:szCs w:val="22"/>
        </w:rPr>
        <w:t>Distribution revenue is received from investments with the Territory Banking Account.</w:t>
      </w:r>
    </w:p>
    <w:p w14:paraId="2F52902B" w14:textId="77777777" w:rsidR="00EC6193" w:rsidRPr="00DF794B" w:rsidRDefault="00EC6193" w:rsidP="00EC6193">
      <w:pPr>
        <w:pStyle w:val="Pa11"/>
        <w:spacing w:before="40" w:after="100"/>
        <w:rPr>
          <w:rFonts w:asciiTheme="minorHAnsi" w:hAnsiTheme="minorHAnsi" w:cs="Montserrat Semi Bold"/>
          <w:i/>
          <w:iCs/>
          <w:color w:val="000000"/>
          <w:sz w:val="22"/>
          <w:szCs w:val="22"/>
        </w:rPr>
      </w:pPr>
      <w:r w:rsidRPr="00DF794B">
        <w:rPr>
          <w:rFonts w:asciiTheme="minorHAnsi" w:hAnsiTheme="minorHAnsi" w:cs="Montserrat Semi Bold"/>
          <w:i/>
          <w:iCs/>
          <w:color w:val="000000"/>
          <w:sz w:val="22"/>
          <w:szCs w:val="22"/>
        </w:rPr>
        <w:t xml:space="preserve">Loss/Gain on Remeasurement of Investments </w:t>
      </w:r>
    </w:p>
    <w:p w14:paraId="764E8486" w14:textId="671F6D68" w:rsidR="00CA67E8" w:rsidRDefault="00EC6193" w:rsidP="00F352D8">
      <w:pPr>
        <w:pStyle w:val="Default"/>
        <w:spacing w:after="140"/>
        <w:rPr>
          <w:rFonts w:asciiTheme="minorHAnsi" w:hAnsiTheme="minorHAnsi" w:cstheme="minorHAnsi"/>
          <w:sz w:val="22"/>
          <w:szCs w:val="22"/>
        </w:rPr>
      </w:pPr>
      <w:r w:rsidRPr="00CA6812">
        <w:rPr>
          <w:rFonts w:asciiTheme="minorHAnsi" w:hAnsiTheme="minorHAnsi" w:cstheme="minorHAnsi"/>
          <w:sz w:val="22"/>
          <w:szCs w:val="22"/>
        </w:rPr>
        <w:t xml:space="preserve">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w:t>
      </w:r>
      <w:proofErr w:type="gramStart"/>
      <w:r w:rsidRPr="00CA6812">
        <w:rPr>
          <w:rFonts w:asciiTheme="minorHAnsi" w:hAnsiTheme="minorHAnsi" w:cstheme="minorHAnsi"/>
          <w:sz w:val="22"/>
          <w:szCs w:val="22"/>
        </w:rPr>
        <w:t>are designated</w:t>
      </w:r>
      <w:proofErr w:type="gramEnd"/>
      <w:r w:rsidRPr="00CA6812">
        <w:rPr>
          <w:rFonts w:asciiTheme="minorHAnsi" w:hAnsiTheme="minorHAnsi" w:cstheme="minorHAnsi"/>
          <w:sz w:val="22"/>
          <w:szCs w:val="22"/>
        </w:rPr>
        <w:t xml:space="preserve"> at fair value through </w:t>
      </w:r>
      <w:r>
        <w:rPr>
          <w:rFonts w:asciiTheme="minorHAnsi" w:hAnsiTheme="minorHAnsi" w:cstheme="minorHAnsi"/>
          <w:sz w:val="22"/>
          <w:szCs w:val="22"/>
        </w:rPr>
        <w:t>operating statement</w:t>
      </w:r>
      <w:r w:rsidRPr="00CA6812">
        <w:rPr>
          <w:rFonts w:asciiTheme="minorHAnsi" w:hAnsiTheme="minorHAnsi" w:cstheme="minorHAnsi"/>
          <w:sz w:val="22"/>
          <w:szCs w:val="22"/>
        </w:rPr>
        <w:t xml:space="preserve"> with the carrying amount measured at fair value.</w:t>
      </w:r>
      <w:r>
        <w:rPr>
          <w:rFonts w:asciiTheme="minorHAnsi" w:hAnsiTheme="minorHAnsi" w:cstheme="minorHAnsi"/>
          <w:sz w:val="22"/>
          <w:szCs w:val="22"/>
        </w:rPr>
        <w:t xml:space="preserve"> Refer </w:t>
      </w:r>
      <w:r w:rsidRPr="00CA6812">
        <w:rPr>
          <w:rFonts w:asciiTheme="minorHAnsi" w:hAnsiTheme="minorHAnsi" w:cstheme="minorHAnsi"/>
          <w:sz w:val="22"/>
          <w:szCs w:val="22"/>
        </w:rPr>
        <w:t>Note 11</w:t>
      </w:r>
      <w:r>
        <w:rPr>
          <w:rFonts w:asciiTheme="minorHAnsi" w:hAnsiTheme="minorHAnsi" w:cstheme="minorHAnsi"/>
          <w:sz w:val="22"/>
          <w:szCs w:val="22"/>
        </w:rPr>
        <w:t>:</w:t>
      </w:r>
      <w:r w:rsidRPr="00CA6812">
        <w:rPr>
          <w:rFonts w:asciiTheme="minorHAnsi" w:hAnsiTheme="minorHAnsi" w:cstheme="minorHAnsi"/>
          <w:sz w:val="22"/>
          <w:szCs w:val="22"/>
        </w:rPr>
        <w:t xml:space="preserve"> </w:t>
      </w:r>
      <w:r>
        <w:rPr>
          <w:rFonts w:asciiTheme="minorHAnsi" w:hAnsiTheme="minorHAnsi" w:cstheme="minorHAnsi"/>
          <w:sz w:val="22"/>
          <w:szCs w:val="22"/>
        </w:rPr>
        <w:t>‘</w:t>
      </w:r>
      <w:r w:rsidRPr="00CA6812">
        <w:rPr>
          <w:rFonts w:asciiTheme="minorHAnsi" w:hAnsiTheme="minorHAnsi" w:cstheme="minorHAnsi"/>
          <w:sz w:val="22"/>
          <w:szCs w:val="22"/>
        </w:rPr>
        <w:t>Cash and Investments</w:t>
      </w:r>
      <w:r>
        <w:rPr>
          <w:rFonts w:asciiTheme="minorHAnsi" w:hAnsiTheme="minorHAnsi" w:cstheme="minorHAnsi"/>
          <w:sz w:val="22"/>
          <w:szCs w:val="22"/>
        </w:rPr>
        <w:t>’ for further details.</w:t>
      </w:r>
    </w:p>
    <w:p w14:paraId="51DD5D69" w14:textId="77777777" w:rsidR="00252F09" w:rsidRPr="00F352D8" w:rsidRDefault="00252F09" w:rsidP="00F352D8">
      <w:pPr>
        <w:pStyle w:val="Default"/>
        <w:spacing w:after="140"/>
        <w:rPr>
          <w:rFonts w:asciiTheme="minorHAnsi" w:hAnsiTheme="minorHAnsi" w:cstheme="minorHAnsi"/>
          <w:sz w:val="22"/>
          <w:szCs w:val="22"/>
        </w:rPr>
      </w:pP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DD692D" w:rsidRPr="00DD692D" w14:paraId="693068FA" w14:textId="77777777" w:rsidTr="00B07508">
        <w:trPr>
          <w:cantSplit/>
        </w:trPr>
        <w:tc>
          <w:tcPr>
            <w:tcW w:w="5387" w:type="dxa"/>
            <w:tcBorders>
              <w:top w:val="single" w:sz="12" w:space="0" w:color="492581" w:themeColor="accent1"/>
              <w:bottom w:val="single" w:sz="12" w:space="0" w:color="492581" w:themeColor="accent1"/>
            </w:tcBorders>
          </w:tcPr>
          <w:p w14:paraId="6413B077" w14:textId="77777777" w:rsidR="00DD692D" w:rsidRPr="00DD692D" w:rsidRDefault="00DD692D" w:rsidP="00DD692D">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6265C056" w14:textId="77777777" w:rsidR="00DD692D" w:rsidRPr="00DD692D" w:rsidRDefault="00DD692D" w:rsidP="00DD692D">
            <w:pPr>
              <w:spacing w:after="0" w:line="240" w:lineRule="auto"/>
              <w:jc w:val="center"/>
              <w:rPr>
                <w:rFonts w:ascii="Calibri" w:eastAsia="Times New Roman" w:hAnsi="Calibri" w:cs="Times New Roman"/>
                <w:b/>
                <w:sz w:val="18"/>
                <w:szCs w:val="18"/>
              </w:rPr>
            </w:pPr>
            <w:r w:rsidRPr="00DD692D">
              <w:rPr>
                <w:rFonts w:ascii="Calibri" w:eastAsia="Times New Roman" w:hAnsi="Calibri" w:cs="Times New Roman"/>
                <w:b/>
                <w:sz w:val="18"/>
                <w:szCs w:val="18"/>
              </w:rPr>
              <w:t>Note</w:t>
            </w:r>
          </w:p>
          <w:p w14:paraId="74908DCA" w14:textId="77777777" w:rsidR="00DD692D" w:rsidRPr="00DD692D" w:rsidRDefault="00DD692D" w:rsidP="00DD692D">
            <w:pPr>
              <w:spacing w:after="0" w:line="240" w:lineRule="auto"/>
              <w:jc w:val="center"/>
              <w:rPr>
                <w:rFonts w:ascii="Calibri" w:eastAsia="Times New Roman" w:hAnsi="Calibri" w:cs="Times New Roman"/>
                <w:b/>
                <w:sz w:val="18"/>
                <w:szCs w:val="18"/>
              </w:rPr>
            </w:pPr>
            <w:r w:rsidRPr="00DD692D">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689C6375" w14:textId="207D6D21"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202</w:t>
            </w:r>
            <w:r w:rsidR="002D2DC4">
              <w:rPr>
                <w:rFonts w:ascii="Calibri" w:eastAsia="Times New Roman" w:hAnsi="Calibri" w:cs="Times New Roman"/>
                <w:b/>
                <w:sz w:val="18"/>
                <w:szCs w:val="18"/>
              </w:rPr>
              <w:t>4</w:t>
            </w:r>
          </w:p>
          <w:p w14:paraId="52A0810E"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7283D218" w14:textId="77777777" w:rsidR="00DD692D" w:rsidRPr="00DD692D" w:rsidRDefault="00DD692D" w:rsidP="00DD692D">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461FE505" w14:textId="01F87EDE"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202</w:t>
            </w:r>
            <w:r w:rsidR="002D2DC4">
              <w:rPr>
                <w:rFonts w:ascii="Calibri" w:eastAsia="Times New Roman" w:hAnsi="Calibri" w:cs="Times New Roman"/>
                <w:b/>
                <w:sz w:val="18"/>
                <w:szCs w:val="18"/>
              </w:rPr>
              <w:t>3</w:t>
            </w:r>
          </w:p>
          <w:p w14:paraId="50A1C5DC" w14:textId="77777777" w:rsidR="00DD692D" w:rsidRPr="00DD692D" w:rsidRDefault="00DD692D" w:rsidP="00DD692D">
            <w:pPr>
              <w:spacing w:after="0" w:line="240" w:lineRule="auto"/>
              <w:jc w:val="right"/>
              <w:rPr>
                <w:rFonts w:ascii="Calibri" w:eastAsia="Times New Roman" w:hAnsi="Calibri" w:cs="Times New Roman"/>
                <w:b/>
                <w:sz w:val="18"/>
                <w:szCs w:val="18"/>
              </w:rPr>
            </w:pPr>
            <w:r w:rsidRPr="00DD692D">
              <w:rPr>
                <w:rFonts w:ascii="Calibri" w:eastAsia="Times New Roman" w:hAnsi="Calibri" w:cs="Times New Roman"/>
                <w:b/>
                <w:sz w:val="18"/>
                <w:szCs w:val="18"/>
              </w:rPr>
              <w:t>$’000</w:t>
            </w:r>
          </w:p>
        </w:tc>
      </w:tr>
      <w:tr w:rsidR="00DD692D" w:rsidRPr="00DD692D" w14:paraId="44E9B361" w14:textId="77777777" w:rsidTr="00B07508">
        <w:trPr>
          <w:cantSplit/>
        </w:trPr>
        <w:tc>
          <w:tcPr>
            <w:tcW w:w="5387" w:type="dxa"/>
            <w:tcBorders>
              <w:top w:val="single" w:sz="12" w:space="0" w:color="492581" w:themeColor="accent1"/>
            </w:tcBorders>
          </w:tcPr>
          <w:p w14:paraId="013839C8" w14:textId="77777777" w:rsidR="00DD692D" w:rsidRPr="00DD692D" w:rsidRDefault="00DD692D" w:rsidP="00DD692D">
            <w:pPr>
              <w:spacing w:before="40" w:after="40" w:line="240" w:lineRule="auto"/>
              <w:rPr>
                <w:rFonts w:ascii="Calibri" w:eastAsia="Times New Roman" w:hAnsi="Calibri" w:cs="Times New Roman"/>
                <w:b/>
                <w:bCs/>
                <w:sz w:val="18"/>
                <w:szCs w:val="18"/>
              </w:rPr>
            </w:pPr>
          </w:p>
        </w:tc>
        <w:tc>
          <w:tcPr>
            <w:tcW w:w="851" w:type="dxa"/>
            <w:tcBorders>
              <w:top w:val="single" w:sz="12" w:space="0" w:color="492581" w:themeColor="accent1"/>
            </w:tcBorders>
          </w:tcPr>
          <w:p w14:paraId="650D63E7" w14:textId="77777777" w:rsidR="00DD692D" w:rsidRPr="00DD692D" w:rsidRDefault="00DD692D" w:rsidP="00DD692D">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4DBE823D" w14:textId="77777777" w:rsidR="00DD692D" w:rsidRPr="00DD692D" w:rsidRDefault="00DD692D" w:rsidP="00DD692D">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209743FD"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tcBorders>
          </w:tcPr>
          <w:p w14:paraId="661814FA"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r>
      <w:tr w:rsidR="00DD692D" w:rsidRPr="00DD692D" w14:paraId="36749C14" w14:textId="77777777" w:rsidTr="00323290">
        <w:trPr>
          <w:cantSplit/>
        </w:trPr>
        <w:tc>
          <w:tcPr>
            <w:tcW w:w="5387" w:type="dxa"/>
          </w:tcPr>
          <w:p w14:paraId="5493740B" w14:textId="77777777" w:rsidR="00DD692D" w:rsidRPr="00DD692D" w:rsidRDefault="00DD692D" w:rsidP="00DD692D">
            <w:pPr>
              <w:tabs>
                <w:tab w:val="left" w:pos="459"/>
              </w:tabs>
              <w:spacing w:before="40" w:after="40" w:line="240" w:lineRule="auto"/>
              <w:rPr>
                <w:rFonts w:ascii="Calibri" w:eastAsia="Times New Roman" w:hAnsi="Calibri" w:cs="Times New Roman"/>
                <w:b/>
                <w:sz w:val="18"/>
                <w:szCs w:val="18"/>
                <w:vertAlign w:val="superscript"/>
              </w:rPr>
            </w:pPr>
            <w:r w:rsidRPr="00DD692D">
              <w:rPr>
                <w:rFonts w:ascii="Calibri" w:eastAsia="Times New Roman" w:hAnsi="Calibri" w:cs="Times New Roman"/>
                <w:b/>
                <w:sz w:val="18"/>
                <w:szCs w:val="18"/>
              </w:rPr>
              <w:t>Investment and Interest Revenue</w:t>
            </w:r>
          </w:p>
        </w:tc>
        <w:tc>
          <w:tcPr>
            <w:tcW w:w="851" w:type="dxa"/>
          </w:tcPr>
          <w:p w14:paraId="37D7A1BD" w14:textId="77777777" w:rsidR="00DD692D" w:rsidRPr="00DD692D"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66649E08" w14:textId="77777777" w:rsidR="00DD692D" w:rsidRPr="00DD692D" w:rsidRDefault="00DD692D" w:rsidP="00DD692D">
            <w:pPr>
              <w:tabs>
                <w:tab w:val="right" w:pos="742"/>
              </w:tabs>
              <w:spacing w:before="40" w:after="40" w:line="240" w:lineRule="auto"/>
              <w:jc w:val="right"/>
              <w:rPr>
                <w:rFonts w:ascii="Calibri" w:eastAsia="Times New Roman" w:hAnsi="Calibri" w:cs="Times New Roman"/>
                <w:b/>
                <w:bCs/>
                <w:sz w:val="18"/>
                <w:szCs w:val="18"/>
              </w:rPr>
            </w:pPr>
          </w:p>
        </w:tc>
        <w:tc>
          <w:tcPr>
            <w:tcW w:w="567" w:type="dxa"/>
          </w:tcPr>
          <w:p w14:paraId="3D0F98F6" w14:textId="77777777" w:rsidR="00DD692D" w:rsidRPr="00DD692D"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1A6BD91B" w14:textId="77777777" w:rsidR="00DD692D" w:rsidRPr="00DD692D" w:rsidRDefault="00DD692D" w:rsidP="00DD692D">
            <w:pPr>
              <w:tabs>
                <w:tab w:val="right" w:pos="742"/>
              </w:tabs>
              <w:spacing w:before="40" w:after="40" w:line="240" w:lineRule="auto"/>
              <w:jc w:val="right"/>
              <w:rPr>
                <w:rFonts w:ascii="Calibri" w:eastAsia="Times New Roman" w:hAnsi="Calibri" w:cs="Times New Roman"/>
                <w:sz w:val="18"/>
                <w:szCs w:val="18"/>
              </w:rPr>
            </w:pPr>
          </w:p>
        </w:tc>
      </w:tr>
      <w:tr w:rsidR="00D736C3" w:rsidRPr="00DD692D" w14:paraId="6C0EC34E" w14:textId="77777777" w:rsidTr="00323290">
        <w:trPr>
          <w:cantSplit/>
        </w:trPr>
        <w:tc>
          <w:tcPr>
            <w:tcW w:w="5387" w:type="dxa"/>
          </w:tcPr>
          <w:p w14:paraId="329478BE" w14:textId="77777777" w:rsidR="00D736C3" w:rsidRPr="00DD692D" w:rsidRDefault="00D736C3" w:rsidP="00D736C3">
            <w:pPr>
              <w:tabs>
                <w:tab w:val="left" w:pos="459"/>
              </w:tabs>
              <w:spacing w:before="40" w:after="40" w:line="240" w:lineRule="auto"/>
              <w:rPr>
                <w:rFonts w:ascii="Calibri" w:eastAsia="Times New Roman" w:hAnsi="Calibri" w:cs="Times New Roman"/>
                <w:bCs/>
                <w:sz w:val="18"/>
                <w:szCs w:val="18"/>
                <w:vertAlign w:val="superscript"/>
              </w:rPr>
            </w:pPr>
            <w:r w:rsidRPr="00DD692D">
              <w:rPr>
                <w:rFonts w:ascii="Calibri" w:eastAsia="Times New Roman" w:hAnsi="Calibri" w:cs="Times New Roman"/>
                <w:bCs/>
                <w:sz w:val="18"/>
                <w:szCs w:val="18"/>
              </w:rPr>
              <w:t>Interest from Bank</w:t>
            </w:r>
            <w:r w:rsidRPr="00DD692D">
              <w:rPr>
                <w:rFonts w:ascii="Calibri" w:eastAsia="Times New Roman" w:hAnsi="Calibri" w:cs="Times New Roman"/>
                <w:bCs/>
                <w:sz w:val="18"/>
                <w:szCs w:val="18"/>
                <w:vertAlign w:val="superscript"/>
              </w:rPr>
              <w:t xml:space="preserve"> a</w:t>
            </w:r>
          </w:p>
        </w:tc>
        <w:tc>
          <w:tcPr>
            <w:tcW w:w="851" w:type="dxa"/>
          </w:tcPr>
          <w:p w14:paraId="04E8E3D3"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7578BE1C" w14:textId="72664177"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2,328</w:t>
            </w:r>
          </w:p>
        </w:tc>
        <w:tc>
          <w:tcPr>
            <w:tcW w:w="567" w:type="dxa"/>
          </w:tcPr>
          <w:p w14:paraId="34223BAC" w14:textId="77777777" w:rsidR="00D736C3" w:rsidRPr="00D736C3" w:rsidRDefault="00D736C3" w:rsidP="00D736C3">
            <w:pPr>
              <w:spacing w:before="40" w:after="40" w:line="240" w:lineRule="auto"/>
              <w:jc w:val="right"/>
              <w:rPr>
                <w:rFonts w:ascii="Calibri" w:eastAsia="Times New Roman" w:hAnsi="Calibri" w:cs="Times New Roman"/>
                <w:sz w:val="18"/>
                <w:szCs w:val="18"/>
                <w:highlight w:val="yellow"/>
              </w:rPr>
            </w:pPr>
          </w:p>
        </w:tc>
        <w:tc>
          <w:tcPr>
            <w:tcW w:w="1418" w:type="dxa"/>
          </w:tcPr>
          <w:p w14:paraId="205806EF" w14:textId="5629B59B"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1,548</w:t>
            </w:r>
          </w:p>
        </w:tc>
      </w:tr>
      <w:tr w:rsidR="00D736C3" w:rsidRPr="00DD692D" w14:paraId="522C1C11" w14:textId="77777777" w:rsidTr="00323290">
        <w:trPr>
          <w:cantSplit/>
        </w:trPr>
        <w:tc>
          <w:tcPr>
            <w:tcW w:w="5387" w:type="dxa"/>
          </w:tcPr>
          <w:p w14:paraId="0D67884A" w14:textId="77777777" w:rsidR="00D736C3" w:rsidRPr="00DD692D" w:rsidRDefault="00D736C3" w:rsidP="00D736C3">
            <w:pPr>
              <w:tabs>
                <w:tab w:val="left" w:pos="459"/>
              </w:tabs>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bCs/>
                <w:sz w:val="18"/>
                <w:szCs w:val="18"/>
              </w:rPr>
              <w:t>Interest from Bank - Builders Warranty Insurance</w:t>
            </w:r>
            <w:r w:rsidRPr="00DD692D">
              <w:rPr>
                <w:rFonts w:ascii="Calibri" w:eastAsia="Times New Roman" w:hAnsi="Calibri" w:cs="Times New Roman"/>
                <w:bCs/>
                <w:sz w:val="18"/>
                <w:szCs w:val="18"/>
                <w:vertAlign w:val="superscript"/>
              </w:rPr>
              <w:t xml:space="preserve"> a</w:t>
            </w:r>
          </w:p>
        </w:tc>
        <w:tc>
          <w:tcPr>
            <w:tcW w:w="851" w:type="dxa"/>
          </w:tcPr>
          <w:p w14:paraId="57E44996" w14:textId="6A2B8F99" w:rsidR="00D736C3" w:rsidRPr="00DD692D" w:rsidRDefault="00D736C3" w:rsidP="00D736C3">
            <w:pPr>
              <w:tabs>
                <w:tab w:val="right" w:pos="742"/>
              </w:tabs>
              <w:spacing w:before="40" w:after="40" w:line="240" w:lineRule="auto"/>
              <w:jc w:val="center"/>
              <w:rPr>
                <w:rFonts w:ascii="Calibri" w:eastAsia="Times New Roman" w:hAnsi="Calibri" w:cs="Times New Roman"/>
                <w:sz w:val="18"/>
                <w:szCs w:val="18"/>
              </w:rPr>
            </w:pPr>
            <w:r w:rsidRPr="00DD692D">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6BE7DD00" w14:textId="52AA94C1"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886</w:t>
            </w:r>
          </w:p>
        </w:tc>
        <w:tc>
          <w:tcPr>
            <w:tcW w:w="567" w:type="dxa"/>
          </w:tcPr>
          <w:p w14:paraId="39163D37" w14:textId="77777777" w:rsidR="00D736C3" w:rsidRPr="00D736C3" w:rsidRDefault="00D736C3" w:rsidP="00D736C3">
            <w:pPr>
              <w:spacing w:before="40" w:after="40" w:line="240" w:lineRule="auto"/>
              <w:jc w:val="right"/>
              <w:rPr>
                <w:rFonts w:ascii="Calibri" w:eastAsia="Times New Roman" w:hAnsi="Calibri" w:cs="Times New Roman"/>
                <w:sz w:val="18"/>
                <w:szCs w:val="18"/>
                <w:highlight w:val="yellow"/>
              </w:rPr>
            </w:pPr>
          </w:p>
        </w:tc>
        <w:tc>
          <w:tcPr>
            <w:tcW w:w="1418" w:type="dxa"/>
          </w:tcPr>
          <w:p w14:paraId="25373655" w14:textId="71D0B029"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243</w:t>
            </w:r>
          </w:p>
        </w:tc>
      </w:tr>
      <w:tr w:rsidR="00D736C3" w:rsidRPr="00DD692D" w14:paraId="121DC9AF" w14:textId="77777777" w:rsidTr="00323290">
        <w:trPr>
          <w:cantSplit/>
        </w:trPr>
        <w:tc>
          <w:tcPr>
            <w:tcW w:w="5387" w:type="dxa"/>
          </w:tcPr>
          <w:p w14:paraId="013D9311" w14:textId="77777777" w:rsidR="00D736C3" w:rsidRPr="00DD692D" w:rsidRDefault="00D736C3" w:rsidP="00D736C3">
            <w:pPr>
              <w:spacing w:before="40" w:after="40" w:line="240" w:lineRule="auto"/>
              <w:rPr>
                <w:rFonts w:ascii="Calibri" w:eastAsia="Times New Roman" w:hAnsi="Calibri" w:cs="Times New Roman"/>
                <w:sz w:val="18"/>
                <w:szCs w:val="18"/>
                <w:vertAlign w:val="superscript"/>
              </w:rPr>
            </w:pPr>
            <w:r w:rsidRPr="00DD692D">
              <w:rPr>
                <w:rFonts w:ascii="Calibri" w:eastAsia="Times New Roman" w:hAnsi="Calibri" w:cs="Times New Roman"/>
                <w:sz w:val="18"/>
                <w:szCs w:val="18"/>
              </w:rPr>
              <w:t>Distributions from Investments</w:t>
            </w:r>
            <w:r w:rsidRPr="00DD692D">
              <w:rPr>
                <w:rFonts w:ascii="Calibri" w:eastAsia="Times New Roman" w:hAnsi="Calibri" w:cs="Times New Roman"/>
                <w:bCs/>
                <w:sz w:val="18"/>
                <w:szCs w:val="18"/>
                <w:vertAlign w:val="superscript"/>
              </w:rPr>
              <w:t xml:space="preserve"> b</w:t>
            </w:r>
          </w:p>
        </w:tc>
        <w:tc>
          <w:tcPr>
            <w:tcW w:w="851" w:type="dxa"/>
          </w:tcPr>
          <w:p w14:paraId="323FB351"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50CEF07C" w14:textId="05EE819C"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11,284</w:t>
            </w:r>
          </w:p>
        </w:tc>
        <w:tc>
          <w:tcPr>
            <w:tcW w:w="567" w:type="dxa"/>
          </w:tcPr>
          <w:p w14:paraId="2DECA405" w14:textId="77777777" w:rsidR="00D736C3" w:rsidRPr="00D736C3" w:rsidRDefault="00D736C3" w:rsidP="00D736C3">
            <w:pPr>
              <w:spacing w:before="40" w:after="40" w:line="240" w:lineRule="auto"/>
              <w:jc w:val="right"/>
              <w:rPr>
                <w:rFonts w:ascii="Calibri" w:eastAsia="Times New Roman" w:hAnsi="Calibri" w:cs="Times New Roman"/>
                <w:sz w:val="18"/>
                <w:szCs w:val="18"/>
                <w:highlight w:val="yellow"/>
              </w:rPr>
            </w:pPr>
          </w:p>
        </w:tc>
        <w:tc>
          <w:tcPr>
            <w:tcW w:w="1418" w:type="dxa"/>
          </w:tcPr>
          <w:p w14:paraId="6A5D233D" w14:textId="503E3E1D"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7,867</w:t>
            </w:r>
          </w:p>
        </w:tc>
      </w:tr>
      <w:tr w:rsidR="00D736C3" w:rsidRPr="00DD692D" w14:paraId="4F28DFE0" w14:textId="77777777" w:rsidTr="00323290">
        <w:trPr>
          <w:cantSplit/>
        </w:trPr>
        <w:tc>
          <w:tcPr>
            <w:tcW w:w="5387" w:type="dxa"/>
          </w:tcPr>
          <w:p w14:paraId="1BCEEEFB" w14:textId="77777777" w:rsidR="00D736C3" w:rsidRPr="00DD692D" w:rsidRDefault="00D736C3" w:rsidP="00D736C3">
            <w:pPr>
              <w:spacing w:before="40" w:after="40" w:line="240" w:lineRule="auto"/>
              <w:rPr>
                <w:rFonts w:ascii="Calibri" w:eastAsia="Times New Roman" w:hAnsi="Calibri" w:cs="Times New Roman"/>
                <w:b/>
                <w:sz w:val="18"/>
                <w:szCs w:val="18"/>
              </w:rPr>
            </w:pPr>
            <w:r w:rsidRPr="00DD692D">
              <w:rPr>
                <w:rFonts w:ascii="Calibri" w:eastAsia="Times New Roman" w:hAnsi="Calibri" w:cs="Times New Roman"/>
                <w:b/>
                <w:sz w:val="18"/>
                <w:szCs w:val="18"/>
              </w:rPr>
              <w:t>Total Investment and Interest Revenue</w:t>
            </w:r>
          </w:p>
        </w:tc>
        <w:tc>
          <w:tcPr>
            <w:tcW w:w="851" w:type="dxa"/>
          </w:tcPr>
          <w:p w14:paraId="6CB2D3B2"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bottom w:val="single" w:sz="4" w:space="0" w:color="auto"/>
            </w:tcBorders>
          </w:tcPr>
          <w:p w14:paraId="23703C91" w14:textId="32E41E23"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r w:rsidRPr="00D736C3">
              <w:rPr>
                <w:b/>
                <w:bCs/>
                <w:sz w:val="18"/>
                <w:szCs w:val="18"/>
              </w:rPr>
              <w:t>14,498</w:t>
            </w:r>
          </w:p>
        </w:tc>
        <w:tc>
          <w:tcPr>
            <w:tcW w:w="567" w:type="dxa"/>
            <w:tcBorders>
              <w:top w:val="single" w:sz="4" w:space="0" w:color="auto"/>
              <w:bottom w:val="single" w:sz="4" w:space="0" w:color="auto"/>
            </w:tcBorders>
          </w:tcPr>
          <w:p w14:paraId="23D0458B" w14:textId="77777777" w:rsidR="00D736C3" w:rsidRPr="00D736C3" w:rsidRDefault="00D736C3" w:rsidP="00D736C3">
            <w:pPr>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4" w:space="0" w:color="auto"/>
              <w:bottom w:val="single" w:sz="4" w:space="0" w:color="auto"/>
            </w:tcBorders>
          </w:tcPr>
          <w:p w14:paraId="0808A830" w14:textId="5F3BF9A4"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r w:rsidRPr="00D736C3">
              <w:rPr>
                <w:b/>
                <w:bCs/>
                <w:sz w:val="18"/>
                <w:szCs w:val="18"/>
              </w:rPr>
              <w:t>9,658</w:t>
            </w:r>
          </w:p>
        </w:tc>
      </w:tr>
      <w:tr w:rsidR="00D736C3" w:rsidRPr="00DD692D" w14:paraId="1014006D" w14:textId="77777777" w:rsidTr="00323290">
        <w:trPr>
          <w:cantSplit/>
        </w:trPr>
        <w:tc>
          <w:tcPr>
            <w:tcW w:w="5387" w:type="dxa"/>
          </w:tcPr>
          <w:p w14:paraId="6E21752E" w14:textId="77777777" w:rsidR="00D736C3" w:rsidRPr="00DD692D" w:rsidRDefault="00D736C3" w:rsidP="00D736C3">
            <w:pPr>
              <w:spacing w:before="40" w:after="40" w:line="240" w:lineRule="auto"/>
              <w:rPr>
                <w:rFonts w:ascii="Calibri" w:eastAsia="Times New Roman" w:hAnsi="Calibri" w:cs="Times New Roman"/>
                <w:bCs/>
                <w:sz w:val="18"/>
                <w:szCs w:val="18"/>
              </w:rPr>
            </w:pPr>
          </w:p>
        </w:tc>
        <w:tc>
          <w:tcPr>
            <w:tcW w:w="851" w:type="dxa"/>
          </w:tcPr>
          <w:p w14:paraId="149959A1"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tcBorders>
          </w:tcPr>
          <w:p w14:paraId="5A1028F6" w14:textId="77777777"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p>
        </w:tc>
        <w:tc>
          <w:tcPr>
            <w:tcW w:w="567" w:type="dxa"/>
            <w:tcBorders>
              <w:top w:val="single" w:sz="4" w:space="0" w:color="auto"/>
            </w:tcBorders>
          </w:tcPr>
          <w:p w14:paraId="39005D67" w14:textId="77777777" w:rsidR="00D736C3" w:rsidRPr="00D736C3" w:rsidRDefault="00D736C3" w:rsidP="00D736C3">
            <w:pPr>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4" w:space="0" w:color="auto"/>
            </w:tcBorders>
          </w:tcPr>
          <w:p w14:paraId="5E0C11CE" w14:textId="77777777"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p>
        </w:tc>
      </w:tr>
      <w:tr w:rsidR="00D736C3" w:rsidRPr="00DD692D" w14:paraId="3B31FD48" w14:textId="77777777" w:rsidTr="00323290">
        <w:trPr>
          <w:cantSplit/>
        </w:trPr>
        <w:tc>
          <w:tcPr>
            <w:tcW w:w="5387" w:type="dxa"/>
          </w:tcPr>
          <w:p w14:paraId="6A612159" w14:textId="42B10922" w:rsidR="00D736C3" w:rsidRPr="00DD692D" w:rsidRDefault="00D736C3" w:rsidP="00D736C3">
            <w:pPr>
              <w:spacing w:before="40" w:after="40" w:line="240" w:lineRule="auto"/>
              <w:rPr>
                <w:rFonts w:ascii="Calibri" w:eastAsia="Times New Roman" w:hAnsi="Calibri" w:cs="Times New Roman"/>
                <w:b/>
                <w:iCs/>
                <w:sz w:val="18"/>
                <w:szCs w:val="18"/>
              </w:rPr>
            </w:pPr>
            <w:r w:rsidRPr="00DD692D">
              <w:rPr>
                <w:rFonts w:ascii="Calibri" w:eastAsia="Times New Roman" w:hAnsi="Calibri" w:cs="Times New Roman"/>
                <w:b/>
                <w:iCs/>
                <w:sz w:val="18"/>
                <w:szCs w:val="18"/>
              </w:rPr>
              <w:t>Gain on Remeasurement of Investments</w:t>
            </w:r>
          </w:p>
        </w:tc>
        <w:tc>
          <w:tcPr>
            <w:tcW w:w="851" w:type="dxa"/>
          </w:tcPr>
          <w:p w14:paraId="2B4945AD"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i/>
                <w:sz w:val="18"/>
                <w:szCs w:val="18"/>
              </w:rPr>
            </w:pPr>
          </w:p>
        </w:tc>
        <w:tc>
          <w:tcPr>
            <w:tcW w:w="1417" w:type="dxa"/>
          </w:tcPr>
          <w:p w14:paraId="3502B85E" w14:textId="77777777" w:rsidR="00D736C3" w:rsidRPr="00D736C3" w:rsidRDefault="00D736C3" w:rsidP="00D736C3">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Pr>
          <w:p w14:paraId="4467C2AB" w14:textId="77777777" w:rsidR="00D736C3" w:rsidRPr="00D736C3" w:rsidRDefault="00D736C3" w:rsidP="00D736C3">
            <w:pPr>
              <w:spacing w:before="40" w:after="40" w:line="240" w:lineRule="auto"/>
              <w:jc w:val="right"/>
              <w:rPr>
                <w:rFonts w:ascii="Calibri" w:eastAsia="Times New Roman" w:hAnsi="Calibri" w:cs="Times New Roman"/>
                <w:i/>
                <w:sz w:val="18"/>
                <w:szCs w:val="18"/>
                <w:highlight w:val="yellow"/>
              </w:rPr>
            </w:pPr>
          </w:p>
        </w:tc>
        <w:tc>
          <w:tcPr>
            <w:tcW w:w="1418" w:type="dxa"/>
          </w:tcPr>
          <w:p w14:paraId="5BA3EFC3" w14:textId="77777777" w:rsidR="00D736C3" w:rsidRPr="00D736C3" w:rsidRDefault="00D736C3" w:rsidP="00D736C3">
            <w:pPr>
              <w:tabs>
                <w:tab w:val="right" w:pos="742"/>
              </w:tabs>
              <w:spacing w:before="40" w:after="40" w:line="240" w:lineRule="auto"/>
              <w:jc w:val="right"/>
              <w:rPr>
                <w:rFonts w:ascii="Calibri" w:eastAsia="Times New Roman" w:hAnsi="Calibri" w:cs="Times New Roman"/>
                <w:i/>
                <w:sz w:val="18"/>
                <w:szCs w:val="18"/>
                <w:highlight w:val="yellow"/>
              </w:rPr>
            </w:pPr>
          </w:p>
        </w:tc>
      </w:tr>
      <w:tr w:rsidR="00D736C3" w:rsidRPr="00DD692D" w14:paraId="6C4406A1" w14:textId="77777777" w:rsidTr="001C3CE3">
        <w:trPr>
          <w:cantSplit/>
        </w:trPr>
        <w:tc>
          <w:tcPr>
            <w:tcW w:w="5387" w:type="dxa"/>
          </w:tcPr>
          <w:p w14:paraId="07CE8D26" w14:textId="73384B79" w:rsidR="00D736C3" w:rsidRPr="00DD692D" w:rsidRDefault="00D736C3" w:rsidP="00D736C3">
            <w:pPr>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sz w:val="18"/>
                <w:szCs w:val="18"/>
              </w:rPr>
              <w:t xml:space="preserve">Gain on </w:t>
            </w:r>
            <w:r w:rsidRPr="00DD692D">
              <w:rPr>
                <w:rFonts w:ascii="Calibri" w:eastAsia="Times New Roman" w:hAnsi="Calibri" w:cs="Times New Roman"/>
                <w:bCs/>
                <w:sz w:val="18"/>
                <w:szCs w:val="18"/>
              </w:rPr>
              <w:t>Remeasurement of Investments</w:t>
            </w:r>
            <w:r w:rsidRPr="00DD692D">
              <w:rPr>
                <w:rFonts w:ascii="Calibri" w:eastAsia="Times New Roman" w:hAnsi="Calibri" w:cs="Times New Roman"/>
                <w:bCs/>
                <w:sz w:val="18"/>
                <w:szCs w:val="18"/>
                <w:vertAlign w:val="superscript"/>
              </w:rPr>
              <w:t xml:space="preserve"> c</w:t>
            </w:r>
          </w:p>
        </w:tc>
        <w:tc>
          <w:tcPr>
            <w:tcW w:w="851" w:type="dxa"/>
          </w:tcPr>
          <w:p w14:paraId="1A09A40D"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7EE757DE" w14:textId="5944FAC0"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20,571</w:t>
            </w:r>
          </w:p>
        </w:tc>
        <w:tc>
          <w:tcPr>
            <w:tcW w:w="567" w:type="dxa"/>
            <w:tcBorders>
              <w:bottom w:val="single" w:sz="4" w:space="0" w:color="auto"/>
            </w:tcBorders>
          </w:tcPr>
          <w:p w14:paraId="0C22D4FD" w14:textId="77777777" w:rsidR="00D736C3" w:rsidRPr="00D736C3" w:rsidRDefault="00D736C3" w:rsidP="00D736C3">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4" w:space="0" w:color="auto"/>
            </w:tcBorders>
          </w:tcPr>
          <w:p w14:paraId="2F51B2C5" w14:textId="316B35F5" w:rsidR="00D736C3" w:rsidRPr="00D736C3" w:rsidRDefault="00D736C3" w:rsidP="00D736C3">
            <w:pPr>
              <w:tabs>
                <w:tab w:val="right" w:pos="742"/>
              </w:tabs>
              <w:spacing w:before="40" w:after="40" w:line="240" w:lineRule="auto"/>
              <w:jc w:val="right"/>
              <w:rPr>
                <w:rFonts w:ascii="Calibri" w:eastAsia="Times New Roman" w:hAnsi="Calibri" w:cs="Times New Roman"/>
                <w:sz w:val="18"/>
                <w:szCs w:val="18"/>
                <w:highlight w:val="yellow"/>
              </w:rPr>
            </w:pPr>
            <w:r w:rsidRPr="00D736C3">
              <w:rPr>
                <w:sz w:val="18"/>
                <w:szCs w:val="18"/>
              </w:rPr>
              <w:t>22,596</w:t>
            </w:r>
          </w:p>
        </w:tc>
      </w:tr>
      <w:tr w:rsidR="00D736C3" w:rsidRPr="00DD692D" w14:paraId="05C58536" w14:textId="77777777" w:rsidTr="001C3CE3">
        <w:trPr>
          <w:cantSplit/>
        </w:trPr>
        <w:tc>
          <w:tcPr>
            <w:tcW w:w="5387" w:type="dxa"/>
            <w:tcBorders>
              <w:bottom w:val="single" w:sz="12" w:space="0" w:color="492581" w:themeColor="accent1"/>
            </w:tcBorders>
          </w:tcPr>
          <w:p w14:paraId="08BF513E" w14:textId="7C9F955F" w:rsidR="00D736C3" w:rsidRPr="00DD692D" w:rsidRDefault="00D736C3" w:rsidP="00D736C3">
            <w:pPr>
              <w:spacing w:before="40" w:after="40" w:line="240" w:lineRule="auto"/>
              <w:rPr>
                <w:rFonts w:ascii="Calibri" w:eastAsia="Times New Roman" w:hAnsi="Calibri" w:cs="Times New Roman"/>
                <w:bCs/>
                <w:sz w:val="18"/>
                <w:szCs w:val="18"/>
              </w:rPr>
            </w:pPr>
            <w:r w:rsidRPr="00DD692D">
              <w:rPr>
                <w:rFonts w:ascii="Calibri" w:eastAsia="Times New Roman" w:hAnsi="Calibri" w:cs="Times New Roman"/>
                <w:b/>
                <w:iCs/>
                <w:sz w:val="18"/>
                <w:szCs w:val="18"/>
              </w:rPr>
              <w:t>Gain on Remeasurement of Investments</w:t>
            </w:r>
          </w:p>
        </w:tc>
        <w:tc>
          <w:tcPr>
            <w:tcW w:w="851" w:type="dxa"/>
            <w:tcBorders>
              <w:bottom w:val="single" w:sz="12" w:space="0" w:color="492581" w:themeColor="accent1"/>
            </w:tcBorders>
          </w:tcPr>
          <w:p w14:paraId="2E9C69A7" w14:textId="77777777" w:rsidR="00D736C3" w:rsidRPr="00DD692D" w:rsidRDefault="00D736C3" w:rsidP="00D736C3">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12" w:space="0" w:color="492581" w:themeColor="accent1"/>
            </w:tcBorders>
          </w:tcPr>
          <w:p w14:paraId="418DF300" w14:textId="56159A8E"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r w:rsidRPr="00D736C3">
              <w:rPr>
                <w:b/>
                <w:bCs/>
                <w:sz w:val="18"/>
                <w:szCs w:val="18"/>
              </w:rPr>
              <w:t>20,571</w:t>
            </w:r>
          </w:p>
        </w:tc>
        <w:tc>
          <w:tcPr>
            <w:tcW w:w="567" w:type="dxa"/>
            <w:tcBorders>
              <w:top w:val="single" w:sz="4" w:space="0" w:color="auto"/>
              <w:bottom w:val="single" w:sz="12" w:space="0" w:color="492581" w:themeColor="accent1"/>
            </w:tcBorders>
          </w:tcPr>
          <w:p w14:paraId="7DB01DD7" w14:textId="77777777" w:rsidR="00D736C3" w:rsidRPr="00D736C3" w:rsidRDefault="00D736C3" w:rsidP="00D736C3">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12" w:space="0" w:color="492581" w:themeColor="accent1"/>
            </w:tcBorders>
          </w:tcPr>
          <w:p w14:paraId="6875AEF3" w14:textId="762B189D" w:rsidR="00D736C3" w:rsidRPr="00D736C3" w:rsidRDefault="00D736C3" w:rsidP="00D736C3">
            <w:pPr>
              <w:tabs>
                <w:tab w:val="right" w:pos="742"/>
              </w:tabs>
              <w:spacing w:before="40" w:after="40" w:line="240" w:lineRule="auto"/>
              <w:jc w:val="right"/>
              <w:rPr>
                <w:rFonts w:ascii="Calibri" w:eastAsia="Times New Roman" w:hAnsi="Calibri" w:cs="Times New Roman"/>
                <w:b/>
                <w:bCs/>
                <w:sz w:val="18"/>
                <w:szCs w:val="18"/>
                <w:highlight w:val="yellow"/>
              </w:rPr>
            </w:pPr>
            <w:r w:rsidRPr="00D736C3">
              <w:rPr>
                <w:b/>
                <w:bCs/>
                <w:sz w:val="18"/>
                <w:szCs w:val="18"/>
              </w:rPr>
              <w:t>22,596</w:t>
            </w:r>
          </w:p>
        </w:tc>
      </w:tr>
      <w:tr w:rsidR="00DD692D" w:rsidRPr="00DD692D" w14:paraId="426B95CD" w14:textId="77777777" w:rsidTr="00F07506">
        <w:trPr>
          <w:cantSplit/>
        </w:trPr>
        <w:tc>
          <w:tcPr>
            <w:tcW w:w="9640" w:type="dxa"/>
            <w:gridSpan w:val="5"/>
            <w:tcBorders>
              <w:top w:val="single" w:sz="12" w:space="0" w:color="492581" w:themeColor="accent1"/>
              <w:bottom w:val="single" w:sz="12" w:space="0" w:color="492581" w:themeColor="accent1"/>
            </w:tcBorders>
          </w:tcPr>
          <w:p w14:paraId="626CE048" w14:textId="77777777" w:rsidR="00C70604" w:rsidRPr="008F376C" w:rsidRDefault="00C70604" w:rsidP="00C70604">
            <w:pPr>
              <w:spacing w:before="120" w:after="120" w:line="240" w:lineRule="auto"/>
              <w:rPr>
                <w:rFonts w:eastAsia="Times New Roman" w:cs="Source Sans Pro Light"/>
                <w:i/>
                <w:iCs/>
                <w:sz w:val="17"/>
                <w:szCs w:val="17"/>
              </w:rPr>
            </w:pPr>
            <w:r w:rsidRPr="008F376C">
              <w:rPr>
                <w:rFonts w:cs="Source Sans Pro Light"/>
                <w:i/>
                <w:iCs/>
                <w:sz w:val="17"/>
                <w:szCs w:val="17"/>
                <w:vertAlign w:val="superscript"/>
              </w:rPr>
              <w:t xml:space="preserve">a </w:t>
            </w:r>
            <w:r w:rsidRPr="008F376C">
              <w:rPr>
                <w:rFonts w:eastAsia="Times New Roman" w:cs="Source Sans Pro Light"/>
                <w:i/>
                <w:iCs/>
                <w:sz w:val="17"/>
                <w:szCs w:val="17"/>
              </w:rPr>
              <w:t>Interest from bank is higher in 2023-24 mainly due to the increase in bank interest rates and the higher than average cash balance in the Westpac operating bank account.</w:t>
            </w:r>
          </w:p>
          <w:p w14:paraId="05E52711" w14:textId="77777777" w:rsidR="00C70604" w:rsidRPr="008F376C" w:rsidRDefault="00C70604" w:rsidP="00C70604">
            <w:pPr>
              <w:spacing w:after="120" w:line="240" w:lineRule="auto"/>
              <w:rPr>
                <w:rFonts w:cs="Source Sans Pro Light"/>
                <w:i/>
                <w:iCs/>
                <w:sz w:val="17"/>
                <w:szCs w:val="17"/>
              </w:rPr>
            </w:pPr>
            <w:r w:rsidRPr="008F376C">
              <w:rPr>
                <w:rFonts w:cs="Source Sans Pro Light"/>
                <w:i/>
                <w:iCs/>
                <w:sz w:val="17"/>
                <w:szCs w:val="17"/>
                <w:vertAlign w:val="superscript"/>
              </w:rPr>
              <w:t xml:space="preserve">b </w:t>
            </w:r>
            <w:r w:rsidRPr="008F376C">
              <w:rPr>
                <w:rFonts w:eastAsia="Times New Roman" w:cs="Source Sans Pro Light"/>
                <w:i/>
                <w:iCs/>
                <w:sz w:val="17"/>
                <w:szCs w:val="17"/>
              </w:rPr>
              <w:t>Distributions received from investments held with the Territory Banking Account fluctuate year on year subject to the amount of income available for distribution in the underlying investment asset class sector exposures. The increase in distribution revenue reflects the amount of available distributable income from the Territory Banking Account.</w:t>
            </w:r>
          </w:p>
          <w:p w14:paraId="31486C32" w14:textId="431862C9" w:rsidR="00DD692D" w:rsidRPr="00DD692D" w:rsidRDefault="00C70604" w:rsidP="00C70604">
            <w:pPr>
              <w:spacing w:before="120" w:after="120" w:line="240" w:lineRule="auto"/>
              <w:jc w:val="both"/>
              <w:rPr>
                <w:rFonts w:ascii="Calibri" w:eastAsia="Calibri" w:hAnsi="Calibri" w:cs="Times New Roman"/>
                <w:color w:val="0070C0"/>
                <w:sz w:val="18"/>
                <w:szCs w:val="18"/>
              </w:rPr>
            </w:pPr>
            <w:r w:rsidRPr="008F376C">
              <w:rPr>
                <w:rFonts w:cs="Source Sans Pro Light"/>
                <w:i/>
                <w:iCs/>
                <w:sz w:val="17"/>
                <w:szCs w:val="17"/>
                <w:vertAlign w:val="superscript"/>
              </w:rPr>
              <w:t>c</w:t>
            </w:r>
            <w:r w:rsidRPr="008F376C">
              <w:rPr>
                <w:rFonts w:eastAsia="Times New Roman" w:cs="Source Sans Pro Light"/>
                <w:i/>
                <w:iCs/>
                <w:sz w:val="17"/>
                <w:szCs w:val="17"/>
              </w:rPr>
              <w:t xml:space="preserve"> The fair value of investments fluctuates year on year depending on the performance of the underlying financial investment exposures. In 2023-24 the investments continue to achieve a strong positive return of </w:t>
            </w:r>
            <w:r w:rsidRPr="008F376C">
              <w:rPr>
                <w:rFonts w:eastAsia="Times New Roman" w:cs="Source Sans Pro Light"/>
                <w:i/>
                <w:iCs/>
                <w:color w:val="000000" w:themeColor="text1"/>
                <w:sz w:val="17"/>
                <w:szCs w:val="17"/>
              </w:rPr>
              <w:t xml:space="preserve">9.88% (9.42% in 2022-23) </w:t>
            </w:r>
            <w:r w:rsidRPr="008F376C">
              <w:rPr>
                <w:rFonts w:eastAsia="Times New Roman" w:cs="Source Sans Pro Light"/>
                <w:i/>
                <w:iCs/>
                <w:sz w:val="17"/>
                <w:szCs w:val="17"/>
              </w:rPr>
              <w:t>due to the increase in market valuation of the investment portfolio mainly due to underlying gains on share investments.</w:t>
            </w:r>
          </w:p>
        </w:tc>
      </w:tr>
    </w:tbl>
    <w:p w14:paraId="25F7DED6" w14:textId="47831CA6" w:rsidR="00DD692D" w:rsidRDefault="00DD692D" w:rsidP="00B8454B">
      <w:pPr>
        <w:autoSpaceDE w:val="0"/>
        <w:autoSpaceDN w:val="0"/>
        <w:adjustRightInd w:val="0"/>
        <w:spacing w:after="140" w:line="240" w:lineRule="auto"/>
        <w:contextualSpacing/>
        <w:rPr>
          <w:rFonts w:ascii="Calibri" w:eastAsia="Calibri" w:hAnsi="Calibri" w:cs="Calibri"/>
          <w:color w:val="000000"/>
          <w:sz w:val="22"/>
          <w:szCs w:val="22"/>
        </w:rPr>
      </w:pPr>
    </w:p>
    <w:p w14:paraId="0BEEDFEE" w14:textId="77777777" w:rsidR="00DD692D" w:rsidRDefault="00DD692D">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25A1A347" w14:textId="77777777" w:rsidR="00DC30AE" w:rsidRDefault="00DC30AE" w:rsidP="00DC30AE">
      <w:pPr>
        <w:pStyle w:val="Pa4"/>
        <w:spacing w:after="137" w:line="240" w:lineRule="auto"/>
        <w:outlineLvl w:val="0"/>
        <w:rPr>
          <w:rFonts w:asciiTheme="minorHAnsi" w:hAnsiTheme="minorHAnsi" w:cs="Montserrat Semi Bold"/>
          <w:b/>
          <w:bCs/>
          <w:color w:val="000000"/>
          <w:sz w:val="30"/>
          <w:szCs w:val="30"/>
        </w:rPr>
      </w:pPr>
      <w:r w:rsidRPr="007218CC">
        <w:rPr>
          <w:rFonts w:asciiTheme="minorHAnsi" w:hAnsiTheme="minorHAnsi" w:cs="Montserrat Semi Bold"/>
          <w:b/>
          <w:bCs/>
          <w:color w:val="000000"/>
          <w:sz w:val="30"/>
          <w:szCs w:val="30"/>
        </w:rPr>
        <w:lastRenderedPageBreak/>
        <w:t>NOTE 8. OTHER INCOME AND EXPENSES</w:t>
      </w:r>
      <w:r>
        <w:rPr>
          <w:rFonts w:asciiTheme="minorHAnsi" w:hAnsiTheme="minorHAnsi" w:cs="Montserrat Semi Bold"/>
          <w:b/>
          <w:bCs/>
          <w:color w:val="000000"/>
          <w:sz w:val="30"/>
          <w:szCs w:val="30"/>
        </w:rPr>
        <w:t xml:space="preserve"> </w:t>
      </w:r>
    </w:p>
    <w:p w14:paraId="450193E3" w14:textId="5CE68320" w:rsidR="00DC30AE" w:rsidRPr="00F7251F" w:rsidRDefault="00DC30AE" w:rsidP="00DC30AE">
      <w:pPr>
        <w:pStyle w:val="Default"/>
        <w:spacing w:before="40" w:after="100"/>
        <w:rPr>
          <w:rFonts w:asciiTheme="minorHAnsi" w:hAnsiTheme="minorHAnsi" w:cs="Source Sans Pro Light"/>
          <w:b/>
          <w:bCs/>
          <w:color w:val="auto"/>
          <w:sz w:val="22"/>
          <w:szCs w:val="22"/>
        </w:rPr>
      </w:pPr>
      <w:r w:rsidRPr="00F7251F">
        <w:rPr>
          <w:rFonts w:asciiTheme="minorHAnsi" w:hAnsiTheme="minorHAnsi" w:cs="Source Sans Pro Light"/>
          <w:b/>
          <w:bCs/>
          <w:color w:val="auto"/>
          <w:sz w:val="22"/>
          <w:szCs w:val="22"/>
        </w:rPr>
        <w:t xml:space="preserve">Description and Material Accounting Policies relating to Other </w:t>
      </w:r>
      <w:r w:rsidR="00065A30">
        <w:rPr>
          <w:rFonts w:asciiTheme="minorHAnsi" w:hAnsiTheme="minorHAnsi" w:cs="Source Sans Pro Light"/>
          <w:b/>
          <w:bCs/>
          <w:color w:val="auto"/>
          <w:sz w:val="22"/>
          <w:szCs w:val="22"/>
        </w:rPr>
        <w:t>Income</w:t>
      </w:r>
      <w:r w:rsidRPr="00F7251F">
        <w:rPr>
          <w:rFonts w:asciiTheme="minorHAnsi" w:hAnsiTheme="minorHAnsi" w:cs="Source Sans Pro Light"/>
          <w:b/>
          <w:bCs/>
          <w:color w:val="auto"/>
          <w:sz w:val="22"/>
          <w:szCs w:val="22"/>
        </w:rPr>
        <w:t xml:space="preserve"> and Expenses</w:t>
      </w:r>
    </w:p>
    <w:p w14:paraId="68935509" w14:textId="380EAC4F" w:rsidR="00DC30AE" w:rsidRDefault="00DC30AE" w:rsidP="00DC30AE">
      <w:pPr>
        <w:pStyle w:val="Pa11"/>
        <w:spacing w:after="140" w:line="240" w:lineRule="auto"/>
        <w:rPr>
          <w:rFonts w:asciiTheme="minorHAnsi" w:hAnsiTheme="minorHAnsi" w:cs="Source Sans Pro Light"/>
          <w:sz w:val="22"/>
          <w:szCs w:val="22"/>
        </w:rPr>
      </w:pPr>
      <w:r>
        <w:rPr>
          <w:rFonts w:asciiTheme="minorHAnsi" w:hAnsiTheme="minorHAnsi" w:cs="Source Sans Pro Light"/>
          <w:sz w:val="22"/>
          <w:szCs w:val="22"/>
        </w:rPr>
        <w:t xml:space="preserve">Other </w:t>
      </w:r>
      <w:r w:rsidR="00065A30">
        <w:rPr>
          <w:rFonts w:asciiTheme="minorHAnsi" w:hAnsiTheme="minorHAnsi" w:cs="Source Sans Pro Light"/>
          <w:sz w:val="22"/>
          <w:szCs w:val="22"/>
        </w:rPr>
        <w:t>income</w:t>
      </w:r>
      <w:r w:rsidRPr="004F2B69">
        <w:rPr>
          <w:rFonts w:asciiTheme="minorHAnsi" w:hAnsiTheme="minorHAnsi" w:cs="Source Sans Pro Light"/>
          <w:sz w:val="22"/>
          <w:szCs w:val="22"/>
        </w:rPr>
        <w:t xml:space="preserve"> and expenses </w:t>
      </w:r>
      <w:r>
        <w:rPr>
          <w:rFonts w:asciiTheme="minorHAnsi" w:hAnsiTheme="minorHAnsi" w:cs="Source Sans Pro Light"/>
          <w:sz w:val="22"/>
          <w:szCs w:val="22"/>
        </w:rPr>
        <w:t xml:space="preserve">mainly </w:t>
      </w:r>
      <w:r w:rsidRPr="004F2B69">
        <w:rPr>
          <w:rFonts w:asciiTheme="minorHAnsi" w:hAnsiTheme="minorHAnsi" w:cs="Source Sans Pro Light"/>
          <w:sz w:val="22"/>
          <w:szCs w:val="22"/>
        </w:rPr>
        <w:t>relat</w:t>
      </w:r>
      <w:r>
        <w:rPr>
          <w:rFonts w:asciiTheme="minorHAnsi" w:hAnsiTheme="minorHAnsi" w:cs="Source Sans Pro Light"/>
          <w:sz w:val="22"/>
          <w:szCs w:val="22"/>
        </w:rPr>
        <w:t>e</w:t>
      </w:r>
      <w:r w:rsidRPr="004F2B69">
        <w:rPr>
          <w:rFonts w:asciiTheme="minorHAnsi" w:hAnsiTheme="minorHAnsi" w:cs="Source Sans Pro Light"/>
          <w:sz w:val="22"/>
          <w:szCs w:val="22"/>
        </w:rPr>
        <w:t xml:space="preserve"> to </w:t>
      </w:r>
      <w:r>
        <w:rPr>
          <w:rFonts w:asciiTheme="minorHAnsi" w:hAnsiTheme="minorHAnsi" w:cs="Source Sans Pro Light"/>
          <w:sz w:val="22"/>
          <w:szCs w:val="22"/>
        </w:rPr>
        <w:t xml:space="preserve">the Builders Warranty Insurance (BWI) Scheme and the Physical and Sexual Abuse (PSA) Indemnity Scheme design for out of home care providers, </w:t>
      </w:r>
      <w:r w:rsidRPr="004F2B69">
        <w:rPr>
          <w:rFonts w:asciiTheme="minorHAnsi" w:hAnsiTheme="minorHAnsi" w:cs="Source Sans Pro Light"/>
          <w:sz w:val="22"/>
          <w:szCs w:val="22"/>
        </w:rPr>
        <w:t xml:space="preserve">contract works </w:t>
      </w:r>
      <w:r>
        <w:rPr>
          <w:rFonts w:asciiTheme="minorHAnsi" w:hAnsiTheme="minorHAnsi" w:cs="Source Sans Pro Light"/>
          <w:sz w:val="22"/>
          <w:szCs w:val="22"/>
        </w:rPr>
        <w:t xml:space="preserve">insurance </w:t>
      </w:r>
      <w:r w:rsidRPr="004F2B69">
        <w:rPr>
          <w:rFonts w:asciiTheme="minorHAnsi" w:hAnsiTheme="minorHAnsi" w:cs="Source Sans Pro Light"/>
          <w:sz w:val="22"/>
          <w:szCs w:val="22"/>
        </w:rPr>
        <w:t xml:space="preserve">and external </w:t>
      </w:r>
      <w:r>
        <w:rPr>
          <w:rFonts w:asciiTheme="minorHAnsi" w:hAnsiTheme="minorHAnsi" w:cs="Source Sans Pro Light"/>
          <w:sz w:val="22"/>
          <w:szCs w:val="22"/>
        </w:rPr>
        <w:t xml:space="preserve">insurance </w:t>
      </w:r>
      <w:r w:rsidRPr="004F2B69">
        <w:rPr>
          <w:rFonts w:asciiTheme="minorHAnsi" w:hAnsiTheme="minorHAnsi" w:cs="Source Sans Pro Light"/>
          <w:sz w:val="22"/>
          <w:szCs w:val="22"/>
        </w:rPr>
        <w:t>contracts</w:t>
      </w:r>
      <w:r>
        <w:rPr>
          <w:rFonts w:asciiTheme="minorHAnsi" w:hAnsiTheme="minorHAnsi" w:cs="Source Sans Pro Light"/>
          <w:sz w:val="22"/>
          <w:szCs w:val="22"/>
        </w:rPr>
        <w:t>.</w:t>
      </w:r>
      <w:r w:rsidRPr="004F2B69">
        <w:rPr>
          <w:rFonts w:asciiTheme="minorHAnsi" w:hAnsiTheme="minorHAnsi" w:cs="Source Sans Pro Light"/>
          <w:sz w:val="22"/>
          <w:szCs w:val="22"/>
        </w:rPr>
        <w:t xml:space="preserve"> </w:t>
      </w:r>
    </w:p>
    <w:p w14:paraId="773237D9" w14:textId="77777777" w:rsidR="00DC30AE" w:rsidRPr="00D10764" w:rsidRDefault="00DC30AE" w:rsidP="00DC30AE">
      <w:pPr>
        <w:pStyle w:val="Default"/>
        <w:spacing w:before="40" w:after="100"/>
        <w:rPr>
          <w:rFonts w:asciiTheme="minorHAnsi" w:hAnsiTheme="minorHAnsi" w:cs="Source Sans Pro Light"/>
          <w:i/>
          <w:iCs/>
          <w:color w:val="auto"/>
          <w:sz w:val="22"/>
          <w:szCs w:val="22"/>
        </w:rPr>
      </w:pPr>
      <w:r w:rsidRPr="00D10764">
        <w:rPr>
          <w:rFonts w:asciiTheme="minorHAnsi" w:hAnsiTheme="minorHAnsi" w:cs="Source Sans Pro Light"/>
          <w:i/>
          <w:iCs/>
          <w:color w:val="auto"/>
          <w:sz w:val="22"/>
          <w:szCs w:val="22"/>
        </w:rPr>
        <w:t>Builders Warranty Insurance Scheme</w:t>
      </w:r>
    </w:p>
    <w:p w14:paraId="5C956A27" w14:textId="77777777" w:rsidR="00DC30AE" w:rsidRPr="0020742E" w:rsidRDefault="00DC30AE" w:rsidP="00DC30AE">
      <w:pPr>
        <w:pStyle w:val="Pa11"/>
        <w:spacing w:after="140" w:line="240" w:lineRule="auto"/>
        <w:rPr>
          <w:rFonts w:asciiTheme="minorHAnsi" w:hAnsiTheme="minorHAnsi" w:cs="Source Sans Pro Light"/>
          <w:sz w:val="22"/>
          <w:szCs w:val="22"/>
        </w:rPr>
      </w:pPr>
      <w:r w:rsidRPr="00616A4E">
        <w:rPr>
          <w:rFonts w:asciiTheme="minorHAnsi" w:hAnsiTheme="minorHAnsi" w:cs="Source Sans Pro Light"/>
          <w:sz w:val="22"/>
          <w:szCs w:val="22"/>
        </w:rPr>
        <w:t xml:space="preserve">Refer </w:t>
      </w:r>
      <w:r>
        <w:rPr>
          <w:rFonts w:asciiTheme="minorHAnsi" w:hAnsiTheme="minorHAnsi" w:cs="Source Sans Pro Light"/>
          <w:sz w:val="22"/>
          <w:szCs w:val="22"/>
        </w:rPr>
        <w:t xml:space="preserve">to </w:t>
      </w:r>
      <w:r w:rsidRPr="00616A4E">
        <w:rPr>
          <w:rFonts w:asciiTheme="minorHAnsi" w:hAnsiTheme="minorHAnsi" w:cs="Source Sans Pro Light"/>
          <w:sz w:val="22"/>
          <w:szCs w:val="22"/>
        </w:rPr>
        <w:t xml:space="preserve">Note </w:t>
      </w:r>
      <w:r>
        <w:rPr>
          <w:rFonts w:asciiTheme="minorHAnsi" w:hAnsiTheme="minorHAnsi" w:cs="Source Sans Pro Light"/>
          <w:sz w:val="22"/>
          <w:szCs w:val="22"/>
        </w:rPr>
        <w:t>21</w:t>
      </w:r>
      <w:r w:rsidRPr="00616A4E">
        <w:rPr>
          <w:rFonts w:asciiTheme="minorHAnsi" w:hAnsiTheme="minorHAnsi" w:cs="Source Sans Pro Light"/>
          <w:sz w:val="22"/>
          <w:szCs w:val="22"/>
        </w:rPr>
        <w:t xml:space="preserve">: ‘Builder Warranty Insurance’ for the background information. Premium revenue is recognised based on </w:t>
      </w:r>
      <w:r w:rsidRPr="00853018">
        <w:rPr>
          <w:rFonts w:asciiTheme="minorHAnsi" w:hAnsiTheme="minorHAnsi" w:cs="Source Sans Pro Light"/>
          <w:i/>
          <w:iCs/>
          <w:sz w:val="22"/>
          <w:szCs w:val="22"/>
        </w:rPr>
        <w:t>AASB 1023 General Insurance Contracts</w:t>
      </w:r>
      <w:r w:rsidRPr="008E4337">
        <w:rPr>
          <w:rFonts w:asciiTheme="minorHAnsi" w:hAnsiTheme="minorHAnsi" w:cs="Source Sans Pro Light"/>
          <w:sz w:val="22"/>
          <w:szCs w:val="22"/>
        </w:rPr>
        <w:t xml:space="preserve"> </w:t>
      </w:r>
      <w:r w:rsidRPr="00616A4E">
        <w:rPr>
          <w:rFonts w:asciiTheme="minorHAnsi" w:hAnsiTheme="minorHAnsi" w:cs="Source Sans Pro Light"/>
          <w:sz w:val="22"/>
          <w:szCs w:val="22"/>
        </w:rPr>
        <w:t>based on a liability adequacy test and actuarial estimates on assessment of unexpired risk</w:t>
      </w:r>
      <w:r w:rsidRPr="00DB61AC">
        <w:rPr>
          <w:rFonts w:asciiTheme="minorHAnsi" w:hAnsiTheme="minorHAnsi" w:cs="Source Sans Pro Light"/>
          <w:sz w:val="22"/>
          <w:szCs w:val="22"/>
        </w:rPr>
        <w:t xml:space="preserve">. </w:t>
      </w:r>
      <w:r w:rsidRPr="00616A4E">
        <w:rPr>
          <w:rFonts w:asciiTheme="minorHAnsi" w:hAnsiTheme="minorHAnsi" w:cs="Source Sans Pro Light"/>
          <w:sz w:val="22"/>
          <w:szCs w:val="22"/>
        </w:rPr>
        <w:t xml:space="preserve">The commission and claims processing service fees are based on the agreement with </w:t>
      </w:r>
      <w:r w:rsidRPr="001225C8">
        <w:rPr>
          <w:rFonts w:asciiTheme="minorHAnsi" w:hAnsiTheme="minorHAnsi" w:cs="Source Sans Pro Light"/>
          <w:sz w:val="22"/>
          <w:szCs w:val="22"/>
        </w:rPr>
        <w:t xml:space="preserve">QBE Insurance Group Limited </w:t>
      </w:r>
      <w:r>
        <w:rPr>
          <w:rFonts w:asciiTheme="minorHAnsi" w:hAnsiTheme="minorHAnsi" w:cs="Source Sans Pro Light"/>
          <w:sz w:val="22"/>
          <w:szCs w:val="22"/>
        </w:rPr>
        <w:t>(</w:t>
      </w:r>
      <w:r w:rsidRPr="00616A4E">
        <w:rPr>
          <w:rFonts w:asciiTheme="minorHAnsi" w:hAnsiTheme="minorHAnsi" w:cs="Source Sans Pro Light"/>
          <w:sz w:val="22"/>
          <w:szCs w:val="22"/>
        </w:rPr>
        <w:t>QBE</w:t>
      </w:r>
      <w:r>
        <w:rPr>
          <w:rFonts w:asciiTheme="minorHAnsi" w:hAnsiTheme="minorHAnsi" w:cs="Source Sans Pro Light"/>
          <w:sz w:val="22"/>
          <w:szCs w:val="22"/>
        </w:rPr>
        <w:t>)</w:t>
      </w:r>
      <w:r w:rsidRPr="00616A4E">
        <w:rPr>
          <w:rFonts w:asciiTheme="minorHAnsi" w:hAnsiTheme="minorHAnsi" w:cs="Source Sans Pro Light"/>
          <w:sz w:val="22"/>
          <w:szCs w:val="22"/>
        </w:rPr>
        <w:t xml:space="preserve"> and recognised based on the policies written and number of claims processed by QBE during the period.  Claims related recoveries and claims expenses are recognised based on claims payment</w:t>
      </w:r>
      <w:r>
        <w:rPr>
          <w:rFonts w:asciiTheme="minorHAnsi" w:hAnsiTheme="minorHAnsi" w:cs="Source Sans Pro Light"/>
          <w:sz w:val="22"/>
          <w:szCs w:val="22"/>
        </w:rPr>
        <w:t>s</w:t>
      </w:r>
      <w:r w:rsidRPr="00616A4E">
        <w:rPr>
          <w:rFonts w:asciiTheme="minorHAnsi" w:hAnsiTheme="minorHAnsi" w:cs="Source Sans Pro Light"/>
          <w:sz w:val="22"/>
          <w:szCs w:val="22"/>
        </w:rPr>
        <w:t xml:space="preserve"> and recoveries</w:t>
      </w:r>
      <w:r>
        <w:rPr>
          <w:rFonts w:asciiTheme="minorHAnsi" w:hAnsiTheme="minorHAnsi" w:cs="Source Sans Pro Light"/>
          <w:sz w:val="22"/>
          <w:szCs w:val="22"/>
        </w:rPr>
        <w:t>,</w:t>
      </w:r>
      <w:r w:rsidRPr="00616A4E">
        <w:rPr>
          <w:rFonts w:asciiTheme="minorHAnsi" w:hAnsiTheme="minorHAnsi" w:cs="Source Sans Pro Light"/>
          <w:sz w:val="22"/>
          <w:szCs w:val="22"/>
        </w:rPr>
        <w:t xml:space="preserve"> and the movements </w:t>
      </w:r>
      <w:r>
        <w:rPr>
          <w:rFonts w:asciiTheme="minorHAnsi" w:hAnsiTheme="minorHAnsi" w:cs="Source Sans Pro Light"/>
          <w:sz w:val="22"/>
          <w:szCs w:val="22"/>
        </w:rPr>
        <w:t>in</w:t>
      </w:r>
      <w:r w:rsidRPr="00616A4E">
        <w:rPr>
          <w:rFonts w:asciiTheme="minorHAnsi" w:hAnsiTheme="minorHAnsi" w:cs="Source Sans Pro Light"/>
          <w:sz w:val="22"/>
          <w:szCs w:val="22"/>
        </w:rPr>
        <w:t xml:space="preserve"> actuarial valuations of the outstanding claims liabilities as at </w:t>
      </w:r>
      <w:r>
        <w:rPr>
          <w:rFonts w:asciiTheme="minorHAnsi" w:hAnsiTheme="minorHAnsi" w:cs="Source Sans Pro Light"/>
          <w:sz w:val="22"/>
          <w:szCs w:val="22"/>
        </w:rPr>
        <w:t xml:space="preserve">the </w:t>
      </w:r>
      <w:r w:rsidRPr="00616A4E">
        <w:rPr>
          <w:rFonts w:asciiTheme="minorHAnsi" w:hAnsiTheme="minorHAnsi" w:cs="Source Sans Pro Light"/>
          <w:sz w:val="22"/>
          <w:szCs w:val="22"/>
        </w:rPr>
        <w:t xml:space="preserve">end of financial year. </w:t>
      </w:r>
    </w:p>
    <w:p w14:paraId="6B1650C7" w14:textId="77777777" w:rsidR="00DC30AE" w:rsidRPr="00D10764" w:rsidRDefault="00DC30AE" w:rsidP="00DC30AE">
      <w:pPr>
        <w:pStyle w:val="Default"/>
        <w:spacing w:before="40" w:after="100"/>
        <w:rPr>
          <w:rFonts w:asciiTheme="minorHAnsi" w:hAnsiTheme="minorHAnsi" w:cs="Source Sans Pro Light"/>
          <w:i/>
          <w:iCs/>
          <w:color w:val="auto"/>
          <w:sz w:val="22"/>
          <w:szCs w:val="22"/>
        </w:rPr>
      </w:pPr>
      <w:r w:rsidRPr="00D10764">
        <w:rPr>
          <w:rFonts w:asciiTheme="minorHAnsi" w:hAnsiTheme="minorHAnsi" w:cs="Source Sans Pro Light"/>
          <w:i/>
          <w:iCs/>
          <w:color w:val="auto"/>
          <w:sz w:val="22"/>
          <w:szCs w:val="22"/>
        </w:rPr>
        <w:t>Physical and Sexual Abuse Indemnity Scheme</w:t>
      </w:r>
    </w:p>
    <w:p w14:paraId="5225D0BD" w14:textId="77777777" w:rsidR="00DC30AE" w:rsidRDefault="00DC30AE" w:rsidP="00DC30AE">
      <w:pPr>
        <w:pStyle w:val="Pa11"/>
        <w:spacing w:after="140" w:line="240" w:lineRule="auto"/>
        <w:rPr>
          <w:rFonts w:asciiTheme="minorHAnsi" w:hAnsiTheme="minorHAnsi" w:cs="Source Sans Pro Light"/>
          <w:sz w:val="22"/>
          <w:szCs w:val="22"/>
        </w:rPr>
      </w:pPr>
      <w:r w:rsidRPr="00A27BD8">
        <w:rPr>
          <w:rFonts w:asciiTheme="minorHAnsi" w:hAnsiTheme="minorHAnsi" w:cs="Source Sans Pro Light"/>
          <w:sz w:val="22"/>
          <w:szCs w:val="22"/>
        </w:rPr>
        <w:t>Refer to Note 2</w:t>
      </w:r>
      <w:r>
        <w:rPr>
          <w:rFonts w:asciiTheme="minorHAnsi" w:hAnsiTheme="minorHAnsi" w:cs="Source Sans Pro Light"/>
          <w:sz w:val="22"/>
          <w:szCs w:val="22"/>
        </w:rPr>
        <w:t>2</w:t>
      </w:r>
      <w:r w:rsidRPr="00A27BD8">
        <w:rPr>
          <w:rFonts w:asciiTheme="minorHAnsi" w:hAnsiTheme="minorHAnsi" w:cs="Source Sans Pro Light"/>
          <w:sz w:val="22"/>
          <w:szCs w:val="22"/>
        </w:rPr>
        <w:t>: ‘Physical and Sexual Abuse Indemnity Scheme’ for the background. The Authority received appropriation of $0.449 million in funding via CMTEDD through the</w:t>
      </w:r>
      <w:r>
        <w:rPr>
          <w:rFonts w:asciiTheme="minorHAnsi" w:hAnsiTheme="minorHAnsi" w:cs="Source Sans Pro Light"/>
          <w:sz w:val="22"/>
          <w:szCs w:val="22"/>
        </w:rPr>
        <w:t xml:space="preserve"> 2022-23</w:t>
      </w:r>
      <w:r w:rsidRPr="00A27BD8">
        <w:rPr>
          <w:rFonts w:asciiTheme="minorHAnsi" w:hAnsiTheme="minorHAnsi" w:cs="Source Sans Pro Light"/>
          <w:sz w:val="22"/>
          <w:szCs w:val="22"/>
        </w:rPr>
        <w:t xml:space="preserve"> mid-year budget review process to design and implement an indemnity scheme for out of home care providers in the ACT for physical and sexual abuse liability claims. </w:t>
      </w:r>
    </w:p>
    <w:p w14:paraId="0FC5B29D" w14:textId="4D9D6FB5" w:rsidR="00DC30AE" w:rsidRPr="00A27BD8" w:rsidRDefault="00DC30AE" w:rsidP="00DC30AE">
      <w:pPr>
        <w:pStyle w:val="Pa11"/>
        <w:spacing w:after="140" w:line="240" w:lineRule="auto"/>
        <w:rPr>
          <w:rFonts w:asciiTheme="minorHAnsi" w:hAnsiTheme="minorHAnsi" w:cs="Source Sans Pro Light"/>
          <w:sz w:val="22"/>
          <w:szCs w:val="22"/>
        </w:rPr>
      </w:pPr>
      <w:r>
        <w:rPr>
          <w:rFonts w:asciiTheme="minorHAnsi" w:hAnsiTheme="minorHAnsi" w:cs="Source Sans Pro Light"/>
          <w:sz w:val="22"/>
          <w:szCs w:val="22"/>
        </w:rPr>
        <w:t xml:space="preserve">The </w:t>
      </w:r>
      <w:r w:rsidRPr="00A27BD8">
        <w:rPr>
          <w:rFonts w:asciiTheme="minorHAnsi" w:hAnsiTheme="minorHAnsi" w:cs="Source Sans Pro Light"/>
          <w:sz w:val="22"/>
          <w:szCs w:val="22"/>
        </w:rPr>
        <w:t>Authority</w:t>
      </w:r>
      <w:r>
        <w:rPr>
          <w:rFonts w:asciiTheme="minorHAnsi" w:hAnsiTheme="minorHAnsi" w:cs="Source Sans Pro Light"/>
          <w:sz w:val="22"/>
          <w:szCs w:val="22"/>
        </w:rPr>
        <w:t xml:space="preserve"> </w:t>
      </w:r>
      <w:r w:rsidRPr="00A27BD8">
        <w:rPr>
          <w:rFonts w:asciiTheme="minorHAnsi" w:hAnsiTheme="minorHAnsi" w:cs="Source Sans Pro Light"/>
          <w:sz w:val="22"/>
          <w:szCs w:val="22"/>
        </w:rPr>
        <w:t xml:space="preserve">operates on a cost recovery basis by collecting indemnity fees from directorates to meet the costs of future asset losses and legal liabilities that occur </w:t>
      </w:r>
      <w:proofErr w:type="gramStart"/>
      <w:r w:rsidRPr="00A27BD8">
        <w:rPr>
          <w:rFonts w:asciiTheme="minorHAnsi" w:hAnsiTheme="minorHAnsi" w:cs="Source Sans Pro Light"/>
          <w:sz w:val="22"/>
          <w:szCs w:val="22"/>
        </w:rPr>
        <w:t>as a result of</w:t>
      </w:r>
      <w:proofErr w:type="gramEnd"/>
      <w:r w:rsidRPr="00A27BD8">
        <w:rPr>
          <w:rFonts w:asciiTheme="minorHAnsi" w:hAnsiTheme="minorHAnsi" w:cs="Source Sans Pro Light"/>
          <w:sz w:val="22"/>
          <w:szCs w:val="22"/>
        </w:rPr>
        <w:t xml:space="preserve"> the activities of government. In consideration of the indemnity fees paid, </w:t>
      </w:r>
      <w:r w:rsidR="00C40F2A">
        <w:rPr>
          <w:rFonts w:asciiTheme="minorHAnsi" w:hAnsiTheme="minorHAnsi" w:cs="Source Sans Pro Light"/>
          <w:sz w:val="22"/>
          <w:szCs w:val="22"/>
        </w:rPr>
        <w:t>t</w:t>
      </w:r>
      <w:r>
        <w:rPr>
          <w:rFonts w:asciiTheme="minorHAnsi" w:hAnsiTheme="minorHAnsi" w:cs="Source Sans Pro Light"/>
          <w:sz w:val="22"/>
          <w:szCs w:val="22"/>
        </w:rPr>
        <w:t xml:space="preserve">he Authority </w:t>
      </w:r>
      <w:r w:rsidRPr="00A27BD8">
        <w:rPr>
          <w:rFonts w:asciiTheme="minorHAnsi" w:hAnsiTheme="minorHAnsi" w:cs="Source Sans Pro Light"/>
          <w:sz w:val="22"/>
          <w:szCs w:val="22"/>
        </w:rPr>
        <w:t>provides indemnity to directorates for insurable losses and claims incurred in relation to Out of Home Care Physical and Sexual Abuse that have been lodged against their third party providers that are actively part of the scheme.</w:t>
      </w:r>
    </w:p>
    <w:p w14:paraId="13D7D615" w14:textId="0EFB71A8" w:rsidR="00155BE5" w:rsidRDefault="00DC30AE" w:rsidP="000D6E35">
      <w:pPr>
        <w:pStyle w:val="Pa11"/>
        <w:spacing w:after="140" w:line="240" w:lineRule="auto"/>
        <w:rPr>
          <w:rFonts w:asciiTheme="minorHAnsi" w:hAnsiTheme="minorHAnsi" w:cs="Source Sans Pro Light"/>
          <w:sz w:val="22"/>
          <w:szCs w:val="22"/>
        </w:rPr>
      </w:pPr>
      <w:r w:rsidRPr="00A27BD8">
        <w:rPr>
          <w:rFonts w:asciiTheme="minorHAnsi" w:hAnsiTheme="minorHAnsi" w:cs="Source Sans Pro Light"/>
          <w:sz w:val="22"/>
          <w:szCs w:val="22"/>
        </w:rPr>
        <w:t xml:space="preserve">Each year </w:t>
      </w:r>
      <w:r>
        <w:rPr>
          <w:rFonts w:asciiTheme="minorHAnsi" w:hAnsiTheme="minorHAnsi" w:cs="Source Sans Pro Light"/>
          <w:sz w:val="22"/>
          <w:szCs w:val="22"/>
        </w:rPr>
        <w:t>the Authority</w:t>
      </w:r>
      <w:r w:rsidRPr="00A27BD8">
        <w:rPr>
          <w:rFonts w:asciiTheme="minorHAnsi" w:hAnsiTheme="minorHAnsi" w:cs="Source Sans Pro Light"/>
          <w:sz w:val="22"/>
          <w:szCs w:val="22"/>
        </w:rPr>
        <w:t xml:space="preserve">, with the assistance of its actuaries, </w:t>
      </w:r>
      <w:r>
        <w:rPr>
          <w:rFonts w:asciiTheme="minorHAnsi" w:hAnsiTheme="minorHAnsi" w:cs="Source Sans Pro Light"/>
          <w:sz w:val="22"/>
          <w:szCs w:val="22"/>
        </w:rPr>
        <w:t>Scyne Advisory</w:t>
      </w:r>
      <w:r w:rsidRPr="00A27BD8">
        <w:rPr>
          <w:rFonts w:asciiTheme="minorHAnsi" w:hAnsiTheme="minorHAnsi" w:cs="Source Sans Pro Light"/>
          <w:sz w:val="22"/>
          <w:szCs w:val="22"/>
        </w:rPr>
        <w:t>, determines the total annual insurance premiums and indemnity fees to be collected from ACT Government agencies, to meet the anticipated cost of claims for the insurance year. The actuarial approach to setting the annual insurance premiums and indemnity fees relies on assumptions about the estimated future number of claims, the estimated average settlement size, expected inflation rates, and investment returns.</w:t>
      </w:r>
    </w:p>
    <w:p w14:paraId="189B2920" w14:textId="77777777" w:rsidR="0019466B" w:rsidRPr="00D10764" w:rsidRDefault="0019466B" w:rsidP="0019466B">
      <w:pPr>
        <w:pStyle w:val="Default"/>
        <w:spacing w:before="40" w:after="100"/>
        <w:rPr>
          <w:rFonts w:asciiTheme="minorHAnsi" w:hAnsiTheme="minorHAnsi" w:cs="Source Sans Pro Light"/>
          <w:i/>
          <w:iCs/>
          <w:color w:val="auto"/>
          <w:sz w:val="22"/>
          <w:szCs w:val="22"/>
        </w:rPr>
      </w:pPr>
      <w:r w:rsidRPr="00D10764">
        <w:rPr>
          <w:rFonts w:asciiTheme="minorHAnsi" w:hAnsiTheme="minorHAnsi" w:cs="Source Sans Pro Light"/>
          <w:i/>
          <w:iCs/>
          <w:color w:val="auto"/>
          <w:sz w:val="22"/>
          <w:szCs w:val="22"/>
        </w:rPr>
        <w:t xml:space="preserve">Contract Works Insurance </w:t>
      </w:r>
    </w:p>
    <w:p w14:paraId="1385629B" w14:textId="4E03A79B" w:rsidR="0019466B" w:rsidRPr="004F2B69" w:rsidRDefault="0019466B" w:rsidP="0019466B">
      <w:pPr>
        <w:pStyle w:val="Pa11"/>
        <w:spacing w:after="140" w:line="240" w:lineRule="auto"/>
        <w:rPr>
          <w:rFonts w:asciiTheme="minorHAnsi" w:hAnsiTheme="minorHAnsi" w:cs="Source Sans Pro Light"/>
          <w:sz w:val="22"/>
          <w:szCs w:val="22"/>
        </w:rPr>
      </w:pPr>
      <w:r w:rsidRPr="004F2B69">
        <w:rPr>
          <w:rFonts w:asciiTheme="minorHAnsi" w:hAnsiTheme="minorHAnsi" w:cs="Source Sans Pro Light"/>
          <w:sz w:val="22"/>
          <w:szCs w:val="22"/>
        </w:rPr>
        <w:t xml:space="preserve">The Authority purchases contract works insurance cover for ACT Government capital construction works. Premiums are recovered from ACT Government agencies by the Authority based on the value of each agency’s capital works program. </w:t>
      </w:r>
      <w:r>
        <w:rPr>
          <w:rFonts w:asciiTheme="minorHAnsi" w:hAnsiTheme="minorHAnsi" w:cs="Source Sans Pro Light"/>
          <w:sz w:val="22"/>
          <w:szCs w:val="22"/>
        </w:rPr>
        <w:t>T</w:t>
      </w:r>
      <w:r w:rsidRPr="004F2B69">
        <w:rPr>
          <w:rFonts w:asciiTheme="minorHAnsi" w:hAnsiTheme="minorHAnsi" w:cs="Source Sans Pro Light"/>
          <w:sz w:val="22"/>
          <w:szCs w:val="22"/>
        </w:rPr>
        <w:t xml:space="preserve">ransactions </w:t>
      </w:r>
      <w:r>
        <w:rPr>
          <w:rFonts w:asciiTheme="minorHAnsi" w:hAnsiTheme="minorHAnsi" w:cs="Source Sans Pro Light"/>
          <w:sz w:val="22"/>
          <w:szCs w:val="22"/>
        </w:rPr>
        <w:t xml:space="preserve">are </w:t>
      </w:r>
      <w:r w:rsidRPr="004F2B69">
        <w:rPr>
          <w:rFonts w:asciiTheme="minorHAnsi" w:hAnsiTheme="minorHAnsi" w:cs="Source Sans Pro Light"/>
          <w:sz w:val="22"/>
          <w:szCs w:val="22"/>
        </w:rPr>
        <w:t>undertaken by the Authority on behalf of other agencies</w:t>
      </w:r>
      <w:r>
        <w:rPr>
          <w:rFonts w:asciiTheme="minorHAnsi" w:hAnsiTheme="minorHAnsi" w:cs="Source Sans Pro Light"/>
          <w:sz w:val="22"/>
          <w:szCs w:val="22"/>
        </w:rPr>
        <w:t xml:space="preserve">. The </w:t>
      </w:r>
      <w:r w:rsidRPr="004F2B69">
        <w:rPr>
          <w:rFonts w:asciiTheme="minorHAnsi" w:hAnsiTheme="minorHAnsi" w:cs="Source Sans Pro Light"/>
          <w:sz w:val="22"/>
          <w:szCs w:val="22"/>
        </w:rPr>
        <w:t>Authority does not underwrite this insurance and</w:t>
      </w:r>
      <w:r w:rsidR="00785B21">
        <w:rPr>
          <w:rFonts w:asciiTheme="minorHAnsi" w:hAnsiTheme="minorHAnsi" w:cs="Source Sans Pro Light"/>
          <w:sz w:val="22"/>
          <w:szCs w:val="22"/>
        </w:rPr>
        <w:t>,</w:t>
      </w:r>
      <w:r w:rsidRPr="004F2B69">
        <w:rPr>
          <w:rFonts w:asciiTheme="minorHAnsi" w:hAnsiTheme="minorHAnsi" w:cs="Source Sans Pro Light"/>
          <w:sz w:val="22"/>
          <w:szCs w:val="22"/>
        </w:rPr>
        <w:t xml:space="preserve"> therefore</w:t>
      </w:r>
      <w:r w:rsidR="00785B21">
        <w:rPr>
          <w:rFonts w:asciiTheme="minorHAnsi" w:hAnsiTheme="minorHAnsi" w:cs="Source Sans Pro Light"/>
          <w:sz w:val="22"/>
          <w:szCs w:val="22"/>
        </w:rPr>
        <w:t>,</w:t>
      </w:r>
      <w:r w:rsidRPr="004F2B69">
        <w:rPr>
          <w:rFonts w:asciiTheme="minorHAnsi" w:hAnsiTheme="minorHAnsi" w:cs="Source Sans Pro Light"/>
          <w:sz w:val="22"/>
          <w:szCs w:val="22"/>
        </w:rPr>
        <w:t xml:space="preserve"> holds no financial risk.</w:t>
      </w:r>
    </w:p>
    <w:p w14:paraId="7F248DB3" w14:textId="77777777" w:rsidR="0019466B" w:rsidRPr="00D10764" w:rsidRDefault="0019466B" w:rsidP="0019466B">
      <w:pPr>
        <w:pStyle w:val="Default"/>
        <w:spacing w:before="40" w:after="100"/>
        <w:rPr>
          <w:rFonts w:asciiTheme="minorHAnsi" w:hAnsiTheme="minorHAnsi" w:cs="Source Sans Pro Light"/>
          <w:i/>
          <w:iCs/>
          <w:color w:val="auto"/>
          <w:sz w:val="22"/>
          <w:szCs w:val="22"/>
        </w:rPr>
      </w:pPr>
      <w:r w:rsidRPr="00D10764">
        <w:rPr>
          <w:rFonts w:asciiTheme="minorHAnsi" w:hAnsiTheme="minorHAnsi" w:cs="Source Sans Pro Light"/>
          <w:i/>
          <w:iCs/>
          <w:color w:val="auto"/>
          <w:sz w:val="22"/>
          <w:szCs w:val="22"/>
        </w:rPr>
        <w:t xml:space="preserve">External Insurance Contracts </w:t>
      </w:r>
    </w:p>
    <w:p w14:paraId="385D117A" w14:textId="77777777" w:rsidR="0019466B" w:rsidRDefault="0019466B" w:rsidP="0019466B">
      <w:pPr>
        <w:pStyle w:val="Pa11"/>
        <w:spacing w:after="140" w:line="240" w:lineRule="auto"/>
        <w:rPr>
          <w:rFonts w:asciiTheme="minorHAnsi" w:hAnsiTheme="minorHAnsi" w:cs="Source Sans Pro Light"/>
          <w:sz w:val="22"/>
          <w:szCs w:val="22"/>
        </w:rPr>
      </w:pPr>
      <w:r w:rsidRPr="004F2B69">
        <w:rPr>
          <w:rFonts w:asciiTheme="minorHAnsi" w:hAnsiTheme="minorHAnsi" w:cs="Source Sans Pro Light"/>
          <w:sz w:val="22"/>
          <w:szCs w:val="22"/>
        </w:rPr>
        <w:t>The Authority arranges insurance cover on behalf of ACT Government agencies for travel, aviation</w:t>
      </w:r>
      <w:r>
        <w:rPr>
          <w:rFonts w:asciiTheme="minorHAnsi" w:hAnsiTheme="minorHAnsi" w:cs="Source Sans Pro Light"/>
          <w:sz w:val="22"/>
          <w:szCs w:val="22"/>
        </w:rPr>
        <w:t xml:space="preserve">, fleet, public </w:t>
      </w:r>
      <w:proofErr w:type="gramStart"/>
      <w:r>
        <w:rPr>
          <w:rFonts w:asciiTheme="minorHAnsi" w:hAnsiTheme="minorHAnsi" w:cs="Source Sans Pro Light"/>
          <w:sz w:val="22"/>
          <w:szCs w:val="22"/>
        </w:rPr>
        <w:t>art</w:t>
      </w:r>
      <w:proofErr w:type="gramEnd"/>
      <w:r w:rsidRPr="004F2B69">
        <w:rPr>
          <w:rFonts w:asciiTheme="minorHAnsi" w:hAnsiTheme="minorHAnsi" w:cs="Source Sans Pro Light"/>
          <w:sz w:val="22"/>
          <w:szCs w:val="22"/>
        </w:rPr>
        <w:t xml:space="preserve"> and personal accident cover for both aero retrieval, volunteer workers. Premiums are recovered fr</w:t>
      </w:r>
      <w:r>
        <w:rPr>
          <w:rFonts w:asciiTheme="minorHAnsi" w:hAnsiTheme="minorHAnsi" w:cs="Source Sans Pro Light"/>
          <w:sz w:val="22"/>
          <w:szCs w:val="22"/>
        </w:rPr>
        <w:t>o</w:t>
      </w:r>
      <w:r w:rsidRPr="004F2B69">
        <w:rPr>
          <w:rFonts w:asciiTheme="minorHAnsi" w:hAnsiTheme="minorHAnsi" w:cs="Source Sans Pro Light"/>
          <w:sz w:val="22"/>
          <w:szCs w:val="22"/>
        </w:rPr>
        <w:t>m ACT Government agencies by the Authority based on the relevant cost drivers for the premium</w:t>
      </w:r>
      <w:r>
        <w:rPr>
          <w:rFonts w:asciiTheme="minorHAnsi" w:hAnsiTheme="minorHAnsi" w:cs="Source Sans Pro Light"/>
          <w:sz w:val="22"/>
          <w:szCs w:val="22"/>
        </w:rPr>
        <w:t xml:space="preserve"> and as charged by </w:t>
      </w:r>
      <w:r w:rsidRPr="004F2B69">
        <w:rPr>
          <w:rFonts w:asciiTheme="minorHAnsi" w:hAnsiTheme="minorHAnsi" w:cs="Source Sans Pro Light"/>
          <w:sz w:val="22"/>
          <w:szCs w:val="22"/>
        </w:rPr>
        <w:t>external providers.</w:t>
      </w:r>
      <w:r w:rsidRPr="00884144">
        <w:rPr>
          <w:rFonts w:asciiTheme="minorHAnsi" w:hAnsiTheme="minorHAnsi" w:cs="Source Sans Pro Light"/>
          <w:sz w:val="22"/>
          <w:szCs w:val="22"/>
        </w:rPr>
        <w:t xml:space="preserve"> </w:t>
      </w:r>
      <w:r>
        <w:rPr>
          <w:rFonts w:asciiTheme="minorHAnsi" w:hAnsiTheme="minorHAnsi" w:cs="Source Sans Pro Light"/>
          <w:sz w:val="22"/>
          <w:szCs w:val="22"/>
        </w:rPr>
        <w:t>T</w:t>
      </w:r>
      <w:r w:rsidRPr="004F2B69">
        <w:rPr>
          <w:rFonts w:asciiTheme="minorHAnsi" w:hAnsiTheme="minorHAnsi" w:cs="Source Sans Pro Light"/>
          <w:sz w:val="22"/>
          <w:szCs w:val="22"/>
        </w:rPr>
        <w:t xml:space="preserve">ransactions </w:t>
      </w:r>
      <w:r>
        <w:rPr>
          <w:rFonts w:asciiTheme="minorHAnsi" w:hAnsiTheme="minorHAnsi" w:cs="Source Sans Pro Light"/>
          <w:sz w:val="22"/>
          <w:szCs w:val="22"/>
        </w:rPr>
        <w:t xml:space="preserve">are </w:t>
      </w:r>
      <w:r w:rsidRPr="004F2B69">
        <w:rPr>
          <w:rFonts w:asciiTheme="minorHAnsi" w:hAnsiTheme="minorHAnsi" w:cs="Source Sans Pro Light"/>
          <w:sz w:val="22"/>
          <w:szCs w:val="22"/>
        </w:rPr>
        <w:t>undertaken by the Authority on behalf of other agencies</w:t>
      </w:r>
      <w:r>
        <w:rPr>
          <w:rFonts w:asciiTheme="minorHAnsi" w:hAnsiTheme="minorHAnsi" w:cs="Source Sans Pro Light"/>
          <w:sz w:val="22"/>
          <w:szCs w:val="22"/>
        </w:rPr>
        <w:t xml:space="preserve">. The </w:t>
      </w:r>
      <w:r w:rsidRPr="004F2B69">
        <w:rPr>
          <w:rFonts w:asciiTheme="minorHAnsi" w:hAnsiTheme="minorHAnsi" w:cs="Source Sans Pro Light"/>
          <w:sz w:val="22"/>
          <w:szCs w:val="22"/>
        </w:rPr>
        <w:t>Authority does not underwrite this insurance and therefore holds no financial risk.</w:t>
      </w:r>
    </w:p>
    <w:p w14:paraId="5DC30275" w14:textId="77777777" w:rsidR="004E06A0" w:rsidRDefault="004E06A0">
      <w:pPr>
        <w:spacing w:after="0" w:line="240" w:lineRule="auto"/>
        <w:rPr>
          <w:rFonts w:ascii="Calibri" w:eastAsia="Calibri" w:hAnsi="Calibri" w:cs="Montserrat Semi Bold"/>
          <w:b/>
          <w:bCs/>
          <w:color w:val="000000"/>
          <w:sz w:val="30"/>
          <w:szCs w:val="30"/>
          <w:lang w:val="en-GB"/>
        </w:rPr>
      </w:pPr>
      <w:r>
        <w:rPr>
          <w:rFonts w:eastAsia="Calibri" w:cs="Montserrat Semi Bold"/>
          <w:b/>
          <w:bCs/>
          <w:sz w:val="30"/>
          <w:szCs w:val="30"/>
        </w:rPr>
        <w:br w:type="page"/>
      </w:r>
    </w:p>
    <w:p w14:paraId="5CA50A5E" w14:textId="47FA05F2" w:rsidR="00005B86" w:rsidRDefault="00005B86" w:rsidP="0019466B">
      <w:pPr>
        <w:pStyle w:val="Default"/>
        <w:spacing w:before="40" w:after="100"/>
        <w:rPr>
          <w:rFonts w:asciiTheme="minorHAnsi" w:hAnsiTheme="minorHAnsi" w:cs="Source Sans Pro Light"/>
          <w:b/>
          <w:bCs/>
          <w:color w:val="auto"/>
          <w:sz w:val="22"/>
          <w:szCs w:val="22"/>
        </w:rPr>
      </w:pPr>
      <w:r w:rsidRPr="00155BE5">
        <w:rPr>
          <w:rFonts w:eastAsia="Calibri" w:cs="Montserrat Semi Bold"/>
          <w:b/>
          <w:bCs/>
          <w:sz w:val="30"/>
          <w:szCs w:val="30"/>
        </w:rPr>
        <w:lastRenderedPageBreak/>
        <w:t xml:space="preserve">NOTE 8. OTHER INCOME AND EXPENSES </w:t>
      </w:r>
      <w:r>
        <w:rPr>
          <w:rFonts w:eastAsia="Calibri" w:cs="Montserrat Semi Bold"/>
          <w:b/>
          <w:bCs/>
          <w:sz w:val="30"/>
          <w:szCs w:val="30"/>
        </w:rPr>
        <w:t>- CONTINUED</w:t>
      </w:r>
    </w:p>
    <w:p w14:paraId="65743C20" w14:textId="7A850887" w:rsidR="0019466B" w:rsidRPr="00EE20AF" w:rsidRDefault="0019466B" w:rsidP="0019466B">
      <w:pPr>
        <w:pStyle w:val="Default"/>
        <w:spacing w:before="40" w:after="100"/>
        <w:rPr>
          <w:rFonts w:asciiTheme="minorHAnsi" w:hAnsiTheme="minorHAnsi" w:cs="Source Sans Pro Light"/>
          <w:i/>
          <w:iCs/>
          <w:color w:val="auto"/>
          <w:sz w:val="22"/>
          <w:szCs w:val="22"/>
        </w:rPr>
      </w:pPr>
      <w:r w:rsidRPr="00EE20AF">
        <w:rPr>
          <w:rFonts w:asciiTheme="minorHAnsi" w:hAnsiTheme="minorHAnsi" w:cs="Source Sans Pro Light"/>
          <w:i/>
          <w:iCs/>
          <w:color w:val="auto"/>
          <w:sz w:val="22"/>
          <w:szCs w:val="22"/>
        </w:rPr>
        <w:t>Income from Support Services</w:t>
      </w:r>
    </w:p>
    <w:p w14:paraId="321A5632" w14:textId="6BCC20CB" w:rsidR="003F207D" w:rsidRPr="00005B86" w:rsidRDefault="0019466B" w:rsidP="00EE20AF">
      <w:pPr>
        <w:pStyle w:val="Default"/>
        <w:spacing w:before="40" w:after="100"/>
        <w:rPr>
          <w:rFonts w:eastAsia="Calibri" w:cs="Source Sans Pro Light"/>
          <w:sz w:val="22"/>
          <w:szCs w:val="22"/>
        </w:rPr>
      </w:pPr>
      <w:r w:rsidRPr="007E0DB6">
        <w:rPr>
          <w:rFonts w:asciiTheme="minorHAnsi" w:hAnsiTheme="minorHAnsi" w:cs="Source Sans Pro Light"/>
          <w:sz w:val="22"/>
          <w:szCs w:val="22"/>
        </w:rPr>
        <w:t>The Authority recovers a portion of administrative cost</w:t>
      </w:r>
      <w:r>
        <w:rPr>
          <w:rFonts w:asciiTheme="minorHAnsi" w:hAnsiTheme="minorHAnsi" w:cs="Source Sans Pro Light"/>
          <w:sz w:val="22"/>
          <w:szCs w:val="22"/>
        </w:rPr>
        <w:t>s</w:t>
      </w:r>
      <w:r w:rsidRPr="007E0DB6">
        <w:rPr>
          <w:rFonts w:asciiTheme="minorHAnsi" w:hAnsiTheme="minorHAnsi" w:cs="Source Sans Pro Light"/>
          <w:sz w:val="22"/>
          <w:szCs w:val="22"/>
        </w:rPr>
        <w:t xml:space="preserve"> incurred in managing the Office of the Nominal Defendants of </w:t>
      </w:r>
      <w:r>
        <w:rPr>
          <w:rFonts w:asciiTheme="minorHAnsi" w:hAnsiTheme="minorHAnsi" w:cs="Source Sans Pro Light"/>
          <w:sz w:val="22"/>
          <w:szCs w:val="22"/>
        </w:rPr>
        <w:t xml:space="preserve">the </w:t>
      </w:r>
      <w:r w:rsidRPr="007E0DB6">
        <w:rPr>
          <w:rFonts w:asciiTheme="minorHAnsi" w:hAnsiTheme="minorHAnsi" w:cs="Source Sans Pro Light"/>
          <w:sz w:val="22"/>
          <w:szCs w:val="22"/>
        </w:rPr>
        <w:t xml:space="preserve">ACT, the Default Insurance Fund, and the Builders Warranty Insurance Scheme as support services charges. The charges are based on a cost model allocating a portion of the employees expenses, </w:t>
      </w:r>
      <w:r w:rsidR="00995E3C" w:rsidRPr="007E0DB6">
        <w:rPr>
          <w:rFonts w:asciiTheme="minorHAnsi" w:hAnsiTheme="minorHAnsi" w:cs="Source Sans Pro Light"/>
          <w:sz w:val="22"/>
          <w:szCs w:val="22"/>
        </w:rPr>
        <w:t xml:space="preserve">administrative </w:t>
      </w:r>
      <w:proofErr w:type="gramStart"/>
      <w:r w:rsidR="00995E3C" w:rsidRPr="007E0DB6">
        <w:rPr>
          <w:rFonts w:asciiTheme="minorHAnsi" w:hAnsiTheme="minorHAnsi" w:cs="Source Sans Pro Light"/>
          <w:sz w:val="22"/>
          <w:szCs w:val="22"/>
        </w:rPr>
        <w:t>cost</w:t>
      </w:r>
      <w:proofErr w:type="gramEnd"/>
      <w:r w:rsidR="00995E3C" w:rsidRPr="007E0DB6">
        <w:rPr>
          <w:rFonts w:asciiTheme="minorHAnsi" w:hAnsiTheme="minorHAnsi" w:cs="Source Sans Pro Light"/>
          <w:sz w:val="22"/>
          <w:szCs w:val="22"/>
        </w:rPr>
        <w:t xml:space="preserve"> and ICT system support from the Authority in managing those </w:t>
      </w:r>
      <w:r w:rsidR="00995E3C">
        <w:rPr>
          <w:rFonts w:asciiTheme="minorHAnsi" w:hAnsiTheme="minorHAnsi" w:cs="Source Sans Pro Light"/>
          <w:sz w:val="22"/>
          <w:szCs w:val="22"/>
        </w:rPr>
        <w:t>entities and insurance schemes</w:t>
      </w:r>
      <w:r w:rsidR="00995E3C" w:rsidRPr="007E0DB6">
        <w:rPr>
          <w:rFonts w:asciiTheme="minorHAnsi" w:hAnsiTheme="minorHAnsi" w:cs="Source Sans Pro Light"/>
          <w:sz w:val="22"/>
          <w:szCs w:val="22"/>
        </w:rPr>
        <w:t>.</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7D09DE" w:rsidRPr="007D09DE" w14:paraId="3D9F4709" w14:textId="77777777" w:rsidTr="00F07506">
        <w:trPr>
          <w:cantSplit/>
        </w:trPr>
        <w:tc>
          <w:tcPr>
            <w:tcW w:w="5387" w:type="dxa"/>
            <w:tcBorders>
              <w:top w:val="single" w:sz="12" w:space="0" w:color="492581" w:themeColor="accent1"/>
              <w:bottom w:val="single" w:sz="12" w:space="0" w:color="492581" w:themeColor="accent1"/>
            </w:tcBorders>
          </w:tcPr>
          <w:p w14:paraId="13CDA83A" w14:textId="77777777" w:rsidR="007D09DE" w:rsidRPr="007D09DE" w:rsidRDefault="007D09DE" w:rsidP="007D09DE">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53BB65A7" w14:textId="77777777" w:rsidR="007D09DE" w:rsidRPr="007D09DE" w:rsidRDefault="007D09DE"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Note</w:t>
            </w:r>
          </w:p>
          <w:p w14:paraId="5737AB6E" w14:textId="77777777" w:rsidR="007D09DE" w:rsidRPr="007D09DE" w:rsidRDefault="007D09DE"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0DB88D28" w14:textId="4482F061"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202</w:t>
            </w:r>
            <w:r w:rsidR="001D5879">
              <w:rPr>
                <w:rFonts w:ascii="Calibri" w:eastAsia="Times New Roman" w:hAnsi="Calibri" w:cs="Times New Roman"/>
                <w:b/>
                <w:sz w:val="18"/>
                <w:szCs w:val="18"/>
              </w:rPr>
              <w:t>4</w:t>
            </w:r>
          </w:p>
          <w:p w14:paraId="7C0BE41C"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F3B094B" w14:textId="77777777" w:rsidR="007D09DE" w:rsidRPr="007D09DE" w:rsidRDefault="007D09DE" w:rsidP="007D09DE">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46E07DA7" w14:textId="09F5807A"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202</w:t>
            </w:r>
            <w:r w:rsidR="001D5879">
              <w:rPr>
                <w:rFonts w:ascii="Calibri" w:eastAsia="Times New Roman" w:hAnsi="Calibri" w:cs="Times New Roman"/>
                <w:b/>
                <w:sz w:val="18"/>
                <w:szCs w:val="18"/>
              </w:rPr>
              <w:t>3</w:t>
            </w:r>
          </w:p>
          <w:p w14:paraId="2D414FCD" w14:textId="77777777" w:rsidR="007D09DE" w:rsidRPr="007D09DE" w:rsidRDefault="007D09DE" w:rsidP="007D09DE">
            <w:pPr>
              <w:spacing w:after="0" w:line="240" w:lineRule="auto"/>
              <w:jc w:val="right"/>
              <w:rPr>
                <w:rFonts w:ascii="Calibri" w:eastAsia="Times New Roman" w:hAnsi="Calibri" w:cs="Times New Roman"/>
                <w:b/>
                <w:sz w:val="18"/>
                <w:szCs w:val="18"/>
              </w:rPr>
            </w:pPr>
            <w:r w:rsidRPr="007D09DE">
              <w:rPr>
                <w:rFonts w:ascii="Calibri" w:eastAsia="Times New Roman" w:hAnsi="Calibri" w:cs="Times New Roman"/>
                <w:b/>
                <w:sz w:val="18"/>
                <w:szCs w:val="18"/>
              </w:rPr>
              <w:t>$’000</w:t>
            </w:r>
          </w:p>
        </w:tc>
      </w:tr>
      <w:tr w:rsidR="00427CCA" w:rsidRPr="007D09DE" w14:paraId="58657AA6" w14:textId="77777777" w:rsidTr="00634ED5">
        <w:trPr>
          <w:cantSplit/>
          <w:trHeight w:hRule="exact" w:val="284"/>
        </w:trPr>
        <w:tc>
          <w:tcPr>
            <w:tcW w:w="5387" w:type="dxa"/>
          </w:tcPr>
          <w:p w14:paraId="2274FCC3" w14:textId="6EEB8CB2" w:rsidR="00427CCA" w:rsidRPr="00427CCA" w:rsidRDefault="00427CCA" w:rsidP="00427CCA">
            <w:pPr>
              <w:spacing w:before="40" w:after="40" w:line="240" w:lineRule="auto"/>
              <w:rPr>
                <w:rFonts w:ascii="Calibri" w:eastAsia="Times New Roman" w:hAnsi="Calibri" w:cs="Times New Roman"/>
                <w:b/>
                <w:iCs/>
                <w:sz w:val="18"/>
                <w:szCs w:val="18"/>
              </w:rPr>
            </w:pPr>
            <w:r w:rsidRPr="00427CCA">
              <w:rPr>
                <w:b/>
                <w:iCs/>
                <w:sz w:val="18"/>
                <w:szCs w:val="18"/>
              </w:rPr>
              <w:t xml:space="preserve">Other Income </w:t>
            </w:r>
          </w:p>
        </w:tc>
        <w:tc>
          <w:tcPr>
            <w:tcW w:w="851" w:type="dxa"/>
            <w:tcBorders>
              <w:top w:val="single" w:sz="12" w:space="0" w:color="492581" w:themeColor="accent1"/>
            </w:tcBorders>
          </w:tcPr>
          <w:p w14:paraId="7D118C2B" w14:textId="77777777" w:rsidR="00427CCA" w:rsidRPr="007D09DE" w:rsidRDefault="00427CCA" w:rsidP="00427CCA">
            <w:pPr>
              <w:tabs>
                <w:tab w:val="right" w:pos="742"/>
              </w:tabs>
              <w:spacing w:before="40" w:after="40" w:line="240" w:lineRule="auto"/>
              <w:jc w:val="center"/>
              <w:rPr>
                <w:rFonts w:ascii="Calibri" w:eastAsia="Times New Roman" w:hAnsi="Calibri" w:cs="Times New Roman"/>
                <w:b/>
                <w:bCs/>
                <w:i/>
                <w:sz w:val="18"/>
                <w:szCs w:val="18"/>
              </w:rPr>
            </w:pPr>
          </w:p>
        </w:tc>
        <w:tc>
          <w:tcPr>
            <w:tcW w:w="1417" w:type="dxa"/>
            <w:tcBorders>
              <w:top w:val="single" w:sz="12" w:space="0" w:color="492581" w:themeColor="accent1"/>
            </w:tcBorders>
          </w:tcPr>
          <w:p w14:paraId="253B4AD4" w14:textId="77777777" w:rsidR="00427CCA" w:rsidRPr="007D09DE" w:rsidRDefault="00427CCA" w:rsidP="00427CCA">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Borders>
              <w:top w:val="single" w:sz="12" w:space="0" w:color="492581" w:themeColor="accent1"/>
            </w:tcBorders>
          </w:tcPr>
          <w:p w14:paraId="6EB26E92" w14:textId="77777777" w:rsidR="00427CCA" w:rsidRPr="007D09DE" w:rsidRDefault="00427CCA" w:rsidP="00427CCA">
            <w:pPr>
              <w:spacing w:before="40" w:after="40" w:line="240" w:lineRule="auto"/>
              <w:jc w:val="right"/>
              <w:rPr>
                <w:rFonts w:ascii="Calibri" w:eastAsia="Times New Roman" w:hAnsi="Calibri" w:cs="Times New Roman"/>
                <w:i/>
                <w:sz w:val="18"/>
                <w:szCs w:val="18"/>
              </w:rPr>
            </w:pPr>
          </w:p>
        </w:tc>
        <w:tc>
          <w:tcPr>
            <w:tcW w:w="1418" w:type="dxa"/>
            <w:tcBorders>
              <w:top w:val="single" w:sz="12" w:space="0" w:color="492581" w:themeColor="accent1"/>
            </w:tcBorders>
          </w:tcPr>
          <w:p w14:paraId="4E48C2C9" w14:textId="77777777" w:rsidR="00427CCA" w:rsidRPr="007D09DE" w:rsidRDefault="00427CCA" w:rsidP="00427CCA">
            <w:pPr>
              <w:tabs>
                <w:tab w:val="right" w:pos="742"/>
              </w:tabs>
              <w:spacing w:before="40" w:after="40" w:line="240" w:lineRule="auto"/>
              <w:jc w:val="right"/>
              <w:rPr>
                <w:rFonts w:ascii="Calibri" w:eastAsia="Times New Roman" w:hAnsi="Calibri" w:cs="Times New Roman"/>
                <w:i/>
                <w:sz w:val="18"/>
                <w:szCs w:val="18"/>
              </w:rPr>
            </w:pPr>
          </w:p>
        </w:tc>
      </w:tr>
      <w:tr w:rsidR="000372B0" w:rsidRPr="007D09DE" w14:paraId="37C80FCB" w14:textId="77777777" w:rsidTr="00634ED5">
        <w:trPr>
          <w:cantSplit/>
          <w:trHeight w:hRule="exact" w:val="284"/>
        </w:trPr>
        <w:tc>
          <w:tcPr>
            <w:tcW w:w="5387" w:type="dxa"/>
          </w:tcPr>
          <w:p w14:paraId="481F2625" w14:textId="48A1158B" w:rsidR="000372B0" w:rsidRPr="00427CCA" w:rsidRDefault="000372B0" w:rsidP="000372B0">
            <w:pPr>
              <w:spacing w:before="40" w:after="40" w:line="240" w:lineRule="auto"/>
              <w:rPr>
                <w:rFonts w:ascii="Calibri" w:eastAsia="Times New Roman" w:hAnsi="Calibri" w:cs="Times New Roman"/>
                <w:bCs/>
                <w:sz w:val="18"/>
                <w:szCs w:val="18"/>
              </w:rPr>
            </w:pPr>
            <w:r w:rsidRPr="00427CCA">
              <w:rPr>
                <w:bCs/>
                <w:sz w:val="18"/>
                <w:szCs w:val="18"/>
              </w:rPr>
              <w:t>Resources Received Free of Charge</w:t>
            </w:r>
          </w:p>
        </w:tc>
        <w:tc>
          <w:tcPr>
            <w:tcW w:w="851" w:type="dxa"/>
          </w:tcPr>
          <w:p w14:paraId="6E072C3C" w14:textId="77777777" w:rsidR="000372B0" w:rsidRPr="007D09DE" w:rsidRDefault="000372B0" w:rsidP="000372B0">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2438EEFD" w14:textId="7F6CA3FC"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38</w:t>
            </w:r>
          </w:p>
        </w:tc>
        <w:tc>
          <w:tcPr>
            <w:tcW w:w="567" w:type="dxa"/>
          </w:tcPr>
          <w:p w14:paraId="373516AF"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0AB408F3" w14:textId="601EACE0"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28</w:t>
            </w:r>
          </w:p>
        </w:tc>
      </w:tr>
      <w:tr w:rsidR="000372B0" w:rsidRPr="007D09DE" w14:paraId="5929FCCA" w14:textId="77777777" w:rsidTr="00634ED5">
        <w:trPr>
          <w:cantSplit/>
          <w:trHeight w:hRule="exact" w:val="284"/>
        </w:trPr>
        <w:tc>
          <w:tcPr>
            <w:tcW w:w="5387" w:type="dxa"/>
          </w:tcPr>
          <w:p w14:paraId="1112BD75" w14:textId="1352915C" w:rsidR="000372B0" w:rsidRPr="00427CCA" w:rsidRDefault="000372B0" w:rsidP="000372B0">
            <w:pPr>
              <w:spacing w:before="40" w:after="40" w:line="240" w:lineRule="auto"/>
              <w:rPr>
                <w:rFonts w:ascii="Calibri" w:eastAsia="Times New Roman" w:hAnsi="Calibri" w:cs="Times New Roman"/>
                <w:bCs/>
                <w:sz w:val="18"/>
                <w:szCs w:val="18"/>
                <w:vertAlign w:val="superscript"/>
              </w:rPr>
            </w:pPr>
            <w:r w:rsidRPr="00427CCA">
              <w:rPr>
                <w:bCs/>
                <w:sz w:val="18"/>
                <w:szCs w:val="18"/>
              </w:rPr>
              <w:t xml:space="preserve">Builders Warranty Insurance Premiums </w:t>
            </w:r>
            <w:r w:rsidRPr="00427CCA">
              <w:rPr>
                <w:bCs/>
                <w:sz w:val="18"/>
                <w:szCs w:val="18"/>
                <w:vertAlign w:val="superscript"/>
              </w:rPr>
              <w:t>a</w:t>
            </w:r>
          </w:p>
        </w:tc>
        <w:tc>
          <w:tcPr>
            <w:tcW w:w="851" w:type="dxa"/>
          </w:tcPr>
          <w:p w14:paraId="16FAFBC3" w14:textId="5DA95EF4"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35991B8B" w14:textId="53CA6DC6"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2,394</w:t>
            </w:r>
          </w:p>
        </w:tc>
        <w:tc>
          <w:tcPr>
            <w:tcW w:w="567" w:type="dxa"/>
          </w:tcPr>
          <w:p w14:paraId="4DC263B6"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35780A25" w14:textId="5CDC6E08"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1,660</w:t>
            </w:r>
          </w:p>
        </w:tc>
      </w:tr>
      <w:tr w:rsidR="000372B0" w:rsidRPr="007D09DE" w14:paraId="5FEA0886" w14:textId="77777777" w:rsidTr="00634ED5">
        <w:trPr>
          <w:cantSplit/>
          <w:trHeight w:hRule="exact" w:val="284"/>
        </w:trPr>
        <w:tc>
          <w:tcPr>
            <w:tcW w:w="5387" w:type="dxa"/>
          </w:tcPr>
          <w:p w14:paraId="3AD3B8EF" w14:textId="311D197B" w:rsidR="000372B0" w:rsidRPr="00427CCA" w:rsidRDefault="000372B0" w:rsidP="000372B0">
            <w:pPr>
              <w:spacing w:before="40" w:after="40" w:line="240" w:lineRule="auto"/>
              <w:rPr>
                <w:rFonts w:ascii="Calibri" w:eastAsia="Times New Roman" w:hAnsi="Calibri" w:cs="Times New Roman"/>
                <w:bCs/>
                <w:sz w:val="18"/>
                <w:szCs w:val="18"/>
              </w:rPr>
            </w:pPr>
            <w:r w:rsidRPr="00427CCA">
              <w:rPr>
                <w:bCs/>
                <w:sz w:val="18"/>
                <w:szCs w:val="18"/>
              </w:rPr>
              <w:t xml:space="preserve">Builders Warranty Insurance Recoveries   </w:t>
            </w:r>
          </w:p>
        </w:tc>
        <w:tc>
          <w:tcPr>
            <w:tcW w:w="851" w:type="dxa"/>
          </w:tcPr>
          <w:p w14:paraId="676A83B6" w14:textId="099F7FCE"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7C4BC39E" w14:textId="41CF1775"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147</w:t>
            </w:r>
          </w:p>
        </w:tc>
        <w:tc>
          <w:tcPr>
            <w:tcW w:w="567" w:type="dxa"/>
          </w:tcPr>
          <w:p w14:paraId="019C70D3"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69A0FBD5" w14:textId="30FE823C"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21</w:t>
            </w:r>
          </w:p>
        </w:tc>
      </w:tr>
      <w:tr w:rsidR="000372B0" w:rsidRPr="007D09DE" w14:paraId="3146C869" w14:textId="77777777" w:rsidTr="00634ED5">
        <w:trPr>
          <w:cantSplit/>
          <w:trHeight w:hRule="exact" w:val="284"/>
        </w:trPr>
        <w:tc>
          <w:tcPr>
            <w:tcW w:w="5387" w:type="dxa"/>
          </w:tcPr>
          <w:p w14:paraId="3055E26F" w14:textId="48A77B74" w:rsidR="000372B0" w:rsidRPr="00427CCA" w:rsidRDefault="000372B0" w:rsidP="000372B0">
            <w:pPr>
              <w:spacing w:before="40" w:after="40" w:line="240" w:lineRule="auto"/>
              <w:rPr>
                <w:rFonts w:ascii="Calibri" w:eastAsia="Times New Roman" w:hAnsi="Calibri" w:cs="Times New Roman"/>
                <w:bCs/>
                <w:sz w:val="18"/>
                <w:szCs w:val="18"/>
              </w:rPr>
            </w:pPr>
            <w:r w:rsidRPr="00427CCA">
              <w:rPr>
                <w:bCs/>
                <w:sz w:val="18"/>
                <w:szCs w:val="18"/>
              </w:rPr>
              <w:t xml:space="preserve">Physical and Sexual Abuse Indemnity Scheme set up Funding </w:t>
            </w:r>
            <w:r w:rsidRPr="00427CCA">
              <w:rPr>
                <w:bCs/>
                <w:sz w:val="18"/>
                <w:szCs w:val="18"/>
                <w:vertAlign w:val="superscript"/>
              </w:rPr>
              <w:t>b</w:t>
            </w:r>
          </w:p>
        </w:tc>
        <w:tc>
          <w:tcPr>
            <w:tcW w:w="851" w:type="dxa"/>
          </w:tcPr>
          <w:p w14:paraId="69DC896C" w14:textId="02F53FF6"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2</w:t>
            </w:r>
          </w:p>
        </w:tc>
        <w:tc>
          <w:tcPr>
            <w:tcW w:w="1417" w:type="dxa"/>
          </w:tcPr>
          <w:p w14:paraId="4C90F0EA" w14:textId="0BD50B81"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248</w:t>
            </w:r>
          </w:p>
        </w:tc>
        <w:tc>
          <w:tcPr>
            <w:tcW w:w="567" w:type="dxa"/>
          </w:tcPr>
          <w:p w14:paraId="6F77246F"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48BDB7F3" w14:textId="7D65DC63"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201</w:t>
            </w:r>
          </w:p>
        </w:tc>
      </w:tr>
      <w:tr w:rsidR="000372B0" w:rsidRPr="007D09DE" w14:paraId="203F873E" w14:textId="77777777" w:rsidTr="00634ED5">
        <w:trPr>
          <w:cantSplit/>
          <w:trHeight w:hRule="exact" w:val="284"/>
        </w:trPr>
        <w:tc>
          <w:tcPr>
            <w:tcW w:w="5387" w:type="dxa"/>
          </w:tcPr>
          <w:p w14:paraId="570B3779" w14:textId="5C37DC5E" w:rsidR="000372B0" w:rsidRPr="00427CCA" w:rsidRDefault="000372B0" w:rsidP="000372B0">
            <w:pPr>
              <w:spacing w:before="40" w:after="40" w:line="240" w:lineRule="auto"/>
              <w:rPr>
                <w:rFonts w:ascii="Calibri" w:eastAsia="Times New Roman" w:hAnsi="Calibri" w:cs="Times New Roman"/>
                <w:bCs/>
                <w:sz w:val="18"/>
                <w:szCs w:val="18"/>
              </w:rPr>
            </w:pPr>
            <w:r w:rsidRPr="00427CCA">
              <w:rPr>
                <w:bCs/>
                <w:sz w:val="18"/>
                <w:szCs w:val="18"/>
              </w:rPr>
              <w:t xml:space="preserve">Physical and Sexual Abuse Indemnity Scheme Premiums </w:t>
            </w:r>
            <w:r w:rsidRPr="00427CCA">
              <w:rPr>
                <w:bCs/>
                <w:sz w:val="18"/>
                <w:szCs w:val="18"/>
                <w:vertAlign w:val="superscript"/>
              </w:rPr>
              <w:t>c</w:t>
            </w:r>
          </w:p>
        </w:tc>
        <w:tc>
          <w:tcPr>
            <w:tcW w:w="851" w:type="dxa"/>
          </w:tcPr>
          <w:p w14:paraId="645C1165" w14:textId="39F37EE7"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r>
              <w:rPr>
                <w:rFonts w:ascii="Calibri" w:eastAsia="Times New Roman" w:hAnsi="Calibri" w:cs="Times New Roman"/>
                <w:sz w:val="18"/>
                <w:szCs w:val="18"/>
              </w:rPr>
              <w:t>22</w:t>
            </w:r>
          </w:p>
        </w:tc>
        <w:tc>
          <w:tcPr>
            <w:tcW w:w="1417" w:type="dxa"/>
          </w:tcPr>
          <w:p w14:paraId="3B1433DF" w14:textId="47C4CFE1"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869</w:t>
            </w:r>
          </w:p>
        </w:tc>
        <w:tc>
          <w:tcPr>
            <w:tcW w:w="567" w:type="dxa"/>
          </w:tcPr>
          <w:p w14:paraId="1116C63C"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31BFA591" w14:textId="6467C5C6"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w:t>
            </w:r>
          </w:p>
        </w:tc>
      </w:tr>
      <w:tr w:rsidR="000372B0" w:rsidRPr="007D09DE" w14:paraId="47A72554" w14:textId="77777777" w:rsidTr="00634ED5">
        <w:trPr>
          <w:cantSplit/>
          <w:trHeight w:hRule="exact" w:val="284"/>
        </w:trPr>
        <w:tc>
          <w:tcPr>
            <w:tcW w:w="5387" w:type="dxa"/>
          </w:tcPr>
          <w:p w14:paraId="0383238A" w14:textId="3ED9B245" w:rsidR="000372B0" w:rsidRPr="00427CCA" w:rsidRDefault="000372B0" w:rsidP="000372B0">
            <w:pPr>
              <w:spacing w:before="40" w:after="40" w:line="240" w:lineRule="auto"/>
              <w:rPr>
                <w:rFonts w:ascii="Calibri" w:eastAsia="Times New Roman" w:hAnsi="Calibri" w:cs="Times New Roman"/>
                <w:bCs/>
                <w:sz w:val="18"/>
                <w:szCs w:val="18"/>
              </w:rPr>
            </w:pPr>
            <w:r w:rsidRPr="00427CCA">
              <w:rPr>
                <w:bCs/>
                <w:sz w:val="18"/>
                <w:szCs w:val="18"/>
              </w:rPr>
              <w:t>Income from Support Services</w:t>
            </w:r>
          </w:p>
        </w:tc>
        <w:tc>
          <w:tcPr>
            <w:tcW w:w="851" w:type="dxa"/>
          </w:tcPr>
          <w:p w14:paraId="58F70BDF" w14:textId="77777777"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p>
        </w:tc>
        <w:tc>
          <w:tcPr>
            <w:tcW w:w="1417" w:type="dxa"/>
          </w:tcPr>
          <w:p w14:paraId="188F4055" w14:textId="3A41C754"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1,132</w:t>
            </w:r>
          </w:p>
        </w:tc>
        <w:tc>
          <w:tcPr>
            <w:tcW w:w="567" w:type="dxa"/>
          </w:tcPr>
          <w:p w14:paraId="4AA3B9F2"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0621542E" w14:textId="7FB3AD4C" w:rsidR="000372B0" w:rsidRPr="000372B0" w:rsidRDefault="000372B0" w:rsidP="000372B0">
            <w:pPr>
              <w:tabs>
                <w:tab w:val="right" w:pos="742"/>
              </w:tabs>
              <w:spacing w:before="40" w:after="40" w:line="240" w:lineRule="auto"/>
              <w:jc w:val="right"/>
              <w:rPr>
                <w:rFonts w:ascii="Calibri" w:eastAsia="Times New Roman" w:hAnsi="Calibri" w:cs="Times New Roman"/>
                <w:sz w:val="18"/>
                <w:szCs w:val="18"/>
                <w:highlight w:val="yellow"/>
              </w:rPr>
            </w:pPr>
            <w:r w:rsidRPr="000372B0">
              <w:rPr>
                <w:sz w:val="18"/>
                <w:szCs w:val="18"/>
              </w:rPr>
              <w:t>1,060</w:t>
            </w:r>
          </w:p>
        </w:tc>
      </w:tr>
      <w:tr w:rsidR="000372B0" w:rsidRPr="007D09DE" w14:paraId="707215DE" w14:textId="77777777" w:rsidTr="00634ED5">
        <w:trPr>
          <w:cantSplit/>
          <w:trHeight w:hRule="exact" w:val="284"/>
        </w:trPr>
        <w:tc>
          <w:tcPr>
            <w:tcW w:w="5387" w:type="dxa"/>
          </w:tcPr>
          <w:p w14:paraId="724FDF54" w14:textId="41E215A9" w:rsidR="000372B0" w:rsidRPr="00427CCA" w:rsidRDefault="000372B0" w:rsidP="000372B0">
            <w:pPr>
              <w:spacing w:before="40" w:after="40" w:line="240" w:lineRule="auto"/>
              <w:rPr>
                <w:rFonts w:ascii="Calibri" w:eastAsia="Times New Roman" w:hAnsi="Calibri" w:cs="Times New Roman"/>
                <w:sz w:val="18"/>
                <w:szCs w:val="18"/>
              </w:rPr>
            </w:pPr>
            <w:r w:rsidRPr="00427CCA">
              <w:rPr>
                <w:sz w:val="18"/>
                <w:szCs w:val="18"/>
              </w:rPr>
              <w:t xml:space="preserve">Contract Works Insurance </w:t>
            </w:r>
            <w:r w:rsidRPr="00427CCA">
              <w:rPr>
                <w:bCs/>
                <w:sz w:val="18"/>
                <w:szCs w:val="18"/>
                <w:vertAlign w:val="superscript"/>
              </w:rPr>
              <w:t>d</w:t>
            </w:r>
          </w:p>
        </w:tc>
        <w:tc>
          <w:tcPr>
            <w:tcW w:w="851" w:type="dxa"/>
          </w:tcPr>
          <w:p w14:paraId="7D379538" w14:textId="77777777" w:rsidR="000372B0" w:rsidRPr="007D09DE" w:rsidRDefault="000372B0" w:rsidP="000372B0">
            <w:pPr>
              <w:spacing w:before="40" w:after="40" w:line="240" w:lineRule="auto"/>
              <w:jc w:val="center"/>
              <w:rPr>
                <w:rFonts w:ascii="Calibri" w:eastAsia="Times New Roman" w:hAnsi="Calibri" w:cs="Times New Roman"/>
                <w:sz w:val="18"/>
                <w:szCs w:val="18"/>
              </w:rPr>
            </w:pPr>
          </w:p>
        </w:tc>
        <w:tc>
          <w:tcPr>
            <w:tcW w:w="1417" w:type="dxa"/>
          </w:tcPr>
          <w:p w14:paraId="58648159" w14:textId="0F29CD73"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r w:rsidRPr="000372B0">
              <w:rPr>
                <w:sz w:val="18"/>
                <w:szCs w:val="18"/>
              </w:rPr>
              <w:t>1,101</w:t>
            </w:r>
          </w:p>
        </w:tc>
        <w:tc>
          <w:tcPr>
            <w:tcW w:w="567" w:type="dxa"/>
          </w:tcPr>
          <w:p w14:paraId="22C324DA"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Pr>
          <w:p w14:paraId="336979CA" w14:textId="21194F11"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r w:rsidRPr="000372B0">
              <w:rPr>
                <w:sz w:val="18"/>
                <w:szCs w:val="18"/>
              </w:rPr>
              <w:t>894</w:t>
            </w:r>
          </w:p>
        </w:tc>
      </w:tr>
      <w:tr w:rsidR="000372B0" w:rsidRPr="007D09DE" w14:paraId="58CAD535" w14:textId="77777777" w:rsidTr="00634ED5">
        <w:trPr>
          <w:cantSplit/>
          <w:trHeight w:hRule="exact" w:val="284"/>
        </w:trPr>
        <w:tc>
          <w:tcPr>
            <w:tcW w:w="5387" w:type="dxa"/>
          </w:tcPr>
          <w:p w14:paraId="63BDDD88" w14:textId="73CD8CA3" w:rsidR="000372B0" w:rsidRPr="00427CCA" w:rsidRDefault="000372B0" w:rsidP="000372B0">
            <w:pPr>
              <w:spacing w:before="40" w:after="40" w:line="240" w:lineRule="auto"/>
              <w:rPr>
                <w:rFonts w:ascii="Calibri" w:eastAsia="Times New Roman" w:hAnsi="Calibri" w:cs="Times New Roman"/>
                <w:sz w:val="18"/>
                <w:szCs w:val="18"/>
              </w:rPr>
            </w:pPr>
            <w:r w:rsidRPr="00427CCA">
              <w:rPr>
                <w:sz w:val="18"/>
                <w:szCs w:val="18"/>
              </w:rPr>
              <w:t>External Insurance Contracts</w:t>
            </w:r>
            <w:r w:rsidRPr="00427CCA">
              <w:rPr>
                <w:bCs/>
                <w:sz w:val="18"/>
                <w:szCs w:val="18"/>
                <w:vertAlign w:val="superscript"/>
              </w:rPr>
              <w:t xml:space="preserve"> e</w:t>
            </w:r>
          </w:p>
        </w:tc>
        <w:tc>
          <w:tcPr>
            <w:tcW w:w="851" w:type="dxa"/>
          </w:tcPr>
          <w:p w14:paraId="05E89C3A" w14:textId="77777777" w:rsidR="000372B0" w:rsidRPr="007D09DE" w:rsidRDefault="000372B0" w:rsidP="000372B0">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47BE0D2D" w14:textId="53917BEE"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r w:rsidRPr="000372B0">
              <w:rPr>
                <w:sz w:val="18"/>
                <w:szCs w:val="18"/>
              </w:rPr>
              <w:t>590</w:t>
            </w:r>
          </w:p>
        </w:tc>
        <w:tc>
          <w:tcPr>
            <w:tcW w:w="567" w:type="dxa"/>
            <w:tcBorders>
              <w:bottom w:val="single" w:sz="4" w:space="0" w:color="auto"/>
            </w:tcBorders>
          </w:tcPr>
          <w:p w14:paraId="610C4259"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4" w:space="0" w:color="auto"/>
            </w:tcBorders>
          </w:tcPr>
          <w:p w14:paraId="2E5A49B8" w14:textId="79D47D15"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r w:rsidRPr="000372B0">
              <w:rPr>
                <w:sz w:val="18"/>
                <w:szCs w:val="18"/>
              </w:rPr>
              <w:t>579</w:t>
            </w:r>
          </w:p>
        </w:tc>
      </w:tr>
      <w:tr w:rsidR="000372B0" w:rsidRPr="007D09DE" w14:paraId="7EB351BB" w14:textId="77777777" w:rsidTr="00634ED5">
        <w:trPr>
          <w:cantSplit/>
          <w:trHeight w:hRule="exact" w:val="284"/>
        </w:trPr>
        <w:tc>
          <w:tcPr>
            <w:tcW w:w="5387" w:type="dxa"/>
          </w:tcPr>
          <w:p w14:paraId="78624963" w14:textId="22F949C8" w:rsidR="000372B0" w:rsidRPr="00427CCA" w:rsidRDefault="000372B0" w:rsidP="000372B0">
            <w:pPr>
              <w:spacing w:before="40" w:after="40" w:line="240" w:lineRule="auto"/>
              <w:rPr>
                <w:rFonts w:ascii="Calibri" w:eastAsia="Times New Roman" w:hAnsi="Calibri" w:cs="Times New Roman"/>
                <w:bCs/>
                <w:sz w:val="18"/>
                <w:szCs w:val="18"/>
              </w:rPr>
            </w:pPr>
            <w:r w:rsidRPr="00427CCA">
              <w:rPr>
                <w:b/>
                <w:bCs/>
                <w:sz w:val="18"/>
                <w:szCs w:val="18"/>
              </w:rPr>
              <w:t>Total Other Revenue</w:t>
            </w:r>
          </w:p>
        </w:tc>
        <w:tc>
          <w:tcPr>
            <w:tcW w:w="851" w:type="dxa"/>
          </w:tcPr>
          <w:p w14:paraId="6DA653D2" w14:textId="77777777" w:rsidR="000372B0" w:rsidRPr="007D09DE" w:rsidRDefault="000372B0" w:rsidP="000372B0">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4" w:space="0" w:color="auto"/>
            </w:tcBorders>
          </w:tcPr>
          <w:p w14:paraId="20EA9F0B" w14:textId="1D06DCD3" w:rsidR="000372B0" w:rsidRPr="000372B0" w:rsidRDefault="000372B0" w:rsidP="000372B0">
            <w:pPr>
              <w:tabs>
                <w:tab w:val="right" w:pos="742"/>
              </w:tabs>
              <w:spacing w:before="40" w:after="40" w:line="240" w:lineRule="auto"/>
              <w:jc w:val="right"/>
              <w:rPr>
                <w:rFonts w:ascii="Calibri" w:eastAsia="Times New Roman" w:hAnsi="Calibri" w:cs="Times New Roman"/>
                <w:b/>
                <w:bCs/>
                <w:sz w:val="18"/>
                <w:szCs w:val="18"/>
                <w:highlight w:val="yellow"/>
              </w:rPr>
            </w:pPr>
            <w:r w:rsidRPr="000372B0">
              <w:rPr>
                <w:b/>
                <w:bCs/>
                <w:sz w:val="18"/>
                <w:szCs w:val="18"/>
              </w:rPr>
              <w:t>6,518</w:t>
            </w:r>
          </w:p>
        </w:tc>
        <w:tc>
          <w:tcPr>
            <w:tcW w:w="567" w:type="dxa"/>
            <w:tcBorders>
              <w:top w:val="single" w:sz="4" w:space="0" w:color="auto"/>
              <w:bottom w:val="single" w:sz="4" w:space="0" w:color="auto"/>
            </w:tcBorders>
          </w:tcPr>
          <w:p w14:paraId="63E4374B" w14:textId="77777777" w:rsidR="000372B0" w:rsidRPr="000372B0" w:rsidRDefault="000372B0" w:rsidP="000372B0">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4" w:space="0" w:color="auto"/>
            </w:tcBorders>
          </w:tcPr>
          <w:p w14:paraId="452A3155" w14:textId="11173C45" w:rsidR="000372B0" w:rsidRPr="000372B0" w:rsidRDefault="000372B0" w:rsidP="000372B0">
            <w:pPr>
              <w:tabs>
                <w:tab w:val="right" w:pos="742"/>
              </w:tabs>
              <w:spacing w:before="40" w:after="40" w:line="240" w:lineRule="auto"/>
              <w:jc w:val="right"/>
              <w:rPr>
                <w:rFonts w:ascii="Calibri" w:eastAsia="Times New Roman" w:hAnsi="Calibri" w:cs="Times New Roman"/>
                <w:b/>
                <w:bCs/>
                <w:sz w:val="18"/>
                <w:szCs w:val="18"/>
                <w:highlight w:val="yellow"/>
              </w:rPr>
            </w:pPr>
            <w:r w:rsidRPr="000372B0">
              <w:rPr>
                <w:b/>
                <w:bCs/>
                <w:sz w:val="18"/>
                <w:szCs w:val="18"/>
              </w:rPr>
              <w:t>4,443</w:t>
            </w:r>
          </w:p>
        </w:tc>
      </w:tr>
      <w:tr w:rsidR="007D09DE" w:rsidRPr="007D09DE" w14:paraId="64C2CEE1" w14:textId="77777777" w:rsidTr="00634ED5">
        <w:trPr>
          <w:cantSplit/>
          <w:trHeight w:hRule="exact" w:val="284"/>
        </w:trPr>
        <w:tc>
          <w:tcPr>
            <w:tcW w:w="5387" w:type="dxa"/>
          </w:tcPr>
          <w:p w14:paraId="40537A8E" w14:textId="77777777" w:rsidR="007D09DE" w:rsidRPr="007D09DE" w:rsidRDefault="007D09DE" w:rsidP="007D09DE">
            <w:pPr>
              <w:spacing w:before="40" w:after="40" w:line="240" w:lineRule="auto"/>
              <w:rPr>
                <w:rFonts w:ascii="Calibri" w:eastAsia="Times New Roman" w:hAnsi="Calibri" w:cs="Times New Roman"/>
                <w:sz w:val="18"/>
                <w:szCs w:val="18"/>
              </w:rPr>
            </w:pPr>
          </w:p>
        </w:tc>
        <w:tc>
          <w:tcPr>
            <w:tcW w:w="851" w:type="dxa"/>
          </w:tcPr>
          <w:p w14:paraId="5D916ABB" w14:textId="77777777" w:rsidR="007D09DE" w:rsidRPr="007D09DE" w:rsidRDefault="007D09DE" w:rsidP="007D09DE">
            <w:pPr>
              <w:spacing w:before="40" w:after="40" w:line="240" w:lineRule="auto"/>
              <w:jc w:val="center"/>
              <w:rPr>
                <w:rFonts w:ascii="Calibri" w:eastAsia="Times New Roman" w:hAnsi="Calibri" w:cs="Times New Roman"/>
                <w:sz w:val="18"/>
                <w:szCs w:val="18"/>
              </w:rPr>
            </w:pPr>
          </w:p>
        </w:tc>
        <w:tc>
          <w:tcPr>
            <w:tcW w:w="1417" w:type="dxa"/>
            <w:tcBorders>
              <w:top w:val="single" w:sz="4" w:space="0" w:color="auto"/>
            </w:tcBorders>
          </w:tcPr>
          <w:p w14:paraId="2EB87D46" w14:textId="77777777" w:rsidR="007D09DE" w:rsidRPr="007D09DE" w:rsidRDefault="007D09DE" w:rsidP="007D09DE">
            <w:pPr>
              <w:tabs>
                <w:tab w:val="decimal" w:pos="742"/>
              </w:tabs>
              <w:spacing w:before="40" w:after="40" w:line="240" w:lineRule="auto"/>
              <w:jc w:val="right"/>
              <w:rPr>
                <w:rFonts w:ascii="Calibri" w:eastAsia="Times New Roman" w:hAnsi="Calibri" w:cs="Times New Roman"/>
                <w:b/>
                <w:sz w:val="18"/>
                <w:szCs w:val="18"/>
                <w:highlight w:val="yellow"/>
              </w:rPr>
            </w:pPr>
          </w:p>
        </w:tc>
        <w:tc>
          <w:tcPr>
            <w:tcW w:w="567" w:type="dxa"/>
            <w:tcBorders>
              <w:top w:val="single" w:sz="4" w:space="0" w:color="auto"/>
            </w:tcBorders>
          </w:tcPr>
          <w:p w14:paraId="76AAAB23" w14:textId="77777777" w:rsidR="007D09DE" w:rsidRPr="007D09DE" w:rsidRDefault="007D09DE" w:rsidP="007D09DE">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tcBorders>
          </w:tcPr>
          <w:p w14:paraId="0C744D36" w14:textId="77777777" w:rsidR="007D09DE" w:rsidRPr="007D09DE" w:rsidRDefault="007D09DE" w:rsidP="007D09DE">
            <w:pPr>
              <w:tabs>
                <w:tab w:val="decimal" w:pos="742"/>
              </w:tabs>
              <w:spacing w:before="40" w:after="40" w:line="240" w:lineRule="auto"/>
              <w:jc w:val="right"/>
              <w:rPr>
                <w:rFonts w:ascii="Calibri" w:eastAsia="Times New Roman" w:hAnsi="Calibri" w:cs="Times New Roman"/>
                <w:sz w:val="18"/>
                <w:szCs w:val="18"/>
              </w:rPr>
            </w:pPr>
          </w:p>
        </w:tc>
      </w:tr>
      <w:tr w:rsidR="00A44450" w:rsidRPr="007D09DE" w14:paraId="7E4FC4D4" w14:textId="77777777" w:rsidTr="00634ED5">
        <w:trPr>
          <w:cantSplit/>
          <w:trHeight w:hRule="exact" w:val="284"/>
        </w:trPr>
        <w:tc>
          <w:tcPr>
            <w:tcW w:w="5387" w:type="dxa"/>
          </w:tcPr>
          <w:p w14:paraId="20878BC5" w14:textId="5F5CE5C6" w:rsidR="00A44450" w:rsidRPr="00A44450" w:rsidRDefault="00A44450" w:rsidP="00A44450">
            <w:pPr>
              <w:spacing w:before="40" w:after="40" w:line="240" w:lineRule="auto"/>
              <w:rPr>
                <w:rFonts w:ascii="Calibri" w:eastAsia="Times New Roman" w:hAnsi="Calibri" w:cs="Times New Roman"/>
                <w:b/>
                <w:iCs/>
                <w:sz w:val="18"/>
                <w:szCs w:val="18"/>
              </w:rPr>
            </w:pPr>
            <w:r w:rsidRPr="00A44450">
              <w:rPr>
                <w:b/>
                <w:iCs/>
                <w:sz w:val="18"/>
                <w:szCs w:val="18"/>
              </w:rPr>
              <w:t>Other Expenses</w:t>
            </w:r>
          </w:p>
        </w:tc>
        <w:tc>
          <w:tcPr>
            <w:tcW w:w="851" w:type="dxa"/>
          </w:tcPr>
          <w:p w14:paraId="0B09CBFA" w14:textId="77777777" w:rsidR="00A44450" w:rsidRPr="007D09DE" w:rsidRDefault="00A44450" w:rsidP="00A44450">
            <w:pPr>
              <w:spacing w:before="40" w:after="40" w:line="240" w:lineRule="auto"/>
              <w:jc w:val="center"/>
              <w:rPr>
                <w:rFonts w:ascii="Calibri" w:eastAsia="Times New Roman" w:hAnsi="Calibri" w:cs="Times New Roman"/>
                <w:sz w:val="18"/>
                <w:szCs w:val="18"/>
              </w:rPr>
            </w:pPr>
          </w:p>
        </w:tc>
        <w:tc>
          <w:tcPr>
            <w:tcW w:w="1417" w:type="dxa"/>
          </w:tcPr>
          <w:p w14:paraId="11E2ED45" w14:textId="77777777" w:rsidR="00A44450" w:rsidRPr="007D09DE" w:rsidRDefault="00A44450" w:rsidP="00A44450">
            <w:pPr>
              <w:spacing w:before="40" w:after="40" w:line="240" w:lineRule="auto"/>
              <w:jc w:val="right"/>
              <w:rPr>
                <w:rFonts w:ascii="Calibri" w:eastAsia="Times New Roman" w:hAnsi="Calibri" w:cs="Times New Roman"/>
                <w:b/>
                <w:sz w:val="18"/>
                <w:szCs w:val="18"/>
                <w:highlight w:val="yellow"/>
              </w:rPr>
            </w:pPr>
          </w:p>
        </w:tc>
        <w:tc>
          <w:tcPr>
            <w:tcW w:w="567" w:type="dxa"/>
          </w:tcPr>
          <w:p w14:paraId="49B5336D" w14:textId="77777777" w:rsidR="00A44450" w:rsidRPr="007D09DE" w:rsidRDefault="00A44450" w:rsidP="00A44450">
            <w:pPr>
              <w:spacing w:before="40" w:after="40" w:line="240" w:lineRule="auto"/>
              <w:jc w:val="right"/>
              <w:rPr>
                <w:rFonts w:ascii="Calibri" w:eastAsia="Times New Roman" w:hAnsi="Calibri" w:cs="Times New Roman"/>
                <w:sz w:val="18"/>
                <w:szCs w:val="18"/>
              </w:rPr>
            </w:pPr>
          </w:p>
        </w:tc>
        <w:tc>
          <w:tcPr>
            <w:tcW w:w="1418" w:type="dxa"/>
          </w:tcPr>
          <w:p w14:paraId="4782C1C0" w14:textId="77777777" w:rsidR="00A44450" w:rsidRPr="007D09DE" w:rsidRDefault="00A44450" w:rsidP="00A44450">
            <w:pPr>
              <w:spacing w:before="40" w:after="40" w:line="240" w:lineRule="auto"/>
              <w:jc w:val="right"/>
              <w:rPr>
                <w:rFonts w:ascii="Calibri" w:eastAsia="Times New Roman" w:hAnsi="Calibri" w:cs="Times New Roman"/>
                <w:sz w:val="18"/>
                <w:szCs w:val="18"/>
              </w:rPr>
            </w:pPr>
          </w:p>
        </w:tc>
      </w:tr>
      <w:tr w:rsidR="00993F42" w:rsidRPr="007D09DE" w14:paraId="7C34B3FB" w14:textId="77777777" w:rsidTr="00634ED5">
        <w:trPr>
          <w:cantSplit/>
          <w:trHeight w:hRule="exact" w:val="284"/>
        </w:trPr>
        <w:tc>
          <w:tcPr>
            <w:tcW w:w="5387" w:type="dxa"/>
          </w:tcPr>
          <w:p w14:paraId="553EF04D" w14:textId="1A63E958"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 xml:space="preserve">Contract Works Insurance </w:t>
            </w:r>
            <w:r w:rsidRPr="00A44450">
              <w:rPr>
                <w:bCs/>
                <w:sz w:val="18"/>
                <w:szCs w:val="18"/>
                <w:vertAlign w:val="superscript"/>
              </w:rPr>
              <w:t>d</w:t>
            </w:r>
          </w:p>
        </w:tc>
        <w:tc>
          <w:tcPr>
            <w:tcW w:w="851" w:type="dxa"/>
          </w:tcPr>
          <w:p w14:paraId="6A959A67" w14:textId="77777777" w:rsidR="00993F42" w:rsidRPr="007D09DE" w:rsidRDefault="00993F42" w:rsidP="00993F42">
            <w:pPr>
              <w:spacing w:before="40" w:after="40" w:line="240" w:lineRule="auto"/>
              <w:jc w:val="center"/>
              <w:rPr>
                <w:rFonts w:ascii="Calibri" w:eastAsia="Times New Roman" w:hAnsi="Calibri" w:cs="Times New Roman"/>
                <w:sz w:val="18"/>
                <w:szCs w:val="18"/>
              </w:rPr>
            </w:pPr>
          </w:p>
        </w:tc>
        <w:tc>
          <w:tcPr>
            <w:tcW w:w="1417" w:type="dxa"/>
          </w:tcPr>
          <w:p w14:paraId="085158DB" w14:textId="4E8F1172"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1,218</w:t>
            </w:r>
          </w:p>
        </w:tc>
        <w:tc>
          <w:tcPr>
            <w:tcW w:w="567" w:type="dxa"/>
          </w:tcPr>
          <w:p w14:paraId="33CA9191"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7D3F3081" w14:textId="66CFB310"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894</w:t>
            </w:r>
          </w:p>
        </w:tc>
      </w:tr>
      <w:tr w:rsidR="00993F42" w:rsidRPr="007D09DE" w14:paraId="2805E1C0" w14:textId="77777777" w:rsidTr="00634ED5">
        <w:trPr>
          <w:cantSplit/>
          <w:trHeight w:hRule="exact" w:val="284"/>
        </w:trPr>
        <w:tc>
          <w:tcPr>
            <w:tcW w:w="5387" w:type="dxa"/>
          </w:tcPr>
          <w:p w14:paraId="0CE98C6A" w14:textId="1E49881B"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 xml:space="preserve">External Insurance Contracts </w:t>
            </w:r>
            <w:r w:rsidRPr="00A44450">
              <w:rPr>
                <w:bCs/>
                <w:sz w:val="18"/>
                <w:szCs w:val="18"/>
                <w:vertAlign w:val="superscript"/>
              </w:rPr>
              <w:t>e</w:t>
            </w:r>
          </w:p>
        </w:tc>
        <w:tc>
          <w:tcPr>
            <w:tcW w:w="851" w:type="dxa"/>
          </w:tcPr>
          <w:p w14:paraId="76BC6518" w14:textId="77777777" w:rsidR="00993F42" w:rsidRPr="007D09DE" w:rsidRDefault="00993F42" w:rsidP="00993F42">
            <w:pPr>
              <w:spacing w:before="40" w:after="40" w:line="240" w:lineRule="auto"/>
              <w:jc w:val="center"/>
              <w:rPr>
                <w:rFonts w:ascii="Calibri" w:eastAsia="Times New Roman" w:hAnsi="Calibri" w:cs="Times New Roman"/>
                <w:sz w:val="18"/>
                <w:szCs w:val="18"/>
              </w:rPr>
            </w:pPr>
          </w:p>
        </w:tc>
        <w:tc>
          <w:tcPr>
            <w:tcW w:w="1417" w:type="dxa"/>
          </w:tcPr>
          <w:p w14:paraId="347F3877" w14:textId="5399FFEE"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652</w:t>
            </w:r>
          </w:p>
        </w:tc>
        <w:tc>
          <w:tcPr>
            <w:tcW w:w="567" w:type="dxa"/>
          </w:tcPr>
          <w:p w14:paraId="0FA5F2B1"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6C5C3263" w14:textId="45F82115"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583</w:t>
            </w:r>
          </w:p>
        </w:tc>
      </w:tr>
      <w:tr w:rsidR="00993F42" w:rsidRPr="007D09DE" w14:paraId="646080A4" w14:textId="77777777" w:rsidTr="00634ED5">
        <w:trPr>
          <w:cantSplit/>
          <w:trHeight w:hRule="exact" w:val="284"/>
        </w:trPr>
        <w:tc>
          <w:tcPr>
            <w:tcW w:w="5387" w:type="dxa"/>
          </w:tcPr>
          <w:p w14:paraId="04B237E1" w14:textId="76BEE0C6"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Builders Warranty Insurance Commission</w:t>
            </w:r>
            <w:r w:rsidRPr="00A44450">
              <w:rPr>
                <w:bCs/>
                <w:sz w:val="18"/>
                <w:szCs w:val="18"/>
                <w:vertAlign w:val="superscript"/>
              </w:rPr>
              <w:t xml:space="preserve"> </w:t>
            </w:r>
          </w:p>
        </w:tc>
        <w:tc>
          <w:tcPr>
            <w:tcW w:w="851" w:type="dxa"/>
          </w:tcPr>
          <w:p w14:paraId="44165DE6" w14:textId="7509CD10" w:rsidR="00993F42" w:rsidRPr="007D09DE" w:rsidRDefault="00993F42" w:rsidP="00993F42">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291D0C02" w14:textId="1116A0D4"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505</w:t>
            </w:r>
          </w:p>
        </w:tc>
        <w:tc>
          <w:tcPr>
            <w:tcW w:w="567" w:type="dxa"/>
          </w:tcPr>
          <w:p w14:paraId="5A627F31"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0FB66C2C" w14:textId="112C2045"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552</w:t>
            </w:r>
          </w:p>
        </w:tc>
      </w:tr>
      <w:tr w:rsidR="00993F42" w:rsidRPr="007D09DE" w14:paraId="0F3DD4B7" w14:textId="77777777" w:rsidTr="00634ED5">
        <w:trPr>
          <w:cantSplit/>
          <w:trHeight w:hRule="exact" w:val="284"/>
        </w:trPr>
        <w:tc>
          <w:tcPr>
            <w:tcW w:w="5387" w:type="dxa"/>
          </w:tcPr>
          <w:p w14:paraId="6533F74E" w14:textId="147B1B92"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Builders Warranty Insurance Claims Processing Service Fee</w:t>
            </w:r>
            <w:r w:rsidRPr="00A44450">
              <w:rPr>
                <w:bCs/>
                <w:sz w:val="18"/>
                <w:szCs w:val="18"/>
                <w:vertAlign w:val="superscript"/>
              </w:rPr>
              <w:t xml:space="preserve"> </w:t>
            </w:r>
          </w:p>
        </w:tc>
        <w:tc>
          <w:tcPr>
            <w:tcW w:w="851" w:type="dxa"/>
          </w:tcPr>
          <w:p w14:paraId="15A3627A" w14:textId="4B140260" w:rsidR="00993F42" w:rsidRPr="007D09DE" w:rsidRDefault="00993F42" w:rsidP="00993F42">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38058E74" w14:textId="4EE2356A"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46</w:t>
            </w:r>
          </w:p>
        </w:tc>
        <w:tc>
          <w:tcPr>
            <w:tcW w:w="567" w:type="dxa"/>
          </w:tcPr>
          <w:p w14:paraId="4836D174"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7A0E3CC2" w14:textId="368D95B8"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42</w:t>
            </w:r>
          </w:p>
        </w:tc>
      </w:tr>
      <w:tr w:rsidR="00993F42" w:rsidRPr="007D09DE" w14:paraId="6535D882" w14:textId="77777777" w:rsidTr="00634ED5">
        <w:trPr>
          <w:cantSplit/>
          <w:trHeight w:hRule="exact" w:val="284"/>
        </w:trPr>
        <w:tc>
          <w:tcPr>
            <w:tcW w:w="5387" w:type="dxa"/>
          </w:tcPr>
          <w:p w14:paraId="52163C3B" w14:textId="3542707F"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 xml:space="preserve">Builders Warranty Insurance Claims Expense </w:t>
            </w:r>
            <w:r w:rsidRPr="00A44450">
              <w:rPr>
                <w:bCs/>
                <w:sz w:val="18"/>
                <w:szCs w:val="18"/>
                <w:vertAlign w:val="superscript"/>
              </w:rPr>
              <w:t>f</w:t>
            </w:r>
          </w:p>
        </w:tc>
        <w:tc>
          <w:tcPr>
            <w:tcW w:w="851" w:type="dxa"/>
          </w:tcPr>
          <w:p w14:paraId="3A1195C6" w14:textId="34BA40F0" w:rsidR="00993F42" w:rsidRPr="007D09DE" w:rsidRDefault="00993F42" w:rsidP="00993F42">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4FABADD0" w14:textId="7C23D11E"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2,946</w:t>
            </w:r>
          </w:p>
        </w:tc>
        <w:tc>
          <w:tcPr>
            <w:tcW w:w="567" w:type="dxa"/>
          </w:tcPr>
          <w:p w14:paraId="0837D916"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618FD045" w14:textId="6338E19A"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876</w:t>
            </w:r>
          </w:p>
        </w:tc>
      </w:tr>
      <w:tr w:rsidR="00993F42" w:rsidRPr="007D09DE" w14:paraId="45DFCF8E" w14:textId="77777777" w:rsidTr="00634ED5">
        <w:trPr>
          <w:cantSplit/>
          <w:trHeight w:hRule="exact" w:val="284"/>
        </w:trPr>
        <w:tc>
          <w:tcPr>
            <w:tcW w:w="5387" w:type="dxa"/>
          </w:tcPr>
          <w:p w14:paraId="5DBFCD37" w14:textId="1E579D62"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 xml:space="preserve">Physical and Sexual Abuse Indemnity Scheme Claims Expense </w:t>
            </w:r>
            <w:r w:rsidRPr="00A44450">
              <w:rPr>
                <w:bCs/>
                <w:sz w:val="18"/>
                <w:szCs w:val="18"/>
                <w:vertAlign w:val="superscript"/>
              </w:rPr>
              <w:t>g</w:t>
            </w:r>
          </w:p>
        </w:tc>
        <w:tc>
          <w:tcPr>
            <w:tcW w:w="851" w:type="dxa"/>
          </w:tcPr>
          <w:p w14:paraId="22309697" w14:textId="62156DAC" w:rsidR="00993F42" w:rsidRPr="007D09DE" w:rsidRDefault="00993F42" w:rsidP="00993F42">
            <w:pPr>
              <w:spacing w:before="40" w:after="40" w:line="240" w:lineRule="auto"/>
              <w:jc w:val="center"/>
              <w:rPr>
                <w:rFonts w:ascii="Calibri" w:eastAsia="Times New Roman" w:hAnsi="Calibri" w:cs="Times New Roman"/>
                <w:sz w:val="18"/>
                <w:szCs w:val="18"/>
              </w:rPr>
            </w:pPr>
            <w:r>
              <w:rPr>
                <w:rFonts w:ascii="Calibri" w:eastAsia="Times New Roman" w:hAnsi="Calibri" w:cs="Times New Roman"/>
                <w:sz w:val="18"/>
                <w:szCs w:val="18"/>
              </w:rPr>
              <w:t>22</w:t>
            </w:r>
          </w:p>
        </w:tc>
        <w:tc>
          <w:tcPr>
            <w:tcW w:w="1417" w:type="dxa"/>
          </w:tcPr>
          <w:p w14:paraId="3D0DF001" w14:textId="1464AD94"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3,365</w:t>
            </w:r>
          </w:p>
        </w:tc>
        <w:tc>
          <w:tcPr>
            <w:tcW w:w="567" w:type="dxa"/>
          </w:tcPr>
          <w:p w14:paraId="5ABD2556"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Pr>
          <w:p w14:paraId="254E3F51" w14:textId="0ED583B9"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w:t>
            </w:r>
          </w:p>
        </w:tc>
      </w:tr>
      <w:tr w:rsidR="00993F42" w:rsidRPr="007D09DE" w14:paraId="6127CC71" w14:textId="77777777" w:rsidTr="00634ED5">
        <w:trPr>
          <w:cantSplit/>
          <w:trHeight w:hRule="exact" w:val="284"/>
        </w:trPr>
        <w:tc>
          <w:tcPr>
            <w:tcW w:w="5387" w:type="dxa"/>
          </w:tcPr>
          <w:p w14:paraId="362A5F37" w14:textId="2C84491E" w:rsidR="00993F42" w:rsidRPr="00A44450" w:rsidRDefault="00993F42" w:rsidP="00993F42">
            <w:pPr>
              <w:spacing w:before="40" w:after="40" w:line="240" w:lineRule="auto"/>
              <w:rPr>
                <w:rFonts w:ascii="Calibri" w:eastAsia="Times New Roman" w:hAnsi="Calibri" w:cs="Times New Roman"/>
                <w:sz w:val="18"/>
                <w:szCs w:val="18"/>
              </w:rPr>
            </w:pPr>
            <w:r w:rsidRPr="00A44450">
              <w:rPr>
                <w:sz w:val="18"/>
                <w:szCs w:val="18"/>
              </w:rPr>
              <w:t>Amortisation</w:t>
            </w:r>
          </w:p>
        </w:tc>
        <w:tc>
          <w:tcPr>
            <w:tcW w:w="851" w:type="dxa"/>
          </w:tcPr>
          <w:p w14:paraId="129398A6" w14:textId="77777777" w:rsidR="00993F42" w:rsidRPr="007D09DE" w:rsidRDefault="00993F42" w:rsidP="00993F42">
            <w:pPr>
              <w:spacing w:before="40" w:after="40" w:line="240" w:lineRule="auto"/>
              <w:jc w:val="center"/>
              <w:rPr>
                <w:rFonts w:ascii="Calibri" w:eastAsia="Times New Roman" w:hAnsi="Calibri" w:cs="Times New Roman"/>
                <w:b/>
                <w:sz w:val="18"/>
                <w:szCs w:val="18"/>
              </w:rPr>
            </w:pPr>
          </w:p>
        </w:tc>
        <w:tc>
          <w:tcPr>
            <w:tcW w:w="1417" w:type="dxa"/>
            <w:tcBorders>
              <w:bottom w:val="single" w:sz="2" w:space="0" w:color="auto"/>
            </w:tcBorders>
          </w:tcPr>
          <w:p w14:paraId="4353DFB6" w14:textId="7EE28F1A" w:rsidR="00993F42" w:rsidRPr="00993F42" w:rsidRDefault="00993F42" w:rsidP="00993F42">
            <w:pPr>
              <w:spacing w:before="40" w:after="40" w:line="240" w:lineRule="auto"/>
              <w:jc w:val="right"/>
              <w:rPr>
                <w:rFonts w:ascii="Calibri" w:eastAsia="Times New Roman" w:hAnsi="Calibri" w:cs="Times New Roman"/>
                <w:bCs/>
                <w:sz w:val="18"/>
                <w:szCs w:val="18"/>
                <w:highlight w:val="yellow"/>
              </w:rPr>
            </w:pPr>
            <w:r w:rsidRPr="00993F42">
              <w:rPr>
                <w:bCs/>
                <w:sz w:val="18"/>
                <w:szCs w:val="18"/>
              </w:rPr>
              <w:t>62</w:t>
            </w:r>
          </w:p>
        </w:tc>
        <w:tc>
          <w:tcPr>
            <w:tcW w:w="567" w:type="dxa"/>
            <w:tcBorders>
              <w:bottom w:val="single" w:sz="2" w:space="0" w:color="auto"/>
            </w:tcBorders>
          </w:tcPr>
          <w:p w14:paraId="03BA26EE" w14:textId="77777777" w:rsidR="00993F42" w:rsidRPr="00993F42" w:rsidRDefault="00993F42" w:rsidP="00993F42">
            <w:pPr>
              <w:spacing w:before="40" w:after="40" w:line="240" w:lineRule="auto"/>
              <w:jc w:val="right"/>
              <w:rPr>
                <w:rFonts w:ascii="Calibri" w:eastAsia="Times New Roman" w:hAnsi="Calibri" w:cs="Times New Roman"/>
                <w:color w:val="000000"/>
                <w:sz w:val="18"/>
                <w:szCs w:val="18"/>
                <w:highlight w:val="yellow"/>
              </w:rPr>
            </w:pPr>
          </w:p>
        </w:tc>
        <w:tc>
          <w:tcPr>
            <w:tcW w:w="1418" w:type="dxa"/>
            <w:tcBorders>
              <w:bottom w:val="single" w:sz="2" w:space="0" w:color="auto"/>
            </w:tcBorders>
          </w:tcPr>
          <w:p w14:paraId="17743BD3" w14:textId="0740641B" w:rsidR="00993F42" w:rsidRPr="00993F42" w:rsidRDefault="00993F42" w:rsidP="00993F42">
            <w:pPr>
              <w:spacing w:before="40" w:after="40" w:line="240" w:lineRule="auto"/>
              <w:jc w:val="right"/>
              <w:rPr>
                <w:rFonts w:ascii="Calibri" w:eastAsia="Times New Roman" w:hAnsi="Calibri" w:cs="Times New Roman"/>
                <w:sz w:val="18"/>
                <w:szCs w:val="18"/>
                <w:highlight w:val="yellow"/>
              </w:rPr>
            </w:pPr>
            <w:r w:rsidRPr="00993F42">
              <w:rPr>
                <w:bCs/>
                <w:sz w:val="18"/>
                <w:szCs w:val="18"/>
              </w:rPr>
              <w:t>56</w:t>
            </w:r>
          </w:p>
        </w:tc>
      </w:tr>
      <w:tr w:rsidR="00DD5926" w:rsidRPr="007D09DE" w14:paraId="3107CB89" w14:textId="77777777" w:rsidTr="00634ED5">
        <w:trPr>
          <w:cantSplit/>
          <w:trHeight w:hRule="exact" w:val="284"/>
        </w:trPr>
        <w:tc>
          <w:tcPr>
            <w:tcW w:w="5387" w:type="dxa"/>
            <w:tcBorders>
              <w:bottom w:val="single" w:sz="12" w:space="0" w:color="492581" w:themeColor="accent1"/>
            </w:tcBorders>
          </w:tcPr>
          <w:p w14:paraId="4EDAED22" w14:textId="13DEC029" w:rsidR="00DD5926" w:rsidRPr="00A44450" w:rsidRDefault="00DD5926" w:rsidP="00DD5926">
            <w:pPr>
              <w:spacing w:before="40" w:after="40" w:line="240" w:lineRule="auto"/>
              <w:rPr>
                <w:rFonts w:ascii="Calibri" w:eastAsia="Times New Roman" w:hAnsi="Calibri" w:cs="Times New Roman"/>
                <w:bCs/>
                <w:sz w:val="18"/>
                <w:szCs w:val="18"/>
              </w:rPr>
            </w:pPr>
            <w:r w:rsidRPr="00A44450">
              <w:rPr>
                <w:b/>
                <w:bCs/>
                <w:sz w:val="18"/>
                <w:szCs w:val="18"/>
              </w:rPr>
              <w:t>Total Other Expenses</w:t>
            </w:r>
          </w:p>
        </w:tc>
        <w:tc>
          <w:tcPr>
            <w:tcW w:w="851" w:type="dxa"/>
            <w:tcBorders>
              <w:bottom w:val="single" w:sz="12" w:space="0" w:color="492581" w:themeColor="accent1"/>
            </w:tcBorders>
          </w:tcPr>
          <w:p w14:paraId="3FC80246" w14:textId="77777777" w:rsidR="00DD5926" w:rsidRPr="007D09DE" w:rsidRDefault="00DD5926" w:rsidP="00DD5926">
            <w:pPr>
              <w:spacing w:before="40" w:after="40" w:line="240" w:lineRule="auto"/>
              <w:jc w:val="center"/>
              <w:rPr>
                <w:rFonts w:ascii="Calibri" w:eastAsia="Times New Roman" w:hAnsi="Calibri" w:cs="Times New Roman"/>
                <w:b/>
                <w:sz w:val="18"/>
                <w:szCs w:val="18"/>
              </w:rPr>
            </w:pPr>
          </w:p>
        </w:tc>
        <w:tc>
          <w:tcPr>
            <w:tcW w:w="1417" w:type="dxa"/>
            <w:tcBorders>
              <w:top w:val="single" w:sz="2" w:space="0" w:color="auto"/>
              <w:bottom w:val="single" w:sz="12" w:space="0" w:color="492581" w:themeColor="accent1"/>
            </w:tcBorders>
          </w:tcPr>
          <w:p w14:paraId="770C17DC" w14:textId="2AEE2AD7" w:rsidR="00DD5926" w:rsidRPr="00DD5926" w:rsidRDefault="00DD5926" w:rsidP="00DD5926">
            <w:pPr>
              <w:spacing w:before="40" w:after="40" w:line="240" w:lineRule="auto"/>
              <w:jc w:val="right"/>
              <w:rPr>
                <w:rFonts w:ascii="Calibri" w:eastAsia="Times New Roman" w:hAnsi="Calibri" w:cs="Times New Roman"/>
                <w:b/>
                <w:sz w:val="18"/>
                <w:szCs w:val="18"/>
                <w:highlight w:val="yellow"/>
              </w:rPr>
            </w:pPr>
            <w:r w:rsidRPr="00DD5926">
              <w:rPr>
                <w:b/>
                <w:sz w:val="18"/>
                <w:szCs w:val="18"/>
              </w:rPr>
              <w:t>8,794</w:t>
            </w:r>
          </w:p>
        </w:tc>
        <w:tc>
          <w:tcPr>
            <w:tcW w:w="567" w:type="dxa"/>
            <w:tcBorders>
              <w:top w:val="single" w:sz="2" w:space="0" w:color="auto"/>
              <w:bottom w:val="single" w:sz="12" w:space="0" w:color="492581" w:themeColor="accent1"/>
            </w:tcBorders>
          </w:tcPr>
          <w:p w14:paraId="25FC4A5C" w14:textId="77777777" w:rsidR="00DD5926" w:rsidRPr="00DD5926" w:rsidRDefault="00DD5926" w:rsidP="00DD5926">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bottom w:val="single" w:sz="12" w:space="0" w:color="492581" w:themeColor="accent1"/>
            </w:tcBorders>
          </w:tcPr>
          <w:p w14:paraId="5ABD7394" w14:textId="0734A956" w:rsidR="00DD5926" w:rsidRPr="00DD5926" w:rsidRDefault="00DD5926" w:rsidP="00DD5926">
            <w:pPr>
              <w:spacing w:before="40" w:after="40" w:line="240" w:lineRule="auto"/>
              <w:jc w:val="right"/>
              <w:rPr>
                <w:rFonts w:ascii="Calibri" w:eastAsia="Times New Roman" w:hAnsi="Calibri" w:cs="Times New Roman"/>
                <w:b/>
                <w:bCs/>
                <w:sz w:val="18"/>
                <w:szCs w:val="18"/>
                <w:highlight w:val="yellow"/>
              </w:rPr>
            </w:pPr>
            <w:r w:rsidRPr="00DD5926">
              <w:rPr>
                <w:b/>
                <w:sz w:val="18"/>
                <w:szCs w:val="18"/>
              </w:rPr>
              <w:t>3,003</w:t>
            </w:r>
          </w:p>
        </w:tc>
      </w:tr>
      <w:tr w:rsidR="00626159" w:rsidRPr="00245A4F" w14:paraId="761A6120" w14:textId="77777777" w:rsidTr="00F20511">
        <w:trPr>
          <w:trHeight w:hRule="exact" w:val="4868"/>
        </w:trPr>
        <w:tc>
          <w:tcPr>
            <w:tcW w:w="9640" w:type="dxa"/>
            <w:gridSpan w:val="5"/>
            <w:tcBorders>
              <w:bottom w:val="single" w:sz="12" w:space="0" w:color="492581" w:themeColor="accent1"/>
            </w:tcBorders>
          </w:tcPr>
          <w:p w14:paraId="1847117A" w14:textId="77777777" w:rsidR="00B6799A" w:rsidRPr="00B6799A" w:rsidRDefault="00B6799A" w:rsidP="00267927">
            <w:pPr>
              <w:spacing w:before="60" w:after="0" w:line="240" w:lineRule="auto"/>
              <w:rPr>
                <w:rFonts w:eastAsia="Times New Roman" w:cs="Source Sans Pro Light"/>
                <w:i/>
                <w:iCs/>
                <w:sz w:val="17"/>
                <w:szCs w:val="17"/>
              </w:rPr>
            </w:pPr>
            <w:r w:rsidRPr="00B6799A">
              <w:rPr>
                <w:rFonts w:eastAsia="Times New Roman" w:cs="Source Sans Pro Light"/>
                <w:i/>
                <w:iCs/>
                <w:sz w:val="17"/>
                <w:szCs w:val="17"/>
                <w:vertAlign w:val="superscript"/>
              </w:rPr>
              <w:t>a</w:t>
            </w:r>
            <w:r w:rsidRPr="00B6799A">
              <w:rPr>
                <w:rFonts w:eastAsia="Times New Roman" w:cs="Source Sans Pro Light"/>
                <w:i/>
                <w:iCs/>
                <w:sz w:val="17"/>
                <w:szCs w:val="17"/>
              </w:rPr>
              <w:t xml:space="preserve"> AASB 1023 has been adopted in relation to the Builders Warranty Insurance (BWI) scheme to recognise the gross earned revenue based on a liability adequacy test and actuarial estimates on assessment of unexpired risk. Refer Note 21: ‘Builders Warranty Insurance Scheme’.</w:t>
            </w:r>
          </w:p>
          <w:p w14:paraId="79762B91" w14:textId="532AFD48" w:rsidR="00B6799A" w:rsidRPr="00B6799A" w:rsidRDefault="00B6799A" w:rsidP="00267927">
            <w:pPr>
              <w:spacing w:before="60" w:after="0" w:line="240" w:lineRule="auto"/>
              <w:rPr>
                <w:rFonts w:eastAsia="Times New Roman" w:cs="Source Sans Pro Light"/>
                <w:i/>
                <w:iCs/>
                <w:sz w:val="17"/>
                <w:szCs w:val="17"/>
              </w:rPr>
            </w:pPr>
            <w:r w:rsidRPr="00B6799A">
              <w:rPr>
                <w:rFonts w:eastAsia="Times New Roman" w:cs="Source Sans Pro Light"/>
                <w:i/>
                <w:iCs/>
                <w:sz w:val="17"/>
                <w:szCs w:val="17"/>
                <w:vertAlign w:val="superscript"/>
              </w:rPr>
              <w:t xml:space="preserve">b </w:t>
            </w:r>
            <w:r w:rsidRPr="00B6799A">
              <w:rPr>
                <w:rFonts w:eastAsia="Times New Roman" w:cs="Source Sans Pro Light"/>
                <w:i/>
                <w:iCs/>
                <w:sz w:val="17"/>
                <w:szCs w:val="17"/>
              </w:rPr>
              <w:t xml:space="preserve">Physical and Sexual Abuse Indemnity Scheme design and establishment funding is a Territory appropriation funded initiative for the initial scheme set up arrangements. A total of $0.449 million was approved for the initiative. In 2022-23, the Authority received total appropriation of $0.449 million and although these should have recognised as revenue in full, only $0.201 million was recorded as the remaining $0.248 million was recorded as revenue received in advance to reflect the amounts </w:t>
            </w:r>
            <w:proofErr w:type="gramStart"/>
            <w:r w:rsidRPr="00B6799A">
              <w:rPr>
                <w:rFonts w:eastAsia="Times New Roman" w:cs="Source Sans Pro Light"/>
                <w:i/>
                <w:iCs/>
                <w:sz w:val="17"/>
                <w:szCs w:val="17"/>
              </w:rPr>
              <w:t>actually spent</w:t>
            </w:r>
            <w:proofErr w:type="gramEnd"/>
            <w:r w:rsidRPr="00B6799A">
              <w:rPr>
                <w:rFonts w:eastAsia="Times New Roman" w:cs="Source Sans Pro Light"/>
                <w:i/>
                <w:iCs/>
                <w:sz w:val="17"/>
                <w:szCs w:val="17"/>
              </w:rPr>
              <w:t xml:space="preserve"> during the year. The $0.248</w:t>
            </w:r>
            <w:r w:rsidR="00DF0844">
              <w:rPr>
                <w:rFonts w:eastAsia="Times New Roman" w:cs="Source Sans Pro Light"/>
                <w:i/>
                <w:iCs/>
                <w:sz w:val="17"/>
                <w:szCs w:val="17"/>
              </w:rPr>
              <w:t> </w:t>
            </w:r>
            <w:r w:rsidRPr="00B6799A">
              <w:rPr>
                <w:rFonts w:eastAsia="Times New Roman" w:cs="Source Sans Pro Light"/>
                <w:i/>
                <w:iCs/>
                <w:sz w:val="17"/>
                <w:szCs w:val="17"/>
              </w:rPr>
              <w:t>million was spent and has been recorded as revenue during the current financial year.</w:t>
            </w:r>
          </w:p>
          <w:p w14:paraId="457246FF" w14:textId="77777777" w:rsidR="00B6799A" w:rsidRPr="00B6799A" w:rsidRDefault="00B6799A" w:rsidP="00267927">
            <w:pPr>
              <w:spacing w:before="60" w:after="0" w:line="240" w:lineRule="auto"/>
              <w:rPr>
                <w:rFonts w:eastAsia="Times New Roman" w:cs="Source Sans Pro Light"/>
                <w:i/>
                <w:iCs/>
                <w:sz w:val="17"/>
                <w:szCs w:val="17"/>
              </w:rPr>
            </w:pPr>
            <w:r w:rsidRPr="00B6799A">
              <w:rPr>
                <w:rFonts w:eastAsia="Times New Roman" w:cs="Source Sans Pro Light"/>
                <w:i/>
                <w:iCs/>
                <w:sz w:val="17"/>
                <w:szCs w:val="17"/>
                <w:vertAlign w:val="superscript"/>
              </w:rPr>
              <w:t>C</w:t>
            </w:r>
            <w:r w:rsidRPr="00B6799A">
              <w:rPr>
                <w:rFonts w:eastAsia="Times New Roman" w:cs="Source Sans Pro Light"/>
                <w:i/>
                <w:iCs/>
                <w:sz w:val="17"/>
                <w:szCs w:val="17"/>
              </w:rPr>
              <w:t xml:space="preserve"> Physical and Sexual Abuse Indemnity Scheme operates on a cost recovery basis by collecting indemnity fees from Community Services Directorate (CSD) to meet the costs of future asset losses and legal liabilities.  In consideration of the indemnity fees paid, ACTIA provides indemnity to CSD for insurable losses and claims incurred in relation to Out of Home Care Physical and Sexual Abuse that have been lodged against their third-party providers that are actively part of the scheme. The long-term scheme commenced 1 July 2023.</w:t>
            </w:r>
          </w:p>
          <w:p w14:paraId="4C1A7F13" w14:textId="77777777" w:rsidR="00B6799A" w:rsidRPr="00B6799A" w:rsidRDefault="00B6799A" w:rsidP="00267927">
            <w:pPr>
              <w:spacing w:before="60" w:after="0" w:line="240" w:lineRule="auto"/>
              <w:rPr>
                <w:rFonts w:eastAsia="Times New Roman" w:cs="Source Sans Pro Light"/>
                <w:i/>
                <w:iCs/>
                <w:strike/>
                <w:sz w:val="17"/>
                <w:szCs w:val="17"/>
              </w:rPr>
            </w:pPr>
            <w:r w:rsidRPr="00B6799A">
              <w:rPr>
                <w:rFonts w:eastAsia="Times New Roman" w:cs="Source Sans Pro Light"/>
                <w:i/>
                <w:iCs/>
                <w:sz w:val="17"/>
                <w:szCs w:val="17"/>
                <w:vertAlign w:val="superscript"/>
              </w:rPr>
              <w:t>d</w:t>
            </w:r>
            <w:r w:rsidRPr="00B6799A">
              <w:rPr>
                <w:rFonts w:eastAsia="Times New Roman" w:cs="Source Sans Pro Light"/>
                <w:i/>
                <w:iCs/>
                <w:sz w:val="17"/>
                <w:szCs w:val="17"/>
              </w:rPr>
              <w:t xml:space="preserve"> Contract Works insurance external policies and passthrough cost/ revenue has increased due to an increase in capital works programs by the Territory, following </w:t>
            </w:r>
            <w:proofErr w:type="gramStart"/>
            <w:r w:rsidRPr="00B6799A">
              <w:rPr>
                <w:rFonts w:eastAsia="Times New Roman" w:cs="Source Sans Pro Light"/>
                <w:i/>
                <w:iCs/>
                <w:sz w:val="17"/>
                <w:szCs w:val="17"/>
              </w:rPr>
              <w:t>a number of</w:t>
            </w:r>
            <w:proofErr w:type="gramEnd"/>
            <w:r w:rsidRPr="00B6799A">
              <w:rPr>
                <w:rFonts w:eastAsia="Times New Roman" w:cs="Source Sans Pro Light"/>
                <w:i/>
                <w:iCs/>
                <w:sz w:val="17"/>
                <w:szCs w:val="17"/>
              </w:rPr>
              <w:t xml:space="preserve"> projects being delayed during the previous period.</w:t>
            </w:r>
          </w:p>
          <w:p w14:paraId="2F89DEF5" w14:textId="77777777" w:rsidR="00B6799A" w:rsidRPr="00B6799A" w:rsidRDefault="00B6799A" w:rsidP="00267927">
            <w:pPr>
              <w:spacing w:before="60" w:after="0" w:line="240" w:lineRule="auto"/>
              <w:rPr>
                <w:rFonts w:eastAsia="Times New Roman" w:cs="Source Sans Pro Light"/>
                <w:i/>
                <w:iCs/>
                <w:sz w:val="17"/>
                <w:szCs w:val="17"/>
              </w:rPr>
            </w:pPr>
            <w:r w:rsidRPr="00B6799A">
              <w:rPr>
                <w:rFonts w:eastAsia="Times New Roman" w:cs="Source Sans Pro Light"/>
                <w:i/>
                <w:iCs/>
                <w:sz w:val="17"/>
                <w:szCs w:val="17"/>
                <w:vertAlign w:val="superscript"/>
              </w:rPr>
              <w:t>e</w:t>
            </w:r>
            <w:r w:rsidRPr="00B6799A">
              <w:rPr>
                <w:rFonts w:eastAsia="Times New Roman" w:cs="Source Sans Pro Light"/>
                <w:i/>
                <w:iCs/>
                <w:sz w:val="17"/>
                <w:szCs w:val="17"/>
              </w:rPr>
              <w:t xml:space="preserve"> External Insurance Contracts has increased mainly due to the Territory’s fleet insurance arrangement the Authority took over management of from 31 March 2024, partially offset by the removal of Standing Timber and Forestry insurance policy.</w:t>
            </w:r>
          </w:p>
          <w:p w14:paraId="573B3BC9" w14:textId="77777777" w:rsidR="00B6799A" w:rsidRPr="00B6799A" w:rsidRDefault="00B6799A" w:rsidP="00267927">
            <w:pPr>
              <w:spacing w:before="60" w:after="0" w:line="240" w:lineRule="auto"/>
              <w:rPr>
                <w:rFonts w:eastAsia="Times New Roman" w:cs="Source Sans Pro Light"/>
                <w:i/>
                <w:iCs/>
                <w:sz w:val="17"/>
                <w:szCs w:val="17"/>
              </w:rPr>
            </w:pPr>
            <w:r w:rsidRPr="00B6799A">
              <w:rPr>
                <w:rFonts w:eastAsia="Times New Roman" w:cs="Source Sans Pro Light"/>
                <w:i/>
                <w:iCs/>
                <w:sz w:val="17"/>
                <w:szCs w:val="17"/>
                <w:vertAlign w:val="superscript"/>
              </w:rPr>
              <w:t>f</w:t>
            </w:r>
            <w:r w:rsidRPr="00B6799A">
              <w:rPr>
                <w:rFonts w:eastAsia="Times New Roman" w:cs="Source Sans Pro Light"/>
                <w:i/>
                <w:iCs/>
                <w:sz w:val="17"/>
                <w:szCs w:val="17"/>
              </w:rPr>
              <w:t xml:space="preserve"> Builders Warranty Insurance Claims Expense has increased mainly due to a higher number of builder failures/collapses and a higher number of exposed contracts. Refer Note 21: ‘Builders Warranty Insurance Scheme’.</w:t>
            </w:r>
          </w:p>
          <w:p w14:paraId="31FDF12F" w14:textId="1671859C" w:rsidR="00626159" w:rsidRPr="00245A4F" w:rsidRDefault="00B6799A" w:rsidP="00267927">
            <w:pPr>
              <w:spacing w:before="60" w:after="0" w:line="240" w:lineRule="auto"/>
              <w:rPr>
                <w:b/>
                <w:sz w:val="17"/>
                <w:szCs w:val="17"/>
              </w:rPr>
            </w:pPr>
            <w:r w:rsidRPr="00245A4F">
              <w:rPr>
                <w:rFonts w:eastAsia="Times New Roman" w:cs="Source Sans Pro Light"/>
                <w:i/>
                <w:iCs/>
                <w:sz w:val="17"/>
                <w:szCs w:val="17"/>
                <w:vertAlign w:val="superscript"/>
              </w:rPr>
              <w:t>g</w:t>
            </w:r>
            <w:r w:rsidRPr="00245A4F">
              <w:rPr>
                <w:rFonts w:eastAsia="Times New Roman" w:cs="Source Sans Pro Light"/>
                <w:i/>
                <w:iCs/>
                <w:sz w:val="17"/>
                <w:szCs w:val="17"/>
              </w:rPr>
              <w:t xml:space="preserve"> AASB 1023 has been adopted in relation to the Physical and Sexual Abuse (PSA) Indemnity Scheme to recognise the gross earned revenue based on a liability adequacy test and actuarial estimates on assessment of unexpired risk. Refer Note 22: ‘Physical and Sexual Abuse Indemnity Scheme’.</w:t>
            </w:r>
          </w:p>
        </w:tc>
      </w:tr>
    </w:tbl>
    <w:p w14:paraId="01C52489" w14:textId="77777777" w:rsidR="00682C60" w:rsidRPr="00682C60" w:rsidRDefault="00682C60" w:rsidP="00682C60">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82C60">
        <w:rPr>
          <w:rFonts w:ascii="Calibri" w:eastAsia="Calibri" w:hAnsi="Calibri" w:cs="Montserrat Semi Bold"/>
          <w:b/>
          <w:bCs/>
          <w:color w:val="000000"/>
          <w:sz w:val="30"/>
          <w:szCs w:val="30"/>
        </w:rPr>
        <w:lastRenderedPageBreak/>
        <w:t>NOTE 9. EMPLOYEE EXPENSES</w:t>
      </w:r>
    </w:p>
    <w:p w14:paraId="1CA39AA1" w14:textId="77777777" w:rsidR="00594B3B" w:rsidRPr="00450A2F" w:rsidRDefault="00594B3B" w:rsidP="00594B3B">
      <w:pPr>
        <w:rPr>
          <w:sz w:val="22"/>
          <w:szCs w:val="22"/>
        </w:rPr>
      </w:pPr>
      <w:r w:rsidRPr="00450A2F">
        <w:rPr>
          <w:rFonts w:cs="Montserrat Semi Bold"/>
          <w:b/>
          <w:bCs/>
          <w:color w:val="000000"/>
          <w:sz w:val="22"/>
          <w:szCs w:val="22"/>
        </w:rPr>
        <w:t>Description and Material Accounting Policies relating to Employee expenses</w:t>
      </w:r>
    </w:p>
    <w:p w14:paraId="4B6FDADE" w14:textId="77777777" w:rsidR="00594B3B" w:rsidRPr="00450A2F" w:rsidRDefault="00594B3B" w:rsidP="00594B3B">
      <w:pPr>
        <w:pStyle w:val="Pa11"/>
        <w:spacing w:before="40" w:after="100"/>
        <w:rPr>
          <w:rFonts w:asciiTheme="minorHAnsi" w:hAnsiTheme="minorHAnsi" w:cs="Montserrat Semi Bold"/>
          <w:color w:val="000000"/>
          <w:sz w:val="22"/>
          <w:szCs w:val="22"/>
        </w:rPr>
      </w:pPr>
      <w:r w:rsidRPr="00450A2F">
        <w:rPr>
          <w:rFonts w:asciiTheme="minorHAnsi" w:hAnsiTheme="minorHAnsi" w:cs="Montserrat Semi Bold"/>
          <w:b/>
          <w:bCs/>
          <w:color w:val="000000"/>
          <w:sz w:val="22"/>
          <w:szCs w:val="22"/>
        </w:rPr>
        <w:t>Employee Expenses</w:t>
      </w:r>
    </w:p>
    <w:p w14:paraId="1D2C6253" w14:textId="77777777" w:rsidR="00594B3B" w:rsidRPr="00450A2F" w:rsidRDefault="00594B3B" w:rsidP="00594B3B">
      <w:pPr>
        <w:pStyle w:val="Pa6"/>
        <w:spacing w:after="140"/>
        <w:rPr>
          <w:rFonts w:asciiTheme="minorHAnsi" w:hAnsiTheme="minorHAnsi" w:cs="Source Sans Pro Light"/>
          <w:color w:val="000000"/>
          <w:sz w:val="22"/>
          <w:szCs w:val="22"/>
        </w:rPr>
      </w:pPr>
      <w:r w:rsidRPr="00450A2F">
        <w:rPr>
          <w:rFonts w:asciiTheme="minorHAnsi" w:hAnsiTheme="minorHAnsi" w:cs="Source Sans Pro Light"/>
          <w:color w:val="000000"/>
          <w:sz w:val="22"/>
          <w:szCs w:val="22"/>
        </w:rPr>
        <w:t xml:space="preserve">Employee benefits include: </w:t>
      </w:r>
    </w:p>
    <w:p w14:paraId="4AC4BE4D" w14:textId="77777777" w:rsidR="00594B3B" w:rsidRPr="00450A2F" w:rsidRDefault="00594B3B" w:rsidP="00A36E9A">
      <w:pPr>
        <w:pStyle w:val="Default"/>
        <w:numPr>
          <w:ilvl w:val="0"/>
          <w:numId w:val="32"/>
        </w:numPr>
        <w:spacing w:after="47"/>
        <w:ind w:left="357" w:hanging="357"/>
        <w:rPr>
          <w:rFonts w:asciiTheme="minorHAnsi" w:hAnsiTheme="minorHAnsi" w:cs="Source Sans Pro Light"/>
          <w:sz w:val="22"/>
          <w:szCs w:val="22"/>
        </w:rPr>
      </w:pPr>
      <w:r w:rsidRPr="00450A2F">
        <w:rPr>
          <w:rFonts w:asciiTheme="minorHAnsi" w:hAnsiTheme="minorHAnsi" w:cs="Source Sans Pro Light"/>
          <w:sz w:val="22"/>
          <w:szCs w:val="22"/>
        </w:rPr>
        <w:t xml:space="preserve">short-term employee benefits such as wages and salaries, annual leave loading and applicable on-costs, if expected to be settled </w:t>
      </w:r>
      <w:proofErr w:type="gramStart"/>
      <w:r w:rsidRPr="00450A2F">
        <w:rPr>
          <w:rFonts w:asciiTheme="minorHAnsi" w:hAnsiTheme="minorHAnsi" w:cs="Source Sans Pro Light"/>
          <w:sz w:val="22"/>
          <w:szCs w:val="22"/>
        </w:rPr>
        <w:t>wholly before</w:t>
      </w:r>
      <w:proofErr w:type="gramEnd"/>
      <w:r w:rsidRPr="00450A2F">
        <w:rPr>
          <w:rFonts w:asciiTheme="minorHAnsi" w:hAnsiTheme="minorHAnsi" w:cs="Source Sans Pro Light"/>
          <w:sz w:val="22"/>
          <w:szCs w:val="22"/>
        </w:rPr>
        <w:t xml:space="preserve"> twelve months after the end of the annual reporting period in which the employees render the related services; </w:t>
      </w:r>
    </w:p>
    <w:p w14:paraId="78C579FE" w14:textId="77777777" w:rsidR="00594B3B" w:rsidRPr="00450A2F" w:rsidRDefault="00594B3B" w:rsidP="00A36E9A">
      <w:pPr>
        <w:pStyle w:val="Default"/>
        <w:numPr>
          <w:ilvl w:val="0"/>
          <w:numId w:val="32"/>
        </w:numPr>
        <w:spacing w:after="47"/>
        <w:ind w:left="357" w:hanging="357"/>
        <w:rPr>
          <w:rFonts w:asciiTheme="minorHAnsi" w:hAnsiTheme="minorHAnsi" w:cs="Source Sans Pro Light"/>
          <w:sz w:val="22"/>
          <w:szCs w:val="22"/>
        </w:rPr>
      </w:pPr>
      <w:r w:rsidRPr="00450A2F">
        <w:rPr>
          <w:rFonts w:asciiTheme="minorHAnsi" w:hAnsiTheme="minorHAnsi" w:cs="Source Sans Pro Light"/>
          <w:sz w:val="22"/>
          <w:szCs w:val="22"/>
        </w:rPr>
        <w:t xml:space="preserve">other long-term benefits, such as long service leave and annual leave; and </w:t>
      </w:r>
    </w:p>
    <w:p w14:paraId="4AE6064D" w14:textId="77777777" w:rsidR="00594B3B" w:rsidRPr="00450A2F" w:rsidRDefault="00594B3B" w:rsidP="00A36E9A">
      <w:pPr>
        <w:pStyle w:val="Default"/>
        <w:numPr>
          <w:ilvl w:val="0"/>
          <w:numId w:val="32"/>
        </w:numPr>
        <w:spacing w:after="47"/>
        <w:ind w:left="357" w:hanging="357"/>
        <w:rPr>
          <w:rFonts w:asciiTheme="minorHAnsi" w:hAnsiTheme="minorHAnsi" w:cs="Source Sans Pro Light"/>
          <w:sz w:val="22"/>
          <w:szCs w:val="22"/>
        </w:rPr>
      </w:pPr>
      <w:r w:rsidRPr="00450A2F">
        <w:rPr>
          <w:rFonts w:asciiTheme="minorHAnsi" w:hAnsiTheme="minorHAnsi" w:cs="Source Sans Pro Light"/>
          <w:sz w:val="22"/>
          <w:szCs w:val="22"/>
        </w:rPr>
        <w:t xml:space="preserve">termination benefits. </w:t>
      </w:r>
    </w:p>
    <w:p w14:paraId="758C89B7" w14:textId="77777777" w:rsidR="00594B3B" w:rsidRPr="00450A2F" w:rsidRDefault="00594B3B" w:rsidP="00594B3B">
      <w:pPr>
        <w:pStyle w:val="Pa6"/>
        <w:spacing w:after="140"/>
        <w:rPr>
          <w:rFonts w:asciiTheme="minorHAnsi" w:hAnsiTheme="minorHAnsi" w:cs="Source Sans Pro Light"/>
          <w:color w:val="000000"/>
          <w:sz w:val="22"/>
          <w:szCs w:val="22"/>
        </w:rPr>
      </w:pPr>
      <w:r w:rsidRPr="00450A2F">
        <w:rPr>
          <w:rFonts w:asciiTheme="minorHAnsi" w:hAnsiTheme="minorHAnsi" w:cs="Source Sans Pro Light"/>
          <w:color w:val="000000"/>
          <w:sz w:val="22"/>
          <w:szCs w:val="22"/>
        </w:rPr>
        <w:t>On-costs include annual leave, long service leave, superannuation and other costs that are incurred when employees take annual leave and long service leave.</w:t>
      </w:r>
    </w:p>
    <w:p w14:paraId="2B8C3834" w14:textId="77777777" w:rsidR="00594B3B" w:rsidRPr="00450A2F" w:rsidRDefault="00594B3B" w:rsidP="00594B3B">
      <w:pPr>
        <w:pStyle w:val="Pa11"/>
        <w:spacing w:before="40" w:after="100"/>
        <w:rPr>
          <w:rFonts w:asciiTheme="minorHAnsi" w:hAnsiTheme="minorHAnsi" w:cs="Montserrat Semi Bold"/>
          <w:b/>
          <w:bCs/>
          <w:color w:val="000000"/>
          <w:sz w:val="22"/>
          <w:szCs w:val="22"/>
        </w:rPr>
      </w:pPr>
      <w:r w:rsidRPr="00450A2F">
        <w:rPr>
          <w:rFonts w:asciiTheme="minorHAnsi" w:hAnsiTheme="minorHAnsi" w:cs="Montserrat Semi Bold"/>
          <w:b/>
          <w:bCs/>
          <w:color w:val="000000"/>
          <w:sz w:val="22"/>
          <w:szCs w:val="22"/>
        </w:rPr>
        <w:t>Superannuation Expenses</w:t>
      </w:r>
    </w:p>
    <w:p w14:paraId="3D54ED25" w14:textId="77777777" w:rsidR="00594B3B" w:rsidRPr="00450A2F" w:rsidRDefault="00594B3B" w:rsidP="00594B3B">
      <w:pPr>
        <w:rPr>
          <w:rFonts w:cs="Source Sans Pro Light"/>
          <w:color w:val="000000"/>
          <w:sz w:val="22"/>
          <w:szCs w:val="22"/>
        </w:rPr>
      </w:pPr>
      <w:r w:rsidRPr="00450A2F">
        <w:rPr>
          <w:rFonts w:cs="Source Sans Pro Light"/>
          <w:color w:val="000000"/>
          <w:sz w:val="22"/>
          <w:szCs w:val="22"/>
        </w:rPr>
        <w:t>Employees of the Authority will have different superannuation arrangements due to the type of superannuation schemes available at the time of commencing employment, including both defined benefit and defined contribution superannuation scheme arrangements.</w:t>
      </w:r>
    </w:p>
    <w:p w14:paraId="7E1A7E80" w14:textId="52E0C6E1" w:rsidR="00594B3B" w:rsidRPr="00450A2F" w:rsidRDefault="00594B3B" w:rsidP="00594B3B">
      <w:pPr>
        <w:rPr>
          <w:rFonts w:cs="Source Sans Pro Light"/>
          <w:color w:val="000000"/>
          <w:sz w:val="22"/>
          <w:szCs w:val="22"/>
        </w:rPr>
      </w:pPr>
      <w:r w:rsidRPr="00450A2F">
        <w:rPr>
          <w:rFonts w:cs="Source Sans Pro Light"/>
          <w:color w:val="000000"/>
          <w:sz w:val="22"/>
          <w:szCs w:val="22"/>
        </w:rPr>
        <w:t>For employees who are members of the defined benefit Commonwealth Superannuation Scheme (CSS) and Public Sector Superannuation Scheme (PSS) the Authority makes employer superannuation contribution payments to the Territory Banking Account at a rate determined by the Chief Minister, Treasury and Economic Development Directorate (CMTEDD). The Authority also makes productivity superannuation contribution payments on behalf of these employees to the Commonwealth Superannuation Corporation, which is responsible for administration of the schemes.</w:t>
      </w:r>
    </w:p>
    <w:p w14:paraId="59740170" w14:textId="77777777" w:rsidR="00594B3B" w:rsidRPr="00450A2F" w:rsidRDefault="00594B3B" w:rsidP="00594B3B">
      <w:pPr>
        <w:rPr>
          <w:rFonts w:cs="Source Sans Pro Light"/>
          <w:color w:val="000000"/>
          <w:sz w:val="22"/>
          <w:szCs w:val="22"/>
        </w:rPr>
      </w:pPr>
      <w:r w:rsidRPr="00450A2F">
        <w:rPr>
          <w:rFonts w:cs="Source Sans Pro Light"/>
          <w:color w:val="000000"/>
          <w:sz w:val="22"/>
          <w:szCs w:val="22"/>
        </w:rPr>
        <w:t>For employees who are members of defined contribution superannuation schemes (the Public Sector Superannuation Scheme Accumulation Plan (PSSAP) and schemes of employee choice) the Authority makes employer superannuation contribution payments directly to the employees’ relevant superannuation fund.</w:t>
      </w:r>
    </w:p>
    <w:p w14:paraId="52681927" w14:textId="77777777" w:rsidR="00594B3B" w:rsidRPr="00450A2F" w:rsidRDefault="00594B3B" w:rsidP="00594B3B">
      <w:pPr>
        <w:rPr>
          <w:rFonts w:cs="Source Sans Pro Light"/>
          <w:color w:val="000000"/>
          <w:sz w:val="22"/>
          <w:szCs w:val="22"/>
        </w:rPr>
      </w:pPr>
      <w:r w:rsidRPr="00450A2F">
        <w:rPr>
          <w:rFonts w:cs="Source Sans Pro Light"/>
          <w:color w:val="000000"/>
          <w:sz w:val="22"/>
          <w:szCs w:val="22"/>
        </w:rPr>
        <w:t xml:space="preserve">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 </w:t>
      </w:r>
    </w:p>
    <w:p w14:paraId="7E99C37B" w14:textId="77777777" w:rsidR="00594B3B" w:rsidRPr="00450A2F" w:rsidRDefault="00594B3B" w:rsidP="00594B3B">
      <w:pPr>
        <w:pStyle w:val="Pa11"/>
        <w:spacing w:before="40" w:after="100"/>
        <w:rPr>
          <w:rFonts w:asciiTheme="minorHAnsi" w:hAnsiTheme="minorHAnsi" w:cs="Montserrat Semi Bold"/>
          <w:b/>
          <w:bCs/>
          <w:color w:val="000000"/>
          <w:sz w:val="22"/>
          <w:szCs w:val="22"/>
        </w:rPr>
      </w:pPr>
      <w:r w:rsidRPr="00450A2F">
        <w:rPr>
          <w:rFonts w:asciiTheme="minorHAnsi" w:hAnsiTheme="minorHAnsi" w:cs="Montserrat Semi Bold"/>
          <w:b/>
          <w:bCs/>
          <w:color w:val="000000"/>
          <w:sz w:val="22"/>
          <w:szCs w:val="22"/>
        </w:rPr>
        <w:t>Superannuation Liability Recognition</w:t>
      </w:r>
    </w:p>
    <w:p w14:paraId="3673AB0C" w14:textId="13947A24" w:rsidR="008048AC" w:rsidRDefault="00B12A2B" w:rsidP="00715B31">
      <w:pPr>
        <w:rPr>
          <w:rFonts w:cs="Source Sans Pro Light"/>
          <w:color w:val="000000"/>
          <w:sz w:val="22"/>
          <w:szCs w:val="22"/>
        </w:rPr>
      </w:pPr>
      <w:r w:rsidRPr="00450A2F">
        <w:rPr>
          <w:rFonts w:cs="Source Sans Pro Light"/>
          <w:color w:val="000000"/>
          <w:sz w:val="22"/>
          <w:szCs w:val="22"/>
        </w:rPr>
        <w:t>For the Authority’s employees who are members of the defined benefit CSS or PSS the employer superannuation liabilities for superannuation benefits payable upon retirement are recognised in the financial statements of the Superannuation Provision Account.</w:t>
      </w:r>
    </w:p>
    <w:p w14:paraId="421E6F6D" w14:textId="77777777" w:rsidR="008048AC" w:rsidRDefault="008048AC">
      <w:pPr>
        <w:spacing w:after="0" w:line="240" w:lineRule="auto"/>
        <w:rPr>
          <w:rFonts w:cs="Source Sans Pro Light"/>
          <w:color w:val="000000"/>
          <w:sz w:val="22"/>
          <w:szCs w:val="22"/>
        </w:rPr>
      </w:pPr>
      <w:r>
        <w:rPr>
          <w:rFonts w:cs="Source Sans Pro Light"/>
          <w:color w:val="000000"/>
          <w:sz w:val="22"/>
          <w:szCs w:val="22"/>
        </w:rPr>
        <w:br w:type="page"/>
      </w:r>
    </w:p>
    <w:p w14:paraId="3E237E5A" w14:textId="0E75C0C8" w:rsidR="00F02B74" w:rsidRPr="00682C60" w:rsidRDefault="00F02B74" w:rsidP="00594B3B">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82C60">
        <w:rPr>
          <w:rFonts w:ascii="Calibri" w:eastAsia="Calibri" w:hAnsi="Calibri" w:cs="Montserrat Semi Bold"/>
          <w:b/>
          <w:bCs/>
          <w:color w:val="000000"/>
          <w:sz w:val="30"/>
          <w:szCs w:val="30"/>
        </w:rPr>
        <w:lastRenderedPageBreak/>
        <w:t>NOTE 9. EMPLOYEE EXPENSES</w:t>
      </w:r>
      <w:r>
        <w:rPr>
          <w:rFonts w:ascii="Calibri" w:eastAsia="Calibri" w:hAnsi="Calibr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526E25" w:rsidRPr="00526E25" w14:paraId="63A680CA" w14:textId="77777777" w:rsidTr="00CC6F71">
        <w:trPr>
          <w:cantSplit/>
        </w:trPr>
        <w:tc>
          <w:tcPr>
            <w:tcW w:w="5387" w:type="dxa"/>
            <w:tcBorders>
              <w:top w:val="single" w:sz="12" w:space="0" w:color="492581" w:themeColor="accent1"/>
              <w:bottom w:val="single" w:sz="12" w:space="0" w:color="492581" w:themeColor="accent1"/>
            </w:tcBorders>
          </w:tcPr>
          <w:p w14:paraId="4EF0B0DE" w14:textId="77777777" w:rsidR="00526E25" w:rsidRPr="00526E25" w:rsidRDefault="00526E25" w:rsidP="00526E25">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02BE1C47"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Note</w:t>
            </w:r>
          </w:p>
          <w:p w14:paraId="524F8B49"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509F51E7" w14:textId="388D87DA"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202</w:t>
            </w:r>
            <w:r w:rsidR="00A453BE">
              <w:rPr>
                <w:rFonts w:ascii="Calibri" w:eastAsia="Times New Roman" w:hAnsi="Calibri" w:cs="Times New Roman"/>
                <w:b/>
                <w:sz w:val="18"/>
                <w:szCs w:val="18"/>
              </w:rPr>
              <w:t>4</w:t>
            </w:r>
          </w:p>
          <w:p w14:paraId="0B15E85B"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27FB1F0" w14:textId="77777777" w:rsidR="00526E25" w:rsidRPr="00526E25" w:rsidRDefault="00526E25" w:rsidP="00526E25">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57DA3DF2" w14:textId="57D4E9D0"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202</w:t>
            </w:r>
            <w:r w:rsidR="00A453BE">
              <w:rPr>
                <w:rFonts w:ascii="Calibri" w:eastAsia="Times New Roman" w:hAnsi="Calibri" w:cs="Times New Roman"/>
                <w:b/>
                <w:sz w:val="18"/>
                <w:szCs w:val="18"/>
              </w:rPr>
              <w:t>3</w:t>
            </w:r>
          </w:p>
          <w:p w14:paraId="6A874D1F" w14:textId="77777777" w:rsidR="00526E25" w:rsidRPr="00526E25" w:rsidRDefault="00526E25" w:rsidP="00526E25">
            <w:pPr>
              <w:spacing w:after="0" w:line="240" w:lineRule="auto"/>
              <w:jc w:val="right"/>
              <w:rPr>
                <w:rFonts w:ascii="Calibri" w:eastAsia="Times New Roman" w:hAnsi="Calibri" w:cs="Times New Roman"/>
                <w:b/>
                <w:sz w:val="18"/>
                <w:szCs w:val="18"/>
              </w:rPr>
            </w:pPr>
            <w:r w:rsidRPr="00526E25">
              <w:rPr>
                <w:rFonts w:ascii="Calibri" w:eastAsia="Times New Roman" w:hAnsi="Calibri" w:cs="Times New Roman"/>
                <w:b/>
                <w:sz w:val="18"/>
                <w:szCs w:val="18"/>
              </w:rPr>
              <w:t>$’000</w:t>
            </w:r>
          </w:p>
        </w:tc>
      </w:tr>
      <w:tr w:rsidR="0035671B" w:rsidRPr="00526E25" w14:paraId="0B92F4DB" w14:textId="77777777" w:rsidTr="00E22DEB">
        <w:trPr>
          <w:cantSplit/>
          <w:trHeight w:val="182"/>
        </w:trPr>
        <w:tc>
          <w:tcPr>
            <w:tcW w:w="5387" w:type="dxa"/>
          </w:tcPr>
          <w:p w14:paraId="05A7C01F" w14:textId="20B76356" w:rsidR="0035671B" w:rsidRPr="0035671B" w:rsidRDefault="0035671B" w:rsidP="0035671B">
            <w:pPr>
              <w:spacing w:before="40" w:after="40" w:line="240" w:lineRule="auto"/>
              <w:rPr>
                <w:rFonts w:ascii="Calibri" w:eastAsia="Times New Roman" w:hAnsi="Calibri" w:cs="Times New Roman"/>
                <w:b/>
                <w:bCs/>
                <w:sz w:val="18"/>
                <w:szCs w:val="18"/>
              </w:rPr>
            </w:pPr>
            <w:r w:rsidRPr="0035671B">
              <w:rPr>
                <w:b/>
                <w:bCs/>
                <w:sz w:val="18"/>
                <w:szCs w:val="18"/>
              </w:rPr>
              <w:t>Employee Expenses</w:t>
            </w:r>
          </w:p>
        </w:tc>
        <w:tc>
          <w:tcPr>
            <w:tcW w:w="851" w:type="dxa"/>
            <w:tcBorders>
              <w:top w:val="single" w:sz="12" w:space="0" w:color="492581" w:themeColor="accent1"/>
            </w:tcBorders>
          </w:tcPr>
          <w:p w14:paraId="0F82069C" w14:textId="77777777" w:rsidR="0035671B" w:rsidRPr="00526E25" w:rsidRDefault="0035671B" w:rsidP="0035671B">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0A443BA2" w14:textId="77777777" w:rsidR="0035671B" w:rsidRPr="00526E25" w:rsidRDefault="0035671B" w:rsidP="0035671B">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76B068BA" w14:textId="77777777" w:rsidR="0035671B" w:rsidRPr="00526E25" w:rsidRDefault="0035671B" w:rsidP="0035671B">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tcBorders>
          </w:tcPr>
          <w:p w14:paraId="68AE8E38" w14:textId="77777777" w:rsidR="0035671B" w:rsidRPr="00526E25" w:rsidRDefault="0035671B" w:rsidP="0035671B">
            <w:pPr>
              <w:spacing w:before="40" w:after="40" w:line="240" w:lineRule="auto"/>
              <w:jc w:val="right"/>
              <w:rPr>
                <w:rFonts w:ascii="Calibri" w:eastAsia="Times New Roman" w:hAnsi="Calibri" w:cs="Times New Roman"/>
                <w:sz w:val="18"/>
                <w:szCs w:val="18"/>
              </w:rPr>
            </w:pPr>
          </w:p>
        </w:tc>
      </w:tr>
      <w:tr w:rsidR="006F3EF3" w:rsidRPr="00526E25" w14:paraId="6955141F" w14:textId="77777777" w:rsidTr="00323290">
        <w:trPr>
          <w:cantSplit/>
        </w:trPr>
        <w:tc>
          <w:tcPr>
            <w:tcW w:w="5387" w:type="dxa"/>
          </w:tcPr>
          <w:p w14:paraId="1FC8285D" w14:textId="3263CB27" w:rsidR="006F3EF3" w:rsidRPr="0035671B" w:rsidRDefault="006F3EF3" w:rsidP="006F3EF3">
            <w:pPr>
              <w:spacing w:before="40" w:after="40" w:line="240" w:lineRule="auto"/>
              <w:rPr>
                <w:rFonts w:ascii="Calibri" w:eastAsia="Times New Roman" w:hAnsi="Calibri" w:cs="Times New Roman"/>
                <w:bCs/>
                <w:sz w:val="18"/>
                <w:szCs w:val="18"/>
                <w:vertAlign w:val="superscript"/>
              </w:rPr>
            </w:pPr>
            <w:r w:rsidRPr="0035671B">
              <w:rPr>
                <w:bCs/>
                <w:sz w:val="18"/>
                <w:szCs w:val="18"/>
              </w:rPr>
              <w:t xml:space="preserve">Salaries </w:t>
            </w:r>
            <w:r w:rsidRPr="0035671B">
              <w:rPr>
                <w:sz w:val="18"/>
                <w:szCs w:val="18"/>
                <w:vertAlign w:val="superscript"/>
              </w:rPr>
              <w:t>a</w:t>
            </w:r>
          </w:p>
        </w:tc>
        <w:tc>
          <w:tcPr>
            <w:tcW w:w="851" w:type="dxa"/>
          </w:tcPr>
          <w:p w14:paraId="5CC1311B"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7A85B0EC" w14:textId="5D2BBD0C"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3,911</w:t>
            </w:r>
          </w:p>
        </w:tc>
        <w:tc>
          <w:tcPr>
            <w:tcW w:w="567" w:type="dxa"/>
          </w:tcPr>
          <w:p w14:paraId="75E13EF3"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5D38DBCC" w14:textId="154956E5"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3,452</w:t>
            </w:r>
          </w:p>
        </w:tc>
      </w:tr>
      <w:tr w:rsidR="006F3EF3" w:rsidRPr="00526E25" w14:paraId="0212E7F9" w14:textId="77777777" w:rsidTr="00323290">
        <w:trPr>
          <w:cantSplit/>
        </w:trPr>
        <w:tc>
          <w:tcPr>
            <w:tcW w:w="5387" w:type="dxa"/>
          </w:tcPr>
          <w:p w14:paraId="7FF1E27E" w14:textId="67F63CFC"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 xml:space="preserve">Annual Leave Expense </w:t>
            </w:r>
            <w:r w:rsidRPr="0035671B">
              <w:rPr>
                <w:sz w:val="18"/>
                <w:szCs w:val="18"/>
                <w:vertAlign w:val="superscript"/>
              </w:rPr>
              <w:t>b</w:t>
            </w:r>
          </w:p>
        </w:tc>
        <w:tc>
          <w:tcPr>
            <w:tcW w:w="851" w:type="dxa"/>
          </w:tcPr>
          <w:p w14:paraId="7D8AF7ED"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57563E8D" w14:textId="7C105E57"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18</w:t>
            </w:r>
          </w:p>
        </w:tc>
        <w:tc>
          <w:tcPr>
            <w:tcW w:w="567" w:type="dxa"/>
          </w:tcPr>
          <w:p w14:paraId="22AA8004"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01FDD64D" w14:textId="7028B61A"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84</w:t>
            </w:r>
          </w:p>
        </w:tc>
      </w:tr>
      <w:tr w:rsidR="006F3EF3" w:rsidRPr="00526E25" w14:paraId="1B80DF1B" w14:textId="77777777" w:rsidTr="00323290">
        <w:trPr>
          <w:cantSplit/>
        </w:trPr>
        <w:tc>
          <w:tcPr>
            <w:tcW w:w="5387" w:type="dxa"/>
          </w:tcPr>
          <w:p w14:paraId="2A59DE14" w14:textId="31DD6510"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 xml:space="preserve">Long Service Leave Expense </w:t>
            </w:r>
            <w:r w:rsidRPr="0035671B">
              <w:rPr>
                <w:sz w:val="18"/>
                <w:szCs w:val="18"/>
                <w:vertAlign w:val="superscript"/>
              </w:rPr>
              <w:t>b</w:t>
            </w:r>
          </w:p>
        </w:tc>
        <w:tc>
          <w:tcPr>
            <w:tcW w:w="851" w:type="dxa"/>
          </w:tcPr>
          <w:p w14:paraId="54A96C97"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02B7D26C" w14:textId="5665D979"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71</w:t>
            </w:r>
          </w:p>
        </w:tc>
        <w:tc>
          <w:tcPr>
            <w:tcW w:w="567" w:type="dxa"/>
          </w:tcPr>
          <w:p w14:paraId="61102C7C"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4487742E" w14:textId="7E6A81CD"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104</w:t>
            </w:r>
          </w:p>
        </w:tc>
      </w:tr>
      <w:tr w:rsidR="006F3EF3" w:rsidRPr="00526E25" w14:paraId="050230EA" w14:textId="77777777" w:rsidTr="00323290">
        <w:trPr>
          <w:cantSplit/>
        </w:trPr>
        <w:tc>
          <w:tcPr>
            <w:tcW w:w="5387" w:type="dxa"/>
          </w:tcPr>
          <w:p w14:paraId="39FBD2D8" w14:textId="291B8095"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Workers’ Compensation Insurance Premium</w:t>
            </w:r>
          </w:p>
        </w:tc>
        <w:tc>
          <w:tcPr>
            <w:tcW w:w="851" w:type="dxa"/>
          </w:tcPr>
          <w:p w14:paraId="0CD47F9D"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4F306707" w14:textId="19883BC6"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54</w:t>
            </w:r>
          </w:p>
        </w:tc>
        <w:tc>
          <w:tcPr>
            <w:tcW w:w="567" w:type="dxa"/>
          </w:tcPr>
          <w:p w14:paraId="0EED4BD7"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408337D8" w14:textId="676565DB"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45</w:t>
            </w:r>
          </w:p>
        </w:tc>
      </w:tr>
      <w:tr w:rsidR="006F3EF3" w:rsidRPr="00526E25" w14:paraId="2C2D3605" w14:textId="77777777" w:rsidTr="00323290">
        <w:trPr>
          <w:cantSplit/>
        </w:trPr>
        <w:tc>
          <w:tcPr>
            <w:tcW w:w="5387" w:type="dxa"/>
          </w:tcPr>
          <w:p w14:paraId="401B3383" w14:textId="411E3307"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 xml:space="preserve">Employee Expenses – PSA </w:t>
            </w:r>
            <w:r w:rsidRPr="0035671B">
              <w:rPr>
                <w:sz w:val="18"/>
                <w:szCs w:val="18"/>
                <w:vertAlign w:val="superscript"/>
              </w:rPr>
              <w:t>c</w:t>
            </w:r>
          </w:p>
        </w:tc>
        <w:tc>
          <w:tcPr>
            <w:tcW w:w="851" w:type="dxa"/>
          </w:tcPr>
          <w:p w14:paraId="6E93EC66" w14:textId="6EFD98FA" w:rsidR="006F3EF3" w:rsidRPr="00526E25" w:rsidRDefault="006F3EF3" w:rsidP="006F3EF3">
            <w:pPr>
              <w:spacing w:before="40" w:after="40" w:line="240" w:lineRule="auto"/>
              <w:rPr>
                <w:rFonts w:ascii="Calibri" w:eastAsia="Times New Roman" w:hAnsi="Calibri" w:cs="Times New Roman"/>
                <w:bCs/>
                <w:sz w:val="18"/>
                <w:szCs w:val="18"/>
              </w:rPr>
            </w:pPr>
            <w:r w:rsidRPr="00526E25">
              <w:rPr>
                <w:rFonts w:ascii="Calibri" w:eastAsia="Times New Roman" w:hAnsi="Calibri" w:cs="Times New Roman"/>
                <w:bCs/>
                <w:sz w:val="18"/>
                <w:szCs w:val="18"/>
              </w:rPr>
              <w:t>2</w:t>
            </w:r>
            <w:r>
              <w:rPr>
                <w:rFonts w:ascii="Calibri" w:eastAsia="Times New Roman" w:hAnsi="Calibri" w:cs="Times New Roman"/>
                <w:bCs/>
                <w:sz w:val="18"/>
                <w:szCs w:val="18"/>
              </w:rPr>
              <w:t>2</w:t>
            </w:r>
          </w:p>
        </w:tc>
        <w:tc>
          <w:tcPr>
            <w:tcW w:w="1417" w:type="dxa"/>
          </w:tcPr>
          <w:p w14:paraId="3BE0EDA8" w14:textId="2CD72674"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39</w:t>
            </w:r>
          </w:p>
        </w:tc>
        <w:tc>
          <w:tcPr>
            <w:tcW w:w="567" w:type="dxa"/>
          </w:tcPr>
          <w:p w14:paraId="3F0A0F63" w14:textId="77777777"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p>
        </w:tc>
        <w:tc>
          <w:tcPr>
            <w:tcW w:w="1418" w:type="dxa"/>
          </w:tcPr>
          <w:p w14:paraId="7FFD1C22" w14:textId="559D6E5E"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92</w:t>
            </w:r>
          </w:p>
        </w:tc>
      </w:tr>
      <w:tr w:rsidR="006F3EF3" w:rsidRPr="00526E25" w14:paraId="0C64BF0F" w14:textId="77777777" w:rsidTr="00323290">
        <w:trPr>
          <w:cantSplit/>
          <w:trHeight w:val="227"/>
        </w:trPr>
        <w:tc>
          <w:tcPr>
            <w:tcW w:w="5387" w:type="dxa"/>
          </w:tcPr>
          <w:p w14:paraId="5D7E266C" w14:textId="796111FE"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Superannuation Contribution to the Territory Banking Account</w:t>
            </w:r>
          </w:p>
        </w:tc>
        <w:tc>
          <w:tcPr>
            <w:tcW w:w="851" w:type="dxa"/>
          </w:tcPr>
          <w:p w14:paraId="4B94D773"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281A24EE" w14:textId="78554BEF"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205</w:t>
            </w:r>
          </w:p>
        </w:tc>
        <w:tc>
          <w:tcPr>
            <w:tcW w:w="567" w:type="dxa"/>
          </w:tcPr>
          <w:p w14:paraId="0E078340"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5142D7FC" w14:textId="1FFEF2B5"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202</w:t>
            </w:r>
          </w:p>
        </w:tc>
      </w:tr>
      <w:tr w:rsidR="006F3EF3" w:rsidRPr="00526E25" w14:paraId="311F47A9" w14:textId="77777777" w:rsidTr="00323290">
        <w:trPr>
          <w:cantSplit/>
        </w:trPr>
        <w:tc>
          <w:tcPr>
            <w:tcW w:w="5387" w:type="dxa"/>
          </w:tcPr>
          <w:p w14:paraId="10025421" w14:textId="3775FB91"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Productivity Benefit</w:t>
            </w:r>
          </w:p>
        </w:tc>
        <w:tc>
          <w:tcPr>
            <w:tcW w:w="851" w:type="dxa"/>
          </w:tcPr>
          <w:p w14:paraId="446239E0"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Pr>
          <w:p w14:paraId="07530F95" w14:textId="4ACEAE69"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15</w:t>
            </w:r>
          </w:p>
        </w:tc>
        <w:tc>
          <w:tcPr>
            <w:tcW w:w="567" w:type="dxa"/>
          </w:tcPr>
          <w:p w14:paraId="18898C5E" w14:textId="77777777" w:rsidR="006F3EF3" w:rsidRPr="006F3EF3" w:rsidRDefault="006F3EF3" w:rsidP="006F3EF3">
            <w:pPr>
              <w:tabs>
                <w:tab w:val="left" w:pos="742"/>
              </w:tabs>
              <w:spacing w:before="40" w:after="40" w:line="240" w:lineRule="auto"/>
              <w:ind w:right="98"/>
              <w:jc w:val="right"/>
              <w:rPr>
                <w:rFonts w:ascii="Calibri" w:eastAsia="Times New Roman" w:hAnsi="Calibri" w:cs="Times New Roman"/>
                <w:b/>
                <w:sz w:val="18"/>
                <w:szCs w:val="18"/>
                <w:highlight w:val="yellow"/>
              </w:rPr>
            </w:pPr>
          </w:p>
        </w:tc>
        <w:tc>
          <w:tcPr>
            <w:tcW w:w="1418" w:type="dxa"/>
          </w:tcPr>
          <w:p w14:paraId="6FDA9F54" w14:textId="59637DB7" w:rsidR="006F3EF3" w:rsidRPr="006F3EF3" w:rsidRDefault="006F3EF3" w:rsidP="006F3EF3">
            <w:pPr>
              <w:spacing w:before="40" w:after="40" w:line="240" w:lineRule="auto"/>
              <w:jc w:val="right"/>
              <w:rPr>
                <w:rFonts w:ascii="Calibri" w:eastAsia="Times New Roman" w:hAnsi="Calibri" w:cs="Times New Roman"/>
                <w:bCs/>
                <w:sz w:val="18"/>
                <w:szCs w:val="18"/>
                <w:highlight w:val="yellow"/>
              </w:rPr>
            </w:pPr>
            <w:r w:rsidRPr="006F3EF3">
              <w:rPr>
                <w:bCs/>
                <w:sz w:val="18"/>
                <w:szCs w:val="18"/>
              </w:rPr>
              <w:t>70</w:t>
            </w:r>
          </w:p>
        </w:tc>
      </w:tr>
      <w:tr w:rsidR="006F3EF3" w:rsidRPr="00526E25" w14:paraId="5FA3EBE0" w14:textId="77777777" w:rsidTr="00FA107C">
        <w:trPr>
          <w:cantSplit/>
        </w:trPr>
        <w:tc>
          <w:tcPr>
            <w:tcW w:w="5387" w:type="dxa"/>
          </w:tcPr>
          <w:p w14:paraId="180CF8D6" w14:textId="034054A3" w:rsidR="006F3EF3" w:rsidRPr="0035671B" w:rsidRDefault="006F3EF3" w:rsidP="006F3EF3">
            <w:pPr>
              <w:spacing w:before="40" w:after="40" w:line="240" w:lineRule="auto"/>
              <w:rPr>
                <w:rFonts w:ascii="Calibri" w:eastAsia="Times New Roman" w:hAnsi="Calibri" w:cs="Times New Roman"/>
                <w:bCs/>
                <w:sz w:val="18"/>
                <w:szCs w:val="18"/>
              </w:rPr>
            </w:pPr>
            <w:r w:rsidRPr="0035671B">
              <w:rPr>
                <w:bCs/>
                <w:sz w:val="18"/>
                <w:szCs w:val="18"/>
              </w:rPr>
              <w:t>Superannuation to External Providers</w:t>
            </w:r>
            <w:r w:rsidRPr="0035671B">
              <w:rPr>
                <w:sz w:val="18"/>
                <w:szCs w:val="18"/>
                <w:vertAlign w:val="superscript"/>
              </w:rPr>
              <w:t xml:space="preserve"> </w:t>
            </w:r>
          </w:p>
        </w:tc>
        <w:tc>
          <w:tcPr>
            <w:tcW w:w="851" w:type="dxa"/>
          </w:tcPr>
          <w:p w14:paraId="44B2E66F" w14:textId="77777777" w:rsidR="006F3EF3" w:rsidRPr="00526E25" w:rsidRDefault="006F3EF3" w:rsidP="006F3EF3">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1E3F0F1C" w14:textId="5A399ACD" w:rsidR="006F3EF3" w:rsidRPr="006F3EF3" w:rsidRDefault="006F3EF3" w:rsidP="006F3EF3">
            <w:pPr>
              <w:tabs>
                <w:tab w:val="right" w:pos="742"/>
              </w:tabs>
              <w:spacing w:before="40" w:after="40" w:line="240" w:lineRule="auto"/>
              <w:jc w:val="right"/>
              <w:rPr>
                <w:rFonts w:ascii="Calibri" w:eastAsia="Times New Roman" w:hAnsi="Calibri" w:cs="Times New Roman"/>
                <w:bCs/>
                <w:sz w:val="18"/>
                <w:szCs w:val="18"/>
                <w:highlight w:val="yellow"/>
              </w:rPr>
            </w:pPr>
            <w:r w:rsidRPr="006F3EF3">
              <w:rPr>
                <w:bCs/>
                <w:sz w:val="18"/>
                <w:szCs w:val="18"/>
              </w:rPr>
              <w:t>354</w:t>
            </w:r>
          </w:p>
        </w:tc>
        <w:tc>
          <w:tcPr>
            <w:tcW w:w="567" w:type="dxa"/>
            <w:tcBorders>
              <w:bottom w:val="single" w:sz="4" w:space="0" w:color="auto"/>
            </w:tcBorders>
          </w:tcPr>
          <w:p w14:paraId="74337664" w14:textId="77777777" w:rsidR="006F3EF3" w:rsidRPr="006F3EF3" w:rsidRDefault="006F3EF3" w:rsidP="006F3EF3">
            <w:pPr>
              <w:tabs>
                <w:tab w:val="right" w:pos="742"/>
              </w:tabs>
              <w:spacing w:before="40" w:after="40" w:line="240" w:lineRule="auto"/>
              <w:ind w:right="96"/>
              <w:jc w:val="right"/>
              <w:rPr>
                <w:rFonts w:ascii="Calibri" w:eastAsia="Times New Roman" w:hAnsi="Calibri" w:cs="Times New Roman"/>
                <w:b/>
                <w:sz w:val="18"/>
                <w:szCs w:val="18"/>
                <w:highlight w:val="yellow"/>
              </w:rPr>
            </w:pPr>
          </w:p>
        </w:tc>
        <w:tc>
          <w:tcPr>
            <w:tcW w:w="1418" w:type="dxa"/>
            <w:tcBorders>
              <w:bottom w:val="single" w:sz="4" w:space="0" w:color="auto"/>
            </w:tcBorders>
          </w:tcPr>
          <w:p w14:paraId="7551D6A2" w14:textId="39505706" w:rsidR="006F3EF3" w:rsidRPr="006F3EF3" w:rsidRDefault="006F3EF3" w:rsidP="006F3EF3">
            <w:pPr>
              <w:tabs>
                <w:tab w:val="right" w:pos="742"/>
              </w:tabs>
              <w:spacing w:before="40" w:after="40" w:line="240" w:lineRule="auto"/>
              <w:jc w:val="right"/>
              <w:rPr>
                <w:rFonts w:ascii="Calibri" w:eastAsia="Times New Roman" w:hAnsi="Calibri" w:cs="Times New Roman"/>
                <w:bCs/>
                <w:sz w:val="18"/>
                <w:szCs w:val="18"/>
                <w:highlight w:val="yellow"/>
              </w:rPr>
            </w:pPr>
            <w:r w:rsidRPr="006F3EF3">
              <w:rPr>
                <w:bCs/>
                <w:sz w:val="18"/>
                <w:szCs w:val="18"/>
              </w:rPr>
              <w:t>316</w:t>
            </w:r>
          </w:p>
        </w:tc>
      </w:tr>
      <w:tr w:rsidR="006F3EF3" w:rsidRPr="00526E25" w14:paraId="4C62F5B2" w14:textId="77777777" w:rsidTr="00FA107C">
        <w:trPr>
          <w:cantSplit/>
        </w:trPr>
        <w:tc>
          <w:tcPr>
            <w:tcW w:w="5387" w:type="dxa"/>
            <w:tcBorders>
              <w:bottom w:val="single" w:sz="12" w:space="0" w:color="492581" w:themeColor="accent1"/>
            </w:tcBorders>
          </w:tcPr>
          <w:p w14:paraId="2E9CE74A" w14:textId="33BE76E5" w:rsidR="006F3EF3" w:rsidRPr="0035671B" w:rsidRDefault="006F3EF3" w:rsidP="006F3EF3">
            <w:pPr>
              <w:spacing w:before="40" w:after="40" w:line="240" w:lineRule="auto"/>
              <w:rPr>
                <w:rFonts w:ascii="Calibri" w:eastAsia="Times New Roman" w:hAnsi="Calibri" w:cs="Times New Roman"/>
                <w:b/>
                <w:bCs/>
                <w:sz w:val="18"/>
                <w:szCs w:val="18"/>
              </w:rPr>
            </w:pPr>
            <w:r w:rsidRPr="0035671B">
              <w:rPr>
                <w:b/>
                <w:bCs/>
                <w:sz w:val="18"/>
                <w:szCs w:val="18"/>
              </w:rPr>
              <w:t>Total Employee and Superannuation Expenses</w:t>
            </w:r>
          </w:p>
        </w:tc>
        <w:tc>
          <w:tcPr>
            <w:tcW w:w="851" w:type="dxa"/>
            <w:tcBorders>
              <w:bottom w:val="single" w:sz="12" w:space="0" w:color="492581" w:themeColor="accent1"/>
            </w:tcBorders>
          </w:tcPr>
          <w:p w14:paraId="5461BF79" w14:textId="77777777" w:rsidR="006F3EF3" w:rsidRPr="00526E25" w:rsidRDefault="006F3EF3" w:rsidP="006F3EF3">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2" w:space="0" w:color="auto"/>
            </w:tcBorders>
          </w:tcPr>
          <w:p w14:paraId="44FB6AA2" w14:textId="310435B3" w:rsidR="006F3EF3" w:rsidRPr="006F3EF3" w:rsidRDefault="006F3EF3" w:rsidP="006F3EF3">
            <w:pPr>
              <w:spacing w:before="40" w:after="40" w:line="240" w:lineRule="auto"/>
              <w:jc w:val="right"/>
              <w:rPr>
                <w:rFonts w:ascii="Calibri" w:eastAsia="Times New Roman" w:hAnsi="Calibri" w:cs="Times New Roman"/>
                <w:b/>
                <w:sz w:val="18"/>
                <w:szCs w:val="18"/>
                <w:highlight w:val="yellow"/>
              </w:rPr>
            </w:pPr>
            <w:r w:rsidRPr="006F3EF3">
              <w:rPr>
                <w:b/>
                <w:sz w:val="18"/>
                <w:szCs w:val="18"/>
              </w:rPr>
              <w:t>4,668</w:t>
            </w:r>
          </w:p>
        </w:tc>
        <w:tc>
          <w:tcPr>
            <w:tcW w:w="567" w:type="dxa"/>
            <w:tcBorders>
              <w:top w:val="single" w:sz="4" w:space="0" w:color="auto"/>
              <w:bottom w:val="single" w:sz="2" w:space="0" w:color="auto"/>
            </w:tcBorders>
          </w:tcPr>
          <w:p w14:paraId="7C36B558" w14:textId="77777777" w:rsidR="006F3EF3" w:rsidRPr="006F3EF3" w:rsidRDefault="006F3EF3" w:rsidP="006F3EF3">
            <w:pPr>
              <w:tabs>
                <w:tab w:val="right" w:pos="742"/>
              </w:tabs>
              <w:spacing w:before="40" w:after="40" w:line="240" w:lineRule="auto"/>
              <w:ind w:right="96"/>
              <w:jc w:val="right"/>
              <w:rPr>
                <w:rFonts w:ascii="Calibri" w:eastAsia="Times New Roman" w:hAnsi="Calibri" w:cs="Times New Roman"/>
                <w:b/>
                <w:sz w:val="18"/>
                <w:szCs w:val="18"/>
                <w:highlight w:val="yellow"/>
              </w:rPr>
            </w:pPr>
          </w:p>
        </w:tc>
        <w:tc>
          <w:tcPr>
            <w:tcW w:w="1418" w:type="dxa"/>
            <w:tcBorders>
              <w:top w:val="single" w:sz="4" w:space="0" w:color="auto"/>
              <w:bottom w:val="single" w:sz="2" w:space="0" w:color="auto"/>
            </w:tcBorders>
          </w:tcPr>
          <w:p w14:paraId="59D7F1C5" w14:textId="7C498971" w:rsidR="006F3EF3" w:rsidRPr="006F3EF3" w:rsidRDefault="006F3EF3" w:rsidP="006F3EF3">
            <w:pPr>
              <w:spacing w:before="40" w:after="40" w:line="240" w:lineRule="auto"/>
              <w:jc w:val="right"/>
              <w:rPr>
                <w:rFonts w:ascii="Calibri" w:eastAsia="Times New Roman" w:hAnsi="Calibri" w:cs="Times New Roman"/>
                <w:b/>
                <w:sz w:val="18"/>
                <w:szCs w:val="18"/>
                <w:highlight w:val="yellow"/>
              </w:rPr>
            </w:pPr>
            <w:r w:rsidRPr="006F3EF3">
              <w:rPr>
                <w:b/>
                <w:sz w:val="18"/>
                <w:szCs w:val="18"/>
              </w:rPr>
              <w:t>4,365</w:t>
            </w:r>
          </w:p>
        </w:tc>
      </w:tr>
      <w:tr w:rsidR="00526E25" w:rsidRPr="00526E25" w14:paraId="6F7BF2C6" w14:textId="77777777" w:rsidTr="00CC6F71">
        <w:trPr>
          <w:cantSplit/>
        </w:trPr>
        <w:tc>
          <w:tcPr>
            <w:tcW w:w="9640" w:type="dxa"/>
            <w:gridSpan w:val="5"/>
            <w:tcBorders>
              <w:top w:val="single" w:sz="12" w:space="0" w:color="492581" w:themeColor="accent1"/>
              <w:bottom w:val="single" w:sz="12" w:space="0" w:color="492581" w:themeColor="accent1"/>
            </w:tcBorders>
          </w:tcPr>
          <w:p w14:paraId="69EA1600" w14:textId="77777777" w:rsidR="00B40F3C" w:rsidRPr="00D831AC" w:rsidRDefault="00B40F3C" w:rsidP="00B40F3C">
            <w:pPr>
              <w:pStyle w:val="VAText"/>
              <w:tabs>
                <w:tab w:val="decimal" w:pos="0"/>
              </w:tabs>
              <w:spacing w:before="120" w:after="120"/>
              <w:rPr>
                <w:rFonts w:asciiTheme="minorHAnsi" w:hAnsiTheme="minorHAnsi"/>
                <w:bCs/>
                <w:i/>
                <w:iCs/>
                <w:sz w:val="17"/>
                <w:szCs w:val="17"/>
              </w:rPr>
            </w:pPr>
            <w:r w:rsidRPr="00D831AC">
              <w:rPr>
                <w:rFonts w:asciiTheme="minorHAnsi" w:hAnsiTheme="minorHAnsi"/>
                <w:i/>
                <w:iCs/>
                <w:sz w:val="17"/>
                <w:szCs w:val="17"/>
                <w:vertAlign w:val="superscript"/>
              </w:rPr>
              <w:t xml:space="preserve">a </w:t>
            </w:r>
            <w:r w:rsidRPr="00D831AC">
              <w:rPr>
                <w:rFonts w:asciiTheme="minorHAnsi" w:hAnsiTheme="minorHAnsi"/>
                <w:bCs/>
                <w:i/>
                <w:iCs/>
                <w:sz w:val="17"/>
                <w:szCs w:val="17"/>
              </w:rPr>
              <w:t xml:space="preserve">Salaries were higher in 2023-24 mainly due to slightly higher full-time equivalent (FTE) </w:t>
            </w:r>
            <w:proofErr w:type="gramStart"/>
            <w:r w:rsidRPr="00D831AC">
              <w:rPr>
                <w:rFonts w:asciiTheme="minorHAnsi" w:hAnsiTheme="minorHAnsi"/>
                <w:bCs/>
                <w:i/>
                <w:iCs/>
                <w:sz w:val="17"/>
                <w:szCs w:val="17"/>
              </w:rPr>
              <w:t>as a result of</w:t>
            </w:r>
            <w:proofErr w:type="gramEnd"/>
            <w:r w:rsidRPr="00D831AC">
              <w:rPr>
                <w:rFonts w:asciiTheme="minorHAnsi" w:hAnsiTheme="minorHAnsi"/>
                <w:bCs/>
                <w:i/>
                <w:iCs/>
                <w:sz w:val="17"/>
                <w:szCs w:val="17"/>
              </w:rPr>
              <w:t xml:space="preserve"> completion of the recruitment for budgeted and temporary positions, as well as staff members taking more paid leave.</w:t>
            </w:r>
          </w:p>
          <w:p w14:paraId="545AE540" w14:textId="77777777" w:rsidR="00B40F3C" w:rsidRPr="00D831AC" w:rsidRDefault="00B40F3C" w:rsidP="00B40F3C">
            <w:pPr>
              <w:pStyle w:val="VAText"/>
              <w:tabs>
                <w:tab w:val="decimal" w:pos="0"/>
              </w:tabs>
              <w:spacing w:after="120"/>
              <w:rPr>
                <w:rFonts w:asciiTheme="minorHAnsi" w:hAnsiTheme="minorHAnsi"/>
                <w:bCs/>
                <w:i/>
                <w:iCs/>
                <w:sz w:val="17"/>
                <w:szCs w:val="17"/>
              </w:rPr>
            </w:pPr>
            <w:r w:rsidRPr="00D831AC">
              <w:rPr>
                <w:rFonts w:asciiTheme="minorHAnsi" w:hAnsiTheme="minorHAnsi"/>
                <w:i/>
                <w:iCs/>
                <w:sz w:val="17"/>
                <w:szCs w:val="17"/>
                <w:vertAlign w:val="superscript"/>
              </w:rPr>
              <w:t xml:space="preserve">b </w:t>
            </w:r>
            <w:r w:rsidRPr="00D831AC">
              <w:rPr>
                <w:rFonts w:asciiTheme="minorHAnsi" w:hAnsiTheme="minorHAnsi"/>
                <w:bCs/>
                <w:i/>
                <w:iCs/>
                <w:sz w:val="17"/>
                <w:szCs w:val="17"/>
              </w:rPr>
              <w:t xml:space="preserve">Lower Annual Leave and Long Service Leave Expenses for 2023-24 was mainly due to staff taking leave during the year. When annual leave and long service leave service is paid it is paid as salary expenditure and the expenses only reflects the movement of leave liability balances.  </w:t>
            </w:r>
          </w:p>
          <w:p w14:paraId="2BBC3CF9" w14:textId="3E19ADA1" w:rsidR="00526E25" w:rsidRPr="00526E25" w:rsidRDefault="00B40F3C" w:rsidP="00B40F3C">
            <w:pPr>
              <w:spacing w:before="40" w:after="40" w:line="240" w:lineRule="auto"/>
              <w:jc w:val="both"/>
              <w:rPr>
                <w:rFonts w:ascii="Calibri" w:eastAsia="Times New Roman" w:hAnsi="Calibri" w:cs="Times New Roman"/>
                <w:b/>
                <w:sz w:val="18"/>
                <w:szCs w:val="18"/>
              </w:rPr>
            </w:pPr>
            <w:r w:rsidRPr="00D831AC">
              <w:rPr>
                <w:i/>
                <w:iCs/>
                <w:sz w:val="17"/>
                <w:szCs w:val="17"/>
                <w:vertAlign w:val="superscript"/>
              </w:rPr>
              <w:t>c</w:t>
            </w:r>
            <w:r w:rsidRPr="00D831AC">
              <w:rPr>
                <w:bCs/>
                <w:i/>
                <w:iCs/>
                <w:sz w:val="17"/>
                <w:szCs w:val="17"/>
              </w:rPr>
              <w:t xml:space="preserve"> Employee resources to support Physical and Sexual Abuse Indemnity Scheme design and establishment</w:t>
            </w:r>
            <w:r w:rsidRPr="00D831AC">
              <w:rPr>
                <w:i/>
                <w:iCs/>
                <w:sz w:val="17"/>
                <w:szCs w:val="17"/>
                <w:vertAlign w:val="superscript"/>
              </w:rPr>
              <w:t xml:space="preserve"> </w:t>
            </w:r>
            <w:r w:rsidRPr="00D831AC">
              <w:rPr>
                <w:bCs/>
                <w:i/>
                <w:iCs/>
                <w:sz w:val="17"/>
                <w:szCs w:val="17"/>
              </w:rPr>
              <w:t>has discontinued from September 2023.</w:t>
            </w:r>
          </w:p>
        </w:tc>
      </w:tr>
    </w:tbl>
    <w:p w14:paraId="011FDD80" w14:textId="77777777" w:rsidR="00616D1C" w:rsidRDefault="00616D1C" w:rsidP="00682C60">
      <w:pPr>
        <w:autoSpaceDE w:val="0"/>
        <w:autoSpaceDN w:val="0"/>
        <w:adjustRightInd w:val="0"/>
        <w:spacing w:after="140" w:line="240" w:lineRule="auto"/>
        <w:contextualSpacing/>
        <w:rPr>
          <w:rFonts w:ascii="Calibri" w:eastAsia="Calibri" w:hAnsi="Calibri" w:cs="Calibri"/>
          <w:color w:val="000000"/>
          <w:sz w:val="22"/>
          <w:szCs w:val="22"/>
        </w:rPr>
      </w:pPr>
    </w:p>
    <w:p w14:paraId="72350DC2" w14:textId="77777777" w:rsidR="007C4ED8" w:rsidRPr="007C4ED8" w:rsidRDefault="007C4ED8" w:rsidP="007C4ED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C4ED8">
        <w:rPr>
          <w:rFonts w:ascii="Calibri" w:eastAsia="Calibri" w:hAnsi="Calibri" w:cs="Montserrat Semi Bold"/>
          <w:b/>
          <w:bCs/>
          <w:color w:val="000000"/>
          <w:sz w:val="30"/>
          <w:szCs w:val="30"/>
        </w:rPr>
        <w:t>NOTE 10. SUPPLIES AND SERVICES</w:t>
      </w:r>
    </w:p>
    <w:p w14:paraId="69E052C6" w14:textId="77777777" w:rsidR="00AA5D6C" w:rsidRPr="00AA5D6C" w:rsidRDefault="00AA5D6C" w:rsidP="00AA5D6C">
      <w:pPr>
        <w:spacing w:before="40" w:after="100" w:line="240" w:lineRule="auto"/>
        <w:rPr>
          <w:rFonts w:cs="Montserrat Semi Bold"/>
          <w:b/>
          <w:bCs/>
          <w:color w:val="000000"/>
          <w:sz w:val="22"/>
          <w:szCs w:val="22"/>
        </w:rPr>
      </w:pPr>
      <w:r w:rsidRPr="00AA5D6C">
        <w:rPr>
          <w:rFonts w:cs="Montserrat Semi Bold"/>
          <w:b/>
          <w:bCs/>
          <w:color w:val="000000"/>
          <w:sz w:val="22"/>
          <w:szCs w:val="22"/>
        </w:rPr>
        <w:t>Description and Material Accounting Policies Relating to Supplies and Services</w:t>
      </w:r>
    </w:p>
    <w:p w14:paraId="5DD4547D" w14:textId="77777777" w:rsidR="00AA5D6C" w:rsidRPr="002C2E7E" w:rsidRDefault="00AA5D6C" w:rsidP="00AA5D6C">
      <w:pPr>
        <w:spacing w:before="40" w:after="100" w:line="240" w:lineRule="auto"/>
        <w:rPr>
          <w:rFonts w:cs="Montserrat Semi Bold"/>
          <w:i/>
          <w:iCs/>
          <w:color w:val="000000"/>
          <w:sz w:val="22"/>
          <w:szCs w:val="22"/>
        </w:rPr>
      </w:pPr>
      <w:r w:rsidRPr="002C2E7E">
        <w:rPr>
          <w:rFonts w:cs="Montserrat Semi Bold"/>
          <w:i/>
          <w:iCs/>
          <w:color w:val="000000"/>
          <w:sz w:val="22"/>
          <w:szCs w:val="22"/>
        </w:rPr>
        <w:t xml:space="preserve">Actuarial Services </w:t>
      </w:r>
    </w:p>
    <w:p w14:paraId="35BA2217" w14:textId="77777777" w:rsidR="00AA5D6C" w:rsidRPr="00AA5D6C" w:rsidRDefault="00AA5D6C" w:rsidP="00AA5D6C">
      <w:pPr>
        <w:spacing w:after="140"/>
        <w:rPr>
          <w:rFonts w:cs="Source Sans Pro Light"/>
          <w:color w:val="000000"/>
          <w:sz w:val="22"/>
          <w:szCs w:val="22"/>
        </w:rPr>
      </w:pPr>
      <w:r w:rsidRPr="00AA5D6C">
        <w:rPr>
          <w:rFonts w:cs="Source Sans Pro Light"/>
          <w:color w:val="000000"/>
          <w:sz w:val="22"/>
          <w:szCs w:val="22"/>
        </w:rPr>
        <w:t>Actuarial services fees include independent external valuation of the outstanding claims liabilities, mid</w:t>
      </w:r>
      <w:r w:rsidRPr="00AA5D6C">
        <w:rPr>
          <w:rFonts w:cs="Source Sans Pro Light"/>
          <w:color w:val="000000"/>
          <w:sz w:val="22"/>
          <w:szCs w:val="22"/>
        </w:rPr>
        <w:noBreakHyphen/>
        <w:t xml:space="preserve">year review and analysis of claims estimates and actuarial reviews and modelling on the annual premium for the Authority. </w:t>
      </w:r>
    </w:p>
    <w:p w14:paraId="40BAAEA9" w14:textId="77777777" w:rsidR="00AA5D6C" w:rsidRPr="002C2E7E" w:rsidRDefault="00AA5D6C" w:rsidP="00AA5D6C">
      <w:pPr>
        <w:spacing w:before="40" w:after="100" w:line="240" w:lineRule="auto"/>
        <w:rPr>
          <w:rFonts w:cs="Montserrat Semi Bold"/>
          <w:i/>
          <w:iCs/>
          <w:color w:val="000000"/>
          <w:sz w:val="22"/>
          <w:szCs w:val="22"/>
        </w:rPr>
      </w:pPr>
      <w:r w:rsidRPr="002C2E7E">
        <w:rPr>
          <w:rFonts w:cs="Montserrat Semi Bold"/>
          <w:i/>
          <w:iCs/>
          <w:color w:val="000000"/>
          <w:sz w:val="22"/>
          <w:szCs w:val="22"/>
        </w:rPr>
        <w:t>Rent</w:t>
      </w:r>
    </w:p>
    <w:p w14:paraId="54CB6F39" w14:textId="77777777" w:rsidR="00AA5D6C" w:rsidRPr="00AA5D6C" w:rsidRDefault="00AA5D6C" w:rsidP="00AA5D6C">
      <w:pPr>
        <w:spacing w:after="140" w:line="240" w:lineRule="auto"/>
        <w:rPr>
          <w:rFonts w:cs="Source Sans Pro Light"/>
          <w:color w:val="000000"/>
          <w:sz w:val="22"/>
          <w:szCs w:val="22"/>
        </w:rPr>
      </w:pPr>
      <w:r w:rsidRPr="00AA5D6C">
        <w:rPr>
          <w:rFonts w:cs="Source Sans Pro Light"/>
          <w:color w:val="000000"/>
          <w:sz w:val="22"/>
          <w:szCs w:val="22"/>
        </w:rPr>
        <w:t>Lease rental payments includes office accommodation leases with the ACT Property Group and the outgoings charged for building services, utilities and workorders.</w:t>
      </w:r>
    </w:p>
    <w:p w14:paraId="1B76B1C7" w14:textId="77777777" w:rsidR="00AA5D6C" w:rsidRPr="00AA5D6C" w:rsidRDefault="00AA5D6C" w:rsidP="00AA5D6C">
      <w:pPr>
        <w:spacing w:before="40" w:after="100" w:line="240" w:lineRule="auto"/>
        <w:rPr>
          <w:rFonts w:cs="Montserrat Semi Bold"/>
          <w:i/>
          <w:iCs/>
          <w:color w:val="000000"/>
          <w:sz w:val="22"/>
          <w:szCs w:val="22"/>
        </w:rPr>
      </w:pPr>
      <w:r w:rsidRPr="00AA5D6C">
        <w:rPr>
          <w:rFonts w:cs="Montserrat Semi Bold"/>
          <w:i/>
          <w:iCs/>
          <w:color w:val="000000"/>
          <w:sz w:val="22"/>
          <w:szCs w:val="22"/>
        </w:rPr>
        <w:t>Audit Fees</w:t>
      </w:r>
    </w:p>
    <w:p w14:paraId="338EF17E" w14:textId="77777777" w:rsidR="00AA5D6C" w:rsidRPr="00AA5D6C" w:rsidRDefault="00AA5D6C" w:rsidP="00AA5D6C">
      <w:pPr>
        <w:spacing w:after="140"/>
        <w:rPr>
          <w:rFonts w:cs="Source Sans Pro Light"/>
          <w:color w:val="000000"/>
          <w:sz w:val="22"/>
          <w:szCs w:val="22"/>
        </w:rPr>
      </w:pPr>
      <w:r w:rsidRPr="00AA5D6C">
        <w:rPr>
          <w:rFonts w:cs="Source Sans Pro Light"/>
          <w:color w:val="000000"/>
          <w:sz w:val="22"/>
          <w:szCs w:val="22"/>
        </w:rPr>
        <w:t>Auditor’s remuneration consists of financial audit services and limited assurance engagement on statement of performance provided to the Authority by the ACT Audit Office. No other services were provided by the ACT Audit Office.</w:t>
      </w:r>
    </w:p>
    <w:p w14:paraId="0DD32C38" w14:textId="77777777" w:rsidR="00AA5D6C" w:rsidRPr="00AA5D6C" w:rsidRDefault="00AA5D6C" w:rsidP="00AA5D6C">
      <w:pPr>
        <w:spacing w:before="40" w:after="100" w:line="240" w:lineRule="auto"/>
        <w:rPr>
          <w:rFonts w:cs="Montserrat Semi Bold"/>
          <w:b/>
          <w:bCs/>
          <w:color w:val="000000"/>
          <w:sz w:val="22"/>
          <w:szCs w:val="22"/>
        </w:rPr>
      </w:pPr>
      <w:r w:rsidRPr="00AA5D6C">
        <w:rPr>
          <w:rFonts w:cs="Montserrat Semi Bold"/>
          <w:b/>
          <w:bCs/>
          <w:color w:val="000000"/>
          <w:sz w:val="22"/>
          <w:szCs w:val="22"/>
        </w:rPr>
        <w:t>Telecommunications and Computing Costs</w:t>
      </w:r>
    </w:p>
    <w:p w14:paraId="326B9780" w14:textId="795411B8" w:rsidR="007C4ED8" w:rsidRPr="00AA5D6C" w:rsidRDefault="00AA5D6C" w:rsidP="00D87B62">
      <w:pPr>
        <w:spacing w:after="140" w:line="240" w:lineRule="auto"/>
        <w:rPr>
          <w:rFonts w:ascii="Calibri" w:eastAsia="Calibri" w:hAnsi="Calibri" w:cs="Source Sans Pro Light"/>
          <w:color w:val="000000"/>
          <w:sz w:val="22"/>
          <w:szCs w:val="22"/>
        </w:rPr>
      </w:pPr>
      <w:r w:rsidRPr="00AA5D6C">
        <w:rPr>
          <w:rFonts w:cs="Source Sans Pro Light"/>
          <w:color w:val="000000"/>
          <w:sz w:val="22"/>
          <w:szCs w:val="22"/>
        </w:rPr>
        <w:t>Telecommunication and computing cost include payments for ICT logistics, business applications and licenses along with asset rentals for computing equipment, phones, network equipment’s and internet services charged by Digital Data and Technology Services (DDTS). The Authority also incurs software licencing fees and maintenance cost in managing its claims management system and accounting system</w:t>
      </w:r>
      <w:r w:rsidR="007C4ED8" w:rsidRPr="00AA5D6C">
        <w:rPr>
          <w:rFonts w:ascii="Calibri" w:eastAsia="Calibri" w:hAnsi="Calibri" w:cs="Source Sans Pro Light"/>
          <w:color w:val="000000"/>
          <w:sz w:val="22"/>
          <w:szCs w:val="22"/>
        </w:rPr>
        <w:t>.</w:t>
      </w:r>
    </w:p>
    <w:p w14:paraId="197A1EE3" w14:textId="3416E932" w:rsidR="007C4ED8" w:rsidRDefault="007C4ED8">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type="page"/>
      </w:r>
    </w:p>
    <w:p w14:paraId="6DFCE519" w14:textId="23820BB5" w:rsidR="00557395" w:rsidRDefault="007C4ED8" w:rsidP="007C4ED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C4ED8">
        <w:rPr>
          <w:rFonts w:ascii="Calibri" w:eastAsia="Calibri" w:hAnsi="Calibri" w:cs="Montserrat Semi Bold"/>
          <w:b/>
          <w:bCs/>
          <w:color w:val="000000"/>
          <w:sz w:val="30"/>
          <w:szCs w:val="30"/>
        </w:rPr>
        <w:lastRenderedPageBreak/>
        <w:t>NOTE 10. SUPPLIES AND SERVICES</w:t>
      </w:r>
      <w:r>
        <w:rPr>
          <w:rFonts w:ascii="Calibri" w:eastAsia="Calibri" w:hAnsi="Calibri" w:cs="Montserrat Semi Bold"/>
          <w:b/>
          <w:bCs/>
          <w:color w:val="000000"/>
          <w:sz w:val="30"/>
          <w:szCs w:val="30"/>
        </w:rPr>
        <w:t xml:space="preserve"> </w:t>
      </w:r>
      <w:r w:rsidR="00865C6D">
        <w:rPr>
          <w:rFonts w:ascii="Calibri" w:eastAsia="Calibri" w:hAnsi="Calibri" w:cs="Montserrat Semi Bold"/>
          <w:b/>
          <w:bCs/>
          <w:color w:val="000000"/>
          <w:sz w:val="30"/>
          <w:szCs w:val="30"/>
        </w:rPr>
        <w:t>–</w:t>
      </w:r>
      <w:r>
        <w:rPr>
          <w:rFonts w:ascii="Calibri" w:eastAsia="Calibri" w:hAnsi="Calibri" w:cs="Montserrat Semi Bold"/>
          <w:b/>
          <w:bCs/>
          <w:color w:val="000000"/>
          <w:sz w:val="30"/>
          <w:szCs w:val="30"/>
        </w:rPr>
        <w:t xml:space="preserve"> CONTINUED</w:t>
      </w:r>
    </w:p>
    <w:p w14:paraId="376FACE4" w14:textId="77777777" w:rsidR="002B0D0C" w:rsidRPr="00D87B62" w:rsidRDefault="002B0D0C" w:rsidP="002B0D0C">
      <w:pPr>
        <w:spacing w:before="40" w:after="100" w:line="240" w:lineRule="auto"/>
        <w:rPr>
          <w:rFonts w:cs="Source Sans Pro Light"/>
          <w:i/>
          <w:iCs/>
          <w:color w:val="000000"/>
          <w:sz w:val="22"/>
          <w:szCs w:val="22"/>
        </w:rPr>
      </w:pPr>
      <w:r w:rsidRPr="00D87B62">
        <w:rPr>
          <w:rFonts w:cs="Source Sans Pro Light"/>
          <w:i/>
          <w:iCs/>
          <w:color w:val="000000"/>
          <w:sz w:val="22"/>
          <w:szCs w:val="22"/>
        </w:rPr>
        <w:t>Risk Management Training and Seminars</w:t>
      </w:r>
    </w:p>
    <w:p w14:paraId="5807F9DD" w14:textId="0AB8D090" w:rsidR="00E969DA" w:rsidRPr="000449AE" w:rsidRDefault="002B0D0C" w:rsidP="000449AE">
      <w:pPr>
        <w:spacing w:after="140" w:line="240" w:lineRule="auto"/>
        <w:rPr>
          <w:rFonts w:cs="Source Sans Pro Light"/>
          <w:color w:val="000000"/>
          <w:sz w:val="22"/>
          <w:szCs w:val="22"/>
        </w:rPr>
      </w:pPr>
      <w:r w:rsidRPr="002B0D0C">
        <w:rPr>
          <w:rFonts w:cs="Source Sans Pro Light"/>
          <w:color w:val="000000"/>
          <w:sz w:val="22"/>
          <w:szCs w:val="22"/>
        </w:rPr>
        <w:t xml:space="preserve">The Authority runs risk management training events on demand for ACT Government agencies based on their specific risk management requirements. Training events can be organised inhouse or with specialised risk management consultants. The Authority assesses the funding for specific training events for ACT Government agencies based on business needs </w:t>
      </w:r>
      <w:proofErr w:type="gramStart"/>
      <w:r w:rsidRPr="002B0D0C">
        <w:rPr>
          <w:rFonts w:cs="Source Sans Pro Light"/>
          <w:color w:val="000000"/>
          <w:sz w:val="22"/>
          <w:szCs w:val="22"/>
        </w:rPr>
        <w:t>and also</w:t>
      </w:r>
      <w:proofErr w:type="gramEnd"/>
      <w:r w:rsidRPr="002B0D0C">
        <w:rPr>
          <w:rFonts w:cs="Source Sans Pro Light"/>
          <w:color w:val="000000"/>
          <w:sz w:val="22"/>
          <w:szCs w:val="22"/>
        </w:rPr>
        <w:t xml:space="preserve"> delivers some training events on a cost recovery basis.</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8319B7" w:rsidRPr="008319B7" w14:paraId="75F99C5D" w14:textId="77777777" w:rsidTr="006F4076">
        <w:trPr>
          <w:cantSplit/>
        </w:trPr>
        <w:tc>
          <w:tcPr>
            <w:tcW w:w="5387" w:type="dxa"/>
            <w:tcBorders>
              <w:top w:val="single" w:sz="12" w:space="0" w:color="492581" w:themeColor="accent1"/>
              <w:bottom w:val="single" w:sz="12" w:space="0" w:color="492581" w:themeColor="accent1"/>
            </w:tcBorders>
          </w:tcPr>
          <w:p w14:paraId="199E9D21" w14:textId="77777777" w:rsidR="008319B7" w:rsidRPr="008319B7" w:rsidRDefault="008319B7" w:rsidP="008319B7">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74FEB401" w14:textId="77777777" w:rsidR="008319B7" w:rsidRPr="008319B7" w:rsidRDefault="008319B7" w:rsidP="008319B7">
            <w:pPr>
              <w:spacing w:after="0" w:line="240" w:lineRule="auto"/>
              <w:jc w:val="center"/>
              <w:rPr>
                <w:rFonts w:ascii="Calibri" w:eastAsia="Times New Roman" w:hAnsi="Calibri" w:cs="Times New Roman"/>
                <w:b/>
                <w:sz w:val="18"/>
                <w:szCs w:val="18"/>
              </w:rPr>
            </w:pPr>
            <w:r w:rsidRPr="008319B7">
              <w:rPr>
                <w:rFonts w:ascii="Calibri" w:eastAsia="Times New Roman" w:hAnsi="Calibri" w:cs="Times New Roman"/>
                <w:b/>
                <w:sz w:val="18"/>
                <w:szCs w:val="18"/>
              </w:rPr>
              <w:t>Note</w:t>
            </w:r>
          </w:p>
          <w:p w14:paraId="6A4C9354" w14:textId="77777777" w:rsidR="008319B7" w:rsidRPr="008319B7" w:rsidRDefault="008319B7" w:rsidP="008319B7">
            <w:pPr>
              <w:spacing w:after="0" w:line="240" w:lineRule="auto"/>
              <w:jc w:val="center"/>
              <w:rPr>
                <w:rFonts w:ascii="Calibri" w:eastAsia="Times New Roman" w:hAnsi="Calibri" w:cs="Times New Roman"/>
                <w:b/>
                <w:sz w:val="18"/>
                <w:szCs w:val="18"/>
              </w:rPr>
            </w:pPr>
            <w:r w:rsidRPr="008319B7">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16BCFF38" w14:textId="03FE6FB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202</w:t>
            </w:r>
            <w:r w:rsidR="00913B96">
              <w:rPr>
                <w:rFonts w:ascii="Calibri" w:eastAsia="Times New Roman" w:hAnsi="Calibri" w:cs="Times New Roman"/>
                <w:b/>
                <w:sz w:val="18"/>
                <w:szCs w:val="18"/>
              </w:rPr>
              <w:t>4</w:t>
            </w:r>
          </w:p>
          <w:p w14:paraId="6B97CAED"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3950E028" w14:textId="77777777" w:rsidR="008319B7" w:rsidRPr="008319B7" w:rsidRDefault="008319B7" w:rsidP="008319B7">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6EB43452" w14:textId="39397120"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202</w:t>
            </w:r>
            <w:r w:rsidR="00913B96">
              <w:rPr>
                <w:rFonts w:ascii="Calibri" w:eastAsia="Times New Roman" w:hAnsi="Calibri" w:cs="Times New Roman"/>
                <w:b/>
                <w:sz w:val="18"/>
                <w:szCs w:val="18"/>
              </w:rPr>
              <w:t>3</w:t>
            </w:r>
          </w:p>
          <w:p w14:paraId="12482D2C" w14:textId="77777777" w:rsidR="008319B7" w:rsidRPr="008319B7" w:rsidRDefault="008319B7" w:rsidP="008319B7">
            <w:pPr>
              <w:spacing w:after="0" w:line="240" w:lineRule="auto"/>
              <w:jc w:val="right"/>
              <w:rPr>
                <w:rFonts w:ascii="Calibri" w:eastAsia="Times New Roman" w:hAnsi="Calibri" w:cs="Times New Roman"/>
                <w:b/>
                <w:sz w:val="18"/>
                <w:szCs w:val="18"/>
              </w:rPr>
            </w:pPr>
            <w:r w:rsidRPr="008319B7">
              <w:rPr>
                <w:rFonts w:ascii="Calibri" w:eastAsia="Times New Roman" w:hAnsi="Calibri" w:cs="Times New Roman"/>
                <w:b/>
                <w:sz w:val="18"/>
                <w:szCs w:val="18"/>
              </w:rPr>
              <w:t>$’000</w:t>
            </w:r>
          </w:p>
        </w:tc>
      </w:tr>
      <w:tr w:rsidR="00636706" w:rsidRPr="008319B7" w14:paraId="20A295D4" w14:textId="77777777" w:rsidTr="00E22DEB">
        <w:trPr>
          <w:cantSplit/>
        </w:trPr>
        <w:tc>
          <w:tcPr>
            <w:tcW w:w="5387" w:type="dxa"/>
            <w:vAlign w:val="center"/>
          </w:tcPr>
          <w:p w14:paraId="03F0A283" w14:textId="133EE4F0"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 xml:space="preserve">Actuarial Services – ACITA Core </w:t>
            </w:r>
          </w:p>
        </w:tc>
        <w:tc>
          <w:tcPr>
            <w:tcW w:w="851" w:type="dxa"/>
            <w:tcBorders>
              <w:top w:val="single" w:sz="12" w:space="0" w:color="492581" w:themeColor="accent1"/>
            </w:tcBorders>
          </w:tcPr>
          <w:p w14:paraId="41971F7B"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vAlign w:val="bottom"/>
          </w:tcPr>
          <w:p w14:paraId="5D9F8BBF" w14:textId="712D5DE6"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203</w:t>
            </w:r>
          </w:p>
        </w:tc>
        <w:tc>
          <w:tcPr>
            <w:tcW w:w="567" w:type="dxa"/>
            <w:tcBorders>
              <w:top w:val="single" w:sz="12" w:space="0" w:color="492581" w:themeColor="accent1"/>
            </w:tcBorders>
            <w:vAlign w:val="bottom"/>
          </w:tcPr>
          <w:p w14:paraId="4CC104F7" w14:textId="77777777" w:rsidR="00636706" w:rsidRPr="00913B96" w:rsidRDefault="00636706" w:rsidP="00636706">
            <w:pPr>
              <w:spacing w:before="40" w:after="40" w:line="240" w:lineRule="auto"/>
              <w:jc w:val="right"/>
              <w:rPr>
                <w:rFonts w:ascii="Calibri" w:eastAsia="Times New Roman" w:hAnsi="Calibri" w:cs="Times New Roman"/>
                <w:b/>
                <w:color w:val="000000"/>
                <w:sz w:val="18"/>
                <w:szCs w:val="18"/>
                <w:highlight w:val="yellow"/>
              </w:rPr>
            </w:pPr>
          </w:p>
        </w:tc>
        <w:tc>
          <w:tcPr>
            <w:tcW w:w="1418" w:type="dxa"/>
            <w:vAlign w:val="bottom"/>
          </w:tcPr>
          <w:p w14:paraId="23E844C2" w14:textId="0E9618ED"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180</w:t>
            </w:r>
          </w:p>
        </w:tc>
      </w:tr>
      <w:tr w:rsidR="00636706" w:rsidRPr="008319B7" w14:paraId="04B26A89" w14:textId="77777777" w:rsidTr="00323290">
        <w:trPr>
          <w:cantSplit/>
        </w:trPr>
        <w:tc>
          <w:tcPr>
            <w:tcW w:w="5387" w:type="dxa"/>
            <w:vAlign w:val="center"/>
          </w:tcPr>
          <w:p w14:paraId="185AA735" w14:textId="5B8E73E3"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Actuarial Services – BWI</w:t>
            </w:r>
          </w:p>
        </w:tc>
        <w:tc>
          <w:tcPr>
            <w:tcW w:w="851" w:type="dxa"/>
          </w:tcPr>
          <w:p w14:paraId="68CD50C7" w14:textId="5BF95C78" w:rsidR="00636706" w:rsidRPr="008319B7" w:rsidRDefault="00636706" w:rsidP="00636706">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vAlign w:val="bottom"/>
          </w:tcPr>
          <w:p w14:paraId="27A0C8CC" w14:textId="420EBE9B"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90</w:t>
            </w:r>
          </w:p>
        </w:tc>
        <w:tc>
          <w:tcPr>
            <w:tcW w:w="567" w:type="dxa"/>
            <w:vAlign w:val="bottom"/>
          </w:tcPr>
          <w:p w14:paraId="5E44002A" w14:textId="77777777" w:rsidR="00636706" w:rsidRPr="00913B96" w:rsidRDefault="00636706" w:rsidP="00636706">
            <w:pPr>
              <w:spacing w:before="40" w:after="40" w:line="240" w:lineRule="auto"/>
              <w:jc w:val="right"/>
              <w:rPr>
                <w:rFonts w:ascii="Calibri" w:eastAsia="Times New Roman" w:hAnsi="Calibri" w:cs="Times New Roman"/>
                <w:b/>
                <w:color w:val="000000"/>
                <w:sz w:val="18"/>
                <w:szCs w:val="18"/>
                <w:highlight w:val="yellow"/>
              </w:rPr>
            </w:pPr>
          </w:p>
        </w:tc>
        <w:tc>
          <w:tcPr>
            <w:tcW w:w="1418" w:type="dxa"/>
            <w:vAlign w:val="bottom"/>
          </w:tcPr>
          <w:p w14:paraId="71C74517" w14:textId="512217E6"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60</w:t>
            </w:r>
          </w:p>
        </w:tc>
      </w:tr>
      <w:tr w:rsidR="00636706" w:rsidRPr="008319B7" w14:paraId="2CC4A088" w14:textId="77777777" w:rsidTr="00E22DEB">
        <w:trPr>
          <w:cantSplit/>
        </w:trPr>
        <w:tc>
          <w:tcPr>
            <w:tcW w:w="5387" w:type="dxa"/>
            <w:vAlign w:val="center"/>
          </w:tcPr>
          <w:p w14:paraId="4BADC1E4" w14:textId="4B0070F0" w:rsidR="00636706" w:rsidRPr="005A62DE" w:rsidRDefault="00636706" w:rsidP="00636706">
            <w:pPr>
              <w:spacing w:before="40" w:after="40" w:line="240" w:lineRule="auto"/>
              <w:rPr>
                <w:rFonts w:ascii="Calibri" w:eastAsia="Times New Roman" w:hAnsi="Calibri" w:cs="Times New Roman"/>
                <w:sz w:val="18"/>
                <w:szCs w:val="18"/>
                <w:vertAlign w:val="superscript"/>
              </w:rPr>
            </w:pPr>
            <w:r w:rsidRPr="005A62DE">
              <w:rPr>
                <w:sz w:val="18"/>
                <w:szCs w:val="18"/>
              </w:rPr>
              <w:t xml:space="preserve">Actuarial Services – PSA </w:t>
            </w:r>
            <w:r w:rsidRPr="005A62DE">
              <w:rPr>
                <w:sz w:val="18"/>
                <w:szCs w:val="18"/>
                <w:vertAlign w:val="superscript"/>
              </w:rPr>
              <w:t>a</w:t>
            </w:r>
          </w:p>
        </w:tc>
        <w:tc>
          <w:tcPr>
            <w:tcW w:w="851" w:type="dxa"/>
          </w:tcPr>
          <w:p w14:paraId="63F4238A" w14:textId="00E2A01D" w:rsidR="00636706" w:rsidRPr="008319B7" w:rsidRDefault="00636706" w:rsidP="00636706">
            <w:pPr>
              <w:spacing w:before="40" w:after="40" w:line="240" w:lineRule="auto"/>
              <w:jc w:val="center"/>
              <w:rPr>
                <w:rFonts w:ascii="Calibri" w:eastAsia="Times New Roman" w:hAnsi="Calibri" w:cs="Times New Roman"/>
                <w:sz w:val="18"/>
                <w:szCs w:val="18"/>
              </w:rPr>
            </w:pPr>
            <w:r>
              <w:rPr>
                <w:rFonts w:ascii="Calibri" w:eastAsia="Times New Roman" w:hAnsi="Calibri" w:cs="Times New Roman"/>
                <w:sz w:val="18"/>
                <w:szCs w:val="18"/>
              </w:rPr>
              <w:t>22</w:t>
            </w:r>
          </w:p>
        </w:tc>
        <w:tc>
          <w:tcPr>
            <w:tcW w:w="1417" w:type="dxa"/>
            <w:vAlign w:val="bottom"/>
          </w:tcPr>
          <w:p w14:paraId="28044B90" w14:textId="547D6FC9"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77</w:t>
            </w:r>
          </w:p>
        </w:tc>
        <w:tc>
          <w:tcPr>
            <w:tcW w:w="567" w:type="dxa"/>
          </w:tcPr>
          <w:p w14:paraId="47D39267" w14:textId="77777777" w:rsidR="00636706" w:rsidRPr="00913B96" w:rsidRDefault="00636706" w:rsidP="00636706">
            <w:pPr>
              <w:spacing w:before="40" w:after="40" w:line="240" w:lineRule="auto"/>
              <w:jc w:val="right"/>
              <w:rPr>
                <w:rFonts w:ascii="Calibri" w:eastAsia="Times New Roman" w:hAnsi="Calibri" w:cs="Times New Roman"/>
                <w:b/>
                <w:color w:val="000000"/>
                <w:sz w:val="18"/>
                <w:szCs w:val="18"/>
                <w:highlight w:val="yellow"/>
              </w:rPr>
            </w:pPr>
          </w:p>
        </w:tc>
        <w:tc>
          <w:tcPr>
            <w:tcW w:w="1418" w:type="dxa"/>
            <w:vAlign w:val="bottom"/>
          </w:tcPr>
          <w:p w14:paraId="1AA45103" w14:textId="0A64A11B"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w:t>
            </w:r>
          </w:p>
        </w:tc>
      </w:tr>
      <w:tr w:rsidR="00636706" w:rsidRPr="008319B7" w14:paraId="5438733B" w14:textId="77777777" w:rsidTr="00323290">
        <w:trPr>
          <w:cantSplit/>
        </w:trPr>
        <w:tc>
          <w:tcPr>
            <w:tcW w:w="5387" w:type="dxa"/>
            <w:vAlign w:val="center"/>
          </w:tcPr>
          <w:p w14:paraId="7390B108" w14:textId="6AF98B5E"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Audit Fees</w:t>
            </w:r>
          </w:p>
        </w:tc>
        <w:tc>
          <w:tcPr>
            <w:tcW w:w="851" w:type="dxa"/>
          </w:tcPr>
          <w:p w14:paraId="10E4655D"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Pr>
          <w:p w14:paraId="2511522A" w14:textId="6B3655E6"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72</w:t>
            </w:r>
          </w:p>
        </w:tc>
        <w:tc>
          <w:tcPr>
            <w:tcW w:w="567" w:type="dxa"/>
          </w:tcPr>
          <w:p w14:paraId="2489E3A3" w14:textId="77777777" w:rsidR="00636706" w:rsidRPr="00913B96" w:rsidRDefault="00636706" w:rsidP="00636706">
            <w:pPr>
              <w:spacing w:before="40" w:after="40" w:line="240" w:lineRule="auto"/>
              <w:jc w:val="right"/>
              <w:rPr>
                <w:rFonts w:ascii="Calibri" w:eastAsia="Times New Roman" w:hAnsi="Calibri" w:cs="Times New Roman"/>
                <w:b/>
                <w:color w:val="000000"/>
                <w:sz w:val="18"/>
                <w:szCs w:val="18"/>
                <w:highlight w:val="yellow"/>
              </w:rPr>
            </w:pPr>
          </w:p>
        </w:tc>
        <w:tc>
          <w:tcPr>
            <w:tcW w:w="1418" w:type="dxa"/>
          </w:tcPr>
          <w:p w14:paraId="58EE978A" w14:textId="51854846"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70</w:t>
            </w:r>
          </w:p>
        </w:tc>
      </w:tr>
      <w:tr w:rsidR="00636706" w:rsidRPr="008319B7" w14:paraId="26461C21" w14:textId="77777777" w:rsidTr="00323290">
        <w:trPr>
          <w:cantSplit/>
        </w:trPr>
        <w:tc>
          <w:tcPr>
            <w:tcW w:w="5387" w:type="dxa"/>
            <w:vAlign w:val="center"/>
          </w:tcPr>
          <w:p w14:paraId="0E4F3CFA" w14:textId="649D93A7" w:rsidR="00636706" w:rsidRPr="005A62DE" w:rsidRDefault="00636706" w:rsidP="00636706">
            <w:pPr>
              <w:spacing w:before="40" w:after="40" w:line="240" w:lineRule="auto"/>
              <w:rPr>
                <w:rFonts w:ascii="Calibri" w:eastAsia="Times New Roman" w:hAnsi="Calibri" w:cs="Times New Roman"/>
                <w:bCs/>
                <w:sz w:val="18"/>
                <w:szCs w:val="18"/>
                <w:vertAlign w:val="superscript"/>
              </w:rPr>
            </w:pPr>
            <w:r w:rsidRPr="005A62DE">
              <w:rPr>
                <w:bCs/>
                <w:sz w:val="18"/>
                <w:szCs w:val="18"/>
              </w:rPr>
              <w:t>Telecommunications and Computing Costs</w:t>
            </w:r>
            <w:r w:rsidRPr="005A62DE">
              <w:rPr>
                <w:sz w:val="18"/>
                <w:szCs w:val="18"/>
                <w:vertAlign w:val="superscript"/>
              </w:rPr>
              <w:t xml:space="preserve"> </w:t>
            </w:r>
          </w:p>
        </w:tc>
        <w:tc>
          <w:tcPr>
            <w:tcW w:w="851" w:type="dxa"/>
          </w:tcPr>
          <w:p w14:paraId="10E305CF" w14:textId="77777777" w:rsidR="00636706" w:rsidRPr="008319B7" w:rsidRDefault="00636706" w:rsidP="00636706">
            <w:pPr>
              <w:tabs>
                <w:tab w:val="right" w:pos="742"/>
              </w:tabs>
              <w:spacing w:before="40" w:after="40" w:line="240" w:lineRule="auto"/>
              <w:jc w:val="center"/>
              <w:rPr>
                <w:rFonts w:ascii="Calibri" w:eastAsia="Times New Roman" w:hAnsi="Calibri" w:cs="Times New Roman"/>
                <w:bCs/>
                <w:sz w:val="18"/>
                <w:szCs w:val="18"/>
              </w:rPr>
            </w:pPr>
          </w:p>
        </w:tc>
        <w:tc>
          <w:tcPr>
            <w:tcW w:w="1417" w:type="dxa"/>
          </w:tcPr>
          <w:p w14:paraId="70629882" w14:textId="3776F5F5" w:rsidR="00636706" w:rsidRPr="00E070BD"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E070BD">
              <w:rPr>
                <w:bCs/>
                <w:sz w:val="18"/>
                <w:szCs w:val="18"/>
              </w:rPr>
              <w:t>528</w:t>
            </w:r>
          </w:p>
        </w:tc>
        <w:tc>
          <w:tcPr>
            <w:tcW w:w="567" w:type="dxa"/>
          </w:tcPr>
          <w:p w14:paraId="1181A9EB"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3660450F" w14:textId="086BF5B3" w:rsidR="00636706" w:rsidRPr="00636706"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636706">
              <w:rPr>
                <w:bCs/>
                <w:sz w:val="18"/>
                <w:szCs w:val="18"/>
              </w:rPr>
              <w:t>524</w:t>
            </w:r>
          </w:p>
        </w:tc>
      </w:tr>
      <w:tr w:rsidR="00636706" w:rsidRPr="008319B7" w14:paraId="7D296C47" w14:textId="77777777" w:rsidTr="00323290">
        <w:trPr>
          <w:cantSplit/>
        </w:trPr>
        <w:tc>
          <w:tcPr>
            <w:tcW w:w="5387" w:type="dxa"/>
            <w:vAlign w:val="center"/>
          </w:tcPr>
          <w:p w14:paraId="6AB1E2FF" w14:textId="1ACF3E7B" w:rsidR="00636706" w:rsidRPr="005A62DE" w:rsidRDefault="00636706" w:rsidP="00636706">
            <w:pPr>
              <w:tabs>
                <w:tab w:val="left" w:pos="459"/>
              </w:tabs>
              <w:spacing w:before="40" w:after="40" w:line="240" w:lineRule="auto"/>
              <w:rPr>
                <w:rFonts w:ascii="Calibri" w:eastAsia="Times New Roman" w:hAnsi="Calibri" w:cs="Times New Roman"/>
                <w:bCs/>
                <w:sz w:val="18"/>
                <w:szCs w:val="18"/>
                <w:vertAlign w:val="superscript"/>
              </w:rPr>
            </w:pPr>
            <w:r w:rsidRPr="005A62DE">
              <w:rPr>
                <w:bCs/>
                <w:sz w:val="18"/>
                <w:szCs w:val="18"/>
              </w:rPr>
              <w:t>Contractors and Consultants</w:t>
            </w:r>
          </w:p>
        </w:tc>
        <w:tc>
          <w:tcPr>
            <w:tcW w:w="851" w:type="dxa"/>
          </w:tcPr>
          <w:p w14:paraId="455E35A4" w14:textId="77777777" w:rsidR="00636706" w:rsidRPr="008319B7" w:rsidRDefault="00636706" w:rsidP="00636706">
            <w:pPr>
              <w:tabs>
                <w:tab w:val="right" w:pos="742"/>
              </w:tabs>
              <w:spacing w:before="40" w:after="40" w:line="240" w:lineRule="auto"/>
              <w:jc w:val="center"/>
              <w:rPr>
                <w:rFonts w:ascii="Calibri" w:eastAsia="Times New Roman" w:hAnsi="Calibri" w:cs="Times New Roman"/>
                <w:bCs/>
                <w:sz w:val="18"/>
                <w:szCs w:val="18"/>
              </w:rPr>
            </w:pPr>
          </w:p>
        </w:tc>
        <w:tc>
          <w:tcPr>
            <w:tcW w:w="1417" w:type="dxa"/>
          </w:tcPr>
          <w:p w14:paraId="4A3CA8B9" w14:textId="01DE7CC2" w:rsidR="00636706" w:rsidRPr="00E070BD"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E070BD">
              <w:rPr>
                <w:bCs/>
                <w:sz w:val="18"/>
                <w:szCs w:val="18"/>
              </w:rPr>
              <w:t>41</w:t>
            </w:r>
          </w:p>
        </w:tc>
        <w:tc>
          <w:tcPr>
            <w:tcW w:w="567" w:type="dxa"/>
          </w:tcPr>
          <w:p w14:paraId="14219A60"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682C0E31" w14:textId="73828BD5" w:rsidR="00636706" w:rsidRPr="00636706"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636706">
              <w:rPr>
                <w:bCs/>
                <w:sz w:val="18"/>
                <w:szCs w:val="18"/>
              </w:rPr>
              <w:t>70</w:t>
            </w:r>
          </w:p>
        </w:tc>
      </w:tr>
      <w:tr w:rsidR="00636706" w:rsidRPr="008319B7" w14:paraId="78882A28" w14:textId="77777777" w:rsidTr="00323290">
        <w:trPr>
          <w:cantSplit/>
        </w:trPr>
        <w:tc>
          <w:tcPr>
            <w:tcW w:w="5387" w:type="dxa"/>
            <w:vAlign w:val="center"/>
          </w:tcPr>
          <w:p w14:paraId="392BD103" w14:textId="648CF752" w:rsidR="00636706" w:rsidRPr="005A62DE" w:rsidRDefault="00636706" w:rsidP="00636706">
            <w:pPr>
              <w:tabs>
                <w:tab w:val="left" w:pos="459"/>
              </w:tabs>
              <w:spacing w:before="40" w:after="40" w:line="240" w:lineRule="auto"/>
              <w:rPr>
                <w:rFonts w:ascii="Calibri" w:eastAsia="Times New Roman" w:hAnsi="Calibri" w:cs="Times New Roman"/>
                <w:bCs/>
                <w:sz w:val="18"/>
                <w:szCs w:val="18"/>
              </w:rPr>
            </w:pPr>
            <w:r w:rsidRPr="005A62DE">
              <w:rPr>
                <w:bCs/>
                <w:sz w:val="18"/>
                <w:szCs w:val="18"/>
              </w:rPr>
              <w:t>Consulting and Consultants - PSA</w:t>
            </w:r>
            <w:r w:rsidRPr="005A62DE">
              <w:rPr>
                <w:sz w:val="18"/>
                <w:szCs w:val="18"/>
                <w:vertAlign w:val="superscript"/>
              </w:rPr>
              <w:t xml:space="preserve"> b</w:t>
            </w:r>
          </w:p>
        </w:tc>
        <w:tc>
          <w:tcPr>
            <w:tcW w:w="851" w:type="dxa"/>
          </w:tcPr>
          <w:p w14:paraId="60FE253F" w14:textId="5C49A76A" w:rsidR="00636706" w:rsidRPr="008319B7" w:rsidRDefault="00636706" w:rsidP="00636706">
            <w:pPr>
              <w:tabs>
                <w:tab w:val="right" w:pos="742"/>
              </w:tabs>
              <w:spacing w:before="40" w:after="40" w:line="240" w:lineRule="auto"/>
              <w:jc w:val="center"/>
              <w:rPr>
                <w:rFonts w:ascii="Calibri" w:eastAsia="Times New Roman" w:hAnsi="Calibri" w:cs="Times New Roman"/>
                <w:bCs/>
                <w:sz w:val="18"/>
                <w:szCs w:val="18"/>
              </w:rPr>
            </w:pPr>
            <w:r w:rsidRPr="008319B7">
              <w:rPr>
                <w:rFonts w:ascii="Calibri" w:eastAsia="Times New Roman" w:hAnsi="Calibri" w:cs="Times New Roman"/>
                <w:bCs/>
                <w:sz w:val="18"/>
                <w:szCs w:val="18"/>
              </w:rPr>
              <w:t>2</w:t>
            </w:r>
            <w:r>
              <w:rPr>
                <w:rFonts w:ascii="Calibri" w:eastAsia="Times New Roman" w:hAnsi="Calibri" w:cs="Times New Roman"/>
                <w:bCs/>
                <w:sz w:val="18"/>
                <w:szCs w:val="18"/>
              </w:rPr>
              <w:t>2</w:t>
            </w:r>
          </w:p>
        </w:tc>
        <w:tc>
          <w:tcPr>
            <w:tcW w:w="1417" w:type="dxa"/>
          </w:tcPr>
          <w:p w14:paraId="10E7D4D4" w14:textId="67EBC56D" w:rsidR="00636706" w:rsidRPr="00E070BD"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E070BD">
              <w:rPr>
                <w:bCs/>
                <w:sz w:val="18"/>
                <w:szCs w:val="18"/>
              </w:rPr>
              <w:t>-</w:t>
            </w:r>
          </w:p>
        </w:tc>
        <w:tc>
          <w:tcPr>
            <w:tcW w:w="567" w:type="dxa"/>
          </w:tcPr>
          <w:p w14:paraId="28DC94EB"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3149D549" w14:textId="6CEED257" w:rsidR="00636706" w:rsidRPr="00636706" w:rsidRDefault="00636706" w:rsidP="00636706">
            <w:pPr>
              <w:tabs>
                <w:tab w:val="right" w:pos="742"/>
              </w:tabs>
              <w:spacing w:before="40" w:after="40" w:line="240" w:lineRule="auto"/>
              <w:jc w:val="right"/>
              <w:rPr>
                <w:rFonts w:ascii="Calibri" w:eastAsia="Times New Roman" w:hAnsi="Calibri" w:cs="Times New Roman"/>
                <w:bCs/>
                <w:sz w:val="18"/>
                <w:szCs w:val="18"/>
                <w:highlight w:val="yellow"/>
              </w:rPr>
            </w:pPr>
            <w:r w:rsidRPr="00636706">
              <w:rPr>
                <w:bCs/>
                <w:sz w:val="18"/>
                <w:szCs w:val="18"/>
              </w:rPr>
              <w:t>100</w:t>
            </w:r>
          </w:p>
        </w:tc>
      </w:tr>
      <w:tr w:rsidR="00636706" w:rsidRPr="008319B7" w14:paraId="471E9071" w14:textId="77777777" w:rsidTr="00323290">
        <w:trPr>
          <w:cantSplit/>
        </w:trPr>
        <w:tc>
          <w:tcPr>
            <w:tcW w:w="5387" w:type="dxa"/>
            <w:vAlign w:val="center"/>
          </w:tcPr>
          <w:p w14:paraId="1AC63C2A" w14:textId="021917C3" w:rsidR="00636706" w:rsidRPr="005A62DE" w:rsidRDefault="00636706" w:rsidP="00636706">
            <w:pPr>
              <w:spacing w:before="40" w:after="40" w:line="240" w:lineRule="auto"/>
              <w:rPr>
                <w:rFonts w:ascii="Calibri" w:eastAsia="Times New Roman" w:hAnsi="Calibri" w:cs="Times New Roman"/>
                <w:sz w:val="18"/>
                <w:szCs w:val="18"/>
                <w:vertAlign w:val="superscript"/>
              </w:rPr>
            </w:pPr>
            <w:r w:rsidRPr="005A62DE">
              <w:rPr>
                <w:sz w:val="18"/>
                <w:szCs w:val="18"/>
              </w:rPr>
              <w:t xml:space="preserve">Rent </w:t>
            </w:r>
            <w:r w:rsidRPr="005A62DE">
              <w:rPr>
                <w:sz w:val="18"/>
                <w:szCs w:val="18"/>
                <w:vertAlign w:val="superscript"/>
              </w:rPr>
              <w:t>c</w:t>
            </w:r>
          </w:p>
        </w:tc>
        <w:tc>
          <w:tcPr>
            <w:tcW w:w="851" w:type="dxa"/>
          </w:tcPr>
          <w:p w14:paraId="41FEE602"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Pr>
          <w:p w14:paraId="6ACAB0E4" w14:textId="72C0DAFD"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112</w:t>
            </w:r>
          </w:p>
        </w:tc>
        <w:tc>
          <w:tcPr>
            <w:tcW w:w="567" w:type="dxa"/>
          </w:tcPr>
          <w:p w14:paraId="7CF116AE"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48001B27" w14:textId="54BB1E05"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171</w:t>
            </w:r>
          </w:p>
        </w:tc>
      </w:tr>
      <w:tr w:rsidR="00636706" w:rsidRPr="008319B7" w14:paraId="12A83177" w14:textId="77777777" w:rsidTr="00323290">
        <w:trPr>
          <w:cantSplit/>
        </w:trPr>
        <w:tc>
          <w:tcPr>
            <w:tcW w:w="5387" w:type="dxa"/>
            <w:vAlign w:val="center"/>
          </w:tcPr>
          <w:p w14:paraId="7A9820C1" w14:textId="041E61BB" w:rsidR="00636706" w:rsidRPr="005A62DE" w:rsidRDefault="00636706" w:rsidP="00636706">
            <w:pPr>
              <w:spacing w:before="40" w:after="40" w:line="240" w:lineRule="auto"/>
              <w:rPr>
                <w:rFonts w:ascii="Calibri" w:eastAsia="Times New Roman" w:hAnsi="Calibri" w:cs="Times New Roman"/>
                <w:sz w:val="18"/>
                <w:szCs w:val="18"/>
                <w:vertAlign w:val="superscript"/>
              </w:rPr>
            </w:pPr>
            <w:r w:rsidRPr="005A62DE">
              <w:rPr>
                <w:sz w:val="18"/>
                <w:szCs w:val="18"/>
              </w:rPr>
              <w:t>Risk Management Training and Seminars</w:t>
            </w:r>
          </w:p>
        </w:tc>
        <w:tc>
          <w:tcPr>
            <w:tcW w:w="851" w:type="dxa"/>
          </w:tcPr>
          <w:p w14:paraId="392D86EC"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Pr>
          <w:p w14:paraId="229DDA7C" w14:textId="27EF0138"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7</w:t>
            </w:r>
          </w:p>
        </w:tc>
        <w:tc>
          <w:tcPr>
            <w:tcW w:w="567" w:type="dxa"/>
          </w:tcPr>
          <w:p w14:paraId="1CD39D38"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7D431C78" w14:textId="00C64E40"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6</w:t>
            </w:r>
          </w:p>
        </w:tc>
      </w:tr>
      <w:tr w:rsidR="00636706" w:rsidRPr="008319B7" w14:paraId="61057F17" w14:textId="77777777" w:rsidTr="00323290">
        <w:trPr>
          <w:cantSplit/>
        </w:trPr>
        <w:tc>
          <w:tcPr>
            <w:tcW w:w="5387" w:type="dxa"/>
            <w:vAlign w:val="center"/>
          </w:tcPr>
          <w:p w14:paraId="597E5E19" w14:textId="0A0EEBC3" w:rsidR="00636706" w:rsidRPr="005A62DE" w:rsidRDefault="00636706" w:rsidP="00636706">
            <w:pPr>
              <w:spacing w:before="40" w:after="40" w:line="240" w:lineRule="auto"/>
              <w:rPr>
                <w:rFonts w:ascii="Calibri" w:eastAsia="Times New Roman" w:hAnsi="Calibri" w:cs="Times New Roman"/>
                <w:sz w:val="18"/>
                <w:szCs w:val="18"/>
                <w:vertAlign w:val="superscript"/>
              </w:rPr>
            </w:pPr>
            <w:r w:rsidRPr="005A62DE">
              <w:rPr>
                <w:sz w:val="18"/>
                <w:szCs w:val="18"/>
              </w:rPr>
              <w:t>Support Services</w:t>
            </w:r>
          </w:p>
        </w:tc>
        <w:tc>
          <w:tcPr>
            <w:tcW w:w="851" w:type="dxa"/>
          </w:tcPr>
          <w:p w14:paraId="5FECC3F1"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Pr>
          <w:p w14:paraId="1925CCBE" w14:textId="2572B69D"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106</w:t>
            </w:r>
          </w:p>
        </w:tc>
        <w:tc>
          <w:tcPr>
            <w:tcW w:w="567" w:type="dxa"/>
          </w:tcPr>
          <w:p w14:paraId="5A2C66D8"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747253CB" w14:textId="78DF9636"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126</w:t>
            </w:r>
          </w:p>
        </w:tc>
      </w:tr>
      <w:tr w:rsidR="00636706" w:rsidRPr="008319B7" w14:paraId="51546EDB" w14:textId="77777777" w:rsidTr="00323290">
        <w:trPr>
          <w:cantSplit/>
        </w:trPr>
        <w:tc>
          <w:tcPr>
            <w:tcW w:w="5387" w:type="dxa"/>
            <w:vAlign w:val="center"/>
          </w:tcPr>
          <w:p w14:paraId="2AE9885F" w14:textId="7390B191"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Support Services – BWI</w:t>
            </w:r>
          </w:p>
        </w:tc>
        <w:tc>
          <w:tcPr>
            <w:tcW w:w="851" w:type="dxa"/>
          </w:tcPr>
          <w:p w14:paraId="5C217762" w14:textId="28E91397" w:rsidR="00636706" w:rsidRPr="008319B7" w:rsidRDefault="00636706" w:rsidP="00636706">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0AEDC066" w14:textId="3965AA7D"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51</w:t>
            </w:r>
          </w:p>
        </w:tc>
        <w:tc>
          <w:tcPr>
            <w:tcW w:w="567" w:type="dxa"/>
          </w:tcPr>
          <w:p w14:paraId="5DFABBB4"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76FFE07F" w14:textId="7598F5E5"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47</w:t>
            </w:r>
          </w:p>
        </w:tc>
      </w:tr>
      <w:tr w:rsidR="00636706" w:rsidRPr="008319B7" w14:paraId="1FE4BBFF" w14:textId="77777777" w:rsidTr="00323290">
        <w:trPr>
          <w:cantSplit/>
        </w:trPr>
        <w:tc>
          <w:tcPr>
            <w:tcW w:w="5387" w:type="dxa"/>
            <w:vAlign w:val="center"/>
          </w:tcPr>
          <w:p w14:paraId="2F2DB82D" w14:textId="38B68244"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Legal Expenses – PSA</w:t>
            </w:r>
          </w:p>
        </w:tc>
        <w:tc>
          <w:tcPr>
            <w:tcW w:w="851" w:type="dxa"/>
          </w:tcPr>
          <w:p w14:paraId="07FF706A" w14:textId="15D26D84" w:rsidR="00636706" w:rsidRPr="008319B7" w:rsidRDefault="00636706" w:rsidP="00636706">
            <w:pPr>
              <w:spacing w:before="40" w:after="40" w:line="240" w:lineRule="auto"/>
              <w:jc w:val="center"/>
              <w:rPr>
                <w:rFonts w:ascii="Calibri" w:eastAsia="Times New Roman" w:hAnsi="Calibri" w:cs="Times New Roman"/>
                <w:sz w:val="18"/>
                <w:szCs w:val="18"/>
              </w:rPr>
            </w:pPr>
            <w:r w:rsidRPr="008319B7">
              <w:rPr>
                <w:rFonts w:ascii="Calibri" w:eastAsia="Times New Roman" w:hAnsi="Calibri" w:cs="Times New Roman"/>
                <w:sz w:val="18"/>
                <w:szCs w:val="18"/>
              </w:rPr>
              <w:t>2</w:t>
            </w:r>
            <w:r>
              <w:rPr>
                <w:rFonts w:ascii="Calibri" w:eastAsia="Times New Roman" w:hAnsi="Calibri" w:cs="Times New Roman"/>
                <w:sz w:val="18"/>
                <w:szCs w:val="18"/>
              </w:rPr>
              <w:t>2</w:t>
            </w:r>
          </w:p>
        </w:tc>
        <w:tc>
          <w:tcPr>
            <w:tcW w:w="1417" w:type="dxa"/>
          </w:tcPr>
          <w:p w14:paraId="6D8852B8" w14:textId="173C2F61"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12</w:t>
            </w:r>
          </w:p>
        </w:tc>
        <w:tc>
          <w:tcPr>
            <w:tcW w:w="567" w:type="dxa"/>
          </w:tcPr>
          <w:p w14:paraId="21DA503C"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4F44DD25" w14:textId="0F6851B7"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9</w:t>
            </w:r>
          </w:p>
        </w:tc>
      </w:tr>
      <w:tr w:rsidR="00636706" w:rsidRPr="008319B7" w14:paraId="6C49334D" w14:textId="77777777" w:rsidTr="00323290">
        <w:trPr>
          <w:cantSplit/>
        </w:trPr>
        <w:tc>
          <w:tcPr>
            <w:tcW w:w="5387" w:type="dxa"/>
            <w:vAlign w:val="center"/>
          </w:tcPr>
          <w:p w14:paraId="250CDA2A" w14:textId="2264AD1C" w:rsidR="00636706" w:rsidRPr="005A62DE" w:rsidRDefault="00636706" w:rsidP="00636706">
            <w:pPr>
              <w:spacing w:before="40" w:after="40" w:line="240" w:lineRule="auto"/>
              <w:rPr>
                <w:rFonts w:ascii="Calibri" w:eastAsia="Times New Roman" w:hAnsi="Calibri" w:cs="Times New Roman"/>
                <w:sz w:val="18"/>
                <w:szCs w:val="18"/>
              </w:rPr>
            </w:pPr>
            <w:r w:rsidRPr="005A62DE">
              <w:rPr>
                <w:sz w:val="18"/>
                <w:szCs w:val="18"/>
              </w:rPr>
              <w:t>Travel</w:t>
            </w:r>
          </w:p>
        </w:tc>
        <w:tc>
          <w:tcPr>
            <w:tcW w:w="851" w:type="dxa"/>
          </w:tcPr>
          <w:p w14:paraId="791A3D65"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Pr>
          <w:p w14:paraId="7EB2381C" w14:textId="3D61ABB9"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47</w:t>
            </w:r>
          </w:p>
        </w:tc>
        <w:tc>
          <w:tcPr>
            <w:tcW w:w="567" w:type="dxa"/>
          </w:tcPr>
          <w:p w14:paraId="161F8415"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Pr>
          <w:p w14:paraId="521AE17C" w14:textId="7772976D"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69</w:t>
            </w:r>
          </w:p>
        </w:tc>
      </w:tr>
      <w:tr w:rsidR="00636706" w:rsidRPr="008319B7" w14:paraId="0336E814" w14:textId="77777777" w:rsidTr="00323290">
        <w:trPr>
          <w:cantSplit/>
        </w:trPr>
        <w:tc>
          <w:tcPr>
            <w:tcW w:w="5387" w:type="dxa"/>
            <w:vAlign w:val="center"/>
          </w:tcPr>
          <w:p w14:paraId="4F420855" w14:textId="5AD7CECB" w:rsidR="00636706" w:rsidRPr="005A62DE" w:rsidRDefault="00636706" w:rsidP="00636706">
            <w:pPr>
              <w:spacing w:before="40" w:after="40" w:line="240" w:lineRule="auto"/>
              <w:rPr>
                <w:rFonts w:ascii="Calibri" w:eastAsia="Times New Roman" w:hAnsi="Calibri" w:cs="Times New Roman"/>
                <w:sz w:val="18"/>
                <w:szCs w:val="18"/>
                <w:vertAlign w:val="superscript"/>
              </w:rPr>
            </w:pPr>
            <w:r w:rsidRPr="005A62DE">
              <w:rPr>
                <w:sz w:val="18"/>
                <w:szCs w:val="18"/>
              </w:rPr>
              <w:t>Other</w:t>
            </w:r>
          </w:p>
        </w:tc>
        <w:tc>
          <w:tcPr>
            <w:tcW w:w="851" w:type="dxa"/>
          </w:tcPr>
          <w:p w14:paraId="33468C5B" w14:textId="77777777" w:rsidR="00636706" w:rsidRPr="008319B7" w:rsidRDefault="00636706" w:rsidP="00636706">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348352FB" w14:textId="5D89EAB0" w:rsidR="00636706" w:rsidRPr="00E070BD" w:rsidRDefault="00636706" w:rsidP="00636706">
            <w:pPr>
              <w:spacing w:before="40" w:after="40" w:line="240" w:lineRule="auto"/>
              <w:jc w:val="right"/>
              <w:rPr>
                <w:rFonts w:ascii="Calibri" w:eastAsia="Times New Roman" w:hAnsi="Calibri" w:cs="Times New Roman"/>
                <w:bCs/>
                <w:sz w:val="18"/>
                <w:szCs w:val="18"/>
                <w:highlight w:val="yellow"/>
              </w:rPr>
            </w:pPr>
            <w:r w:rsidRPr="00E070BD">
              <w:rPr>
                <w:bCs/>
                <w:sz w:val="18"/>
                <w:szCs w:val="18"/>
              </w:rPr>
              <w:t>48</w:t>
            </w:r>
          </w:p>
        </w:tc>
        <w:tc>
          <w:tcPr>
            <w:tcW w:w="567" w:type="dxa"/>
            <w:tcBorders>
              <w:bottom w:val="single" w:sz="4" w:space="0" w:color="auto"/>
            </w:tcBorders>
          </w:tcPr>
          <w:p w14:paraId="2D132B72" w14:textId="77777777" w:rsidR="00636706" w:rsidRPr="00913B96" w:rsidRDefault="00636706" w:rsidP="00636706">
            <w:pPr>
              <w:spacing w:before="40" w:after="40" w:line="240" w:lineRule="auto"/>
              <w:jc w:val="right"/>
              <w:rPr>
                <w:rFonts w:ascii="Calibri" w:eastAsia="Times New Roman" w:hAnsi="Calibri" w:cs="Times New Roman"/>
                <w:b/>
                <w:sz w:val="18"/>
                <w:szCs w:val="18"/>
                <w:highlight w:val="yellow"/>
              </w:rPr>
            </w:pPr>
          </w:p>
        </w:tc>
        <w:tc>
          <w:tcPr>
            <w:tcW w:w="1418" w:type="dxa"/>
            <w:tcBorders>
              <w:bottom w:val="single" w:sz="4" w:space="0" w:color="auto"/>
            </w:tcBorders>
          </w:tcPr>
          <w:p w14:paraId="53767A19" w14:textId="5863F6FC" w:rsidR="00636706" w:rsidRPr="00636706" w:rsidRDefault="00636706" w:rsidP="00636706">
            <w:pPr>
              <w:spacing w:before="40" w:after="40" w:line="240" w:lineRule="auto"/>
              <w:jc w:val="right"/>
              <w:rPr>
                <w:rFonts w:ascii="Calibri" w:eastAsia="Times New Roman" w:hAnsi="Calibri" w:cs="Times New Roman"/>
                <w:bCs/>
                <w:sz w:val="18"/>
                <w:szCs w:val="18"/>
                <w:highlight w:val="yellow"/>
              </w:rPr>
            </w:pPr>
            <w:r w:rsidRPr="00636706">
              <w:rPr>
                <w:bCs/>
                <w:sz w:val="18"/>
                <w:szCs w:val="18"/>
              </w:rPr>
              <w:t>47</w:t>
            </w:r>
          </w:p>
        </w:tc>
      </w:tr>
      <w:tr w:rsidR="00636706" w:rsidRPr="008319B7" w14:paraId="5561D707" w14:textId="77777777" w:rsidTr="00E22DEB">
        <w:trPr>
          <w:cantSplit/>
        </w:trPr>
        <w:tc>
          <w:tcPr>
            <w:tcW w:w="5387" w:type="dxa"/>
            <w:tcBorders>
              <w:bottom w:val="single" w:sz="12" w:space="0" w:color="53600B" w:themeColor="accent5" w:themeShade="80"/>
            </w:tcBorders>
          </w:tcPr>
          <w:p w14:paraId="6C71F651" w14:textId="40B3E33D" w:rsidR="00636706" w:rsidRPr="005A62DE" w:rsidRDefault="00636706" w:rsidP="00636706">
            <w:pPr>
              <w:spacing w:before="40" w:after="40" w:line="240" w:lineRule="auto"/>
              <w:ind w:left="34"/>
              <w:rPr>
                <w:rFonts w:ascii="Calibri" w:eastAsia="Times New Roman" w:hAnsi="Calibri" w:cs="Times New Roman"/>
                <w:b/>
                <w:bCs/>
                <w:sz w:val="18"/>
                <w:szCs w:val="18"/>
              </w:rPr>
            </w:pPr>
            <w:r w:rsidRPr="005A62DE">
              <w:rPr>
                <w:b/>
                <w:bCs/>
                <w:sz w:val="18"/>
                <w:szCs w:val="18"/>
              </w:rPr>
              <w:t>Total Supplies and Services</w:t>
            </w:r>
          </w:p>
        </w:tc>
        <w:tc>
          <w:tcPr>
            <w:tcW w:w="851" w:type="dxa"/>
            <w:tcBorders>
              <w:bottom w:val="single" w:sz="12" w:space="0" w:color="492581" w:themeColor="accent1"/>
            </w:tcBorders>
          </w:tcPr>
          <w:p w14:paraId="6B038453" w14:textId="77777777" w:rsidR="00636706" w:rsidRPr="008319B7" w:rsidRDefault="00636706" w:rsidP="00636706">
            <w:pPr>
              <w:spacing w:before="40" w:after="40" w:line="240" w:lineRule="auto"/>
              <w:ind w:left="34"/>
              <w:jc w:val="center"/>
              <w:rPr>
                <w:rFonts w:ascii="Calibri" w:eastAsia="Times New Roman" w:hAnsi="Calibri" w:cs="Times New Roman"/>
                <w:b/>
                <w:bCs/>
                <w:sz w:val="18"/>
                <w:szCs w:val="18"/>
              </w:rPr>
            </w:pPr>
          </w:p>
        </w:tc>
        <w:tc>
          <w:tcPr>
            <w:tcW w:w="1417" w:type="dxa"/>
            <w:tcBorders>
              <w:top w:val="single" w:sz="4" w:space="0" w:color="auto"/>
              <w:bottom w:val="single" w:sz="12" w:space="0" w:color="53600B" w:themeColor="accent5" w:themeShade="80"/>
            </w:tcBorders>
          </w:tcPr>
          <w:p w14:paraId="00F86183" w14:textId="28631F7F" w:rsidR="00636706" w:rsidRPr="00E070BD" w:rsidRDefault="00636706" w:rsidP="00636706">
            <w:pPr>
              <w:spacing w:before="40" w:after="40" w:line="240" w:lineRule="auto"/>
              <w:ind w:left="34"/>
              <w:jc w:val="right"/>
              <w:rPr>
                <w:rFonts w:ascii="Calibri" w:eastAsia="Times New Roman" w:hAnsi="Calibri" w:cs="Times New Roman"/>
                <w:b/>
                <w:bCs/>
                <w:sz w:val="18"/>
                <w:szCs w:val="18"/>
                <w:highlight w:val="yellow"/>
              </w:rPr>
            </w:pPr>
            <w:r w:rsidRPr="00E070BD">
              <w:rPr>
                <w:b/>
                <w:bCs/>
                <w:sz w:val="18"/>
                <w:szCs w:val="18"/>
              </w:rPr>
              <w:t>1,393</w:t>
            </w:r>
          </w:p>
        </w:tc>
        <w:tc>
          <w:tcPr>
            <w:tcW w:w="567" w:type="dxa"/>
            <w:tcBorders>
              <w:top w:val="single" w:sz="4" w:space="0" w:color="auto"/>
              <w:bottom w:val="single" w:sz="12" w:space="0" w:color="492581" w:themeColor="accent1"/>
            </w:tcBorders>
          </w:tcPr>
          <w:p w14:paraId="53C18DB8" w14:textId="77777777" w:rsidR="00636706" w:rsidRPr="00913B96" w:rsidRDefault="00636706" w:rsidP="00636706">
            <w:pPr>
              <w:tabs>
                <w:tab w:val="decimal" w:pos="742"/>
              </w:tabs>
              <w:spacing w:before="40" w:after="40" w:line="240" w:lineRule="auto"/>
              <w:ind w:left="34"/>
              <w:jc w:val="right"/>
              <w:rPr>
                <w:rFonts w:ascii="Calibri" w:eastAsia="Times New Roman" w:hAnsi="Calibri" w:cs="Times New Roman"/>
                <w:b/>
                <w:bCs/>
                <w:sz w:val="18"/>
                <w:szCs w:val="18"/>
                <w:highlight w:val="yellow"/>
              </w:rPr>
            </w:pPr>
          </w:p>
        </w:tc>
        <w:tc>
          <w:tcPr>
            <w:tcW w:w="1418" w:type="dxa"/>
            <w:tcBorders>
              <w:top w:val="single" w:sz="4" w:space="0" w:color="auto"/>
              <w:bottom w:val="single" w:sz="12" w:space="0" w:color="53600B" w:themeColor="accent5" w:themeShade="80"/>
            </w:tcBorders>
          </w:tcPr>
          <w:p w14:paraId="4366AF5A" w14:textId="3C939164" w:rsidR="00636706" w:rsidRPr="00636706" w:rsidRDefault="00636706" w:rsidP="00636706">
            <w:pPr>
              <w:spacing w:before="40" w:after="40" w:line="240" w:lineRule="auto"/>
              <w:ind w:left="34"/>
              <w:jc w:val="right"/>
              <w:rPr>
                <w:rFonts w:ascii="Calibri" w:eastAsia="Times New Roman" w:hAnsi="Calibri" w:cs="Times New Roman"/>
                <w:b/>
                <w:sz w:val="18"/>
                <w:szCs w:val="18"/>
                <w:highlight w:val="yellow"/>
              </w:rPr>
            </w:pPr>
            <w:r w:rsidRPr="00636706">
              <w:rPr>
                <w:b/>
                <w:bCs/>
                <w:sz w:val="18"/>
                <w:szCs w:val="18"/>
              </w:rPr>
              <w:t>1,479</w:t>
            </w:r>
          </w:p>
        </w:tc>
      </w:tr>
      <w:tr w:rsidR="008319B7" w:rsidRPr="0025404C" w14:paraId="79F536F1" w14:textId="77777777" w:rsidTr="00441CB8">
        <w:trPr>
          <w:cantSplit/>
          <w:trHeight w:val="377"/>
        </w:trPr>
        <w:tc>
          <w:tcPr>
            <w:tcW w:w="9640" w:type="dxa"/>
            <w:gridSpan w:val="5"/>
            <w:tcBorders>
              <w:top w:val="single" w:sz="12" w:space="0" w:color="492581" w:themeColor="accent1"/>
              <w:bottom w:val="single" w:sz="12" w:space="0" w:color="492581" w:themeColor="accent1"/>
            </w:tcBorders>
          </w:tcPr>
          <w:p w14:paraId="72D7A069" w14:textId="77777777" w:rsidR="003076CA" w:rsidRPr="0025404C" w:rsidRDefault="003076CA" w:rsidP="003076CA">
            <w:pPr>
              <w:pStyle w:val="Pa6"/>
              <w:spacing w:before="120" w:after="120" w:line="240" w:lineRule="auto"/>
              <w:rPr>
                <w:rFonts w:asciiTheme="minorHAnsi" w:hAnsiTheme="minorHAnsi" w:cs="Source Sans Pro Light"/>
                <w:i/>
                <w:iCs/>
                <w:sz w:val="17"/>
                <w:szCs w:val="17"/>
              </w:rPr>
            </w:pPr>
            <w:r w:rsidRPr="0025404C">
              <w:rPr>
                <w:rFonts w:asciiTheme="minorHAnsi" w:hAnsiTheme="minorHAnsi" w:cs="Source Sans Pro Light"/>
                <w:i/>
                <w:iCs/>
                <w:sz w:val="17"/>
                <w:szCs w:val="17"/>
                <w:vertAlign w:val="superscript"/>
              </w:rPr>
              <w:t xml:space="preserve">a </w:t>
            </w:r>
            <w:r w:rsidRPr="0025404C">
              <w:rPr>
                <w:rFonts w:asciiTheme="minorHAnsi" w:hAnsiTheme="minorHAnsi" w:cs="Source Sans Pro Light"/>
                <w:i/>
                <w:iCs/>
                <w:sz w:val="17"/>
                <w:szCs w:val="17"/>
              </w:rPr>
              <w:t>Actuarial Costs in 2023-24 related to the scheme valuation work which was not conducted in 2022-23.</w:t>
            </w:r>
          </w:p>
          <w:p w14:paraId="5531D90D" w14:textId="77777777" w:rsidR="003076CA" w:rsidRPr="0025404C" w:rsidRDefault="003076CA" w:rsidP="003076CA">
            <w:pPr>
              <w:pStyle w:val="Default"/>
              <w:spacing w:after="120"/>
              <w:rPr>
                <w:rFonts w:asciiTheme="minorHAnsi" w:hAnsiTheme="minorHAnsi" w:cs="Source Sans Pro Light"/>
                <w:i/>
                <w:iCs/>
                <w:color w:val="auto"/>
                <w:sz w:val="17"/>
                <w:szCs w:val="17"/>
              </w:rPr>
            </w:pPr>
            <w:r w:rsidRPr="0025404C">
              <w:rPr>
                <w:rFonts w:asciiTheme="minorHAnsi" w:hAnsiTheme="minorHAnsi" w:cs="Source Sans Pro Light"/>
                <w:i/>
                <w:iCs/>
                <w:color w:val="auto"/>
                <w:sz w:val="17"/>
                <w:szCs w:val="17"/>
                <w:vertAlign w:val="superscript"/>
              </w:rPr>
              <w:t xml:space="preserve">b </w:t>
            </w:r>
            <w:r w:rsidRPr="0025404C">
              <w:rPr>
                <w:rFonts w:asciiTheme="minorHAnsi" w:hAnsiTheme="minorHAnsi" w:cs="Source Sans Pro Light"/>
                <w:i/>
                <w:iCs/>
                <w:color w:val="auto"/>
                <w:sz w:val="17"/>
                <w:szCs w:val="17"/>
              </w:rPr>
              <w:t xml:space="preserve">Physical and Sexual Abuse (PSA) Indemnity Scheme set up cost was a one-off initiative funded by the Territory in 2022-23 which included Contractor and Consultant expenses to assist with the concept design, business modelling, and set up of the new scheme. </w:t>
            </w:r>
          </w:p>
          <w:p w14:paraId="22AA4A68" w14:textId="746099C4" w:rsidR="008319B7" w:rsidRPr="0025404C" w:rsidRDefault="003076CA" w:rsidP="003076CA">
            <w:pPr>
              <w:autoSpaceDE w:val="0"/>
              <w:autoSpaceDN w:val="0"/>
              <w:adjustRightInd w:val="0"/>
              <w:spacing w:before="120" w:after="120" w:line="240" w:lineRule="auto"/>
              <w:jc w:val="both"/>
              <w:rPr>
                <w:rFonts w:ascii="Calibri" w:eastAsia="Calibri" w:hAnsi="Calibri" w:cs="Source Sans Pro Light"/>
                <w:i/>
                <w:iCs/>
                <w:sz w:val="17"/>
                <w:szCs w:val="17"/>
              </w:rPr>
            </w:pPr>
            <w:r w:rsidRPr="0025404C">
              <w:rPr>
                <w:rFonts w:cs="Source Sans Pro Light"/>
                <w:i/>
                <w:iCs/>
                <w:sz w:val="17"/>
                <w:szCs w:val="17"/>
                <w:vertAlign w:val="superscript"/>
              </w:rPr>
              <w:t xml:space="preserve">c </w:t>
            </w:r>
            <w:r w:rsidRPr="0025404C">
              <w:rPr>
                <w:rFonts w:cs="Source Sans Pro Light"/>
                <w:i/>
                <w:iCs/>
                <w:sz w:val="17"/>
                <w:szCs w:val="17"/>
              </w:rPr>
              <w:t>Rent Costs were lower in 2023-24 mainly due to a reduction of common area allocation expense from May 2023.</w:t>
            </w:r>
          </w:p>
        </w:tc>
      </w:tr>
    </w:tbl>
    <w:p w14:paraId="436A7549" w14:textId="04B5344E" w:rsidR="008319B7" w:rsidRDefault="008319B7" w:rsidP="00E969DA">
      <w:pPr>
        <w:spacing w:after="140" w:line="240" w:lineRule="auto"/>
        <w:jc w:val="both"/>
        <w:rPr>
          <w:rFonts w:ascii="Calibri" w:eastAsia="Calibri" w:hAnsi="Calibri" w:cs="Source Sans Pro Light"/>
          <w:color w:val="000000"/>
          <w:sz w:val="22"/>
          <w:szCs w:val="22"/>
        </w:rPr>
      </w:pPr>
    </w:p>
    <w:p w14:paraId="030792E8" w14:textId="5C39AA9B" w:rsidR="008B1345" w:rsidRPr="00EE4E74" w:rsidRDefault="008B1345" w:rsidP="00EE4E74">
      <w:pPr>
        <w:spacing w:after="0" w:line="240" w:lineRule="auto"/>
        <w:rPr>
          <w:rFonts w:ascii="Calibri" w:eastAsia="Calibri" w:hAnsi="Calibri" w:cs="Source Sans Pro Light"/>
          <w:color w:val="000000"/>
          <w:sz w:val="22"/>
          <w:szCs w:val="22"/>
        </w:rPr>
      </w:pPr>
      <w:r w:rsidRPr="00441CB8">
        <w:rPr>
          <w:rFonts w:ascii="Calibri" w:eastAsia="Times New Roman" w:hAnsi="Calibri" w:cs="Times New Roman"/>
          <w:b/>
          <w:caps/>
          <w:color w:val="492581" w:themeColor="accent1"/>
          <w:sz w:val="30"/>
          <w:szCs w:val="30"/>
        </w:rPr>
        <w:t>Assets NOTES</w:t>
      </w:r>
    </w:p>
    <w:p w14:paraId="549B71F2" w14:textId="77777777" w:rsidR="008B1345" w:rsidRPr="00441CB8" w:rsidRDefault="008B1345" w:rsidP="008B1345">
      <w:pPr>
        <w:autoSpaceDE w:val="0"/>
        <w:autoSpaceDN w:val="0"/>
        <w:adjustRightInd w:val="0"/>
        <w:spacing w:before="40" w:after="100" w:line="261" w:lineRule="atLeast"/>
        <w:rPr>
          <w:rFonts w:ascii="Calibri" w:eastAsia="Calibri" w:hAnsi="Calibri" w:cs="Montserrat Semi Bold"/>
          <w:b/>
          <w:bCs/>
          <w:color w:val="492581" w:themeColor="accent1"/>
          <w:sz w:val="22"/>
          <w:szCs w:val="22"/>
        </w:rPr>
      </w:pPr>
      <w:r w:rsidRPr="00441CB8">
        <w:rPr>
          <w:rFonts w:ascii="Calibri" w:eastAsia="Calibri" w:hAnsi="Calibri" w:cs="Montserrat Semi Bold"/>
          <w:b/>
          <w:bCs/>
          <w:color w:val="492581" w:themeColor="accent1"/>
          <w:sz w:val="22"/>
          <w:szCs w:val="22"/>
        </w:rPr>
        <w:t xml:space="preserve">Material Accounting Policies – Assets </w:t>
      </w:r>
    </w:p>
    <w:p w14:paraId="5EF060BE" w14:textId="77777777" w:rsidR="00B40949" w:rsidRDefault="00B40949" w:rsidP="008B1345">
      <w:pPr>
        <w:autoSpaceDE w:val="0"/>
        <w:autoSpaceDN w:val="0"/>
        <w:adjustRightInd w:val="0"/>
        <w:spacing w:before="40" w:after="100" w:line="261" w:lineRule="atLeast"/>
        <w:rPr>
          <w:rFonts w:ascii="Calibri" w:eastAsia="Calibri" w:hAnsi="Calibri" w:cs="Montserrat Semi Bold"/>
          <w:b/>
          <w:bCs/>
          <w:color w:val="000000"/>
          <w:sz w:val="22"/>
          <w:szCs w:val="22"/>
        </w:rPr>
      </w:pPr>
    </w:p>
    <w:p w14:paraId="6A6F3C70" w14:textId="695437DF" w:rsidR="008B1345" w:rsidRPr="008B1345" w:rsidRDefault="008B1345" w:rsidP="008B1345">
      <w:pPr>
        <w:autoSpaceDE w:val="0"/>
        <w:autoSpaceDN w:val="0"/>
        <w:adjustRightInd w:val="0"/>
        <w:spacing w:before="40" w:after="100" w:line="261" w:lineRule="atLeast"/>
        <w:rPr>
          <w:rFonts w:ascii="Calibri" w:eastAsia="Calibri" w:hAnsi="Calibri" w:cs="Montserrat Semi Bold"/>
          <w:b/>
          <w:bCs/>
          <w:color w:val="000000"/>
          <w:sz w:val="22"/>
          <w:szCs w:val="22"/>
        </w:rPr>
      </w:pPr>
      <w:r w:rsidRPr="008B1345">
        <w:rPr>
          <w:rFonts w:ascii="Calibri" w:eastAsia="Calibri" w:hAnsi="Calibri" w:cs="Montserrat Semi Bold"/>
          <w:b/>
          <w:bCs/>
          <w:color w:val="000000"/>
          <w:sz w:val="22"/>
          <w:szCs w:val="22"/>
        </w:rPr>
        <w:t>Assets- Current and Non-Current</w:t>
      </w:r>
    </w:p>
    <w:p w14:paraId="1AFD377F" w14:textId="77777777" w:rsidR="00237568" w:rsidRPr="008A11DA" w:rsidRDefault="00237568" w:rsidP="00237568">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Assets are classified as current where they are expected to be realised within 12 months after the reporting date. Assets, which do not fall within the current classification are classified as non-current.</w:t>
      </w:r>
    </w:p>
    <w:p w14:paraId="5108B1E7" w14:textId="77777777" w:rsidR="008B1345" w:rsidRPr="008B1345" w:rsidRDefault="008B1345" w:rsidP="008B1345">
      <w:pPr>
        <w:autoSpaceDE w:val="0"/>
        <w:autoSpaceDN w:val="0"/>
        <w:adjustRightInd w:val="0"/>
        <w:spacing w:before="40" w:after="100" w:line="261" w:lineRule="atLeast"/>
        <w:rPr>
          <w:rFonts w:ascii="Calibri" w:eastAsia="Calibri" w:hAnsi="Calibri" w:cs="Montserrat Semi Bold"/>
          <w:b/>
          <w:bCs/>
          <w:color w:val="000000"/>
          <w:sz w:val="22"/>
          <w:szCs w:val="22"/>
        </w:rPr>
      </w:pPr>
      <w:r w:rsidRPr="008B1345">
        <w:rPr>
          <w:rFonts w:ascii="Calibri" w:eastAsia="Calibri" w:hAnsi="Calibri" w:cs="Montserrat Semi Bold"/>
          <w:b/>
          <w:bCs/>
          <w:color w:val="000000"/>
          <w:sz w:val="22"/>
          <w:szCs w:val="22"/>
        </w:rPr>
        <w:t xml:space="preserve">Assets Backing General Insurance Liabilities </w:t>
      </w:r>
    </w:p>
    <w:p w14:paraId="3F70CB8C" w14:textId="77777777" w:rsidR="0073064F" w:rsidRPr="008A11DA" w:rsidRDefault="0073064F" w:rsidP="0073064F">
      <w:pPr>
        <w:pStyle w:val="Pa6"/>
        <w:spacing w:after="140" w:line="240" w:lineRule="auto"/>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The Authority holds assets to fund its outstanding claims liabilities.</w:t>
      </w:r>
    </w:p>
    <w:p w14:paraId="03CC9074" w14:textId="58034F63" w:rsidR="00880C41" w:rsidRDefault="0073064F" w:rsidP="0000434C">
      <w:pPr>
        <w:spacing w:after="140" w:line="240" w:lineRule="auto"/>
        <w:rPr>
          <w:rFonts w:cs="Source Sans Pro Light"/>
          <w:color w:val="000000"/>
          <w:sz w:val="22"/>
          <w:szCs w:val="22"/>
        </w:rPr>
      </w:pPr>
      <w:r w:rsidRPr="008A11DA">
        <w:rPr>
          <w:rFonts w:cs="Source Sans Pro Light"/>
          <w:color w:val="000000"/>
          <w:sz w:val="22"/>
          <w:szCs w:val="22"/>
        </w:rPr>
        <w:t>The Authority’s investment funds are managed by the Territory Banking Account within CMTEDD’s Asset Liability Management team.</w:t>
      </w:r>
    </w:p>
    <w:p w14:paraId="12095EC3" w14:textId="77777777" w:rsidR="00880C41" w:rsidRDefault="00880C41">
      <w:pPr>
        <w:spacing w:after="0" w:line="240" w:lineRule="auto"/>
        <w:rPr>
          <w:rFonts w:cs="Source Sans Pro Light"/>
          <w:color w:val="000000"/>
          <w:sz w:val="22"/>
          <w:szCs w:val="22"/>
        </w:rPr>
      </w:pPr>
      <w:r>
        <w:rPr>
          <w:rFonts w:cs="Source Sans Pro Light"/>
          <w:color w:val="000000"/>
          <w:sz w:val="22"/>
          <w:szCs w:val="22"/>
        </w:rPr>
        <w:br w:type="page"/>
      </w:r>
    </w:p>
    <w:p w14:paraId="7E093271" w14:textId="77777777" w:rsidR="00251240" w:rsidRPr="00251240" w:rsidRDefault="00251240" w:rsidP="00251240">
      <w:pPr>
        <w:autoSpaceDE w:val="0"/>
        <w:autoSpaceDN w:val="0"/>
        <w:adjustRightInd w:val="0"/>
        <w:spacing w:before="40" w:after="100" w:line="261" w:lineRule="atLeast"/>
        <w:rPr>
          <w:rFonts w:ascii="Calibri" w:eastAsia="Times New Roman" w:hAnsi="Calibri" w:cs="Times New Roman"/>
          <w:b/>
          <w:caps/>
          <w:snapToGrid w:val="0"/>
          <w:sz w:val="30"/>
          <w:szCs w:val="30"/>
        </w:rPr>
      </w:pPr>
      <w:bookmarkStart w:id="86" w:name="_Hlk11664830"/>
      <w:r w:rsidRPr="00251240">
        <w:rPr>
          <w:rFonts w:ascii="Calibri" w:eastAsia="Times New Roman" w:hAnsi="Calibri" w:cs="Times New Roman"/>
          <w:b/>
          <w:caps/>
          <w:snapToGrid w:val="0"/>
          <w:sz w:val="30"/>
          <w:szCs w:val="30"/>
        </w:rPr>
        <w:lastRenderedPageBreak/>
        <w:t>Note 11. CASH AND INVESTMENTs</w:t>
      </w:r>
    </w:p>
    <w:p w14:paraId="41E103AD" w14:textId="77777777" w:rsidR="00251240" w:rsidRPr="00251240" w:rsidRDefault="00251240" w:rsidP="00251240">
      <w:pPr>
        <w:autoSpaceDE w:val="0"/>
        <w:autoSpaceDN w:val="0"/>
        <w:adjustRightInd w:val="0"/>
        <w:spacing w:before="40" w:after="100" w:line="261" w:lineRule="atLeast"/>
        <w:rPr>
          <w:rFonts w:ascii="Calibri" w:eastAsia="Calibri" w:hAnsi="Calibri" w:cs="Calibri"/>
          <w:b/>
          <w:bCs/>
          <w:color w:val="000000"/>
          <w:sz w:val="22"/>
          <w:szCs w:val="22"/>
        </w:rPr>
      </w:pPr>
      <w:r w:rsidRPr="00251240">
        <w:rPr>
          <w:rFonts w:ascii="Calibri" w:eastAsia="Calibri" w:hAnsi="Calibri" w:cs="Calibri"/>
          <w:b/>
          <w:bCs/>
          <w:color w:val="000000"/>
          <w:sz w:val="22"/>
          <w:szCs w:val="22"/>
        </w:rPr>
        <w:t>Description and Material Accounting Policies Relating to Cash and Investments</w:t>
      </w:r>
    </w:p>
    <w:bookmarkEnd w:id="86"/>
    <w:p w14:paraId="46487FFB" w14:textId="77777777" w:rsidR="00C125AB" w:rsidRPr="009C3D63" w:rsidRDefault="00C125AB" w:rsidP="00C125AB">
      <w:pPr>
        <w:pStyle w:val="Pa11"/>
        <w:spacing w:before="40" w:after="100"/>
        <w:rPr>
          <w:rFonts w:asciiTheme="minorHAnsi" w:hAnsiTheme="minorHAnsi" w:cs="Montserrat Semi Bold"/>
          <w:i/>
          <w:iCs/>
          <w:color w:val="000000"/>
          <w:sz w:val="22"/>
          <w:szCs w:val="22"/>
        </w:rPr>
      </w:pPr>
      <w:r w:rsidRPr="009C3D63">
        <w:rPr>
          <w:rFonts w:asciiTheme="minorHAnsi" w:hAnsiTheme="minorHAnsi" w:cs="Montserrat Semi Bold"/>
          <w:i/>
          <w:iCs/>
          <w:color w:val="000000"/>
          <w:sz w:val="22"/>
          <w:szCs w:val="22"/>
        </w:rPr>
        <w:t>Cash</w:t>
      </w:r>
    </w:p>
    <w:p w14:paraId="6662AA81" w14:textId="6C5597C0" w:rsidR="00C125AB" w:rsidRPr="008A11DA" w:rsidRDefault="00C125AB" w:rsidP="00C125AB">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The Authority holds one bank account with Westpac Bank</w:t>
      </w:r>
      <w:r>
        <w:rPr>
          <w:rFonts w:asciiTheme="minorHAnsi" w:hAnsiTheme="minorHAnsi" w:cs="Source Sans Pro Light"/>
          <w:color w:val="000000"/>
          <w:sz w:val="22"/>
          <w:szCs w:val="22"/>
        </w:rPr>
        <w:t>ing Corporation</w:t>
      </w:r>
      <w:r w:rsidRPr="008A11DA">
        <w:rPr>
          <w:rFonts w:asciiTheme="minorHAnsi" w:hAnsiTheme="minorHAnsi" w:cs="Source Sans Pro Light"/>
          <w:color w:val="000000"/>
          <w:sz w:val="22"/>
          <w:szCs w:val="22"/>
        </w:rPr>
        <w:t xml:space="preserve"> as part of the whole-of-government banking arrangements. As part of these arrangements, the Authority </w:t>
      </w:r>
      <w:r>
        <w:rPr>
          <w:rFonts w:asciiTheme="minorHAnsi" w:hAnsiTheme="minorHAnsi" w:cs="Source Sans Pro Light"/>
          <w:color w:val="000000"/>
          <w:sz w:val="22"/>
          <w:szCs w:val="22"/>
        </w:rPr>
        <w:t xml:space="preserve">earns variable interest </w:t>
      </w:r>
      <w:r w:rsidRPr="00FB3354">
        <w:rPr>
          <w:rFonts w:asciiTheme="minorHAnsi" w:hAnsiTheme="minorHAnsi" w:cs="Source Sans Pro Light"/>
          <w:color w:val="000000"/>
          <w:sz w:val="22"/>
          <w:szCs w:val="22"/>
        </w:rPr>
        <w:t>on credit balances (currently 4.80% annual interest rate effective as at 30 June 2024 for balances greater than $50 million).</w:t>
      </w:r>
      <w:r>
        <w:rPr>
          <w:rFonts w:asciiTheme="minorHAnsi" w:hAnsiTheme="minorHAnsi" w:cs="Source Sans Pro Light"/>
          <w:color w:val="000000"/>
          <w:sz w:val="22"/>
          <w:szCs w:val="22"/>
        </w:rPr>
        <w:t xml:space="preserve"> </w:t>
      </w:r>
      <w:r w:rsidRPr="008A11DA">
        <w:rPr>
          <w:rFonts w:asciiTheme="minorHAnsi" w:hAnsiTheme="minorHAnsi" w:cs="Source Sans Pro Light"/>
          <w:color w:val="000000"/>
          <w:sz w:val="22"/>
          <w:szCs w:val="22"/>
        </w:rPr>
        <w:t>Cash includes</w:t>
      </w:r>
      <w:r>
        <w:rPr>
          <w:rFonts w:asciiTheme="minorHAnsi" w:hAnsiTheme="minorHAnsi" w:cs="Source Sans Pro Light"/>
          <w:color w:val="000000"/>
          <w:sz w:val="22"/>
          <w:szCs w:val="22"/>
        </w:rPr>
        <w:t xml:space="preserve"> c</w:t>
      </w:r>
      <w:r w:rsidRPr="008A11DA">
        <w:rPr>
          <w:rFonts w:asciiTheme="minorHAnsi" w:hAnsiTheme="minorHAnsi" w:cs="Source Sans Pro Light"/>
          <w:color w:val="000000"/>
          <w:sz w:val="22"/>
          <w:szCs w:val="22"/>
        </w:rPr>
        <w:t xml:space="preserve">ash at bank and cash on hand. </w:t>
      </w:r>
    </w:p>
    <w:p w14:paraId="72340D66" w14:textId="77777777" w:rsidR="00C125AB" w:rsidRPr="009C3D63" w:rsidRDefault="00C125AB" w:rsidP="00C125AB">
      <w:pPr>
        <w:pStyle w:val="Pa11"/>
        <w:spacing w:before="40" w:after="100"/>
        <w:rPr>
          <w:rFonts w:asciiTheme="minorHAnsi" w:hAnsiTheme="minorHAnsi" w:cs="Montserrat Semi Bold"/>
          <w:i/>
          <w:iCs/>
          <w:color w:val="000000"/>
          <w:sz w:val="22"/>
          <w:szCs w:val="22"/>
        </w:rPr>
      </w:pPr>
      <w:r w:rsidRPr="009C3D63">
        <w:rPr>
          <w:rFonts w:asciiTheme="minorHAnsi" w:hAnsiTheme="minorHAnsi" w:cs="Montserrat Semi Bold"/>
          <w:i/>
          <w:iCs/>
          <w:color w:val="000000"/>
          <w:sz w:val="22"/>
          <w:szCs w:val="22"/>
        </w:rPr>
        <w:t>Investments</w:t>
      </w:r>
    </w:p>
    <w:p w14:paraId="51F2E988" w14:textId="77777777" w:rsidR="00C125AB" w:rsidRPr="00177A67" w:rsidRDefault="00C125AB" w:rsidP="00C125AB">
      <w:pPr>
        <w:pStyle w:val="Pa6"/>
        <w:spacing w:after="140"/>
        <w:rPr>
          <w:rFonts w:ascii="Calibri" w:hAnsi="Calibri"/>
          <w:sz w:val="22"/>
          <w:szCs w:val="22"/>
        </w:rPr>
      </w:pPr>
      <w:r w:rsidRPr="00177A67">
        <w:rPr>
          <w:rFonts w:ascii="Calibri" w:hAnsi="Calibri"/>
          <w:sz w:val="22"/>
          <w:szCs w:val="22"/>
        </w:rPr>
        <w:t xml:space="preserve">The Investments by the Authority are made in accordance with the Treasurer’s approved ACT Insurance Authority Investment Plan. The Investment plan for the Authority outlines the Authority’s investment strategy and objectives in relation to investing its funds with the Territory Banking Account. The long-term investment return objective for the Authority’s financial investments is </w:t>
      </w:r>
      <w:r>
        <w:rPr>
          <w:rFonts w:ascii="Calibri" w:hAnsi="Calibri"/>
          <w:sz w:val="22"/>
          <w:szCs w:val="22"/>
        </w:rPr>
        <w:t xml:space="preserve">a long-term average </w:t>
      </w:r>
      <w:r w:rsidRPr="00177A67">
        <w:rPr>
          <w:rFonts w:ascii="Calibri" w:hAnsi="Calibri"/>
          <w:sz w:val="22"/>
          <w:szCs w:val="22"/>
        </w:rPr>
        <w:t>Consumer Price Index (CPI) + 2.5 per</w:t>
      </w:r>
      <w:r>
        <w:rPr>
          <w:rFonts w:ascii="Calibri" w:hAnsi="Calibri"/>
          <w:sz w:val="22"/>
          <w:szCs w:val="22"/>
        </w:rPr>
        <w:t xml:space="preserve"> </w:t>
      </w:r>
      <w:r w:rsidRPr="00177A67">
        <w:rPr>
          <w:rFonts w:ascii="Calibri" w:hAnsi="Calibri"/>
          <w:sz w:val="22"/>
          <w:szCs w:val="22"/>
        </w:rPr>
        <w:t>cent per annum.</w:t>
      </w:r>
    </w:p>
    <w:p w14:paraId="6EF5DA66" w14:textId="77777777" w:rsidR="00C125AB" w:rsidRPr="00177A67" w:rsidRDefault="00C125AB" w:rsidP="00C125AB">
      <w:pPr>
        <w:pStyle w:val="Pa6"/>
        <w:spacing w:after="140"/>
        <w:rPr>
          <w:rFonts w:ascii="Calibri" w:hAnsi="Calibri"/>
          <w:sz w:val="22"/>
          <w:szCs w:val="22"/>
        </w:rPr>
      </w:pPr>
      <w:r w:rsidRPr="00177A67">
        <w:rPr>
          <w:rFonts w:ascii="Calibri" w:hAnsi="Calibri"/>
          <w:sz w:val="22"/>
          <w:szCs w:val="22"/>
        </w:rPr>
        <w:t xml:space="preserve">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w:t>
      </w:r>
      <w:r>
        <w:rPr>
          <w:rFonts w:ascii="Calibri" w:hAnsi="Calibri"/>
          <w:sz w:val="22"/>
          <w:szCs w:val="22"/>
        </w:rPr>
        <w:t>operating statement</w:t>
      </w:r>
      <w:r w:rsidRPr="00177A67">
        <w:rPr>
          <w:rFonts w:ascii="Calibri" w:hAnsi="Calibri"/>
          <w:sz w:val="22"/>
          <w:szCs w:val="22"/>
        </w:rPr>
        <w:t xml:space="preserve"> with the carrying amount measured at fair value.</w:t>
      </w:r>
    </w:p>
    <w:p w14:paraId="68C86CA5" w14:textId="77777777" w:rsidR="00C125AB" w:rsidRPr="00177A67" w:rsidRDefault="00C125AB" w:rsidP="00C125AB">
      <w:pPr>
        <w:pStyle w:val="Pa6"/>
        <w:spacing w:after="140"/>
        <w:rPr>
          <w:rFonts w:ascii="Calibri" w:hAnsi="Calibri"/>
          <w:sz w:val="22"/>
          <w:szCs w:val="22"/>
        </w:rPr>
      </w:pPr>
      <w:r w:rsidRPr="00177A67">
        <w:rPr>
          <w:rFonts w:ascii="Calibri" w:hAnsi="Calibri"/>
          <w:sz w:val="22"/>
          <w:szCs w:val="22"/>
        </w:rPr>
        <w:t xml:space="preserve">Fair value is the price that would be received to sell an asset in an orderly transaction between market participants at the measurement date and reflects the best available prices of the underlying financial investments. </w:t>
      </w:r>
      <w:proofErr w:type="gramStart"/>
      <w:r w:rsidRPr="00177A67">
        <w:rPr>
          <w:rFonts w:ascii="Calibri" w:hAnsi="Calibri"/>
          <w:sz w:val="22"/>
          <w:szCs w:val="22"/>
        </w:rPr>
        <w:t>Subsequent to</w:t>
      </w:r>
      <w:proofErr w:type="gramEnd"/>
      <w:r w:rsidRPr="00177A67">
        <w:rPr>
          <w:rFonts w:ascii="Calibri" w:hAnsi="Calibri"/>
          <w:sz w:val="22"/>
          <w:szCs w:val="22"/>
        </w:rPr>
        <w:t xml:space="preserve"> initial measurement, investments are re-measured to fair value with changes in their fair value (gains/loss) recognised in the </w:t>
      </w:r>
      <w:r>
        <w:rPr>
          <w:rFonts w:ascii="Calibri" w:hAnsi="Calibri"/>
          <w:sz w:val="22"/>
          <w:szCs w:val="22"/>
        </w:rPr>
        <w:t>Operating Statement</w:t>
      </w:r>
      <w:r w:rsidRPr="00177A67">
        <w:rPr>
          <w:rFonts w:ascii="Calibri" w:hAnsi="Calibri"/>
          <w:sz w:val="22"/>
          <w:szCs w:val="22"/>
        </w:rPr>
        <w:t xml:space="preserve"> of the </w:t>
      </w:r>
      <w:r>
        <w:rPr>
          <w:rFonts w:ascii="Calibri" w:hAnsi="Calibri"/>
          <w:sz w:val="22"/>
          <w:szCs w:val="22"/>
        </w:rPr>
        <w:t>Authority</w:t>
      </w:r>
      <w:r w:rsidRPr="00177A67">
        <w:rPr>
          <w:rFonts w:ascii="Calibri" w:hAnsi="Calibri"/>
          <w:sz w:val="22"/>
          <w:szCs w:val="22"/>
        </w:rPr>
        <w:t>. Refer to Note 7: ‘</w:t>
      </w:r>
      <w:r>
        <w:rPr>
          <w:rFonts w:ascii="Calibri" w:hAnsi="Calibri"/>
          <w:sz w:val="22"/>
          <w:szCs w:val="22"/>
        </w:rPr>
        <w:t>Investment and Interest Revenue’</w:t>
      </w:r>
      <w:r w:rsidRPr="00177A67">
        <w:rPr>
          <w:rFonts w:ascii="Calibri" w:hAnsi="Calibri"/>
          <w:sz w:val="22"/>
          <w:szCs w:val="22"/>
        </w:rPr>
        <w:t xml:space="preserve"> for distributions earned on these investments and the gains and/or loss on remeasurement of investments.</w:t>
      </w:r>
    </w:p>
    <w:p w14:paraId="63DD2B43" w14:textId="6BFCDDDD" w:rsidR="00251240" w:rsidRPr="00251240" w:rsidRDefault="00C125AB" w:rsidP="00C125AB">
      <w:pPr>
        <w:autoSpaceDE w:val="0"/>
        <w:autoSpaceDN w:val="0"/>
        <w:adjustRightInd w:val="0"/>
        <w:spacing w:after="140" w:line="211" w:lineRule="atLeast"/>
        <w:jc w:val="both"/>
        <w:rPr>
          <w:rFonts w:ascii="Calibri" w:eastAsia="Calibri" w:hAnsi="Calibri" w:cs="Times New Roman"/>
          <w:sz w:val="22"/>
          <w:szCs w:val="22"/>
        </w:rPr>
      </w:pPr>
      <w:r w:rsidRPr="00177A67">
        <w:rPr>
          <w:rFonts w:ascii="Calibri" w:hAnsi="Calibri"/>
          <w:sz w:val="22"/>
          <w:szCs w:val="22"/>
        </w:rPr>
        <w:t>These long-term investments are classified as current because they are redeemable, subject to market conditions, on the request of the Authority</w:t>
      </w:r>
      <w:r w:rsidR="00251240" w:rsidRPr="00251240">
        <w:rPr>
          <w:rFonts w:ascii="Calibri" w:eastAsia="Calibri" w:hAnsi="Calibri" w:cs="Times New Roman"/>
          <w:sz w:val="22"/>
          <w:szCs w:val="22"/>
        </w:rPr>
        <w:t>.</w:t>
      </w:r>
    </w:p>
    <w:p w14:paraId="7B6FEBA5" w14:textId="77777777" w:rsidR="00251240" w:rsidRDefault="00251240">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32DA6B7F" w14:textId="50BA84F7" w:rsidR="00FA7721" w:rsidRPr="00251240" w:rsidRDefault="00FA7721" w:rsidP="00FA7721">
      <w:pPr>
        <w:autoSpaceDE w:val="0"/>
        <w:autoSpaceDN w:val="0"/>
        <w:adjustRightInd w:val="0"/>
        <w:spacing w:before="40" w:after="100" w:line="261" w:lineRule="atLeast"/>
        <w:rPr>
          <w:rFonts w:ascii="Calibri" w:eastAsia="Times New Roman" w:hAnsi="Calibri" w:cs="Times New Roman"/>
          <w:b/>
          <w:caps/>
          <w:snapToGrid w:val="0"/>
          <w:sz w:val="30"/>
          <w:szCs w:val="30"/>
        </w:rPr>
      </w:pPr>
      <w:r w:rsidRPr="00251240">
        <w:rPr>
          <w:rFonts w:ascii="Calibri" w:eastAsia="Times New Roman" w:hAnsi="Calibri" w:cs="Times New Roman"/>
          <w:b/>
          <w:caps/>
          <w:snapToGrid w:val="0"/>
          <w:sz w:val="30"/>
          <w:szCs w:val="30"/>
        </w:rPr>
        <w:lastRenderedPageBreak/>
        <w:t>Note 11. CASH AND INVESTMENTs</w:t>
      </w:r>
      <w:r>
        <w:rPr>
          <w:rFonts w:ascii="Calibri" w:eastAsia="Times New Roman" w:hAnsi="Calibri" w:cs="Times New Roman"/>
          <w:b/>
          <w:caps/>
          <w:snapToGrid w:val="0"/>
          <w:sz w:val="30"/>
          <w:szCs w:val="30"/>
        </w:rPr>
        <w:t xml:space="preserve"> - CONTINUED</w:t>
      </w:r>
    </w:p>
    <w:p w14:paraId="36D19E9A" w14:textId="39511DC8" w:rsidR="00251240" w:rsidRPr="00251240" w:rsidRDefault="00251240" w:rsidP="00251240">
      <w:pPr>
        <w:autoSpaceDE w:val="0"/>
        <w:autoSpaceDN w:val="0"/>
        <w:adjustRightInd w:val="0"/>
        <w:spacing w:before="40" w:after="100" w:line="261" w:lineRule="atLeast"/>
        <w:rPr>
          <w:rFonts w:ascii="Calibri" w:eastAsia="Calibri" w:hAnsi="Calibri" w:cs="Montserrat Semi Bold"/>
          <w:b/>
          <w:bCs/>
          <w:color w:val="000000"/>
          <w:sz w:val="22"/>
          <w:szCs w:val="22"/>
        </w:rPr>
      </w:pPr>
      <w:r w:rsidRPr="00251240">
        <w:rPr>
          <w:rFonts w:ascii="Calibri" w:eastAsia="Calibri" w:hAnsi="Calibri" w:cs="Montserrat Semi Bold"/>
          <w:b/>
          <w:bCs/>
          <w:color w:val="000000"/>
          <w:sz w:val="22"/>
          <w:szCs w:val="22"/>
        </w:rPr>
        <w:t>Cash and Investment Balances</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8B7BA3" w:rsidRPr="008B7BA3" w14:paraId="25ADF084" w14:textId="77777777" w:rsidTr="00D93562">
        <w:trPr>
          <w:cantSplit/>
        </w:trPr>
        <w:tc>
          <w:tcPr>
            <w:tcW w:w="5529" w:type="dxa"/>
            <w:tcBorders>
              <w:top w:val="single" w:sz="12" w:space="0" w:color="492581" w:themeColor="accent1"/>
              <w:bottom w:val="single" w:sz="12" w:space="0" w:color="492581" w:themeColor="accent1"/>
            </w:tcBorders>
          </w:tcPr>
          <w:p w14:paraId="16A25D38" w14:textId="77777777" w:rsidR="008B7BA3" w:rsidRPr="008B7BA3" w:rsidRDefault="008B7BA3" w:rsidP="008B7BA3">
            <w:pPr>
              <w:spacing w:after="0" w:line="240" w:lineRule="auto"/>
              <w:ind w:left="34"/>
              <w:rPr>
                <w:rFonts w:ascii="Calibri" w:eastAsia="Times New Roman" w:hAnsi="Calibri" w:cs="Times New Roman"/>
                <w:b/>
                <w:bCs/>
                <w:sz w:val="18"/>
                <w:szCs w:val="18"/>
              </w:rPr>
            </w:pPr>
          </w:p>
        </w:tc>
        <w:tc>
          <w:tcPr>
            <w:tcW w:w="709" w:type="dxa"/>
            <w:tcBorders>
              <w:top w:val="single" w:sz="12" w:space="0" w:color="492581" w:themeColor="accent1"/>
              <w:bottom w:val="single" w:sz="12" w:space="0" w:color="492581" w:themeColor="accent1"/>
            </w:tcBorders>
          </w:tcPr>
          <w:p w14:paraId="6DDEFE1D" w14:textId="77777777" w:rsidR="008B7BA3" w:rsidRPr="008B7BA3" w:rsidRDefault="008B7BA3" w:rsidP="008B7BA3">
            <w:pPr>
              <w:spacing w:after="0" w:line="240" w:lineRule="auto"/>
              <w:jc w:val="center"/>
              <w:rPr>
                <w:rFonts w:ascii="Calibri" w:eastAsia="Times New Roman" w:hAnsi="Calibri" w:cs="Times New Roman"/>
                <w:b/>
                <w:sz w:val="18"/>
                <w:szCs w:val="18"/>
              </w:rPr>
            </w:pPr>
            <w:r w:rsidRPr="008B7BA3">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1EC79766" w14:textId="3D79020A"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202</w:t>
            </w:r>
            <w:r w:rsidR="00C71A0F">
              <w:rPr>
                <w:rFonts w:ascii="Calibri" w:eastAsia="Times New Roman" w:hAnsi="Calibri" w:cs="Times New Roman"/>
                <w:b/>
                <w:sz w:val="18"/>
                <w:szCs w:val="18"/>
              </w:rPr>
              <w:t>4</w:t>
            </w:r>
          </w:p>
          <w:p w14:paraId="6A07D714"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49D30EDB" w14:textId="77777777" w:rsidR="008B7BA3" w:rsidRPr="008B7BA3" w:rsidRDefault="008B7BA3" w:rsidP="008B7BA3">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40EDB350" w14:textId="29135A1D"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202</w:t>
            </w:r>
            <w:r w:rsidR="00C71A0F">
              <w:rPr>
                <w:rFonts w:ascii="Calibri" w:eastAsia="Times New Roman" w:hAnsi="Calibri" w:cs="Times New Roman"/>
                <w:b/>
                <w:sz w:val="18"/>
                <w:szCs w:val="18"/>
              </w:rPr>
              <w:t>3</w:t>
            </w:r>
          </w:p>
          <w:p w14:paraId="7A04D009" w14:textId="77777777" w:rsidR="008B7BA3" w:rsidRPr="008B7BA3" w:rsidRDefault="008B7BA3" w:rsidP="008B7BA3">
            <w:pPr>
              <w:spacing w:after="0" w:line="240" w:lineRule="auto"/>
              <w:jc w:val="right"/>
              <w:rPr>
                <w:rFonts w:ascii="Calibri" w:eastAsia="Times New Roman" w:hAnsi="Calibri" w:cs="Times New Roman"/>
                <w:b/>
                <w:sz w:val="18"/>
                <w:szCs w:val="18"/>
              </w:rPr>
            </w:pPr>
            <w:r w:rsidRPr="008B7BA3">
              <w:rPr>
                <w:rFonts w:ascii="Calibri" w:eastAsia="Times New Roman" w:hAnsi="Calibri" w:cs="Times New Roman"/>
                <w:b/>
                <w:sz w:val="18"/>
                <w:szCs w:val="18"/>
              </w:rPr>
              <w:t>$’000</w:t>
            </w:r>
          </w:p>
        </w:tc>
      </w:tr>
      <w:tr w:rsidR="00973801" w:rsidRPr="008B7BA3" w14:paraId="5962F67C" w14:textId="77777777" w:rsidTr="00E22DEB">
        <w:trPr>
          <w:cantSplit/>
        </w:trPr>
        <w:tc>
          <w:tcPr>
            <w:tcW w:w="5529" w:type="dxa"/>
          </w:tcPr>
          <w:p w14:paraId="1CF0CC8D" w14:textId="5DCF83BD" w:rsidR="00973801" w:rsidRPr="00D50C24" w:rsidRDefault="00973801" w:rsidP="00973801">
            <w:pPr>
              <w:spacing w:before="40" w:after="40" w:line="240" w:lineRule="auto"/>
              <w:rPr>
                <w:rFonts w:ascii="Calibri" w:eastAsia="Times New Roman" w:hAnsi="Calibri" w:cs="Times New Roman"/>
                <w:b/>
                <w:sz w:val="18"/>
                <w:szCs w:val="18"/>
              </w:rPr>
            </w:pPr>
            <w:r w:rsidRPr="00D50C24">
              <w:rPr>
                <w:b/>
                <w:sz w:val="18"/>
                <w:szCs w:val="18"/>
              </w:rPr>
              <w:t>Current Cash and Investments</w:t>
            </w:r>
          </w:p>
        </w:tc>
        <w:tc>
          <w:tcPr>
            <w:tcW w:w="709" w:type="dxa"/>
            <w:tcBorders>
              <w:top w:val="single" w:sz="12" w:space="0" w:color="492581" w:themeColor="accent1"/>
            </w:tcBorders>
          </w:tcPr>
          <w:p w14:paraId="5CE3F378" w14:textId="77777777" w:rsidR="00973801" w:rsidRPr="008B7BA3" w:rsidRDefault="00973801" w:rsidP="00973801">
            <w:pPr>
              <w:spacing w:before="40" w:after="40" w:line="240" w:lineRule="auto"/>
              <w:jc w:val="center"/>
              <w:rPr>
                <w:rFonts w:ascii="Calibri" w:eastAsia="Times New Roman" w:hAnsi="Calibri" w:cs="Times New Roman"/>
                <w:b/>
                <w:sz w:val="18"/>
                <w:szCs w:val="18"/>
              </w:rPr>
            </w:pPr>
          </w:p>
        </w:tc>
        <w:tc>
          <w:tcPr>
            <w:tcW w:w="1417" w:type="dxa"/>
          </w:tcPr>
          <w:p w14:paraId="30002FEA" w14:textId="77777777" w:rsidR="00973801" w:rsidRPr="00973801" w:rsidRDefault="00973801" w:rsidP="00973801">
            <w:pPr>
              <w:spacing w:before="40" w:after="40" w:line="240" w:lineRule="auto"/>
              <w:jc w:val="right"/>
              <w:rPr>
                <w:rFonts w:ascii="Calibri" w:eastAsia="Times New Roman" w:hAnsi="Calibri" w:cs="Times New Roman"/>
                <w:b/>
                <w:sz w:val="18"/>
                <w:szCs w:val="18"/>
              </w:rPr>
            </w:pPr>
          </w:p>
        </w:tc>
        <w:tc>
          <w:tcPr>
            <w:tcW w:w="567" w:type="dxa"/>
            <w:vAlign w:val="center"/>
          </w:tcPr>
          <w:p w14:paraId="123AFE60"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Pr>
          <w:p w14:paraId="7C3D5E98" w14:textId="77777777" w:rsidR="00973801" w:rsidRPr="00973801" w:rsidRDefault="00973801" w:rsidP="00973801">
            <w:pPr>
              <w:spacing w:before="40" w:after="40" w:line="240" w:lineRule="auto"/>
              <w:jc w:val="right"/>
              <w:rPr>
                <w:rFonts w:ascii="Calibri" w:eastAsia="Times New Roman" w:hAnsi="Calibri" w:cs="Times New Roman"/>
                <w:sz w:val="18"/>
                <w:szCs w:val="18"/>
              </w:rPr>
            </w:pPr>
          </w:p>
        </w:tc>
      </w:tr>
      <w:tr w:rsidR="00973801" w:rsidRPr="008B7BA3" w14:paraId="4B95345F" w14:textId="77777777" w:rsidTr="00323290">
        <w:trPr>
          <w:cantSplit/>
        </w:trPr>
        <w:tc>
          <w:tcPr>
            <w:tcW w:w="5529" w:type="dxa"/>
          </w:tcPr>
          <w:p w14:paraId="4496EA42" w14:textId="2FAC06E1" w:rsidR="00973801" w:rsidRPr="00D50C24" w:rsidRDefault="00973801" w:rsidP="00973801">
            <w:pPr>
              <w:spacing w:before="40" w:after="40" w:line="240" w:lineRule="auto"/>
              <w:rPr>
                <w:rFonts w:ascii="Calibri" w:eastAsia="Times New Roman" w:hAnsi="Calibri" w:cs="Times New Roman"/>
                <w:bCs/>
                <w:sz w:val="18"/>
                <w:szCs w:val="18"/>
              </w:rPr>
            </w:pPr>
            <w:r w:rsidRPr="00D50C24">
              <w:rPr>
                <w:bCs/>
                <w:sz w:val="18"/>
                <w:szCs w:val="18"/>
              </w:rPr>
              <w:t>Cash on Hand</w:t>
            </w:r>
          </w:p>
        </w:tc>
        <w:tc>
          <w:tcPr>
            <w:tcW w:w="709" w:type="dxa"/>
          </w:tcPr>
          <w:p w14:paraId="6CA5BF70" w14:textId="77777777" w:rsidR="00973801" w:rsidRPr="008B7BA3" w:rsidRDefault="00973801" w:rsidP="00973801">
            <w:pPr>
              <w:spacing w:before="40" w:after="40" w:line="240" w:lineRule="auto"/>
              <w:jc w:val="center"/>
              <w:rPr>
                <w:rFonts w:ascii="Calibri" w:eastAsia="Times New Roman" w:hAnsi="Calibri" w:cs="Times New Roman"/>
                <w:b/>
                <w:sz w:val="18"/>
                <w:szCs w:val="18"/>
              </w:rPr>
            </w:pPr>
          </w:p>
        </w:tc>
        <w:tc>
          <w:tcPr>
            <w:tcW w:w="1417" w:type="dxa"/>
          </w:tcPr>
          <w:p w14:paraId="2DAE273F" w14:textId="3B61BB0C"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61,536</w:t>
            </w:r>
          </w:p>
        </w:tc>
        <w:tc>
          <w:tcPr>
            <w:tcW w:w="567" w:type="dxa"/>
            <w:vAlign w:val="center"/>
          </w:tcPr>
          <w:p w14:paraId="0D246399"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Pr>
          <w:p w14:paraId="480D918A" w14:textId="650137CA" w:rsidR="00973801" w:rsidRPr="00973801" w:rsidRDefault="00973801" w:rsidP="00973801">
            <w:pPr>
              <w:spacing w:before="40" w:after="40" w:line="240" w:lineRule="auto"/>
              <w:jc w:val="right"/>
              <w:rPr>
                <w:rFonts w:ascii="Calibri" w:eastAsia="Times New Roman" w:hAnsi="Calibri" w:cs="Calibri"/>
                <w:bCs/>
                <w:sz w:val="18"/>
                <w:szCs w:val="18"/>
                <w:highlight w:val="yellow"/>
              </w:rPr>
            </w:pPr>
            <w:r w:rsidRPr="00973801">
              <w:rPr>
                <w:bCs/>
                <w:sz w:val="18"/>
                <w:szCs w:val="18"/>
              </w:rPr>
              <w:t>21,537</w:t>
            </w:r>
          </w:p>
        </w:tc>
      </w:tr>
      <w:tr w:rsidR="00973801" w:rsidRPr="008B7BA3" w14:paraId="61268353" w14:textId="77777777" w:rsidTr="00E22DEB">
        <w:trPr>
          <w:cantSplit/>
        </w:trPr>
        <w:tc>
          <w:tcPr>
            <w:tcW w:w="5529" w:type="dxa"/>
          </w:tcPr>
          <w:p w14:paraId="3607072A" w14:textId="49ED86A6" w:rsidR="00973801" w:rsidRPr="00D50C24" w:rsidRDefault="00973801" w:rsidP="00973801">
            <w:pPr>
              <w:spacing w:before="40" w:after="40" w:line="240" w:lineRule="auto"/>
              <w:rPr>
                <w:rFonts w:ascii="Calibri" w:eastAsia="Times New Roman" w:hAnsi="Calibri" w:cs="Times New Roman"/>
                <w:bCs/>
                <w:sz w:val="18"/>
                <w:szCs w:val="18"/>
              </w:rPr>
            </w:pPr>
            <w:r w:rsidRPr="00D50C24">
              <w:rPr>
                <w:bCs/>
                <w:sz w:val="18"/>
                <w:szCs w:val="18"/>
              </w:rPr>
              <w:t xml:space="preserve">Cash on Hand – Builders Warranty Insurance </w:t>
            </w:r>
          </w:p>
        </w:tc>
        <w:tc>
          <w:tcPr>
            <w:tcW w:w="709" w:type="dxa"/>
          </w:tcPr>
          <w:p w14:paraId="46AAAA41" w14:textId="51854E0F" w:rsidR="00973801" w:rsidRPr="008B7BA3" w:rsidRDefault="00973801" w:rsidP="00973801">
            <w:pPr>
              <w:spacing w:before="40" w:after="40" w:line="240" w:lineRule="auto"/>
              <w:jc w:val="center"/>
              <w:rPr>
                <w:rFonts w:ascii="Calibri" w:eastAsia="Times New Roman" w:hAnsi="Calibri" w:cs="Times New Roman"/>
                <w:bCs/>
                <w:sz w:val="18"/>
                <w:szCs w:val="18"/>
              </w:rPr>
            </w:pPr>
            <w:r w:rsidRPr="008B7BA3">
              <w:rPr>
                <w:rFonts w:ascii="Calibri" w:eastAsia="Times New Roman" w:hAnsi="Calibri" w:cs="Times New Roman"/>
                <w:bCs/>
                <w:sz w:val="18"/>
                <w:szCs w:val="18"/>
              </w:rPr>
              <w:t>2</w:t>
            </w:r>
            <w:r>
              <w:rPr>
                <w:rFonts w:ascii="Calibri" w:eastAsia="Times New Roman" w:hAnsi="Calibri" w:cs="Times New Roman"/>
                <w:bCs/>
                <w:sz w:val="18"/>
                <w:szCs w:val="18"/>
              </w:rPr>
              <w:t>1</w:t>
            </w:r>
          </w:p>
        </w:tc>
        <w:tc>
          <w:tcPr>
            <w:tcW w:w="1417" w:type="dxa"/>
            <w:tcBorders>
              <w:bottom w:val="single" w:sz="2" w:space="0" w:color="auto"/>
            </w:tcBorders>
          </w:tcPr>
          <w:p w14:paraId="1C524AD8" w14:textId="1D3F0A80"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7,332</w:t>
            </w:r>
          </w:p>
        </w:tc>
        <w:tc>
          <w:tcPr>
            <w:tcW w:w="567" w:type="dxa"/>
            <w:tcBorders>
              <w:bottom w:val="single" w:sz="2" w:space="0" w:color="auto"/>
            </w:tcBorders>
            <w:vAlign w:val="center"/>
          </w:tcPr>
          <w:p w14:paraId="1C0E0209"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2" w:space="0" w:color="auto"/>
            </w:tcBorders>
          </w:tcPr>
          <w:p w14:paraId="6070C445" w14:textId="2C74ACCC"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6,507</w:t>
            </w:r>
          </w:p>
        </w:tc>
      </w:tr>
      <w:tr w:rsidR="00973801" w:rsidRPr="008B7BA3" w14:paraId="5A002D13" w14:textId="77777777" w:rsidTr="00E22DEB">
        <w:trPr>
          <w:cantSplit/>
        </w:trPr>
        <w:tc>
          <w:tcPr>
            <w:tcW w:w="5529" w:type="dxa"/>
          </w:tcPr>
          <w:p w14:paraId="1D88F573" w14:textId="7336A074" w:rsidR="00973801" w:rsidRPr="00D50C24" w:rsidRDefault="00973801" w:rsidP="00973801">
            <w:pPr>
              <w:spacing w:before="40" w:after="40" w:line="240" w:lineRule="auto"/>
              <w:rPr>
                <w:rFonts w:ascii="Calibri" w:eastAsia="Times New Roman" w:hAnsi="Calibri" w:cs="Times New Roman"/>
                <w:bCs/>
                <w:sz w:val="18"/>
                <w:szCs w:val="18"/>
              </w:rPr>
            </w:pPr>
            <w:r w:rsidRPr="00D50C24">
              <w:rPr>
                <w:bCs/>
                <w:sz w:val="18"/>
                <w:szCs w:val="18"/>
              </w:rPr>
              <w:t>Total Cash and Cash Equivalents</w:t>
            </w:r>
          </w:p>
        </w:tc>
        <w:tc>
          <w:tcPr>
            <w:tcW w:w="709" w:type="dxa"/>
          </w:tcPr>
          <w:p w14:paraId="2A3CFEA4" w14:textId="77777777" w:rsidR="00973801" w:rsidRPr="008B7BA3" w:rsidRDefault="00973801" w:rsidP="00973801">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0101A675" w14:textId="49BDEEF8"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68,868</w:t>
            </w:r>
          </w:p>
        </w:tc>
        <w:tc>
          <w:tcPr>
            <w:tcW w:w="567" w:type="dxa"/>
            <w:tcBorders>
              <w:top w:val="single" w:sz="2" w:space="0" w:color="auto"/>
              <w:bottom w:val="single" w:sz="2" w:space="0" w:color="auto"/>
            </w:tcBorders>
            <w:vAlign w:val="center"/>
          </w:tcPr>
          <w:p w14:paraId="375B97EB"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4FDFDBCD" w14:textId="179E2EC7"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28,044</w:t>
            </w:r>
          </w:p>
        </w:tc>
      </w:tr>
      <w:tr w:rsidR="00973801" w:rsidRPr="008B7BA3" w14:paraId="1B31214F" w14:textId="77777777" w:rsidTr="00E22DEB">
        <w:trPr>
          <w:cantSplit/>
        </w:trPr>
        <w:tc>
          <w:tcPr>
            <w:tcW w:w="5529" w:type="dxa"/>
          </w:tcPr>
          <w:p w14:paraId="53CE176E" w14:textId="77777777" w:rsidR="00973801" w:rsidRPr="00D50C24" w:rsidRDefault="00973801" w:rsidP="00973801">
            <w:pPr>
              <w:spacing w:before="40" w:after="40" w:line="240" w:lineRule="auto"/>
              <w:rPr>
                <w:rFonts w:ascii="Calibri" w:eastAsia="Times New Roman" w:hAnsi="Calibri" w:cs="Times New Roman"/>
                <w:b/>
                <w:sz w:val="18"/>
                <w:szCs w:val="18"/>
              </w:rPr>
            </w:pPr>
          </w:p>
        </w:tc>
        <w:tc>
          <w:tcPr>
            <w:tcW w:w="709" w:type="dxa"/>
          </w:tcPr>
          <w:p w14:paraId="2465B586" w14:textId="77777777" w:rsidR="00973801" w:rsidRPr="008B7BA3" w:rsidRDefault="00973801" w:rsidP="00973801">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6CF191FF" w14:textId="77777777"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p>
        </w:tc>
        <w:tc>
          <w:tcPr>
            <w:tcW w:w="567" w:type="dxa"/>
            <w:tcBorders>
              <w:top w:val="single" w:sz="2" w:space="0" w:color="auto"/>
            </w:tcBorders>
            <w:vAlign w:val="center"/>
          </w:tcPr>
          <w:p w14:paraId="0A7AC5F2"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23089461" w14:textId="77777777"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p>
        </w:tc>
      </w:tr>
      <w:tr w:rsidR="00973801" w:rsidRPr="008B7BA3" w14:paraId="7B8C0D0B" w14:textId="77777777" w:rsidTr="00BA4261">
        <w:trPr>
          <w:cantSplit/>
        </w:trPr>
        <w:tc>
          <w:tcPr>
            <w:tcW w:w="5529" w:type="dxa"/>
            <w:vAlign w:val="bottom"/>
          </w:tcPr>
          <w:p w14:paraId="46D7A5E5" w14:textId="226573B3" w:rsidR="00973801" w:rsidRPr="00D50C24" w:rsidRDefault="00973801" w:rsidP="00973801">
            <w:pPr>
              <w:spacing w:before="40" w:after="40" w:line="240" w:lineRule="auto"/>
              <w:rPr>
                <w:rFonts w:ascii="Calibri" w:eastAsia="Times New Roman" w:hAnsi="Calibri" w:cs="Times New Roman"/>
                <w:sz w:val="18"/>
                <w:szCs w:val="18"/>
              </w:rPr>
            </w:pPr>
            <w:r w:rsidRPr="00D50C24">
              <w:rPr>
                <w:sz w:val="18"/>
                <w:szCs w:val="18"/>
              </w:rPr>
              <w:t>Investments with the Territory Banking Account</w:t>
            </w:r>
          </w:p>
        </w:tc>
        <w:tc>
          <w:tcPr>
            <w:tcW w:w="709" w:type="dxa"/>
          </w:tcPr>
          <w:p w14:paraId="5A0425FF" w14:textId="77777777" w:rsidR="00973801" w:rsidRPr="008B7BA3" w:rsidRDefault="00973801" w:rsidP="00973801">
            <w:pPr>
              <w:spacing w:before="40" w:after="40" w:line="240" w:lineRule="auto"/>
              <w:jc w:val="center"/>
              <w:rPr>
                <w:rFonts w:ascii="Calibri" w:eastAsia="Times New Roman" w:hAnsi="Calibri" w:cs="Times New Roman"/>
                <w:sz w:val="18"/>
                <w:szCs w:val="18"/>
              </w:rPr>
            </w:pPr>
          </w:p>
        </w:tc>
        <w:tc>
          <w:tcPr>
            <w:tcW w:w="1417" w:type="dxa"/>
            <w:tcBorders>
              <w:bottom w:val="single" w:sz="2" w:space="0" w:color="auto"/>
            </w:tcBorders>
          </w:tcPr>
          <w:p w14:paraId="6C327F60" w14:textId="705FF0C4" w:rsidR="00973801" w:rsidRPr="00973801" w:rsidRDefault="00973801" w:rsidP="00973801">
            <w:pPr>
              <w:spacing w:before="40" w:after="40" w:line="240" w:lineRule="auto"/>
              <w:jc w:val="right"/>
              <w:rPr>
                <w:rFonts w:ascii="Calibri" w:eastAsia="Times New Roman" w:hAnsi="Calibri" w:cs="Times New Roman"/>
                <w:bCs/>
                <w:sz w:val="18"/>
                <w:szCs w:val="18"/>
                <w:highlight w:val="yellow"/>
              </w:rPr>
            </w:pPr>
            <w:r w:rsidRPr="00973801">
              <w:rPr>
                <w:bCs/>
                <w:sz w:val="18"/>
                <w:szCs w:val="18"/>
              </w:rPr>
              <w:t>341,450</w:t>
            </w:r>
          </w:p>
        </w:tc>
        <w:tc>
          <w:tcPr>
            <w:tcW w:w="567" w:type="dxa"/>
            <w:tcBorders>
              <w:bottom w:val="single" w:sz="2" w:space="0" w:color="auto"/>
            </w:tcBorders>
            <w:vAlign w:val="center"/>
          </w:tcPr>
          <w:p w14:paraId="684D7A9C" w14:textId="77777777"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2" w:space="0" w:color="auto"/>
            </w:tcBorders>
          </w:tcPr>
          <w:p w14:paraId="7F65B2DF" w14:textId="6404502E" w:rsidR="00973801" w:rsidRPr="00973801" w:rsidRDefault="00973801" w:rsidP="00973801">
            <w:pPr>
              <w:spacing w:before="40" w:after="40" w:line="240" w:lineRule="auto"/>
              <w:jc w:val="right"/>
              <w:rPr>
                <w:rFonts w:ascii="Calibri" w:eastAsia="Times New Roman" w:hAnsi="Calibri" w:cs="Times New Roman"/>
                <w:sz w:val="18"/>
                <w:szCs w:val="18"/>
                <w:highlight w:val="yellow"/>
              </w:rPr>
            </w:pPr>
            <w:r w:rsidRPr="00973801">
              <w:rPr>
                <w:bCs/>
                <w:sz w:val="18"/>
                <w:szCs w:val="18"/>
              </w:rPr>
              <w:t>350,879</w:t>
            </w:r>
          </w:p>
        </w:tc>
      </w:tr>
      <w:tr w:rsidR="00973801" w:rsidRPr="008B7BA3" w14:paraId="16E856F7" w14:textId="77777777" w:rsidTr="00BA4261">
        <w:trPr>
          <w:cantSplit/>
        </w:trPr>
        <w:tc>
          <w:tcPr>
            <w:tcW w:w="5529" w:type="dxa"/>
            <w:tcBorders>
              <w:bottom w:val="single" w:sz="12" w:space="0" w:color="492581" w:themeColor="accent1"/>
            </w:tcBorders>
          </w:tcPr>
          <w:p w14:paraId="46DD5EE6" w14:textId="0DDC5DC9" w:rsidR="00973801" w:rsidRPr="00D50C24" w:rsidRDefault="00973801" w:rsidP="00973801">
            <w:pPr>
              <w:spacing w:before="40" w:after="40" w:line="240" w:lineRule="auto"/>
              <w:rPr>
                <w:rFonts w:ascii="Calibri" w:eastAsia="Times New Roman" w:hAnsi="Calibri" w:cs="Times New Roman"/>
                <w:sz w:val="18"/>
                <w:szCs w:val="18"/>
              </w:rPr>
            </w:pPr>
            <w:r w:rsidRPr="00D50C24">
              <w:rPr>
                <w:b/>
                <w:sz w:val="18"/>
                <w:szCs w:val="18"/>
              </w:rPr>
              <w:t>Total Current Cash and Investments</w:t>
            </w:r>
          </w:p>
        </w:tc>
        <w:tc>
          <w:tcPr>
            <w:tcW w:w="709" w:type="dxa"/>
            <w:tcBorders>
              <w:bottom w:val="single" w:sz="12" w:space="0" w:color="492581" w:themeColor="accent1"/>
            </w:tcBorders>
          </w:tcPr>
          <w:p w14:paraId="358E79CB" w14:textId="77777777" w:rsidR="00973801" w:rsidRPr="008B7BA3" w:rsidRDefault="00973801" w:rsidP="00973801">
            <w:pPr>
              <w:tabs>
                <w:tab w:val="decimal" w:pos="33"/>
                <w:tab w:val="decimal" w:pos="743"/>
              </w:tabs>
              <w:spacing w:before="40" w:after="40" w:line="240" w:lineRule="auto"/>
              <w:jc w:val="center"/>
              <w:rPr>
                <w:rFonts w:ascii="Calibri" w:eastAsia="Times New Roman" w:hAnsi="Calibri" w:cs="Times New Roman"/>
                <w:b/>
                <w:sz w:val="18"/>
                <w:szCs w:val="18"/>
              </w:rPr>
            </w:pPr>
          </w:p>
        </w:tc>
        <w:tc>
          <w:tcPr>
            <w:tcW w:w="1417" w:type="dxa"/>
            <w:tcBorders>
              <w:top w:val="single" w:sz="2" w:space="0" w:color="auto"/>
              <w:bottom w:val="single" w:sz="12" w:space="0" w:color="492581" w:themeColor="accent1"/>
            </w:tcBorders>
          </w:tcPr>
          <w:p w14:paraId="35E32B3A" w14:textId="4944C2BE" w:rsidR="00973801" w:rsidRPr="00701ABB" w:rsidRDefault="00973801" w:rsidP="00973801">
            <w:pPr>
              <w:tabs>
                <w:tab w:val="decimal" w:pos="33"/>
                <w:tab w:val="decimal" w:pos="743"/>
              </w:tabs>
              <w:spacing w:before="40" w:after="40" w:line="240" w:lineRule="auto"/>
              <w:jc w:val="right"/>
              <w:rPr>
                <w:rFonts w:ascii="Calibri" w:eastAsia="Times New Roman" w:hAnsi="Calibri" w:cs="Times New Roman"/>
                <w:b/>
                <w:bCs/>
                <w:sz w:val="18"/>
                <w:szCs w:val="18"/>
                <w:highlight w:val="yellow"/>
              </w:rPr>
            </w:pPr>
            <w:r w:rsidRPr="00701ABB">
              <w:rPr>
                <w:b/>
                <w:bCs/>
                <w:sz w:val="18"/>
                <w:szCs w:val="18"/>
              </w:rPr>
              <w:t>410,318</w:t>
            </w:r>
          </w:p>
        </w:tc>
        <w:tc>
          <w:tcPr>
            <w:tcW w:w="567" w:type="dxa"/>
            <w:tcBorders>
              <w:top w:val="single" w:sz="2" w:space="0" w:color="auto"/>
              <w:bottom w:val="single" w:sz="12" w:space="0" w:color="492581" w:themeColor="accent1"/>
            </w:tcBorders>
            <w:vAlign w:val="center"/>
          </w:tcPr>
          <w:p w14:paraId="66FE18AC" w14:textId="77777777" w:rsidR="00973801" w:rsidRPr="00701ABB" w:rsidRDefault="00973801" w:rsidP="00973801">
            <w:pPr>
              <w:tabs>
                <w:tab w:val="decimal" w:pos="600"/>
              </w:tabs>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2" w:space="0" w:color="auto"/>
              <w:bottom w:val="single" w:sz="12" w:space="0" w:color="492581" w:themeColor="accent1"/>
            </w:tcBorders>
          </w:tcPr>
          <w:p w14:paraId="3D057F10" w14:textId="254AD82C" w:rsidR="00973801" w:rsidRPr="00701ABB" w:rsidRDefault="00973801" w:rsidP="00973801">
            <w:pPr>
              <w:tabs>
                <w:tab w:val="decimal" w:pos="33"/>
                <w:tab w:val="decimal" w:pos="743"/>
              </w:tabs>
              <w:spacing w:before="40" w:after="40" w:line="240" w:lineRule="auto"/>
              <w:jc w:val="right"/>
              <w:rPr>
                <w:rFonts w:ascii="Calibri" w:eastAsia="Times New Roman" w:hAnsi="Calibri" w:cs="Times New Roman"/>
                <w:b/>
                <w:bCs/>
                <w:sz w:val="18"/>
                <w:szCs w:val="18"/>
                <w:highlight w:val="yellow"/>
              </w:rPr>
            </w:pPr>
            <w:r w:rsidRPr="00701ABB">
              <w:rPr>
                <w:b/>
                <w:bCs/>
                <w:sz w:val="18"/>
                <w:szCs w:val="18"/>
              </w:rPr>
              <w:t>378,933</w:t>
            </w:r>
          </w:p>
        </w:tc>
      </w:tr>
      <w:tr w:rsidR="008B7BA3" w:rsidRPr="008B7BA3" w14:paraId="0DCFC60E" w14:textId="77777777" w:rsidTr="00BA4261">
        <w:trPr>
          <w:cantSplit/>
          <w:trHeight w:val="1052"/>
        </w:trPr>
        <w:tc>
          <w:tcPr>
            <w:tcW w:w="9640" w:type="dxa"/>
            <w:gridSpan w:val="5"/>
            <w:tcBorders>
              <w:top w:val="single" w:sz="12" w:space="0" w:color="492581" w:themeColor="accent1"/>
              <w:bottom w:val="single" w:sz="12" w:space="0" w:color="492581" w:themeColor="accent1"/>
            </w:tcBorders>
            <w:vAlign w:val="bottom"/>
          </w:tcPr>
          <w:p w14:paraId="6A5D0683" w14:textId="3E7F80D2" w:rsidR="008B7BA3" w:rsidRPr="00656D5C" w:rsidRDefault="00656D5C" w:rsidP="008B7BA3">
            <w:pPr>
              <w:autoSpaceDE w:val="0"/>
              <w:autoSpaceDN w:val="0"/>
              <w:adjustRightInd w:val="0"/>
              <w:spacing w:before="120" w:after="120" w:line="240" w:lineRule="auto"/>
              <w:jc w:val="both"/>
              <w:rPr>
                <w:rFonts w:ascii="Calibri" w:eastAsia="Calibri" w:hAnsi="Calibri" w:cs="Montserrat Semi Bold"/>
                <w:b/>
                <w:bCs/>
                <w:color w:val="000000"/>
                <w:sz w:val="18"/>
                <w:szCs w:val="18"/>
              </w:rPr>
            </w:pPr>
            <w:r w:rsidRPr="00656D5C">
              <w:rPr>
                <w:rFonts w:cs="Source Sans Pro Light"/>
                <w:i/>
                <w:iCs/>
                <w:sz w:val="18"/>
                <w:szCs w:val="18"/>
              </w:rPr>
              <w:t>The fair value of investments fluctuates year on year depending on the performance of the underlying financial investment exposures in the market as well as investment deposit or redemption transactions. In 2023-24 investments recorded a positive return of 9.88% due to an increase in market valuations mainly due to underlying gains on share investments (9.42% in 2022-23).</w:t>
            </w:r>
          </w:p>
        </w:tc>
      </w:tr>
    </w:tbl>
    <w:p w14:paraId="62BBB401" w14:textId="77777777" w:rsidR="00656D5C" w:rsidRDefault="00656D5C" w:rsidP="001E46E1">
      <w:pPr>
        <w:autoSpaceDE w:val="0"/>
        <w:autoSpaceDN w:val="0"/>
        <w:adjustRightInd w:val="0"/>
        <w:spacing w:before="40" w:after="100" w:line="261" w:lineRule="atLeast"/>
        <w:rPr>
          <w:rFonts w:ascii="Calibri" w:eastAsia="Calibri" w:hAnsi="Calibri" w:cs="Montserrat Semi Bold"/>
          <w:b/>
          <w:bCs/>
          <w:color w:val="000000"/>
          <w:sz w:val="22"/>
          <w:szCs w:val="22"/>
        </w:rPr>
      </w:pPr>
    </w:p>
    <w:p w14:paraId="55049E57" w14:textId="30DC4550" w:rsidR="001E46E1" w:rsidRP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 xml:space="preserve">Cash Flow Reconciliations </w:t>
      </w:r>
    </w:p>
    <w:p w14:paraId="2D3B62B2" w14:textId="77777777" w:rsidR="001E46E1" w:rsidRP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 xml:space="preserve">(a) Reconciliation of Cash and Cash Equivalents at the End of the Reporting Period in the Statement of Cash Flows to the equivalent items in the Balance Sheet </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1E46E1" w:rsidRPr="001E46E1" w14:paraId="3943A61F" w14:textId="77777777" w:rsidTr="00D93562">
        <w:trPr>
          <w:trHeight w:val="218"/>
        </w:trPr>
        <w:tc>
          <w:tcPr>
            <w:tcW w:w="7763" w:type="dxa"/>
            <w:gridSpan w:val="2"/>
            <w:tcBorders>
              <w:top w:val="single" w:sz="12" w:space="0" w:color="492581" w:themeColor="accent1"/>
              <w:bottom w:val="single" w:sz="12" w:space="0" w:color="492581" w:themeColor="accent1"/>
            </w:tcBorders>
          </w:tcPr>
          <w:p w14:paraId="5A462080" w14:textId="2AE065C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202</w:t>
            </w:r>
            <w:r w:rsidR="00C71A0F">
              <w:rPr>
                <w:rFonts w:ascii="Calibri" w:eastAsia="Calibri" w:hAnsi="Calibri" w:cs="Source Sans Pro SemiBold"/>
                <w:b/>
                <w:bCs/>
                <w:color w:val="000000"/>
                <w:sz w:val="18"/>
                <w:szCs w:val="18"/>
              </w:rPr>
              <w:t>4</w:t>
            </w:r>
            <w:r w:rsidRPr="001E46E1">
              <w:rPr>
                <w:rFonts w:ascii="Calibri" w:eastAsia="Calibri" w:hAnsi="Calibri" w:cs="Source Sans Pro SemiBold"/>
                <w:b/>
                <w:bCs/>
                <w:color w:val="000000"/>
                <w:sz w:val="18"/>
                <w:szCs w:val="18"/>
              </w:rPr>
              <w:br/>
              <w:t xml:space="preserve">$’000 </w:t>
            </w:r>
          </w:p>
        </w:tc>
        <w:tc>
          <w:tcPr>
            <w:tcW w:w="567" w:type="dxa"/>
            <w:tcBorders>
              <w:top w:val="single" w:sz="12" w:space="0" w:color="492581" w:themeColor="accent1"/>
              <w:bottom w:val="single" w:sz="12" w:space="0" w:color="492581" w:themeColor="accent1"/>
            </w:tcBorders>
          </w:tcPr>
          <w:p w14:paraId="4F59C689"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76" w:type="dxa"/>
            <w:tcBorders>
              <w:top w:val="single" w:sz="12" w:space="0" w:color="492581" w:themeColor="accent1"/>
              <w:bottom w:val="single" w:sz="12" w:space="0" w:color="492581" w:themeColor="accent1"/>
            </w:tcBorders>
          </w:tcPr>
          <w:p w14:paraId="42224F29" w14:textId="7AA1E3A6"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202</w:t>
            </w:r>
            <w:r w:rsidR="00C71A0F">
              <w:rPr>
                <w:rFonts w:ascii="Calibri" w:eastAsia="Calibri" w:hAnsi="Calibri" w:cs="Source Sans Pro SemiBold"/>
                <w:b/>
                <w:bCs/>
                <w:color w:val="000000"/>
                <w:sz w:val="18"/>
                <w:szCs w:val="18"/>
              </w:rPr>
              <w:t>3</w:t>
            </w:r>
            <w:r w:rsidRPr="001E46E1">
              <w:rPr>
                <w:rFonts w:ascii="Calibri" w:eastAsia="Calibri" w:hAnsi="Calibri" w:cs="Source Sans Pro SemiBold"/>
                <w:b/>
                <w:bCs/>
                <w:color w:val="000000"/>
                <w:sz w:val="18"/>
                <w:szCs w:val="18"/>
              </w:rPr>
              <w:br/>
              <w:t xml:space="preserve">$’000 </w:t>
            </w:r>
          </w:p>
        </w:tc>
      </w:tr>
      <w:tr w:rsidR="001E46E1" w:rsidRPr="001E46E1" w14:paraId="4F3E66BB" w14:textId="77777777" w:rsidTr="00D93562">
        <w:trPr>
          <w:trHeight w:val="218"/>
        </w:trPr>
        <w:tc>
          <w:tcPr>
            <w:tcW w:w="7763" w:type="dxa"/>
            <w:gridSpan w:val="2"/>
            <w:tcBorders>
              <w:top w:val="single" w:sz="12" w:space="0" w:color="492581" w:themeColor="accent1"/>
              <w:bottom w:val="nil"/>
            </w:tcBorders>
          </w:tcPr>
          <w:p w14:paraId="7348BF03"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567" w:type="dxa"/>
            <w:tcBorders>
              <w:top w:val="single" w:sz="12" w:space="0" w:color="492581" w:themeColor="accent1"/>
              <w:bottom w:val="nil"/>
            </w:tcBorders>
          </w:tcPr>
          <w:p w14:paraId="48D4C86E"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76" w:type="dxa"/>
            <w:tcBorders>
              <w:top w:val="single" w:sz="12" w:space="0" w:color="492581" w:themeColor="accent1"/>
              <w:bottom w:val="nil"/>
            </w:tcBorders>
          </w:tcPr>
          <w:p w14:paraId="261A04FF"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35594C" w:rsidRPr="001E46E1" w14:paraId="61DF4FF6" w14:textId="77777777" w:rsidTr="00833380">
        <w:trPr>
          <w:trHeight w:val="118"/>
        </w:trPr>
        <w:tc>
          <w:tcPr>
            <w:tcW w:w="6345" w:type="dxa"/>
            <w:tcBorders>
              <w:top w:val="nil"/>
              <w:bottom w:val="nil"/>
            </w:tcBorders>
          </w:tcPr>
          <w:p w14:paraId="27F7E156" w14:textId="77777777" w:rsidR="0035594C" w:rsidRPr="001E46E1" w:rsidRDefault="0035594C" w:rsidP="0035594C">
            <w:pPr>
              <w:autoSpaceDE w:val="0"/>
              <w:autoSpaceDN w:val="0"/>
              <w:adjustRightInd w:val="0"/>
              <w:spacing w:before="40" w:after="40" w:line="240" w:lineRule="auto"/>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Total Cash and Cash Equivalents Recorded in the Balance Sheet </w:t>
            </w:r>
          </w:p>
        </w:tc>
        <w:tc>
          <w:tcPr>
            <w:tcW w:w="1418" w:type="dxa"/>
            <w:tcBorders>
              <w:top w:val="nil"/>
              <w:bottom w:val="single" w:sz="2" w:space="0" w:color="auto"/>
            </w:tcBorders>
          </w:tcPr>
          <w:p w14:paraId="6B8C6C11" w14:textId="0CA617AB" w:rsidR="0035594C" w:rsidRPr="00C71A0F" w:rsidRDefault="0035594C" w:rsidP="0035594C">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68,868</w:t>
            </w:r>
          </w:p>
        </w:tc>
        <w:tc>
          <w:tcPr>
            <w:tcW w:w="567" w:type="dxa"/>
            <w:tcBorders>
              <w:top w:val="nil"/>
              <w:bottom w:val="single" w:sz="2" w:space="0" w:color="auto"/>
            </w:tcBorders>
          </w:tcPr>
          <w:p w14:paraId="051AC17D" w14:textId="77777777" w:rsidR="0035594C" w:rsidRPr="00C71A0F" w:rsidRDefault="0035594C" w:rsidP="0035594C">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276" w:type="dxa"/>
            <w:tcBorders>
              <w:top w:val="nil"/>
              <w:bottom w:val="single" w:sz="2" w:space="0" w:color="auto"/>
            </w:tcBorders>
          </w:tcPr>
          <w:p w14:paraId="6E7D8EE1" w14:textId="5F408FB1" w:rsidR="0035594C" w:rsidRPr="00C71A0F" w:rsidRDefault="0035594C" w:rsidP="0035594C">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28,043</w:t>
            </w:r>
          </w:p>
        </w:tc>
      </w:tr>
      <w:tr w:rsidR="0035594C" w:rsidRPr="001E46E1" w14:paraId="512CD654" w14:textId="77777777" w:rsidTr="00833380">
        <w:trPr>
          <w:trHeight w:val="118"/>
        </w:trPr>
        <w:tc>
          <w:tcPr>
            <w:tcW w:w="6345" w:type="dxa"/>
            <w:tcBorders>
              <w:top w:val="nil"/>
              <w:bottom w:val="single" w:sz="12" w:space="0" w:color="492581" w:themeColor="accent1"/>
            </w:tcBorders>
          </w:tcPr>
          <w:p w14:paraId="4F0B84E1" w14:textId="77777777" w:rsidR="0035594C" w:rsidRPr="001E46E1" w:rsidRDefault="0035594C" w:rsidP="0035594C">
            <w:pPr>
              <w:autoSpaceDE w:val="0"/>
              <w:autoSpaceDN w:val="0"/>
              <w:adjustRightInd w:val="0"/>
              <w:spacing w:before="40" w:after="40" w:line="240" w:lineRule="auto"/>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Cash and Cash Equivalents at the End of the Reporting Period as Recorded in the Statement of Cash Flows </w:t>
            </w:r>
          </w:p>
        </w:tc>
        <w:tc>
          <w:tcPr>
            <w:tcW w:w="1418" w:type="dxa"/>
            <w:tcBorders>
              <w:top w:val="single" w:sz="2" w:space="0" w:color="auto"/>
              <w:bottom w:val="single" w:sz="12" w:space="0" w:color="492581" w:themeColor="accent1"/>
            </w:tcBorders>
          </w:tcPr>
          <w:p w14:paraId="07F596E4" w14:textId="7B2B2A5E" w:rsidR="0035594C" w:rsidRPr="00C71A0F" w:rsidRDefault="006A0C21" w:rsidP="0035594C">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br/>
            </w:r>
            <w:r w:rsidR="0035594C">
              <w:rPr>
                <w:rFonts w:cs="Source Sans Pro SemiBold"/>
                <w:b/>
                <w:color w:val="000000"/>
                <w:sz w:val="18"/>
                <w:szCs w:val="18"/>
              </w:rPr>
              <w:t>68,868</w:t>
            </w:r>
          </w:p>
        </w:tc>
        <w:tc>
          <w:tcPr>
            <w:tcW w:w="567" w:type="dxa"/>
            <w:tcBorders>
              <w:top w:val="single" w:sz="2" w:space="0" w:color="auto"/>
              <w:bottom w:val="single" w:sz="12" w:space="0" w:color="492581" w:themeColor="accent1"/>
            </w:tcBorders>
          </w:tcPr>
          <w:p w14:paraId="73AA528F" w14:textId="77777777" w:rsidR="0035594C" w:rsidRPr="00C71A0F" w:rsidRDefault="0035594C" w:rsidP="0035594C">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p>
        </w:tc>
        <w:tc>
          <w:tcPr>
            <w:tcW w:w="1276" w:type="dxa"/>
            <w:tcBorders>
              <w:top w:val="single" w:sz="2" w:space="0" w:color="auto"/>
              <w:bottom w:val="single" w:sz="12" w:space="0" w:color="492581" w:themeColor="accent1"/>
            </w:tcBorders>
          </w:tcPr>
          <w:p w14:paraId="682E3ED1" w14:textId="42055BA6" w:rsidR="0035594C" w:rsidRPr="00C71A0F" w:rsidRDefault="006A0C21" w:rsidP="0035594C">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br/>
            </w:r>
            <w:r w:rsidR="0035594C">
              <w:rPr>
                <w:rFonts w:cs="Source Sans Pro SemiBold"/>
                <w:b/>
                <w:color w:val="000000"/>
                <w:sz w:val="18"/>
                <w:szCs w:val="18"/>
              </w:rPr>
              <w:t>28,043</w:t>
            </w:r>
          </w:p>
        </w:tc>
      </w:tr>
    </w:tbl>
    <w:p w14:paraId="03688E7D" w14:textId="77777777" w:rsidR="000D0681" w:rsidRDefault="000D068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p>
    <w:p w14:paraId="705124D5" w14:textId="77777777" w:rsidR="000D0681" w:rsidRDefault="000D0681">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00BF023A" w14:textId="77777777" w:rsidR="000D0681" w:rsidRPr="00251240" w:rsidRDefault="000D0681" w:rsidP="000D0681">
      <w:pPr>
        <w:autoSpaceDE w:val="0"/>
        <w:autoSpaceDN w:val="0"/>
        <w:adjustRightInd w:val="0"/>
        <w:spacing w:before="40" w:after="100" w:line="261" w:lineRule="atLeast"/>
        <w:rPr>
          <w:rFonts w:ascii="Calibri" w:eastAsia="Times New Roman" w:hAnsi="Calibri" w:cs="Times New Roman"/>
          <w:b/>
          <w:caps/>
          <w:snapToGrid w:val="0"/>
          <w:sz w:val="30"/>
          <w:szCs w:val="30"/>
        </w:rPr>
      </w:pPr>
      <w:r w:rsidRPr="00251240">
        <w:rPr>
          <w:rFonts w:ascii="Calibri" w:eastAsia="Times New Roman" w:hAnsi="Calibri" w:cs="Times New Roman"/>
          <w:b/>
          <w:caps/>
          <w:snapToGrid w:val="0"/>
          <w:sz w:val="30"/>
          <w:szCs w:val="30"/>
        </w:rPr>
        <w:lastRenderedPageBreak/>
        <w:t>Note 11. CASH AND INVESTMENTs</w:t>
      </w:r>
      <w:r>
        <w:rPr>
          <w:rFonts w:ascii="Calibri" w:eastAsia="Times New Roman" w:hAnsi="Calibri" w:cs="Times New Roman"/>
          <w:b/>
          <w:caps/>
          <w:snapToGrid w:val="0"/>
          <w:sz w:val="30"/>
          <w:szCs w:val="30"/>
        </w:rPr>
        <w:t xml:space="preserve"> - CONTINUED</w:t>
      </w:r>
    </w:p>
    <w:p w14:paraId="40273EC4" w14:textId="14BEEFE8" w:rsidR="001E46E1" w:rsidRDefault="001E46E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r w:rsidRPr="001E46E1">
        <w:rPr>
          <w:rFonts w:ascii="Calibri" w:eastAsia="Calibri" w:hAnsi="Calibri" w:cs="Montserrat Semi Bold"/>
          <w:b/>
          <w:bCs/>
          <w:color w:val="000000"/>
          <w:sz w:val="22"/>
          <w:szCs w:val="22"/>
        </w:rPr>
        <w:t>(b) Reconciliation of the Operating Result to Net Cash Inflows</w:t>
      </w:r>
      <w:r w:rsidR="00902C5E">
        <w:rPr>
          <w:rFonts w:ascii="Calibri" w:eastAsia="Calibri" w:hAnsi="Calibri" w:cs="Montserrat Semi Bold"/>
          <w:b/>
          <w:bCs/>
          <w:color w:val="000000"/>
          <w:sz w:val="22"/>
          <w:szCs w:val="22"/>
        </w:rPr>
        <w:t>/(Outflows)</w:t>
      </w:r>
      <w:r w:rsidRPr="001E46E1">
        <w:rPr>
          <w:rFonts w:ascii="Calibri" w:eastAsia="Calibri" w:hAnsi="Calibri" w:cs="Montserrat Semi Bold"/>
          <w:b/>
          <w:bCs/>
          <w:color w:val="000000"/>
          <w:sz w:val="22"/>
          <w:szCs w:val="22"/>
        </w:rPr>
        <w:t xml:space="preserve"> from Operating Activities</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A54A17" w:rsidRPr="00F6239F" w14:paraId="7B410984" w14:textId="77777777" w:rsidTr="001C3CB8">
        <w:trPr>
          <w:trHeight w:val="118"/>
        </w:trPr>
        <w:tc>
          <w:tcPr>
            <w:tcW w:w="7763" w:type="dxa"/>
            <w:gridSpan w:val="2"/>
            <w:tcBorders>
              <w:top w:val="single" w:sz="12" w:space="0" w:color="492581" w:themeColor="accent1"/>
              <w:bottom w:val="nil"/>
            </w:tcBorders>
          </w:tcPr>
          <w:p w14:paraId="4FB820E9" w14:textId="38A078ED" w:rsidR="00A54A17" w:rsidRPr="00F6239F" w:rsidRDefault="00A54A17" w:rsidP="00CE4779">
            <w:pPr>
              <w:tabs>
                <w:tab w:val="left" w:pos="7518"/>
              </w:tabs>
              <w:autoSpaceDE w:val="0"/>
              <w:autoSpaceDN w:val="0"/>
              <w:adjustRightInd w:val="0"/>
              <w:spacing w:before="40" w:after="40" w:line="181" w:lineRule="atLeast"/>
              <w:jc w:val="right"/>
              <w:rPr>
                <w:rFonts w:cs="Source Sans Pro Light"/>
                <w:color w:val="000000"/>
                <w:sz w:val="18"/>
                <w:szCs w:val="18"/>
              </w:rPr>
            </w:pPr>
            <w:r w:rsidRPr="001E46E1">
              <w:rPr>
                <w:rFonts w:ascii="Calibri" w:eastAsia="Calibri" w:hAnsi="Calibri" w:cs="Source Sans Pro SemiBold"/>
                <w:b/>
                <w:bCs/>
                <w:color w:val="000000"/>
                <w:sz w:val="18"/>
                <w:szCs w:val="18"/>
              </w:rPr>
              <w:t>202</w:t>
            </w:r>
            <w:r>
              <w:rPr>
                <w:rFonts w:ascii="Calibri" w:eastAsia="Calibri" w:hAnsi="Calibri" w:cs="Source Sans Pro SemiBold"/>
                <w:b/>
                <w:bCs/>
                <w:color w:val="000000"/>
                <w:sz w:val="18"/>
                <w:szCs w:val="18"/>
              </w:rPr>
              <w:t>4</w:t>
            </w:r>
            <w:r w:rsidRPr="001E46E1">
              <w:rPr>
                <w:rFonts w:ascii="Calibri" w:eastAsia="Calibri" w:hAnsi="Calibri" w:cs="Source Sans Pro SemiBold"/>
                <w:b/>
                <w:bCs/>
                <w:color w:val="000000"/>
                <w:sz w:val="18"/>
                <w:szCs w:val="18"/>
              </w:rPr>
              <w:br/>
              <w:t xml:space="preserve">$’000 </w:t>
            </w:r>
          </w:p>
        </w:tc>
        <w:tc>
          <w:tcPr>
            <w:tcW w:w="1843" w:type="dxa"/>
            <w:gridSpan w:val="2"/>
            <w:tcBorders>
              <w:top w:val="single" w:sz="12" w:space="0" w:color="492581" w:themeColor="accent1"/>
              <w:bottom w:val="nil"/>
            </w:tcBorders>
          </w:tcPr>
          <w:p w14:paraId="65D36E72" w14:textId="03E44E6E" w:rsidR="00A54A17" w:rsidRDefault="00A54A17" w:rsidP="00A54A17">
            <w:pPr>
              <w:autoSpaceDE w:val="0"/>
              <w:autoSpaceDN w:val="0"/>
              <w:adjustRightInd w:val="0"/>
              <w:spacing w:before="40" w:after="40" w:line="181" w:lineRule="atLeast"/>
              <w:jc w:val="right"/>
              <w:rPr>
                <w:rFonts w:cs="Source Sans Pro Light"/>
                <w:bCs/>
                <w:color w:val="000000"/>
                <w:sz w:val="18"/>
                <w:szCs w:val="18"/>
              </w:rPr>
            </w:pPr>
            <w:r w:rsidRPr="001E46E1">
              <w:rPr>
                <w:rFonts w:ascii="Calibri" w:eastAsia="Calibri" w:hAnsi="Calibri" w:cs="Source Sans Pro SemiBold"/>
                <w:b/>
                <w:bCs/>
                <w:color w:val="000000"/>
                <w:sz w:val="18"/>
                <w:szCs w:val="18"/>
              </w:rPr>
              <w:t>202</w:t>
            </w:r>
            <w:r>
              <w:rPr>
                <w:rFonts w:ascii="Calibri" w:eastAsia="Calibri" w:hAnsi="Calibri" w:cs="Source Sans Pro SemiBold"/>
                <w:b/>
                <w:bCs/>
                <w:color w:val="000000"/>
                <w:sz w:val="18"/>
                <w:szCs w:val="18"/>
              </w:rPr>
              <w:t>3</w:t>
            </w:r>
            <w:r w:rsidRPr="001E46E1">
              <w:rPr>
                <w:rFonts w:ascii="Calibri" w:eastAsia="Calibri" w:hAnsi="Calibri" w:cs="Source Sans Pro SemiBold"/>
                <w:b/>
                <w:bCs/>
                <w:color w:val="000000"/>
                <w:sz w:val="18"/>
                <w:szCs w:val="18"/>
              </w:rPr>
              <w:br/>
              <w:t xml:space="preserve">$’000 </w:t>
            </w:r>
          </w:p>
        </w:tc>
      </w:tr>
      <w:tr w:rsidR="00645BE6" w:rsidRPr="00F6239F" w14:paraId="117C66FD" w14:textId="77777777" w:rsidTr="001C3CB8">
        <w:trPr>
          <w:trHeight w:val="118"/>
        </w:trPr>
        <w:tc>
          <w:tcPr>
            <w:tcW w:w="6345" w:type="dxa"/>
            <w:tcBorders>
              <w:top w:val="single" w:sz="12" w:space="0" w:color="492581" w:themeColor="accent1"/>
              <w:bottom w:val="nil"/>
            </w:tcBorders>
          </w:tcPr>
          <w:p w14:paraId="56503585"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sidRPr="00F6239F">
              <w:rPr>
                <w:rFonts w:cs="Source Sans Pro Light"/>
                <w:color w:val="000000"/>
                <w:sz w:val="18"/>
                <w:szCs w:val="18"/>
              </w:rPr>
              <w:t xml:space="preserve">Operating </w:t>
            </w:r>
            <w:r>
              <w:rPr>
                <w:rFonts w:cs="Source Sans Pro Light"/>
                <w:color w:val="000000"/>
                <w:sz w:val="18"/>
                <w:szCs w:val="18"/>
              </w:rPr>
              <w:t xml:space="preserve">Result </w:t>
            </w:r>
          </w:p>
        </w:tc>
        <w:tc>
          <w:tcPr>
            <w:tcW w:w="1418" w:type="dxa"/>
            <w:tcBorders>
              <w:top w:val="single" w:sz="12" w:space="0" w:color="492581" w:themeColor="accent1"/>
              <w:bottom w:val="nil"/>
            </w:tcBorders>
          </w:tcPr>
          <w:p w14:paraId="5E221418" w14:textId="77777777" w:rsidR="00645BE6" w:rsidRPr="00A84FCE"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17,214</w:t>
            </w:r>
          </w:p>
        </w:tc>
        <w:tc>
          <w:tcPr>
            <w:tcW w:w="567" w:type="dxa"/>
            <w:tcBorders>
              <w:top w:val="single" w:sz="12" w:space="0" w:color="492581" w:themeColor="accent1"/>
              <w:bottom w:val="nil"/>
            </w:tcBorders>
          </w:tcPr>
          <w:p w14:paraId="5C69C252"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12" w:space="0" w:color="492581" w:themeColor="accent1"/>
              <w:bottom w:val="nil"/>
            </w:tcBorders>
          </w:tcPr>
          <w:p w14:paraId="6050A951" w14:textId="77777777" w:rsidR="00645BE6" w:rsidRPr="00DD4B7B" w:rsidRDefault="00645BE6" w:rsidP="00E22DEB">
            <w:pPr>
              <w:autoSpaceDE w:val="0"/>
              <w:autoSpaceDN w:val="0"/>
              <w:adjustRightInd w:val="0"/>
              <w:spacing w:before="40" w:after="40" w:line="181" w:lineRule="atLeast"/>
              <w:jc w:val="right"/>
              <w:rPr>
                <w:rFonts w:cs="Source Sans Pro Light"/>
                <w:bCs/>
                <w:color w:val="000000"/>
                <w:sz w:val="18"/>
                <w:szCs w:val="18"/>
              </w:rPr>
            </w:pPr>
            <w:r>
              <w:rPr>
                <w:rFonts w:cs="Source Sans Pro Light"/>
                <w:bCs/>
                <w:color w:val="000000"/>
                <w:sz w:val="18"/>
                <w:szCs w:val="18"/>
              </w:rPr>
              <w:t>(36,320)</w:t>
            </w:r>
          </w:p>
        </w:tc>
      </w:tr>
      <w:tr w:rsidR="00645BE6" w:rsidRPr="00F6239F" w14:paraId="583403B4" w14:textId="77777777" w:rsidTr="001C3CB8">
        <w:trPr>
          <w:trHeight w:val="118"/>
        </w:trPr>
        <w:tc>
          <w:tcPr>
            <w:tcW w:w="8330" w:type="dxa"/>
            <w:gridSpan w:val="3"/>
          </w:tcPr>
          <w:p w14:paraId="6C87B43A" w14:textId="77777777" w:rsidR="00645BE6" w:rsidRPr="00241E94" w:rsidRDefault="00645BE6" w:rsidP="00E22DEB">
            <w:pPr>
              <w:autoSpaceDE w:val="0"/>
              <w:autoSpaceDN w:val="0"/>
              <w:adjustRightInd w:val="0"/>
              <w:spacing w:before="40" w:after="40" w:line="181" w:lineRule="atLeast"/>
              <w:rPr>
                <w:rFonts w:cs="Source Sans Pro SemiBold"/>
                <w:b/>
                <w:color w:val="000000"/>
                <w:sz w:val="18"/>
                <w:szCs w:val="18"/>
              </w:rPr>
            </w:pPr>
            <w:r w:rsidRPr="00A84FCE">
              <w:rPr>
                <w:rFonts w:cs="Source Sans Pro SemiBold"/>
                <w:b/>
                <w:color w:val="000000"/>
                <w:sz w:val="18"/>
                <w:szCs w:val="18"/>
              </w:rPr>
              <w:t>Add/(Less) Non-Cash Items</w:t>
            </w:r>
          </w:p>
        </w:tc>
        <w:tc>
          <w:tcPr>
            <w:tcW w:w="1276" w:type="dxa"/>
          </w:tcPr>
          <w:p w14:paraId="2D19F761" w14:textId="77777777" w:rsidR="00645BE6" w:rsidRPr="0019282B" w:rsidRDefault="00645BE6" w:rsidP="00E22DEB">
            <w:pPr>
              <w:autoSpaceDE w:val="0"/>
              <w:autoSpaceDN w:val="0"/>
              <w:adjustRightInd w:val="0"/>
              <w:spacing w:before="40" w:after="40" w:line="181" w:lineRule="atLeast"/>
              <w:rPr>
                <w:rFonts w:cs="Source Sans Pro SemiBold"/>
                <w:color w:val="000000"/>
                <w:sz w:val="18"/>
                <w:szCs w:val="18"/>
              </w:rPr>
            </w:pPr>
          </w:p>
        </w:tc>
      </w:tr>
      <w:tr w:rsidR="00645BE6" w:rsidRPr="00F6239F" w14:paraId="44AE7E87" w14:textId="77777777" w:rsidTr="001C3CB8">
        <w:trPr>
          <w:trHeight w:val="118"/>
        </w:trPr>
        <w:tc>
          <w:tcPr>
            <w:tcW w:w="6345" w:type="dxa"/>
            <w:shd w:val="clear" w:color="auto" w:fill="auto"/>
          </w:tcPr>
          <w:p w14:paraId="5E7EE475"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sidRPr="00662924">
              <w:rPr>
                <w:rFonts w:cs="Source Sans Pro Light"/>
                <w:color w:val="000000"/>
                <w:sz w:val="18"/>
                <w:szCs w:val="18"/>
              </w:rPr>
              <w:t>Amortisation</w:t>
            </w:r>
            <w:r w:rsidRPr="00F6239F">
              <w:rPr>
                <w:rFonts w:cs="Source Sans Pro Light"/>
                <w:color w:val="000000"/>
                <w:sz w:val="18"/>
                <w:szCs w:val="18"/>
              </w:rPr>
              <w:t xml:space="preserve"> of </w:t>
            </w:r>
            <w:r>
              <w:rPr>
                <w:rFonts w:cs="Source Sans Pro Light"/>
                <w:color w:val="000000"/>
                <w:sz w:val="18"/>
                <w:szCs w:val="18"/>
              </w:rPr>
              <w:t>Fixed Assets</w:t>
            </w:r>
          </w:p>
        </w:tc>
        <w:tc>
          <w:tcPr>
            <w:tcW w:w="1418" w:type="dxa"/>
          </w:tcPr>
          <w:p w14:paraId="450F5510" w14:textId="77777777" w:rsidR="00645BE6" w:rsidRPr="00EB76DF"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62</w:t>
            </w:r>
          </w:p>
        </w:tc>
        <w:tc>
          <w:tcPr>
            <w:tcW w:w="567" w:type="dxa"/>
          </w:tcPr>
          <w:p w14:paraId="783F2A9D"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2A52C724"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56</w:t>
            </w:r>
          </w:p>
        </w:tc>
      </w:tr>
      <w:tr w:rsidR="00645BE6" w:rsidRPr="00F6239F" w14:paraId="44B6E672" w14:textId="77777777" w:rsidTr="001C3CB8">
        <w:trPr>
          <w:trHeight w:val="118"/>
        </w:trPr>
        <w:tc>
          <w:tcPr>
            <w:tcW w:w="8330" w:type="dxa"/>
            <w:gridSpan w:val="3"/>
          </w:tcPr>
          <w:p w14:paraId="7538E1B3" w14:textId="77777777" w:rsidR="00645BE6" w:rsidRPr="00241E94" w:rsidRDefault="00645BE6" w:rsidP="00E22DEB">
            <w:pPr>
              <w:autoSpaceDE w:val="0"/>
              <w:autoSpaceDN w:val="0"/>
              <w:adjustRightInd w:val="0"/>
              <w:spacing w:before="40" w:after="40" w:line="181" w:lineRule="atLeast"/>
              <w:rPr>
                <w:rFonts w:cs="Source Sans Pro SemiBold"/>
                <w:b/>
                <w:color w:val="000000"/>
                <w:sz w:val="18"/>
                <w:szCs w:val="18"/>
              </w:rPr>
            </w:pPr>
            <w:r w:rsidRPr="00241E94">
              <w:rPr>
                <w:rFonts w:cs="Source Sans Pro SemiBold"/>
                <w:b/>
                <w:bCs/>
                <w:color w:val="000000"/>
                <w:sz w:val="18"/>
                <w:szCs w:val="18"/>
              </w:rPr>
              <w:t xml:space="preserve">Add/(Less) Items Classified as Investing or Financing </w:t>
            </w:r>
          </w:p>
        </w:tc>
        <w:tc>
          <w:tcPr>
            <w:tcW w:w="1276" w:type="dxa"/>
          </w:tcPr>
          <w:p w14:paraId="22377602" w14:textId="77777777" w:rsidR="00645BE6" w:rsidRPr="00DD4B7B" w:rsidRDefault="00645BE6" w:rsidP="00E22DEB">
            <w:pPr>
              <w:autoSpaceDE w:val="0"/>
              <w:autoSpaceDN w:val="0"/>
              <w:adjustRightInd w:val="0"/>
              <w:spacing w:before="40" w:after="40" w:line="181" w:lineRule="atLeast"/>
              <w:rPr>
                <w:rFonts w:cs="Source Sans Pro SemiBold"/>
                <w:bCs/>
                <w:color w:val="000000"/>
                <w:sz w:val="18"/>
                <w:szCs w:val="18"/>
              </w:rPr>
            </w:pPr>
          </w:p>
        </w:tc>
      </w:tr>
      <w:tr w:rsidR="00645BE6" w:rsidRPr="00F6239F" w14:paraId="1D245A99" w14:textId="77777777" w:rsidTr="001C3CB8">
        <w:trPr>
          <w:trHeight w:val="118"/>
        </w:trPr>
        <w:tc>
          <w:tcPr>
            <w:tcW w:w="6345" w:type="dxa"/>
          </w:tcPr>
          <w:p w14:paraId="37B37456"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Net (Gain) </w:t>
            </w:r>
            <w:r w:rsidRPr="00F6239F">
              <w:rPr>
                <w:rFonts w:cs="Source Sans Pro Light"/>
                <w:color w:val="000000"/>
                <w:sz w:val="18"/>
                <w:szCs w:val="18"/>
              </w:rPr>
              <w:t xml:space="preserve">on Investments </w:t>
            </w:r>
          </w:p>
        </w:tc>
        <w:tc>
          <w:tcPr>
            <w:tcW w:w="1418" w:type="dxa"/>
            <w:tcBorders>
              <w:bottom w:val="single" w:sz="4" w:space="0" w:color="auto"/>
            </w:tcBorders>
          </w:tcPr>
          <w:p w14:paraId="7A82E7AC" w14:textId="77777777" w:rsidR="00645BE6" w:rsidRPr="00090745"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(20,571)</w:t>
            </w:r>
          </w:p>
        </w:tc>
        <w:tc>
          <w:tcPr>
            <w:tcW w:w="567" w:type="dxa"/>
            <w:tcBorders>
              <w:bottom w:val="single" w:sz="4" w:space="0" w:color="auto"/>
            </w:tcBorders>
          </w:tcPr>
          <w:p w14:paraId="0AFEA8EC"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bottom w:val="single" w:sz="4" w:space="0" w:color="auto"/>
            </w:tcBorders>
          </w:tcPr>
          <w:p w14:paraId="66A32DE3"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(22,596)</w:t>
            </w:r>
          </w:p>
        </w:tc>
      </w:tr>
      <w:tr w:rsidR="00645BE6" w:rsidRPr="00DD4B7B" w14:paraId="09A98928" w14:textId="77777777" w:rsidTr="001C3CB8">
        <w:trPr>
          <w:trHeight w:val="118"/>
        </w:trPr>
        <w:tc>
          <w:tcPr>
            <w:tcW w:w="6345" w:type="dxa"/>
          </w:tcPr>
          <w:p w14:paraId="16B46019" w14:textId="77777777" w:rsidR="00645BE6" w:rsidRPr="00F6239F" w:rsidRDefault="00645BE6" w:rsidP="00E22DEB">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 xml:space="preserve">Cash Before Changes in Operating Assets and Liabilities </w:t>
            </w:r>
          </w:p>
        </w:tc>
        <w:tc>
          <w:tcPr>
            <w:tcW w:w="1418" w:type="dxa"/>
            <w:tcBorders>
              <w:top w:val="single" w:sz="4" w:space="0" w:color="auto"/>
              <w:bottom w:val="single" w:sz="4" w:space="0" w:color="auto"/>
            </w:tcBorders>
          </w:tcPr>
          <w:p w14:paraId="20D7619F" w14:textId="77777777" w:rsidR="00645BE6" w:rsidRPr="00205452" w:rsidRDefault="00645BE6" w:rsidP="00E22DEB">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(3,295)</w:t>
            </w:r>
          </w:p>
        </w:tc>
        <w:tc>
          <w:tcPr>
            <w:tcW w:w="567" w:type="dxa"/>
            <w:tcBorders>
              <w:top w:val="single" w:sz="4" w:space="0" w:color="auto"/>
              <w:bottom w:val="single" w:sz="4" w:space="0" w:color="auto"/>
            </w:tcBorders>
          </w:tcPr>
          <w:p w14:paraId="01C8CFA1" w14:textId="77777777" w:rsidR="00645BE6" w:rsidRPr="00205452"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4" w:space="0" w:color="auto"/>
            </w:tcBorders>
          </w:tcPr>
          <w:p w14:paraId="0FD2162D" w14:textId="77777777" w:rsidR="00645BE6" w:rsidRPr="001E5827" w:rsidRDefault="00645BE6" w:rsidP="00E22DEB">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(58,860)</w:t>
            </w:r>
          </w:p>
        </w:tc>
      </w:tr>
      <w:tr w:rsidR="00645BE6" w:rsidRPr="00F6239F" w14:paraId="5BA80C00" w14:textId="77777777" w:rsidTr="001C3CB8">
        <w:trPr>
          <w:trHeight w:val="118"/>
        </w:trPr>
        <w:tc>
          <w:tcPr>
            <w:tcW w:w="6345" w:type="dxa"/>
          </w:tcPr>
          <w:p w14:paraId="47FF6E9D" w14:textId="77777777" w:rsidR="00645BE6" w:rsidRPr="00F6239F" w:rsidRDefault="00645BE6" w:rsidP="00E22DEB">
            <w:pPr>
              <w:autoSpaceDE w:val="0"/>
              <w:autoSpaceDN w:val="0"/>
              <w:adjustRightInd w:val="0"/>
              <w:spacing w:before="40" w:after="40" w:line="181" w:lineRule="atLeast"/>
              <w:rPr>
                <w:rFonts w:cs="Source Sans Pro SemiBold"/>
                <w:b/>
                <w:bCs/>
                <w:color w:val="000000"/>
                <w:sz w:val="18"/>
                <w:szCs w:val="18"/>
              </w:rPr>
            </w:pPr>
          </w:p>
        </w:tc>
        <w:tc>
          <w:tcPr>
            <w:tcW w:w="1418" w:type="dxa"/>
            <w:tcBorders>
              <w:top w:val="single" w:sz="4" w:space="0" w:color="auto"/>
            </w:tcBorders>
          </w:tcPr>
          <w:p w14:paraId="2D4367E2" w14:textId="77777777" w:rsidR="00645BE6" w:rsidRPr="00241E94" w:rsidRDefault="00645BE6" w:rsidP="00E22DEB">
            <w:pPr>
              <w:autoSpaceDE w:val="0"/>
              <w:autoSpaceDN w:val="0"/>
              <w:adjustRightInd w:val="0"/>
              <w:spacing w:before="40" w:after="40" w:line="181" w:lineRule="atLeast"/>
              <w:jc w:val="right"/>
              <w:rPr>
                <w:rFonts w:cs="Source Sans Pro SemiBold"/>
                <w:b/>
                <w:bCs/>
                <w:color w:val="000000"/>
                <w:sz w:val="18"/>
                <w:szCs w:val="18"/>
              </w:rPr>
            </w:pPr>
          </w:p>
        </w:tc>
        <w:tc>
          <w:tcPr>
            <w:tcW w:w="567" w:type="dxa"/>
            <w:tcBorders>
              <w:top w:val="single" w:sz="4" w:space="0" w:color="auto"/>
            </w:tcBorders>
          </w:tcPr>
          <w:p w14:paraId="0DF523B1"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tcBorders>
          </w:tcPr>
          <w:p w14:paraId="106707EF" w14:textId="77777777" w:rsidR="00645BE6" w:rsidRPr="0088187C" w:rsidRDefault="00645BE6" w:rsidP="00E22DEB">
            <w:pPr>
              <w:autoSpaceDE w:val="0"/>
              <w:autoSpaceDN w:val="0"/>
              <w:adjustRightInd w:val="0"/>
              <w:spacing w:before="40" w:after="40" w:line="181" w:lineRule="atLeast"/>
              <w:jc w:val="right"/>
              <w:rPr>
                <w:rFonts w:cs="Source Sans Pro Light"/>
                <w:color w:val="000000"/>
                <w:sz w:val="18"/>
                <w:szCs w:val="18"/>
              </w:rPr>
            </w:pPr>
          </w:p>
        </w:tc>
      </w:tr>
      <w:tr w:rsidR="00645BE6" w:rsidRPr="00F6239F" w14:paraId="13C2E72F" w14:textId="77777777" w:rsidTr="001C3CB8">
        <w:trPr>
          <w:trHeight w:val="118"/>
        </w:trPr>
        <w:tc>
          <w:tcPr>
            <w:tcW w:w="8330" w:type="dxa"/>
            <w:gridSpan w:val="3"/>
          </w:tcPr>
          <w:p w14:paraId="58E15455" w14:textId="77777777" w:rsidR="00645BE6" w:rsidRPr="00241E94" w:rsidRDefault="00645BE6" w:rsidP="00E22DEB">
            <w:pPr>
              <w:autoSpaceDE w:val="0"/>
              <w:autoSpaceDN w:val="0"/>
              <w:adjustRightInd w:val="0"/>
              <w:spacing w:before="40" w:after="40" w:line="181" w:lineRule="atLeast"/>
              <w:rPr>
                <w:rFonts w:cs="Source Sans Pro SemiBold"/>
                <w:b/>
                <w:color w:val="000000"/>
                <w:sz w:val="18"/>
                <w:szCs w:val="18"/>
              </w:rPr>
            </w:pPr>
            <w:r w:rsidRPr="00241E94">
              <w:rPr>
                <w:rFonts w:cs="Source Sans Pro SemiBold"/>
                <w:b/>
                <w:bCs/>
                <w:color w:val="000000"/>
                <w:sz w:val="18"/>
                <w:szCs w:val="18"/>
              </w:rPr>
              <w:t xml:space="preserve">Change in Operating Assets and Liabilities </w:t>
            </w:r>
          </w:p>
        </w:tc>
        <w:tc>
          <w:tcPr>
            <w:tcW w:w="1276" w:type="dxa"/>
          </w:tcPr>
          <w:p w14:paraId="576D3624" w14:textId="77777777" w:rsidR="00645BE6" w:rsidRPr="0088187C" w:rsidRDefault="00645BE6" w:rsidP="00E22DEB">
            <w:pPr>
              <w:autoSpaceDE w:val="0"/>
              <w:autoSpaceDN w:val="0"/>
              <w:adjustRightInd w:val="0"/>
              <w:spacing w:before="40" w:after="40" w:line="181" w:lineRule="atLeast"/>
              <w:rPr>
                <w:rFonts w:cs="Source Sans Pro SemiBold"/>
                <w:bCs/>
                <w:color w:val="000000"/>
                <w:sz w:val="18"/>
                <w:szCs w:val="18"/>
              </w:rPr>
            </w:pPr>
          </w:p>
        </w:tc>
      </w:tr>
      <w:tr w:rsidR="00645BE6" w:rsidRPr="00F6239F" w14:paraId="5472DCBF" w14:textId="77777777" w:rsidTr="001C3CB8">
        <w:trPr>
          <w:trHeight w:val="118"/>
        </w:trPr>
        <w:tc>
          <w:tcPr>
            <w:tcW w:w="6345" w:type="dxa"/>
          </w:tcPr>
          <w:p w14:paraId="372BC353"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(Increase)/Decrease </w:t>
            </w:r>
            <w:r w:rsidRPr="00F6239F">
              <w:rPr>
                <w:rFonts w:cs="Source Sans Pro Light"/>
                <w:color w:val="000000"/>
                <w:sz w:val="18"/>
                <w:szCs w:val="18"/>
              </w:rPr>
              <w:t>in Receivables</w:t>
            </w:r>
          </w:p>
        </w:tc>
        <w:tc>
          <w:tcPr>
            <w:tcW w:w="1418" w:type="dxa"/>
          </w:tcPr>
          <w:p w14:paraId="24F12B69"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(2,679)</w:t>
            </w:r>
          </w:p>
        </w:tc>
        <w:tc>
          <w:tcPr>
            <w:tcW w:w="567" w:type="dxa"/>
          </w:tcPr>
          <w:p w14:paraId="531B0FF8"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5040791B"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80</w:t>
            </w:r>
          </w:p>
        </w:tc>
      </w:tr>
      <w:tr w:rsidR="00645BE6" w:rsidRPr="00F6239F" w14:paraId="12459A11" w14:textId="77777777" w:rsidTr="001C3CB8">
        <w:trPr>
          <w:trHeight w:val="118"/>
        </w:trPr>
        <w:tc>
          <w:tcPr>
            <w:tcW w:w="6345" w:type="dxa"/>
          </w:tcPr>
          <w:p w14:paraId="558B605B" w14:textId="77777777" w:rsidR="00645BE6"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(Increase)/Decrease in Recoveries</w:t>
            </w:r>
          </w:p>
        </w:tc>
        <w:tc>
          <w:tcPr>
            <w:tcW w:w="1418" w:type="dxa"/>
          </w:tcPr>
          <w:p w14:paraId="5EFC5C26"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(17,235)</w:t>
            </w:r>
          </w:p>
        </w:tc>
        <w:tc>
          <w:tcPr>
            <w:tcW w:w="567" w:type="dxa"/>
          </w:tcPr>
          <w:p w14:paraId="1267F686"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3969288E"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2,</w:t>
            </w:r>
            <w:r>
              <w:rPr>
                <w:rFonts w:cs="Source Sans Pro SemiBold"/>
                <w:bCs/>
                <w:color w:val="000000"/>
                <w:sz w:val="18"/>
                <w:szCs w:val="18"/>
              </w:rPr>
              <w:t>603</w:t>
            </w:r>
          </w:p>
        </w:tc>
      </w:tr>
      <w:tr w:rsidR="00645BE6" w:rsidRPr="00F6239F" w14:paraId="4B784718" w14:textId="77777777" w:rsidTr="001C3CB8">
        <w:trPr>
          <w:trHeight w:val="118"/>
        </w:trPr>
        <w:tc>
          <w:tcPr>
            <w:tcW w:w="6345" w:type="dxa"/>
          </w:tcPr>
          <w:p w14:paraId="133446C9" w14:textId="77777777" w:rsidR="00645BE6"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(Increase) in Prepayments</w:t>
            </w:r>
          </w:p>
        </w:tc>
        <w:tc>
          <w:tcPr>
            <w:tcW w:w="1418" w:type="dxa"/>
          </w:tcPr>
          <w:p w14:paraId="578C40DE"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(1,435)</w:t>
            </w:r>
          </w:p>
        </w:tc>
        <w:tc>
          <w:tcPr>
            <w:tcW w:w="567" w:type="dxa"/>
          </w:tcPr>
          <w:p w14:paraId="3AA1792A"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5FB2050A"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(13)</w:t>
            </w:r>
          </w:p>
        </w:tc>
      </w:tr>
      <w:tr w:rsidR="00645BE6" w:rsidRPr="00F6239F" w14:paraId="1AA1F94A" w14:textId="77777777" w:rsidTr="001C3CB8">
        <w:trPr>
          <w:trHeight w:val="118"/>
        </w:trPr>
        <w:tc>
          <w:tcPr>
            <w:tcW w:w="6345" w:type="dxa"/>
          </w:tcPr>
          <w:p w14:paraId="604C443A"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Increase/(Decrease) </w:t>
            </w:r>
            <w:r w:rsidRPr="00F6239F">
              <w:rPr>
                <w:rFonts w:cs="Source Sans Pro Light"/>
                <w:color w:val="000000"/>
                <w:sz w:val="18"/>
                <w:szCs w:val="18"/>
              </w:rPr>
              <w:t xml:space="preserve">in Payables </w:t>
            </w:r>
          </w:p>
        </w:tc>
        <w:tc>
          <w:tcPr>
            <w:tcW w:w="1418" w:type="dxa"/>
          </w:tcPr>
          <w:p w14:paraId="68E23D1C"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154</w:t>
            </w:r>
          </w:p>
        </w:tc>
        <w:tc>
          <w:tcPr>
            <w:tcW w:w="567" w:type="dxa"/>
          </w:tcPr>
          <w:p w14:paraId="4A4F456B"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5E270970"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(1</w:t>
            </w:r>
            <w:r>
              <w:rPr>
                <w:rFonts w:cs="Source Sans Pro SemiBold"/>
                <w:bCs/>
                <w:color w:val="000000"/>
                <w:sz w:val="18"/>
                <w:szCs w:val="18"/>
              </w:rPr>
              <w:t>28</w:t>
            </w:r>
            <w:r w:rsidRPr="002C6494">
              <w:rPr>
                <w:rFonts w:cs="Source Sans Pro SemiBold"/>
                <w:bCs/>
                <w:color w:val="000000"/>
                <w:sz w:val="18"/>
                <w:szCs w:val="18"/>
              </w:rPr>
              <w:t>)</w:t>
            </w:r>
          </w:p>
        </w:tc>
      </w:tr>
      <w:tr w:rsidR="00645BE6" w:rsidRPr="00F6239F" w14:paraId="16B461D0" w14:textId="77777777" w:rsidTr="001C3CB8">
        <w:trPr>
          <w:trHeight w:val="119"/>
        </w:trPr>
        <w:tc>
          <w:tcPr>
            <w:tcW w:w="6345" w:type="dxa"/>
          </w:tcPr>
          <w:p w14:paraId="52E53910"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Increase </w:t>
            </w:r>
            <w:r w:rsidRPr="00F6239F">
              <w:rPr>
                <w:rFonts w:cs="Source Sans Pro Light"/>
                <w:color w:val="000000"/>
                <w:sz w:val="18"/>
                <w:szCs w:val="18"/>
              </w:rPr>
              <w:t xml:space="preserve">in Outstanding Claims </w:t>
            </w:r>
          </w:p>
        </w:tc>
        <w:tc>
          <w:tcPr>
            <w:tcW w:w="1418" w:type="dxa"/>
          </w:tcPr>
          <w:p w14:paraId="3ECB08F5"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36,073</w:t>
            </w:r>
          </w:p>
        </w:tc>
        <w:tc>
          <w:tcPr>
            <w:tcW w:w="567" w:type="dxa"/>
          </w:tcPr>
          <w:p w14:paraId="0E23794C"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01F1075E"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5</w:t>
            </w:r>
            <w:r>
              <w:rPr>
                <w:rFonts w:cs="Source Sans Pro SemiBold"/>
                <w:bCs/>
                <w:color w:val="000000"/>
                <w:sz w:val="18"/>
                <w:szCs w:val="18"/>
              </w:rPr>
              <w:t>9</w:t>
            </w:r>
            <w:r w:rsidRPr="002C6494">
              <w:rPr>
                <w:rFonts w:cs="Source Sans Pro SemiBold"/>
                <w:bCs/>
                <w:color w:val="000000"/>
                <w:sz w:val="18"/>
                <w:szCs w:val="18"/>
              </w:rPr>
              <w:t>,</w:t>
            </w:r>
            <w:r>
              <w:rPr>
                <w:rFonts w:cs="Source Sans Pro SemiBold"/>
                <w:bCs/>
                <w:color w:val="000000"/>
                <w:sz w:val="18"/>
                <w:szCs w:val="18"/>
              </w:rPr>
              <w:t>985</w:t>
            </w:r>
          </w:p>
        </w:tc>
      </w:tr>
      <w:tr w:rsidR="00645BE6" w:rsidRPr="00F6239F" w14:paraId="3005FAEA" w14:textId="77777777" w:rsidTr="001C3CB8">
        <w:trPr>
          <w:trHeight w:val="118"/>
        </w:trPr>
        <w:tc>
          <w:tcPr>
            <w:tcW w:w="6345" w:type="dxa"/>
          </w:tcPr>
          <w:p w14:paraId="2119390A"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(Decrease)/</w:t>
            </w:r>
            <w:r w:rsidRPr="00F6239F">
              <w:rPr>
                <w:rFonts w:cs="Source Sans Pro Light"/>
                <w:color w:val="000000"/>
                <w:sz w:val="18"/>
                <w:szCs w:val="18"/>
              </w:rPr>
              <w:t>Increase</w:t>
            </w:r>
            <w:r>
              <w:rPr>
                <w:rFonts w:cs="Source Sans Pro Light"/>
                <w:color w:val="000000"/>
                <w:sz w:val="18"/>
                <w:szCs w:val="18"/>
              </w:rPr>
              <w:t xml:space="preserve"> </w:t>
            </w:r>
            <w:r w:rsidRPr="00F6239F">
              <w:rPr>
                <w:rFonts w:cs="Source Sans Pro Light"/>
                <w:color w:val="000000"/>
                <w:sz w:val="18"/>
                <w:szCs w:val="18"/>
              </w:rPr>
              <w:t xml:space="preserve">in Other Liabilities </w:t>
            </w:r>
          </w:p>
        </w:tc>
        <w:tc>
          <w:tcPr>
            <w:tcW w:w="1418" w:type="dxa"/>
          </w:tcPr>
          <w:p w14:paraId="5FAE0242"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(738)</w:t>
            </w:r>
          </w:p>
        </w:tc>
        <w:tc>
          <w:tcPr>
            <w:tcW w:w="567" w:type="dxa"/>
          </w:tcPr>
          <w:p w14:paraId="31997EB6"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689ED2B3"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1,00</w:t>
            </w:r>
            <w:r>
              <w:rPr>
                <w:rFonts w:cs="Source Sans Pro SemiBold"/>
                <w:bCs/>
                <w:color w:val="000000"/>
                <w:sz w:val="18"/>
                <w:szCs w:val="18"/>
              </w:rPr>
              <w:t>3</w:t>
            </w:r>
          </w:p>
        </w:tc>
      </w:tr>
      <w:tr w:rsidR="00645BE6" w:rsidRPr="00F6239F" w14:paraId="10E90F5F" w14:textId="77777777" w:rsidTr="001C3CB8">
        <w:trPr>
          <w:trHeight w:val="118"/>
        </w:trPr>
        <w:tc>
          <w:tcPr>
            <w:tcW w:w="6345" w:type="dxa"/>
          </w:tcPr>
          <w:p w14:paraId="7077AD56" w14:textId="77777777" w:rsidR="00645BE6" w:rsidRPr="00F6239F" w:rsidRDefault="00645BE6" w:rsidP="00E22DEB">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(Decrease)/Increase </w:t>
            </w:r>
            <w:r w:rsidRPr="00F6239F">
              <w:rPr>
                <w:rFonts w:cs="Source Sans Pro Light"/>
                <w:color w:val="000000"/>
                <w:sz w:val="18"/>
                <w:szCs w:val="18"/>
              </w:rPr>
              <w:t>in Employee Benefits</w:t>
            </w:r>
          </w:p>
        </w:tc>
        <w:tc>
          <w:tcPr>
            <w:tcW w:w="1418" w:type="dxa"/>
            <w:tcBorders>
              <w:bottom w:val="single" w:sz="4" w:space="0" w:color="auto"/>
            </w:tcBorders>
          </w:tcPr>
          <w:p w14:paraId="3A419D46" w14:textId="77777777" w:rsidR="00645BE6" w:rsidRPr="002C6494" w:rsidRDefault="00645BE6" w:rsidP="00E22DEB">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(21)</w:t>
            </w:r>
          </w:p>
        </w:tc>
        <w:tc>
          <w:tcPr>
            <w:tcW w:w="567" w:type="dxa"/>
            <w:tcBorders>
              <w:bottom w:val="single" w:sz="4" w:space="0" w:color="auto"/>
            </w:tcBorders>
          </w:tcPr>
          <w:p w14:paraId="023B68F7"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bottom w:val="single" w:sz="4" w:space="0" w:color="auto"/>
            </w:tcBorders>
          </w:tcPr>
          <w:p w14:paraId="3C3679BD" w14:textId="77777777" w:rsidR="00645BE6" w:rsidRPr="00DD4B7B" w:rsidRDefault="00645BE6" w:rsidP="00E22DEB">
            <w:pPr>
              <w:autoSpaceDE w:val="0"/>
              <w:autoSpaceDN w:val="0"/>
              <w:adjustRightInd w:val="0"/>
              <w:spacing w:before="40" w:after="40" w:line="181" w:lineRule="atLeast"/>
              <w:jc w:val="right"/>
              <w:rPr>
                <w:rFonts w:cs="Source Sans Pro SemiBold"/>
                <w:bCs/>
                <w:color w:val="000000"/>
                <w:sz w:val="18"/>
                <w:szCs w:val="18"/>
              </w:rPr>
            </w:pPr>
            <w:r w:rsidRPr="002C6494">
              <w:rPr>
                <w:rFonts w:cs="Source Sans Pro SemiBold"/>
                <w:bCs/>
                <w:color w:val="000000"/>
                <w:sz w:val="18"/>
                <w:szCs w:val="18"/>
              </w:rPr>
              <w:t>340</w:t>
            </w:r>
          </w:p>
        </w:tc>
      </w:tr>
      <w:tr w:rsidR="00645BE6" w:rsidRPr="00F6239F" w14:paraId="0103DF4D" w14:textId="77777777" w:rsidTr="001C3CB8">
        <w:trPr>
          <w:trHeight w:val="118"/>
        </w:trPr>
        <w:tc>
          <w:tcPr>
            <w:tcW w:w="6345" w:type="dxa"/>
            <w:tcBorders>
              <w:bottom w:val="nil"/>
            </w:tcBorders>
          </w:tcPr>
          <w:p w14:paraId="57FF7378" w14:textId="77777777" w:rsidR="00645BE6" w:rsidRPr="00F6239F" w:rsidRDefault="00645BE6" w:rsidP="00E22DEB">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 xml:space="preserve">Net Changes in Operating Assets and Liabilities </w:t>
            </w:r>
          </w:p>
        </w:tc>
        <w:tc>
          <w:tcPr>
            <w:tcW w:w="1418" w:type="dxa"/>
            <w:tcBorders>
              <w:top w:val="single" w:sz="4" w:space="0" w:color="auto"/>
              <w:bottom w:val="single" w:sz="4" w:space="0" w:color="auto"/>
            </w:tcBorders>
          </w:tcPr>
          <w:p w14:paraId="7DFDB920" w14:textId="77777777" w:rsidR="00645BE6" w:rsidRPr="002C6494" w:rsidRDefault="00645BE6" w:rsidP="00E22DEB">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14,119</w:t>
            </w:r>
          </w:p>
        </w:tc>
        <w:tc>
          <w:tcPr>
            <w:tcW w:w="567" w:type="dxa"/>
            <w:tcBorders>
              <w:top w:val="single" w:sz="4" w:space="0" w:color="auto"/>
              <w:bottom w:val="single" w:sz="4" w:space="0" w:color="auto"/>
            </w:tcBorders>
          </w:tcPr>
          <w:p w14:paraId="09B40E78"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4" w:space="0" w:color="auto"/>
            </w:tcBorders>
          </w:tcPr>
          <w:p w14:paraId="5B9BBF39" w14:textId="77777777" w:rsidR="00645BE6" w:rsidRPr="001E5827" w:rsidRDefault="00645BE6" w:rsidP="00E22DEB">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63</w:t>
            </w:r>
            <w:r w:rsidRPr="002C6494">
              <w:rPr>
                <w:rFonts w:cs="Source Sans Pro SemiBold"/>
                <w:b/>
                <w:color w:val="000000"/>
                <w:sz w:val="18"/>
                <w:szCs w:val="18"/>
              </w:rPr>
              <w:t>,</w:t>
            </w:r>
            <w:r>
              <w:rPr>
                <w:rFonts w:cs="Source Sans Pro SemiBold"/>
                <w:b/>
                <w:color w:val="000000"/>
                <w:sz w:val="18"/>
                <w:szCs w:val="18"/>
              </w:rPr>
              <w:t>870</w:t>
            </w:r>
          </w:p>
        </w:tc>
      </w:tr>
      <w:tr w:rsidR="00645BE6" w:rsidRPr="00F6239F" w14:paraId="0767D937" w14:textId="77777777" w:rsidTr="001C3CB8">
        <w:trPr>
          <w:trHeight w:val="118"/>
        </w:trPr>
        <w:tc>
          <w:tcPr>
            <w:tcW w:w="6345" w:type="dxa"/>
            <w:tcBorders>
              <w:top w:val="nil"/>
              <w:bottom w:val="single" w:sz="12" w:space="0" w:color="492581" w:themeColor="accent1"/>
            </w:tcBorders>
          </w:tcPr>
          <w:p w14:paraId="0C9A4E8A" w14:textId="77777777" w:rsidR="00645BE6" w:rsidRPr="00F6239F" w:rsidRDefault="00645BE6" w:rsidP="00E22DEB">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Net Cash Inflow</w:t>
            </w:r>
            <w:r>
              <w:rPr>
                <w:rFonts w:cs="Source Sans Pro SemiBold"/>
                <w:b/>
                <w:bCs/>
                <w:color w:val="000000"/>
                <w:sz w:val="18"/>
                <w:szCs w:val="18"/>
              </w:rPr>
              <w:t xml:space="preserve">s </w:t>
            </w:r>
            <w:r w:rsidRPr="00F6239F">
              <w:rPr>
                <w:rFonts w:cs="Source Sans Pro SemiBold"/>
                <w:b/>
                <w:bCs/>
                <w:color w:val="000000"/>
                <w:sz w:val="18"/>
                <w:szCs w:val="18"/>
              </w:rPr>
              <w:t xml:space="preserve">from Operating Activities </w:t>
            </w:r>
          </w:p>
        </w:tc>
        <w:tc>
          <w:tcPr>
            <w:tcW w:w="1418" w:type="dxa"/>
            <w:tcBorders>
              <w:top w:val="single" w:sz="4" w:space="0" w:color="auto"/>
              <w:bottom w:val="single" w:sz="12" w:space="0" w:color="492581" w:themeColor="accent1"/>
            </w:tcBorders>
          </w:tcPr>
          <w:p w14:paraId="16C3B524" w14:textId="77777777" w:rsidR="00645BE6" w:rsidRPr="002C6494" w:rsidRDefault="00645BE6" w:rsidP="00E22DEB">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10,825</w:t>
            </w:r>
          </w:p>
        </w:tc>
        <w:tc>
          <w:tcPr>
            <w:tcW w:w="567" w:type="dxa"/>
            <w:tcBorders>
              <w:top w:val="single" w:sz="4" w:space="0" w:color="auto"/>
              <w:bottom w:val="single" w:sz="12" w:space="0" w:color="492581" w:themeColor="accent1"/>
            </w:tcBorders>
          </w:tcPr>
          <w:p w14:paraId="6D08DD1C" w14:textId="77777777" w:rsidR="00645BE6" w:rsidRPr="00F6239F" w:rsidRDefault="00645BE6" w:rsidP="00E22DEB">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12" w:space="0" w:color="492581" w:themeColor="accent1"/>
            </w:tcBorders>
          </w:tcPr>
          <w:p w14:paraId="0817781E" w14:textId="77777777" w:rsidR="00645BE6" w:rsidRPr="001E5827" w:rsidRDefault="00645BE6" w:rsidP="00E22DEB">
            <w:pPr>
              <w:autoSpaceDE w:val="0"/>
              <w:autoSpaceDN w:val="0"/>
              <w:adjustRightInd w:val="0"/>
              <w:spacing w:before="40" w:after="40" w:line="181" w:lineRule="atLeast"/>
              <w:jc w:val="right"/>
              <w:rPr>
                <w:rFonts w:cs="Source Sans Pro SemiBold"/>
                <w:b/>
                <w:color w:val="000000"/>
                <w:sz w:val="18"/>
                <w:szCs w:val="18"/>
              </w:rPr>
            </w:pPr>
            <w:r w:rsidRPr="002C6494">
              <w:rPr>
                <w:rFonts w:cs="Source Sans Pro SemiBold"/>
                <w:b/>
                <w:color w:val="000000"/>
                <w:sz w:val="18"/>
                <w:szCs w:val="18"/>
              </w:rPr>
              <w:t>5,0</w:t>
            </w:r>
            <w:r>
              <w:rPr>
                <w:rFonts w:cs="Source Sans Pro SemiBold"/>
                <w:b/>
                <w:color w:val="000000"/>
                <w:sz w:val="18"/>
                <w:szCs w:val="18"/>
              </w:rPr>
              <w:t>10</w:t>
            </w:r>
          </w:p>
        </w:tc>
      </w:tr>
    </w:tbl>
    <w:p w14:paraId="6B632302" w14:textId="77777777" w:rsidR="00DF179F" w:rsidRDefault="00DF179F" w:rsidP="00DF179F">
      <w:pPr>
        <w:spacing w:after="160" w:line="259" w:lineRule="auto"/>
        <w:rPr>
          <w:rFonts w:ascii="Calibri" w:eastAsia="Calibri" w:hAnsi="Calibri" w:cs="Montserrat Semi Bold"/>
          <w:b/>
          <w:bCs/>
          <w:color w:val="000000"/>
          <w:sz w:val="30"/>
          <w:szCs w:val="30"/>
        </w:rPr>
      </w:pPr>
    </w:p>
    <w:p w14:paraId="45259AF8" w14:textId="5325C77F" w:rsidR="00DF179F" w:rsidRPr="005560E2" w:rsidRDefault="00DF179F" w:rsidP="00DF179F">
      <w:pPr>
        <w:spacing w:after="160" w:line="259" w:lineRule="auto"/>
        <w:rPr>
          <w:rFonts w:ascii="Calibri" w:eastAsia="Calibri" w:hAnsi="Calibri" w:cs="Montserrat Semi Bold"/>
          <w:b/>
          <w:color w:val="000000" w:themeColor="text1"/>
          <w:sz w:val="30"/>
          <w:szCs w:val="30"/>
        </w:rPr>
      </w:pPr>
      <w:r w:rsidRPr="005560E2">
        <w:rPr>
          <w:rFonts w:ascii="Calibri" w:eastAsia="Calibri" w:hAnsi="Calibri" w:cs="Montserrat Semi Bold"/>
          <w:b/>
          <w:color w:val="000000" w:themeColor="text1"/>
          <w:sz w:val="30"/>
          <w:szCs w:val="30"/>
        </w:rPr>
        <w:t>NOTE 12. RECEIVABLES</w:t>
      </w:r>
    </w:p>
    <w:p w14:paraId="4EB705AB" w14:textId="77777777" w:rsidR="00DF179F" w:rsidRPr="00DF179F" w:rsidRDefault="00DF179F" w:rsidP="00DF179F">
      <w:pPr>
        <w:autoSpaceDE w:val="0"/>
        <w:autoSpaceDN w:val="0"/>
        <w:adjustRightInd w:val="0"/>
        <w:spacing w:before="40" w:after="100" w:line="261" w:lineRule="atLeast"/>
        <w:rPr>
          <w:rFonts w:ascii="Calibri" w:eastAsia="Calibri" w:hAnsi="Calibri" w:cs="Calibri"/>
          <w:b/>
          <w:bCs/>
          <w:color w:val="000000"/>
          <w:sz w:val="22"/>
          <w:szCs w:val="22"/>
        </w:rPr>
      </w:pPr>
      <w:r w:rsidRPr="00DF179F">
        <w:rPr>
          <w:rFonts w:ascii="Calibri" w:eastAsia="Calibri" w:hAnsi="Calibri" w:cs="Calibri"/>
          <w:b/>
          <w:bCs/>
          <w:color w:val="000000"/>
          <w:sz w:val="22"/>
          <w:szCs w:val="22"/>
        </w:rPr>
        <w:t>Description and Material Accounting Policies Relating to Receivables</w:t>
      </w:r>
    </w:p>
    <w:p w14:paraId="2C18F441" w14:textId="77777777" w:rsidR="00EB7D61" w:rsidRPr="005B55C3" w:rsidRDefault="00EB7D61" w:rsidP="00EB7D61">
      <w:pPr>
        <w:pStyle w:val="Pa6"/>
        <w:spacing w:after="140"/>
        <w:rPr>
          <w:rFonts w:asciiTheme="minorHAnsi" w:hAnsiTheme="minorHAnsi" w:cs="Source Sans Pro Light"/>
          <w:i/>
          <w:iCs/>
          <w:sz w:val="22"/>
          <w:szCs w:val="22"/>
        </w:rPr>
      </w:pPr>
      <w:r w:rsidRPr="005B55C3">
        <w:rPr>
          <w:rFonts w:asciiTheme="minorHAnsi" w:hAnsiTheme="minorHAnsi" w:cs="Source Sans Pro Light"/>
          <w:i/>
          <w:iCs/>
          <w:sz w:val="22"/>
          <w:szCs w:val="22"/>
        </w:rPr>
        <w:t>Accounts Receivables</w:t>
      </w:r>
    </w:p>
    <w:p w14:paraId="545F2486" w14:textId="77777777" w:rsidR="00DF179F" w:rsidRPr="008A11DA" w:rsidRDefault="00DF179F" w:rsidP="00EB7D61">
      <w:pPr>
        <w:pStyle w:val="Pa6"/>
        <w:spacing w:after="140"/>
        <w:rPr>
          <w:rFonts w:asciiTheme="minorHAnsi" w:hAnsiTheme="minorHAnsi" w:cs="Source Sans Pro Light"/>
          <w:sz w:val="22"/>
          <w:szCs w:val="22"/>
        </w:rPr>
      </w:pPr>
      <w:r w:rsidRPr="008A11DA">
        <w:rPr>
          <w:rFonts w:asciiTheme="minorHAnsi" w:hAnsiTheme="minorHAnsi" w:cs="Source Sans Pro Light"/>
          <w:sz w:val="22"/>
          <w:szCs w:val="22"/>
        </w:rPr>
        <w:t>Accounts receivable</w:t>
      </w:r>
      <w:r>
        <w:rPr>
          <w:rFonts w:asciiTheme="minorHAnsi" w:hAnsiTheme="minorHAnsi" w:cs="Source Sans Pro Light"/>
          <w:sz w:val="22"/>
          <w:szCs w:val="22"/>
        </w:rPr>
        <w:t>s</w:t>
      </w:r>
      <w:r w:rsidRPr="008A11DA">
        <w:rPr>
          <w:rFonts w:asciiTheme="minorHAnsi" w:hAnsiTheme="minorHAnsi" w:cs="Source Sans Pro Light"/>
          <w:sz w:val="22"/>
          <w:szCs w:val="22"/>
        </w:rPr>
        <w:t xml:space="preserve"> are measured at amortised cost, with any adjustments to the carrying amount being recorded in the Operating Statement.</w:t>
      </w:r>
    </w:p>
    <w:p w14:paraId="61090A62" w14:textId="77777777" w:rsidR="00EB7D61" w:rsidRPr="005B55C3" w:rsidRDefault="00EB7D61" w:rsidP="005B55C3">
      <w:pPr>
        <w:pStyle w:val="Pa6"/>
        <w:spacing w:after="140"/>
        <w:rPr>
          <w:rFonts w:asciiTheme="minorHAnsi" w:hAnsiTheme="minorHAnsi" w:cs="Source Sans Pro Light"/>
          <w:sz w:val="22"/>
          <w:szCs w:val="22"/>
        </w:rPr>
      </w:pPr>
      <w:r w:rsidRPr="005B55C3">
        <w:rPr>
          <w:rFonts w:asciiTheme="minorHAnsi" w:hAnsiTheme="minorHAnsi" w:cs="Source Sans Pro Light"/>
          <w:sz w:val="22"/>
          <w:szCs w:val="22"/>
        </w:rPr>
        <w:t>The Authority’s receivables predominantly relate to distributions from investments for the June quarter which are expected to be received in July 2024. The remaining receivables relate to goods and services taxation (GST), trade receivable from government entities and external parties. The Authority expects all receivables will be received.</w:t>
      </w:r>
    </w:p>
    <w:p w14:paraId="22FA92C7" w14:textId="2F11A583" w:rsidR="002C0B15" w:rsidRDefault="002C0B15">
      <w:pPr>
        <w:spacing w:after="0" w:line="240" w:lineRule="auto"/>
        <w:rPr>
          <w:rFonts w:ascii="Calibri" w:eastAsia="Calibri" w:hAnsi="Calibri" w:cs="Times New Roman"/>
          <w:sz w:val="22"/>
          <w:szCs w:val="22"/>
        </w:rPr>
      </w:pPr>
      <w:r>
        <w:rPr>
          <w:rFonts w:ascii="Calibri" w:eastAsia="Calibri" w:hAnsi="Calibri" w:cs="Times New Roman"/>
          <w:sz w:val="22"/>
          <w:szCs w:val="22"/>
        </w:rPr>
        <w:br w:type="page"/>
      </w:r>
    </w:p>
    <w:p w14:paraId="618458C5" w14:textId="7176CF23" w:rsidR="002C0B15" w:rsidRPr="00DF179F" w:rsidRDefault="002C0B15" w:rsidP="002C0B15">
      <w:pPr>
        <w:spacing w:after="160" w:line="259" w:lineRule="auto"/>
        <w:rPr>
          <w:rFonts w:ascii="Calibri" w:eastAsia="Calibri" w:hAnsi="Calibri" w:cs="Montserrat Semi Bold"/>
          <w:b/>
          <w:bCs/>
          <w:color w:val="000000"/>
          <w:sz w:val="30"/>
          <w:szCs w:val="30"/>
        </w:rPr>
      </w:pPr>
      <w:r w:rsidRPr="00DF179F">
        <w:rPr>
          <w:rFonts w:ascii="Calibri" w:eastAsia="Calibri" w:hAnsi="Calibri" w:cs="Montserrat Semi Bold"/>
          <w:b/>
          <w:bCs/>
          <w:color w:val="000000"/>
          <w:sz w:val="30"/>
          <w:szCs w:val="30"/>
        </w:rPr>
        <w:lastRenderedPageBreak/>
        <w:t>NOTE 12. RECEIVABLES</w:t>
      </w:r>
      <w:r>
        <w:rPr>
          <w:rFonts w:ascii="Calibri" w:eastAsia="Calibri" w:hAnsi="Calibri" w:cs="Montserrat Semi Bold"/>
          <w:b/>
          <w:bCs/>
          <w:color w:val="000000"/>
          <w:sz w:val="30"/>
          <w:szCs w:val="30"/>
        </w:rPr>
        <w:t xml:space="preserve"> - CONTINUED</w:t>
      </w:r>
    </w:p>
    <w:tbl>
      <w:tblPr>
        <w:tblW w:w="10177" w:type="dxa"/>
        <w:tblInd w:w="-136" w:type="dxa"/>
        <w:tblLayout w:type="fixed"/>
        <w:tblLook w:val="0000" w:firstRow="0" w:lastRow="0" w:firstColumn="0" w:lastColumn="0" w:noHBand="0" w:noVBand="0"/>
      </w:tblPr>
      <w:tblGrid>
        <w:gridCol w:w="5016"/>
        <w:gridCol w:w="700"/>
        <w:gridCol w:w="2075"/>
        <w:gridCol w:w="1843"/>
        <w:gridCol w:w="543"/>
      </w:tblGrid>
      <w:tr w:rsidR="00B9073B" w:rsidRPr="000525D2" w14:paraId="6B088F2F" w14:textId="77777777" w:rsidTr="00B50E71">
        <w:trPr>
          <w:gridAfter w:val="1"/>
          <w:wAfter w:w="543" w:type="dxa"/>
          <w:cantSplit/>
        </w:trPr>
        <w:tc>
          <w:tcPr>
            <w:tcW w:w="5016" w:type="dxa"/>
            <w:tcBorders>
              <w:top w:val="single" w:sz="12" w:space="0" w:color="492581" w:themeColor="accent1"/>
              <w:bottom w:val="single" w:sz="12" w:space="0" w:color="492581" w:themeColor="accent1"/>
            </w:tcBorders>
          </w:tcPr>
          <w:p w14:paraId="29D46851" w14:textId="77777777" w:rsidR="00B9073B" w:rsidRPr="000525D2" w:rsidRDefault="00B9073B" w:rsidP="000525D2">
            <w:pPr>
              <w:spacing w:before="40" w:after="40" w:line="240" w:lineRule="auto"/>
              <w:rPr>
                <w:rFonts w:ascii="Calibri" w:eastAsia="Times New Roman" w:hAnsi="Calibri" w:cs="Times New Roman"/>
                <w:b/>
                <w:sz w:val="18"/>
                <w:szCs w:val="18"/>
              </w:rPr>
            </w:pPr>
          </w:p>
        </w:tc>
        <w:tc>
          <w:tcPr>
            <w:tcW w:w="700" w:type="dxa"/>
            <w:tcBorders>
              <w:top w:val="single" w:sz="12" w:space="0" w:color="492581" w:themeColor="accent1"/>
              <w:bottom w:val="single" w:sz="12" w:space="0" w:color="492581" w:themeColor="accent1"/>
            </w:tcBorders>
          </w:tcPr>
          <w:p w14:paraId="54B2A7D1" w14:textId="77777777" w:rsidR="00B9073B" w:rsidRPr="000525D2" w:rsidRDefault="00B9073B" w:rsidP="000525D2">
            <w:pPr>
              <w:spacing w:before="40" w:after="40" w:line="240" w:lineRule="auto"/>
              <w:jc w:val="center"/>
              <w:rPr>
                <w:rFonts w:ascii="Calibri" w:eastAsia="Times New Roman" w:hAnsi="Calibri" w:cs="Times New Roman"/>
                <w:b/>
                <w:sz w:val="18"/>
                <w:szCs w:val="18"/>
              </w:rPr>
            </w:pPr>
            <w:r w:rsidRPr="000525D2">
              <w:rPr>
                <w:rFonts w:ascii="Calibri" w:eastAsia="Times New Roman" w:hAnsi="Calibri" w:cs="Times New Roman"/>
                <w:b/>
                <w:sz w:val="18"/>
                <w:szCs w:val="18"/>
              </w:rPr>
              <w:t>Note No.</w:t>
            </w:r>
          </w:p>
        </w:tc>
        <w:tc>
          <w:tcPr>
            <w:tcW w:w="2075" w:type="dxa"/>
            <w:tcBorders>
              <w:top w:val="single" w:sz="12" w:space="0" w:color="492581" w:themeColor="accent1"/>
              <w:bottom w:val="single" w:sz="12" w:space="0" w:color="492581" w:themeColor="accent1"/>
            </w:tcBorders>
          </w:tcPr>
          <w:p w14:paraId="64DCE633" w14:textId="09D0481D" w:rsidR="00B9073B" w:rsidRPr="000525D2" w:rsidRDefault="00B9073B"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202</w:t>
            </w:r>
            <w:r>
              <w:rPr>
                <w:rFonts w:ascii="Calibri" w:eastAsia="Times New Roman" w:hAnsi="Calibri" w:cs="Times New Roman"/>
                <w:b/>
                <w:sz w:val="18"/>
                <w:szCs w:val="18"/>
              </w:rPr>
              <w:t>4</w:t>
            </w:r>
          </w:p>
          <w:p w14:paraId="0978143D" w14:textId="77777777" w:rsidR="00B9073B" w:rsidRPr="000525D2" w:rsidRDefault="00B9073B"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$’000</w:t>
            </w:r>
          </w:p>
        </w:tc>
        <w:tc>
          <w:tcPr>
            <w:tcW w:w="1843" w:type="dxa"/>
            <w:tcBorders>
              <w:top w:val="single" w:sz="12" w:space="0" w:color="492581" w:themeColor="accent1"/>
              <w:bottom w:val="single" w:sz="12" w:space="0" w:color="492581" w:themeColor="accent1"/>
            </w:tcBorders>
          </w:tcPr>
          <w:p w14:paraId="313B1733" w14:textId="275B83EC" w:rsidR="00B9073B" w:rsidRPr="000525D2" w:rsidRDefault="00B9073B" w:rsidP="000525D2">
            <w:pPr>
              <w:spacing w:before="40" w:after="40" w:line="240" w:lineRule="auto"/>
              <w:jc w:val="right"/>
              <w:rPr>
                <w:rFonts w:ascii="Calibri" w:eastAsia="Times New Roman" w:hAnsi="Calibri" w:cs="Times New Roman"/>
                <w:b/>
                <w:sz w:val="18"/>
                <w:szCs w:val="18"/>
              </w:rPr>
            </w:pPr>
            <w:r w:rsidRPr="000525D2">
              <w:rPr>
                <w:rFonts w:ascii="Calibri" w:eastAsia="Times New Roman" w:hAnsi="Calibri" w:cs="Times New Roman"/>
                <w:b/>
                <w:sz w:val="18"/>
                <w:szCs w:val="18"/>
              </w:rPr>
              <w:t>202</w:t>
            </w:r>
            <w:r>
              <w:rPr>
                <w:rFonts w:ascii="Calibri" w:eastAsia="Times New Roman" w:hAnsi="Calibri" w:cs="Times New Roman"/>
                <w:b/>
                <w:sz w:val="18"/>
                <w:szCs w:val="18"/>
              </w:rPr>
              <w:t>3</w:t>
            </w:r>
          </w:p>
          <w:p w14:paraId="42F5CEBA" w14:textId="77777777" w:rsidR="00B9073B" w:rsidRPr="000525D2" w:rsidRDefault="00B9073B" w:rsidP="000525D2">
            <w:pPr>
              <w:spacing w:before="40" w:after="40" w:line="240" w:lineRule="auto"/>
              <w:jc w:val="right"/>
              <w:rPr>
                <w:rFonts w:ascii="Calibri" w:eastAsia="Times New Roman" w:hAnsi="Calibri" w:cs="Times New Roman"/>
                <w:sz w:val="18"/>
                <w:szCs w:val="18"/>
              </w:rPr>
            </w:pPr>
            <w:r w:rsidRPr="000525D2">
              <w:rPr>
                <w:rFonts w:ascii="Calibri" w:eastAsia="Times New Roman" w:hAnsi="Calibri" w:cs="Times New Roman"/>
                <w:b/>
                <w:sz w:val="18"/>
                <w:szCs w:val="18"/>
              </w:rPr>
              <w:t>$’000</w:t>
            </w:r>
          </w:p>
        </w:tc>
      </w:tr>
      <w:tr w:rsidR="00B9073B" w:rsidRPr="000525D2" w14:paraId="33AAC430"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nil"/>
              <w:right w:val="nil"/>
            </w:tcBorders>
          </w:tcPr>
          <w:p w14:paraId="4269E134" w14:textId="35A93F3C" w:rsidR="00B9073B" w:rsidRPr="000525D2" w:rsidRDefault="00B9073B" w:rsidP="000525D2">
            <w:pPr>
              <w:spacing w:before="40" w:after="40" w:line="240" w:lineRule="auto"/>
              <w:rPr>
                <w:rFonts w:ascii="Calibri" w:eastAsia="Times New Roman" w:hAnsi="Calibri" w:cs="Times New Roman"/>
                <w:b/>
                <w:sz w:val="18"/>
                <w:szCs w:val="18"/>
              </w:rPr>
            </w:pPr>
            <w:r w:rsidRPr="005560E2">
              <w:rPr>
                <w:b/>
                <w:sz w:val="18"/>
                <w:szCs w:val="18"/>
              </w:rPr>
              <w:t>Current Receivables</w:t>
            </w:r>
          </w:p>
        </w:tc>
        <w:tc>
          <w:tcPr>
            <w:tcW w:w="700" w:type="dxa"/>
            <w:tcBorders>
              <w:top w:val="single" w:sz="12" w:space="0" w:color="492581" w:themeColor="accent1"/>
              <w:left w:val="nil"/>
              <w:bottom w:val="nil"/>
              <w:right w:val="nil"/>
            </w:tcBorders>
          </w:tcPr>
          <w:p w14:paraId="72F16DB7" w14:textId="77777777" w:rsidR="00B9073B" w:rsidRPr="000525D2" w:rsidRDefault="00B9073B" w:rsidP="000525D2">
            <w:pPr>
              <w:spacing w:before="40" w:after="40" w:line="240" w:lineRule="auto"/>
              <w:jc w:val="center"/>
              <w:rPr>
                <w:rFonts w:ascii="Calibri" w:eastAsia="Times New Roman" w:hAnsi="Calibri" w:cs="Times New Roman"/>
                <w:sz w:val="18"/>
                <w:szCs w:val="18"/>
              </w:rPr>
            </w:pPr>
          </w:p>
        </w:tc>
        <w:tc>
          <w:tcPr>
            <w:tcW w:w="2075" w:type="dxa"/>
            <w:tcBorders>
              <w:top w:val="single" w:sz="12" w:space="0" w:color="492581" w:themeColor="accent1"/>
              <w:left w:val="nil"/>
              <w:bottom w:val="nil"/>
              <w:right w:val="nil"/>
            </w:tcBorders>
          </w:tcPr>
          <w:p w14:paraId="330AFFEA" w14:textId="77777777" w:rsidR="00B9073B" w:rsidRPr="000525D2" w:rsidRDefault="00B9073B" w:rsidP="000525D2">
            <w:pPr>
              <w:tabs>
                <w:tab w:val="decimal" w:pos="539"/>
              </w:tabs>
              <w:spacing w:before="40" w:after="40" w:line="240" w:lineRule="auto"/>
              <w:jc w:val="right"/>
              <w:rPr>
                <w:rFonts w:ascii="Calibri" w:eastAsia="Times New Roman" w:hAnsi="Calibri" w:cs="Times New Roman"/>
                <w:sz w:val="18"/>
                <w:szCs w:val="18"/>
              </w:rPr>
            </w:pPr>
          </w:p>
        </w:tc>
        <w:tc>
          <w:tcPr>
            <w:tcW w:w="1843" w:type="dxa"/>
            <w:tcBorders>
              <w:top w:val="single" w:sz="12" w:space="0" w:color="492581" w:themeColor="accent1"/>
              <w:left w:val="nil"/>
              <w:bottom w:val="nil"/>
              <w:right w:val="nil"/>
            </w:tcBorders>
          </w:tcPr>
          <w:p w14:paraId="0A171C71" w14:textId="77777777" w:rsidR="00B9073B" w:rsidRPr="000525D2" w:rsidRDefault="00B9073B" w:rsidP="000525D2">
            <w:pPr>
              <w:tabs>
                <w:tab w:val="decimal" w:pos="539"/>
              </w:tabs>
              <w:spacing w:before="40" w:after="40" w:line="240" w:lineRule="auto"/>
              <w:jc w:val="right"/>
              <w:rPr>
                <w:rFonts w:ascii="Calibri" w:eastAsia="Times New Roman" w:hAnsi="Calibri" w:cs="Times New Roman"/>
                <w:sz w:val="18"/>
                <w:szCs w:val="18"/>
              </w:rPr>
            </w:pPr>
          </w:p>
        </w:tc>
      </w:tr>
      <w:tr w:rsidR="00B9073B" w:rsidRPr="000525D2" w14:paraId="06424E1E"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nil"/>
              <w:right w:val="nil"/>
            </w:tcBorders>
          </w:tcPr>
          <w:p w14:paraId="39353490" w14:textId="423F209C" w:rsidR="00B9073B" w:rsidRPr="000525D2" w:rsidRDefault="00B9073B" w:rsidP="000525D2">
            <w:pPr>
              <w:spacing w:before="40" w:after="40" w:line="240" w:lineRule="auto"/>
              <w:rPr>
                <w:rFonts w:ascii="Calibri" w:eastAsia="Times New Roman" w:hAnsi="Calibri" w:cs="Times New Roman"/>
                <w:sz w:val="18"/>
                <w:szCs w:val="18"/>
              </w:rPr>
            </w:pPr>
            <w:r w:rsidRPr="005560E2">
              <w:rPr>
                <w:sz w:val="18"/>
                <w:szCs w:val="18"/>
              </w:rPr>
              <w:t xml:space="preserve">Distributions Receivable </w:t>
            </w:r>
            <w:r w:rsidRPr="005560E2">
              <w:rPr>
                <w:sz w:val="18"/>
                <w:szCs w:val="18"/>
                <w:vertAlign w:val="superscript"/>
              </w:rPr>
              <w:t>a</w:t>
            </w:r>
          </w:p>
        </w:tc>
        <w:tc>
          <w:tcPr>
            <w:tcW w:w="700" w:type="dxa"/>
            <w:tcBorders>
              <w:top w:val="nil"/>
              <w:left w:val="nil"/>
              <w:bottom w:val="nil"/>
              <w:right w:val="nil"/>
            </w:tcBorders>
          </w:tcPr>
          <w:p w14:paraId="492E4AF5" w14:textId="77777777" w:rsidR="00B9073B" w:rsidRPr="000525D2" w:rsidRDefault="00B9073B" w:rsidP="000525D2">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nil"/>
              <w:right w:val="nil"/>
            </w:tcBorders>
          </w:tcPr>
          <w:p w14:paraId="0FFE8042" w14:textId="0DF15ED9"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sz w:val="18"/>
                <w:szCs w:val="18"/>
              </w:rPr>
              <w:t>5,313</w:t>
            </w:r>
          </w:p>
        </w:tc>
        <w:tc>
          <w:tcPr>
            <w:tcW w:w="1843" w:type="dxa"/>
            <w:tcBorders>
              <w:top w:val="nil"/>
              <w:left w:val="nil"/>
              <w:bottom w:val="nil"/>
              <w:right w:val="nil"/>
            </w:tcBorders>
          </w:tcPr>
          <w:p w14:paraId="41CA3AE6" w14:textId="1FCE89AF"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sz w:val="18"/>
                <w:szCs w:val="18"/>
              </w:rPr>
              <w:t>2,</w:t>
            </w:r>
            <w:r w:rsidRPr="00C01FF9">
              <w:rPr>
                <w:bCs/>
                <w:sz w:val="18"/>
                <w:szCs w:val="18"/>
              </w:rPr>
              <w:t>208</w:t>
            </w:r>
          </w:p>
        </w:tc>
      </w:tr>
      <w:tr w:rsidR="00B9073B" w:rsidRPr="000525D2" w14:paraId="4D84A13E"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nil"/>
              <w:right w:val="nil"/>
            </w:tcBorders>
          </w:tcPr>
          <w:p w14:paraId="38BB9018" w14:textId="53F09DF6" w:rsidR="00B9073B" w:rsidRPr="000525D2" w:rsidRDefault="00B9073B" w:rsidP="000525D2">
            <w:pPr>
              <w:spacing w:before="40" w:after="40" w:line="240" w:lineRule="auto"/>
              <w:rPr>
                <w:rFonts w:ascii="Calibri" w:eastAsia="Times New Roman" w:hAnsi="Calibri" w:cs="Times New Roman"/>
                <w:sz w:val="18"/>
                <w:szCs w:val="18"/>
                <w:vertAlign w:val="superscript"/>
              </w:rPr>
            </w:pPr>
            <w:r w:rsidRPr="005560E2">
              <w:rPr>
                <w:sz w:val="18"/>
                <w:szCs w:val="18"/>
              </w:rPr>
              <w:t>Goods and Services Tax Receivable</w:t>
            </w:r>
          </w:p>
        </w:tc>
        <w:tc>
          <w:tcPr>
            <w:tcW w:w="700" w:type="dxa"/>
            <w:tcBorders>
              <w:top w:val="nil"/>
              <w:left w:val="nil"/>
              <w:bottom w:val="nil"/>
              <w:right w:val="nil"/>
            </w:tcBorders>
          </w:tcPr>
          <w:p w14:paraId="0E93AF3B" w14:textId="77777777" w:rsidR="00B9073B" w:rsidRPr="000525D2" w:rsidRDefault="00B9073B" w:rsidP="000525D2">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nil"/>
              <w:right w:val="nil"/>
            </w:tcBorders>
          </w:tcPr>
          <w:p w14:paraId="52B61AFC" w14:textId="7740540F"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sz w:val="18"/>
                <w:szCs w:val="18"/>
              </w:rPr>
              <w:t>311</w:t>
            </w:r>
          </w:p>
        </w:tc>
        <w:tc>
          <w:tcPr>
            <w:tcW w:w="1843" w:type="dxa"/>
            <w:tcBorders>
              <w:top w:val="nil"/>
              <w:left w:val="nil"/>
              <w:bottom w:val="nil"/>
              <w:right w:val="nil"/>
            </w:tcBorders>
          </w:tcPr>
          <w:p w14:paraId="4C03EC14" w14:textId="6C58DB40"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bCs/>
                <w:sz w:val="18"/>
                <w:szCs w:val="18"/>
              </w:rPr>
              <w:t>308</w:t>
            </w:r>
          </w:p>
        </w:tc>
      </w:tr>
      <w:tr w:rsidR="00B9073B" w:rsidRPr="000525D2" w14:paraId="5860711B"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nil"/>
              <w:right w:val="nil"/>
            </w:tcBorders>
          </w:tcPr>
          <w:p w14:paraId="742AA987" w14:textId="0F0B016F" w:rsidR="00B9073B" w:rsidRPr="000525D2" w:rsidRDefault="00B9073B" w:rsidP="000525D2">
            <w:pPr>
              <w:spacing w:before="40" w:after="40" w:line="240" w:lineRule="auto"/>
              <w:rPr>
                <w:rFonts w:ascii="Calibri" w:eastAsia="Times New Roman" w:hAnsi="Calibri" w:cs="Times New Roman"/>
                <w:sz w:val="18"/>
                <w:szCs w:val="18"/>
              </w:rPr>
            </w:pPr>
            <w:r w:rsidRPr="005560E2">
              <w:rPr>
                <w:sz w:val="18"/>
                <w:szCs w:val="18"/>
              </w:rPr>
              <w:t>Receivables – Builders Warranty Insurance</w:t>
            </w:r>
            <w:r w:rsidRPr="005560E2">
              <w:rPr>
                <w:sz w:val="18"/>
                <w:szCs w:val="18"/>
                <w:vertAlign w:val="superscript"/>
              </w:rPr>
              <w:t xml:space="preserve"> b</w:t>
            </w:r>
          </w:p>
        </w:tc>
        <w:tc>
          <w:tcPr>
            <w:tcW w:w="700" w:type="dxa"/>
            <w:tcBorders>
              <w:top w:val="nil"/>
              <w:left w:val="nil"/>
              <w:bottom w:val="nil"/>
              <w:right w:val="nil"/>
            </w:tcBorders>
          </w:tcPr>
          <w:p w14:paraId="23B6905D" w14:textId="2D79BC03" w:rsidR="00B9073B" w:rsidRPr="000525D2" w:rsidRDefault="00B9073B" w:rsidP="000525D2">
            <w:pPr>
              <w:spacing w:before="40" w:after="40" w:line="240" w:lineRule="auto"/>
              <w:jc w:val="center"/>
              <w:rPr>
                <w:rFonts w:ascii="Calibri" w:eastAsia="Times New Roman" w:hAnsi="Calibri" w:cs="Times New Roman"/>
                <w:bCs/>
                <w:sz w:val="18"/>
                <w:szCs w:val="18"/>
              </w:rPr>
            </w:pPr>
            <w:r w:rsidRPr="000525D2">
              <w:rPr>
                <w:rFonts w:ascii="Calibri" w:eastAsia="Times New Roman" w:hAnsi="Calibri" w:cs="Times New Roman"/>
                <w:bCs/>
                <w:sz w:val="18"/>
                <w:szCs w:val="18"/>
              </w:rPr>
              <w:t>2</w:t>
            </w:r>
            <w:r>
              <w:rPr>
                <w:rFonts w:ascii="Calibri" w:eastAsia="Times New Roman" w:hAnsi="Calibri" w:cs="Times New Roman"/>
                <w:bCs/>
                <w:sz w:val="18"/>
                <w:szCs w:val="18"/>
              </w:rPr>
              <w:t>1</w:t>
            </w:r>
          </w:p>
        </w:tc>
        <w:tc>
          <w:tcPr>
            <w:tcW w:w="2075" w:type="dxa"/>
            <w:tcBorders>
              <w:top w:val="nil"/>
              <w:left w:val="nil"/>
              <w:bottom w:val="nil"/>
              <w:right w:val="nil"/>
            </w:tcBorders>
          </w:tcPr>
          <w:p w14:paraId="2DCCFE0D" w14:textId="7CF1C209"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sz w:val="18"/>
                <w:szCs w:val="18"/>
              </w:rPr>
              <w:t>92</w:t>
            </w:r>
          </w:p>
        </w:tc>
        <w:tc>
          <w:tcPr>
            <w:tcW w:w="1843" w:type="dxa"/>
            <w:tcBorders>
              <w:top w:val="nil"/>
              <w:left w:val="nil"/>
              <w:bottom w:val="nil"/>
              <w:right w:val="nil"/>
            </w:tcBorders>
          </w:tcPr>
          <w:p w14:paraId="70F093BB" w14:textId="5DB43BF0"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bCs/>
                <w:sz w:val="18"/>
                <w:szCs w:val="18"/>
              </w:rPr>
              <w:t>437</w:t>
            </w:r>
          </w:p>
        </w:tc>
      </w:tr>
      <w:tr w:rsidR="00B9073B" w:rsidRPr="000525D2" w14:paraId="3864E8ED"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nil"/>
              <w:right w:val="nil"/>
            </w:tcBorders>
          </w:tcPr>
          <w:p w14:paraId="06E00289" w14:textId="7EC68926" w:rsidR="00B9073B" w:rsidRPr="000525D2" w:rsidRDefault="00B9073B" w:rsidP="000525D2">
            <w:pPr>
              <w:spacing w:before="40" w:after="40" w:line="240" w:lineRule="auto"/>
              <w:rPr>
                <w:rFonts w:ascii="Calibri" w:eastAsia="Times New Roman" w:hAnsi="Calibri" w:cs="Times New Roman"/>
                <w:sz w:val="18"/>
                <w:szCs w:val="18"/>
                <w:vertAlign w:val="superscript"/>
              </w:rPr>
            </w:pPr>
            <w:r w:rsidRPr="005560E2">
              <w:rPr>
                <w:sz w:val="18"/>
                <w:szCs w:val="18"/>
              </w:rPr>
              <w:t>Other Receivables</w:t>
            </w:r>
          </w:p>
        </w:tc>
        <w:tc>
          <w:tcPr>
            <w:tcW w:w="700" w:type="dxa"/>
            <w:tcBorders>
              <w:top w:val="nil"/>
              <w:left w:val="nil"/>
              <w:bottom w:val="nil"/>
              <w:right w:val="nil"/>
            </w:tcBorders>
          </w:tcPr>
          <w:p w14:paraId="5ACE008F" w14:textId="77777777" w:rsidR="00B9073B" w:rsidRPr="000525D2" w:rsidRDefault="00B9073B" w:rsidP="000525D2">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single" w:sz="4" w:space="0" w:color="auto"/>
              <w:right w:val="nil"/>
            </w:tcBorders>
          </w:tcPr>
          <w:p w14:paraId="2BF85008" w14:textId="6285B27F"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sz w:val="18"/>
                <w:szCs w:val="18"/>
              </w:rPr>
              <w:t>161</w:t>
            </w:r>
          </w:p>
        </w:tc>
        <w:tc>
          <w:tcPr>
            <w:tcW w:w="1843" w:type="dxa"/>
            <w:tcBorders>
              <w:top w:val="nil"/>
              <w:left w:val="nil"/>
              <w:bottom w:val="single" w:sz="4" w:space="0" w:color="auto"/>
              <w:right w:val="nil"/>
            </w:tcBorders>
          </w:tcPr>
          <w:p w14:paraId="0CBC8C74" w14:textId="63316F15" w:rsidR="00B9073B" w:rsidRPr="00357BC1" w:rsidRDefault="00B9073B" w:rsidP="000525D2">
            <w:pPr>
              <w:spacing w:before="40" w:after="40" w:line="240" w:lineRule="auto"/>
              <w:jc w:val="right"/>
              <w:rPr>
                <w:rFonts w:ascii="Calibri" w:eastAsia="Times New Roman" w:hAnsi="Calibri" w:cs="Times New Roman"/>
                <w:bCs/>
                <w:sz w:val="18"/>
                <w:szCs w:val="18"/>
                <w:highlight w:val="yellow"/>
              </w:rPr>
            </w:pPr>
            <w:r w:rsidRPr="00C01FF9">
              <w:rPr>
                <w:bCs/>
                <w:sz w:val="18"/>
                <w:szCs w:val="18"/>
              </w:rPr>
              <w:t>147</w:t>
            </w:r>
          </w:p>
        </w:tc>
      </w:tr>
      <w:tr w:rsidR="00B9073B" w:rsidRPr="000525D2" w14:paraId="5BADEEC2"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43" w:type="dxa"/>
        </w:trPr>
        <w:tc>
          <w:tcPr>
            <w:tcW w:w="5016" w:type="dxa"/>
            <w:tcBorders>
              <w:top w:val="nil"/>
              <w:left w:val="nil"/>
              <w:bottom w:val="single" w:sz="12" w:space="0" w:color="492581" w:themeColor="accent1"/>
              <w:right w:val="nil"/>
            </w:tcBorders>
          </w:tcPr>
          <w:p w14:paraId="12489B13" w14:textId="0A7882FE" w:rsidR="00B9073B" w:rsidRPr="000525D2" w:rsidRDefault="00B9073B" w:rsidP="000525D2">
            <w:pPr>
              <w:spacing w:before="40" w:after="40" w:line="240" w:lineRule="auto"/>
              <w:rPr>
                <w:rFonts w:ascii="Calibri" w:eastAsia="Times New Roman" w:hAnsi="Calibri" w:cs="Times New Roman"/>
                <w:b/>
                <w:sz w:val="18"/>
                <w:szCs w:val="18"/>
              </w:rPr>
            </w:pPr>
            <w:r w:rsidRPr="005560E2">
              <w:rPr>
                <w:b/>
                <w:sz w:val="18"/>
                <w:szCs w:val="18"/>
              </w:rPr>
              <w:t>Total Receivables</w:t>
            </w:r>
          </w:p>
        </w:tc>
        <w:tc>
          <w:tcPr>
            <w:tcW w:w="700" w:type="dxa"/>
            <w:tcBorders>
              <w:top w:val="nil"/>
              <w:left w:val="nil"/>
              <w:bottom w:val="single" w:sz="12" w:space="0" w:color="492581" w:themeColor="accent1"/>
              <w:right w:val="nil"/>
            </w:tcBorders>
          </w:tcPr>
          <w:p w14:paraId="0671EC9E" w14:textId="77777777" w:rsidR="00B9073B" w:rsidRPr="000525D2" w:rsidRDefault="00B9073B" w:rsidP="000525D2">
            <w:pPr>
              <w:spacing w:before="40" w:after="40" w:line="240" w:lineRule="auto"/>
              <w:jc w:val="center"/>
              <w:rPr>
                <w:rFonts w:ascii="Calibri" w:eastAsia="Times New Roman" w:hAnsi="Calibri" w:cs="Times New Roman"/>
                <w:b/>
                <w:sz w:val="18"/>
                <w:szCs w:val="18"/>
              </w:rPr>
            </w:pPr>
          </w:p>
        </w:tc>
        <w:tc>
          <w:tcPr>
            <w:tcW w:w="2075" w:type="dxa"/>
            <w:tcBorders>
              <w:top w:val="single" w:sz="4" w:space="0" w:color="auto"/>
              <w:left w:val="nil"/>
              <w:bottom w:val="single" w:sz="12" w:space="0" w:color="492581" w:themeColor="accent1"/>
              <w:right w:val="nil"/>
            </w:tcBorders>
          </w:tcPr>
          <w:p w14:paraId="5B8F0C2A" w14:textId="13F0A98C" w:rsidR="00B9073B" w:rsidRPr="00357BC1" w:rsidRDefault="00B9073B" w:rsidP="000525D2">
            <w:pPr>
              <w:spacing w:before="40" w:after="40" w:line="240" w:lineRule="auto"/>
              <w:jc w:val="right"/>
              <w:rPr>
                <w:rFonts w:ascii="Calibri" w:eastAsia="Times New Roman" w:hAnsi="Calibri" w:cs="Times New Roman"/>
                <w:b/>
                <w:sz w:val="18"/>
                <w:szCs w:val="18"/>
                <w:highlight w:val="yellow"/>
              </w:rPr>
            </w:pPr>
            <w:r w:rsidRPr="00C01FF9">
              <w:rPr>
                <w:b/>
                <w:sz w:val="18"/>
                <w:szCs w:val="18"/>
              </w:rPr>
              <w:t>5,877</w:t>
            </w:r>
          </w:p>
        </w:tc>
        <w:tc>
          <w:tcPr>
            <w:tcW w:w="1843" w:type="dxa"/>
            <w:tcBorders>
              <w:top w:val="single" w:sz="4" w:space="0" w:color="auto"/>
              <w:left w:val="nil"/>
              <w:bottom w:val="single" w:sz="12" w:space="0" w:color="492581" w:themeColor="accent1"/>
              <w:right w:val="nil"/>
            </w:tcBorders>
          </w:tcPr>
          <w:p w14:paraId="3D4D5B22" w14:textId="03F59B77" w:rsidR="00B9073B" w:rsidRPr="00357BC1" w:rsidRDefault="00B9073B" w:rsidP="000525D2">
            <w:pPr>
              <w:spacing w:before="40" w:after="40" w:line="240" w:lineRule="auto"/>
              <w:jc w:val="right"/>
              <w:rPr>
                <w:rFonts w:ascii="Calibri" w:eastAsia="Times New Roman" w:hAnsi="Calibri" w:cs="Times New Roman"/>
                <w:b/>
                <w:sz w:val="18"/>
                <w:szCs w:val="18"/>
                <w:highlight w:val="yellow"/>
              </w:rPr>
            </w:pPr>
            <w:r w:rsidRPr="00C01FF9">
              <w:rPr>
                <w:b/>
                <w:sz w:val="18"/>
                <w:szCs w:val="18"/>
              </w:rPr>
              <w:t>3,100</w:t>
            </w:r>
          </w:p>
        </w:tc>
      </w:tr>
      <w:tr w:rsidR="0007096B" w:rsidRPr="000525D2" w14:paraId="68A1E83A" w14:textId="77777777" w:rsidTr="00B50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0177" w:type="dxa"/>
            <w:gridSpan w:val="5"/>
            <w:tcBorders>
              <w:top w:val="nil"/>
              <w:left w:val="nil"/>
              <w:bottom w:val="single" w:sz="12" w:space="0" w:color="492581" w:themeColor="accent1"/>
              <w:right w:val="nil"/>
            </w:tcBorders>
          </w:tcPr>
          <w:p w14:paraId="2728A1A8" w14:textId="77777777" w:rsidR="0007096B" w:rsidRPr="0025404C" w:rsidRDefault="0007096B" w:rsidP="0007096B">
            <w:pPr>
              <w:spacing w:before="120" w:after="120" w:line="240" w:lineRule="auto"/>
              <w:rPr>
                <w:rFonts w:cs="Source Sans Pro Light"/>
                <w:i/>
                <w:color w:val="000000"/>
                <w:sz w:val="17"/>
                <w:szCs w:val="17"/>
              </w:rPr>
            </w:pPr>
            <w:r w:rsidRPr="0025404C">
              <w:rPr>
                <w:rFonts w:cs="Source Sans Pro Light"/>
                <w:i/>
                <w:color w:val="000000"/>
                <w:sz w:val="17"/>
                <w:szCs w:val="17"/>
              </w:rPr>
              <w:t xml:space="preserve">No receivables are past due or impaired. </w:t>
            </w:r>
          </w:p>
          <w:p w14:paraId="5CCE6273" w14:textId="77777777" w:rsidR="0007096B" w:rsidRPr="0025404C" w:rsidRDefault="0007096B" w:rsidP="0007096B">
            <w:pPr>
              <w:spacing w:after="120" w:line="240" w:lineRule="auto"/>
              <w:rPr>
                <w:rFonts w:cs="Source Sans Pro Light"/>
                <w:i/>
                <w:iCs/>
                <w:color w:val="000000"/>
                <w:sz w:val="17"/>
                <w:szCs w:val="17"/>
              </w:rPr>
            </w:pPr>
            <w:proofErr w:type="spellStart"/>
            <w:r w:rsidRPr="0025404C">
              <w:rPr>
                <w:rFonts w:cs="Source Sans Pro Light"/>
                <w:i/>
                <w:iCs/>
                <w:color w:val="000000"/>
                <w:sz w:val="17"/>
                <w:szCs w:val="17"/>
                <w:vertAlign w:val="superscript"/>
              </w:rPr>
              <w:t>a</w:t>
            </w:r>
            <w:proofErr w:type="spellEnd"/>
            <w:r w:rsidRPr="0025404C">
              <w:rPr>
                <w:rFonts w:cs="Source Sans Pro Light"/>
                <w:i/>
                <w:iCs/>
                <w:color w:val="000000"/>
                <w:sz w:val="17"/>
                <w:szCs w:val="17"/>
              </w:rPr>
              <w:t xml:space="preserve"> The higher Distributions Receivable for 2023-24 relates to the higher distributions from investments for the June quarter.</w:t>
            </w:r>
          </w:p>
          <w:p w14:paraId="7C29BF6E" w14:textId="74A3CD5C" w:rsidR="0007096B" w:rsidRPr="00C01FF9" w:rsidRDefault="0007096B" w:rsidP="0007096B">
            <w:pPr>
              <w:spacing w:before="40" w:after="40" w:line="240" w:lineRule="auto"/>
              <w:rPr>
                <w:b/>
                <w:sz w:val="18"/>
                <w:szCs w:val="18"/>
              </w:rPr>
            </w:pPr>
            <w:r w:rsidRPr="0025404C">
              <w:rPr>
                <w:rFonts w:cs="Source Sans Pro Light"/>
                <w:i/>
                <w:iCs/>
                <w:color w:val="000000"/>
                <w:sz w:val="17"/>
                <w:szCs w:val="17"/>
                <w:vertAlign w:val="superscript"/>
              </w:rPr>
              <w:t>b</w:t>
            </w:r>
            <w:r w:rsidRPr="0025404C">
              <w:rPr>
                <w:rFonts w:cs="Source Sans Pro Light"/>
                <w:i/>
                <w:iCs/>
                <w:color w:val="000000"/>
                <w:sz w:val="17"/>
                <w:szCs w:val="17"/>
              </w:rPr>
              <w:t xml:space="preserve"> The lower Builders Warranty Insurance Receivables for 2023-24 relates to lower gross premium collected as at June 2024 than the previous year end.</w:t>
            </w:r>
          </w:p>
        </w:tc>
      </w:tr>
    </w:tbl>
    <w:p w14:paraId="7AF03F62" w14:textId="77777777" w:rsidR="00AF5DE3" w:rsidRPr="007C1DFC" w:rsidRDefault="00AF5DE3" w:rsidP="007D20EF">
      <w:pPr>
        <w:autoSpaceDE w:val="0"/>
        <w:autoSpaceDN w:val="0"/>
        <w:adjustRightInd w:val="0"/>
        <w:spacing w:after="137" w:line="240" w:lineRule="auto"/>
        <w:outlineLvl w:val="0"/>
        <w:rPr>
          <w:rFonts w:ascii="Calibri" w:eastAsia="Calibri" w:hAnsi="Calibri" w:cs="Montserrat Semi Bold"/>
          <w:b/>
          <w:bCs/>
          <w:color w:val="000000"/>
          <w:sz w:val="22"/>
          <w:szCs w:val="22"/>
        </w:rPr>
      </w:pPr>
    </w:p>
    <w:p w14:paraId="2019DF6F" w14:textId="0BF2C15A" w:rsidR="007D20EF" w:rsidRPr="007D20EF" w:rsidRDefault="007D20EF" w:rsidP="007D20EF">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7D20EF">
        <w:rPr>
          <w:rFonts w:ascii="Calibri" w:eastAsia="Calibri" w:hAnsi="Calibri" w:cs="Montserrat Semi Bold"/>
          <w:b/>
          <w:bCs/>
          <w:color w:val="000000"/>
          <w:sz w:val="30"/>
          <w:szCs w:val="30"/>
        </w:rPr>
        <w:t>NOTE 13. CLAIMS RELATED RECOVERIES</w:t>
      </w:r>
    </w:p>
    <w:p w14:paraId="1B9D665D" w14:textId="77777777" w:rsidR="007D20EF" w:rsidRPr="007D20EF" w:rsidRDefault="007D20EF" w:rsidP="007D20EF">
      <w:pPr>
        <w:autoSpaceDE w:val="0"/>
        <w:autoSpaceDN w:val="0"/>
        <w:adjustRightInd w:val="0"/>
        <w:spacing w:before="40" w:after="100" w:line="261" w:lineRule="atLeast"/>
        <w:rPr>
          <w:rFonts w:ascii="Calibri" w:eastAsia="Calibri" w:hAnsi="Calibri" w:cs="Calibri"/>
          <w:b/>
          <w:bCs/>
          <w:color w:val="000000"/>
          <w:sz w:val="22"/>
          <w:szCs w:val="22"/>
        </w:rPr>
      </w:pPr>
      <w:r w:rsidRPr="007D20EF">
        <w:rPr>
          <w:rFonts w:ascii="Calibri" w:eastAsia="Calibri" w:hAnsi="Calibri" w:cs="Calibri"/>
          <w:b/>
          <w:bCs/>
          <w:color w:val="000000"/>
          <w:sz w:val="22"/>
          <w:szCs w:val="22"/>
        </w:rPr>
        <w:t>Description and Material Accounting Policies Relating to Claims Related Recoveries</w:t>
      </w:r>
    </w:p>
    <w:p w14:paraId="006CCABE" w14:textId="112A327F" w:rsidR="007D20EF" w:rsidRDefault="007D20EF" w:rsidP="007C1DFC">
      <w:pPr>
        <w:autoSpaceDE w:val="0"/>
        <w:autoSpaceDN w:val="0"/>
        <w:adjustRightInd w:val="0"/>
        <w:spacing w:after="140" w:line="211" w:lineRule="atLeast"/>
        <w:rPr>
          <w:rFonts w:ascii="Calibri" w:eastAsia="Calibri" w:hAnsi="Calibri" w:cs="Source Sans Pro Light"/>
          <w:sz w:val="22"/>
          <w:szCs w:val="22"/>
        </w:rPr>
      </w:pPr>
      <w:r w:rsidRPr="007D20EF">
        <w:rPr>
          <w:rFonts w:ascii="Calibri" w:eastAsia="Calibri" w:hAnsi="Calibri" w:cs="Source Sans Pro Light"/>
          <w:sz w:val="22"/>
          <w:szCs w:val="22"/>
        </w:rPr>
        <w:t>Claims related recoveries represent amounts expected as a receivable from a third-party who has been identified as liable and accepted liability for costs incurred and, actuarial estimate for the recoveries from reinsurance claims and BWI claims recoveries. Actuarial valuation conducted for the end of the financial year includes analysis and valuation of claims expenses and an estimate for outstanding claims liabilities along with an estimate for the claims related recoveries. Reinsurance recoveries and external third-party recoveries are estimated using the total cost to settle the claims and any recovery from third party involvement or reinsurance coverage for the relevant period. Refer Note 1</w:t>
      </w:r>
      <w:r w:rsidR="000249B4">
        <w:rPr>
          <w:rFonts w:ascii="Calibri" w:eastAsia="Calibri" w:hAnsi="Calibri" w:cs="Source Sans Pro Light"/>
          <w:sz w:val="22"/>
          <w:szCs w:val="22"/>
        </w:rPr>
        <w:t>5</w:t>
      </w:r>
      <w:r w:rsidRPr="007D20EF">
        <w:rPr>
          <w:rFonts w:ascii="Calibri" w:eastAsia="Calibri" w:hAnsi="Calibri" w:cs="Source Sans Pro Light"/>
          <w:sz w:val="22"/>
          <w:szCs w:val="22"/>
        </w:rPr>
        <w:t>: ‘Outstanding Claims’ for further details on approach and methodologies.</w:t>
      </w:r>
    </w:p>
    <w:p w14:paraId="6DABD0D9" w14:textId="5D5C3397" w:rsidR="00B1114C" w:rsidRDefault="00B1114C">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1A6D6E65" w14:textId="60986C53" w:rsidR="00D304FB" w:rsidRDefault="00585F0E" w:rsidP="00585F0E">
      <w:pPr>
        <w:autoSpaceDE w:val="0"/>
        <w:autoSpaceDN w:val="0"/>
        <w:adjustRightInd w:val="0"/>
        <w:spacing w:after="137" w:line="240" w:lineRule="auto"/>
        <w:outlineLvl w:val="0"/>
        <w:rPr>
          <w:rFonts w:ascii="Calibri" w:eastAsia="Calibri" w:hAnsi="Calibri" w:cs="Source Sans Pro Light"/>
          <w:sz w:val="22"/>
          <w:szCs w:val="22"/>
        </w:rPr>
      </w:pPr>
      <w:r w:rsidRPr="007D20EF">
        <w:rPr>
          <w:rFonts w:ascii="Calibri" w:eastAsia="Calibri" w:hAnsi="Calibri" w:cs="Montserrat Semi Bold"/>
          <w:b/>
          <w:bCs/>
          <w:color w:val="000000"/>
          <w:sz w:val="30"/>
          <w:szCs w:val="30"/>
        </w:rPr>
        <w:lastRenderedPageBreak/>
        <w:t>NOTE 13. CLAIMS RELATED RECOVERIES</w:t>
      </w:r>
      <w:r>
        <w:rPr>
          <w:rFonts w:ascii="Calibri" w:eastAsia="Calibri" w:hAnsi="Calibr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B1114C" w:rsidRPr="00B1114C" w14:paraId="1A9282D5" w14:textId="77777777" w:rsidTr="00585F0E">
        <w:trPr>
          <w:cantSplit/>
        </w:trPr>
        <w:tc>
          <w:tcPr>
            <w:tcW w:w="5529" w:type="dxa"/>
            <w:tcBorders>
              <w:top w:val="single" w:sz="12" w:space="0" w:color="492581" w:themeColor="accent1"/>
              <w:bottom w:val="single" w:sz="12" w:space="0" w:color="492581" w:themeColor="accent1"/>
            </w:tcBorders>
          </w:tcPr>
          <w:p w14:paraId="3C4ECD01" w14:textId="77777777" w:rsidR="00B1114C" w:rsidRPr="00B1114C" w:rsidRDefault="00B1114C" w:rsidP="00B1114C">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361B6BDE"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r w:rsidRPr="00B1114C">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5505E895" w14:textId="1D619DC3"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202</w:t>
            </w:r>
            <w:r w:rsidR="003F003F">
              <w:rPr>
                <w:rFonts w:ascii="Calibri" w:eastAsia="Times New Roman" w:hAnsi="Calibri" w:cs="Times New Roman"/>
                <w:b/>
                <w:sz w:val="18"/>
                <w:szCs w:val="18"/>
              </w:rPr>
              <w:t>4</w:t>
            </w:r>
          </w:p>
          <w:p w14:paraId="5EB87A2A" w14:textId="77777777"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6337585" w14:textId="77777777" w:rsidR="00B1114C" w:rsidRPr="00B1114C"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5F306E78" w14:textId="79E22762" w:rsidR="00B1114C" w:rsidRPr="00B1114C" w:rsidRDefault="00B1114C" w:rsidP="00B1114C">
            <w:pPr>
              <w:spacing w:before="40" w:after="40" w:line="240" w:lineRule="auto"/>
              <w:jc w:val="right"/>
              <w:rPr>
                <w:rFonts w:ascii="Calibri" w:eastAsia="Times New Roman" w:hAnsi="Calibri" w:cs="Times New Roman"/>
                <w:b/>
                <w:sz w:val="18"/>
                <w:szCs w:val="18"/>
              </w:rPr>
            </w:pPr>
            <w:r w:rsidRPr="00B1114C">
              <w:rPr>
                <w:rFonts w:ascii="Calibri" w:eastAsia="Times New Roman" w:hAnsi="Calibri" w:cs="Times New Roman"/>
                <w:b/>
                <w:sz w:val="18"/>
                <w:szCs w:val="18"/>
              </w:rPr>
              <w:t>202</w:t>
            </w:r>
            <w:r w:rsidR="003F003F">
              <w:rPr>
                <w:rFonts w:ascii="Calibri" w:eastAsia="Times New Roman" w:hAnsi="Calibri" w:cs="Times New Roman"/>
                <w:b/>
                <w:sz w:val="18"/>
                <w:szCs w:val="18"/>
              </w:rPr>
              <w:t>3</w:t>
            </w:r>
          </w:p>
          <w:p w14:paraId="600AD4CC" w14:textId="77777777" w:rsidR="00B1114C" w:rsidRPr="00B1114C" w:rsidRDefault="00B1114C" w:rsidP="00B1114C">
            <w:pPr>
              <w:spacing w:before="40" w:after="40" w:line="240" w:lineRule="auto"/>
              <w:jc w:val="right"/>
              <w:rPr>
                <w:rFonts w:ascii="Calibri" w:eastAsia="Times New Roman" w:hAnsi="Calibri" w:cs="Times New Roman"/>
                <w:sz w:val="18"/>
                <w:szCs w:val="18"/>
              </w:rPr>
            </w:pPr>
            <w:r w:rsidRPr="00B1114C">
              <w:rPr>
                <w:rFonts w:ascii="Calibri" w:eastAsia="Times New Roman" w:hAnsi="Calibri" w:cs="Times New Roman"/>
                <w:b/>
                <w:sz w:val="18"/>
                <w:szCs w:val="18"/>
              </w:rPr>
              <w:t>$’000</w:t>
            </w:r>
          </w:p>
        </w:tc>
      </w:tr>
      <w:tr w:rsidR="00B1114C" w:rsidRPr="00B1114C" w14:paraId="73328A55" w14:textId="77777777" w:rsidTr="0058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01B1EE5D" w14:textId="77777777" w:rsidR="00B1114C" w:rsidRPr="00B1114C" w:rsidRDefault="00B1114C" w:rsidP="00B1114C">
            <w:pPr>
              <w:spacing w:before="40" w:after="40" w:line="240" w:lineRule="auto"/>
              <w:rPr>
                <w:rFonts w:ascii="Calibri" w:eastAsia="Times New Roman" w:hAnsi="Calibri" w:cs="Times New Roman"/>
                <w:b/>
                <w:sz w:val="18"/>
                <w:szCs w:val="18"/>
              </w:rPr>
            </w:pPr>
            <w:r w:rsidRPr="00B1114C">
              <w:rPr>
                <w:rFonts w:ascii="Calibri" w:eastAsia="Times New Roman" w:hAnsi="Calibri" w:cs="Times New Roman"/>
                <w:b/>
                <w:sz w:val="18"/>
                <w:szCs w:val="18"/>
              </w:rPr>
              <w:t>Current Claims Related Recoveries</w:t>
            </w:r>
          </w:p>
        </w:tc>
        <w:tc>
          <w:tcPr>
            <w:tcW w:w="709" w:type="dxa"/>
            <w:tcBorders>
              <w:top w:val="single" w:sz="12" w:space="0" w:color="492581" w:themeColor="accent1"/>
              <w:left w:val="nil"/>
              <w:bottom w:val="nil"/>
              <w:right w:val="nil"/>
            </w:tcBorders>
          </w:tcPr>
          <w:p w14:paraId="2212161E" w14:textId="77777777" w:rsidR="00B1114C" w:rsidRPr="00B1114C" w:rsidRDefault="00B1114C" w:rsidP="00B1114C">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2AE73673" w14:textId="77777777" w:rsidR="00B1114C" w:rsidRPr="00B1114C" w:rsidRDefault="00B1114C" w:rsidP="00B1114C">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03209114" w14:textId="77777777" w:rsidR="00B1114C" w:rsidRPr="00B1114C"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136A61B1" w14:textId="77777777" w:rsidR="00B1114C" w:rsidRPr="00B1114C" w:rsidRDefault="00B1114C" w:rsidP="00B1114C">
            <w:pPr>
              <w:tabs>
                <w:tab w:val="decimal" w:pos="539"/>
              </w:tabs>
              <w:spacing w:before="40" w:after="40" w:line="240" w:lineRule="auto"/>
              <w:jc w:val="right"/>
              <w:rPr>
                <w:rFonts w:ascii="Calibri" w:eastAsia="Times New Roman" w:hAnsi="Calibri" w:cs="Times New Roman"/>
                <w:sz w:val="18"/>
                <w:szCs w:val="18"/>
              </w:rPr>
            </w:pPr>
          </w:p>
        </w:tc>
      </w:tr>
      <w:tr w:rsidR="00B1114C" w:rsidRPr="00B1114C" w14:paraId="0343DF41"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4F1D736" w14:textId="77777777" w:rsidR="00B1114C" w:rsidRPr="00B1114C" w:rsidRDefault="00B1114C" w:rsidP="00B1114C">
            <w:pPr>
              <w:spacing w:before="40" w:after="40" w:line="240" w:lineRule="auto"/>
              <w:rPr>
                <w:rFonts w:ascii="Calibri" w:eastAsia="Times New Roman" w:hAnsi="Calibri" w:cs="Times New Roman"/>
                <w:sz w:val="18"/>
                <w:szCs w:val="18"/>
                <w:highlight w:val="yellow"/>
              </w:rPr>
            </w:pPr>
            <w:r w:rsidRPr="00B1114C">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7CDA2807" w14:textId="65C6DD4E" w:rsidR="00B1114C" w:rsidRPr="00B1114C" w:rsidRDefault="00B1114C" w:rsidP="00B1114C">
            <w:pPr>
              <w:spacing w:before="40" w:after="40" w:line="240" w:lineRule="auto"/>
              <w:jc w:val="center"/>
              <w:rPr>
                <w:rFonts w:ascii="Calibri" w:eastAsia="Times New Roman" w:hAnsi="Calibri" w:cs="Times New Roman"/>
                <w:bCs/>
                <w:sz w:val="18"/>
                <w:szCs w:val="18"/>
              </w:rPr>
            </w:pPr>
            <w:r w:rsidRPr="00B1114C">
              <w:rPr>
                <w:rFonts w:ascii="Calibri" w:eastAsia="Times New Roman" w:hAnsi="Calibri" w:cs="Times New Roman"/>
                <w:bCs/>
                <w:sz w:val="18"/>
                <w:szCs w:val="18"/>
              </w:rPr>
              <w:t>2</w:t>
            </w:r>
            <w:r w:rsidR="001345E3">
              <w:rPr>
                <w:rFonts w:ascii="Calibri" w:eastAsia="Times New Roman" w:hAnsi="Calibri" w:cs="Times New Roman"/>
                <w:bCs/>
                <w:sz w:val="18"/>
                <w:szCs w:val="18"/>
              </w:rPr>
              <w:t>1</w:t>
            </w:r>
          </w:p>
        </w:tc>
        <w:tc>
          <w:tcPr>
            <w:tcW w:w="1417" w:type="dxa"/>
            <w:tcBorders>
              <w:top w:val="nil"/>
              <w:left w:val="nil"/>
              <w:bottom w:val="nil"/>
              <w:right w:val="nil"/>
            </w:tcBorders>
          </w:tcPr>
          <w:p w14:paraId="583E86A8" w14:textId="1D5A8005"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71</w:t>
            </w:r>
          </w:p>
        </w:tc>
        <w:tc>
          <w:tcPr>
            <w:tcW w:w="567" w:type="dxa"/>
            <w:tcBorders>
              <w:top w:val="nil"/>
              <w:left w:val="nil"/>
              <w:bottom w:val="nil"/>
              <w:right w:val="nil"/>
            </w:tcBorders>
          </w:tcPr>
          <w:p w14:paraId="71C0CD72"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0C967645" w14:textId="4AE332AF"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23</w:t>
            </w:r>
          </w:p>
        </w:tc>
      </w:tr>
      <w:tr w:rsidR="00B1114C" w:rsidRPr="00B1114C" w14:paraId="1513C8EB"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DD87E34"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 xml:space="preserve">Reinsurance Recoveries </w:t>
            </w:r>
            <w:r w:rsidRPr="00B1114C">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56E7692"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9C79C2E" w14:textId="1D2A6923"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17,867</w:t>
            </w:r>
          </w:p>
        </w:tc>
        <w:tc>
          <w:tcPr>
            <w:tcW w:w="567" w:type="dxa"/>
            <w:tcBorders>
              <w:top w:val="nil"/>
              <w:left w:val="nil"/>
              <w:bottom w:val="nil"/>
              <w:right w:val="nil"/>
            </w:tcBorders>
          </w:tcPr>
          <w:p w14:paraId="49BF3BB8"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4862E5B9" w14:textId="2947CE1A"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11,715</w:t>
            </w:r>
          </w:p>
        </w:tc>
      </w:tr>
      <w:tr w:rsidR="00B1114C" w:rsidRPr="00B1114C" w14:paraId="62D22159"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30FA9A0"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sz w:val="18"/>
                <w:szCs w:val="18"/>
              </w:rPr>
              <w:t xml:space="preserve">Third Party Recoveries </w:t>
            </w:r>
            <w:r w:rsidRPr="00B1114C">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7AEB392F"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2CFDCD04" w14:textId="07940A83"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4,892</w:t>
            </w:r>
          </w:p>
        </w:tc>
        <w:tc>
          <w:tcPr>
            <w:tcW w:w="567" w:type="dxa"/>
            <w:tcBorders>
              <w:top w:val="nil"/>
              <w:left w:val="nil"/>
              <w:bottom w:val="single" w:sz="2" w:space="0" w:color="auto"/>
              <w:right w:val="nil"/>
            </w:tcBorders>
          </w:tcPr>
          <w:p w14:paraId="1FAEDF8E"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single" w:sz="2" w:space="0" w:color="auto"/>
              <w:right w:val="nil"/>
            </w:tcBorders>
          </w:tcPr>
          <w:p w14:paraId="12C320E8" w14:textId="74FEF062" w:rsidR="00B1114C" w:rsidRPr="003F003F" w:rsidRDefault="00EE0C79" w:rsidP="00B1114C">
            <w:pPr>
              <w:spacing w:before="40" w:after="40" w:line="240" w:lineRule="auto"/>
              <w:jc w:val="right"/>
              <w:rPr>
                <w:rFonts w:ascii="Calibri" w:eastAsia="Times New Roman" w:hAnsi="Calibri" w:cs="Times New Roman"/>
                <w:bCs/>
                <w:sz w:val="18"/>
                <w:szCs w:val="18"/>
                <w:highlight w:val="yellow"/>
              </w:rPr>
            </w:pPr>
            <w:r w:rsidRPr="00031761">
              <w:rPr>
                <w:sz w:val="18"/>
                <w:szCs w:val="18"/>
              </w:rPr>
              <w:t>1,302</w:t>
            </w:r>
          </w:p>
        </w:tc>
      </w:tr>
      <w:tr w:rsidR="00B1114C" w:rsidRPr="00B1114C" w14:paraId="7FCF0DF5"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2562E99"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b/>
                <w:sz w:val="18"/>
                <w:szCs w:val="18"/>
              </w:rPr>
              <w:t>Total Current Claims Related Recoveries</w:t>
            </w:r>
          </w:p>
        </w:tc>
        <w:tc>
          <w:tcPr>
            <w:tcW w:w="709" w:type="dxa"/>
            <w:tcBorders>
              <w:top w:val="nil"/>
              <w:left w:val="nil"/>
              <w:bottom w:val="nil"/>
              <w:right w:val="nil"/>
            </w:tcBorders>
          </w:tcPr>
          <w:p w14:paraId="2F466033"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39E55C58" w14:textId="30E8521B" w:rsidR="00B1114C" w:rsidRPr="003F003F" w:rsidRDefault="00EE0C79"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22,831</w:t>
            </w:r>
          </w:p>
        </w:tc>
        <w:tc>
          <w:tcPr>
            <w:tcW w:w="567" w:type="dxa"/>
            <w:tcBorders>
              <w:top w:val="single" w:sz="2" w:space="0" w:color="auto"/>
              <w:left w:val="nil"/>
              <w:bottom w:val="single" w:sz="2" w:space="0" w:color="auto"/>
              <w:right w:val="nil"/>
            </w:tcBorders>
          </w:tcPr>
          <w:p w14:paraId="2F147150"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left w:val="nil"/>
              <w:bottom w:val="single" w:sz="2" w:space="0" w:color="auto"/>
              <w:right w:val="nil"/>
            </w:tcBorders>
          </w:tcPr>
          <w:p w14:paraId="3E4BDFA2" w14:textId="087BE489" w:rsidR="00B1114C" w:rsidRPr="003F003F" w:rsidRDefault="00EE0C79"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13,040</w:t>
            </w:r>
          </w:p>
        </w:tc>
      </w:tr>
      <w:tr w:rsidR="00B1114C" w:rsidRPr="00B1114C" w14:paraId="1D80A7BE"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4557747A"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p>
        </w:tc>
        <w:tc>
          <w:tcPr>
            <w:tcW w:w="709" w:type="dxa"/>
            <w:tcBorders>
              <w:top w:val="nil"/>
              <w:left w:val="nil"/>
              <w:bottom w:val="nil"/>
              <w:right w:val="nil"/>
            </w:tcBorders>
          </w:tcPr>
          <w:p w14:paraId="471C4B8E"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nil"/>
              <w:right w:val="nil"/>
            </w:tcBorders>
          </w:tcPr>
          <w:p w14:paraId="238B5B42" w14:textId="77777777" w:rsidR="00B1114C" w:rsidRPr="003F003F" w:rsidRDefault="00B1114C" w:rsidP="00B1114C">
            <w:pPr>
              <w:spacing w:before="40" w:after="40" w:line="240" w:lineRule="auto"/>
              <w:jc w:val="right"/>
              <w:rPr>
                <w:rFonts w:ascii="Calibri" w:eastAsia="Times New Roman" w:hAnsi="Calibri" w:cs="Times New Roman"/>
                <w:b/>
                <w:sz w:val="18"/>
                <w:szCs w:val="18"/>
                <w:highlight w:val="yellow"/>
              </w:rPr>
            </w:pPr>
          </w:p>
        </w:tc>
        <w:tc>
          <w:tcPr>
            <w:tcW w:w="567" w:type="dxa"/>
            <w:tcBorders>
              <w:top w:val="single" w:sz="2" w:space="0" w:color="auto"/>
              <w:left w:val="nil"/>
              <w:bottom w:val="nil"/>
              <w:right w:val="nil"/>
            </w:tcBorders>
          </w:tcPr>
          <w:p w14:paraId="3438B032"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left w:val="nil"/>
              <w:bottom w:val="nil"/>
              <w:right w:val="nil"/>
            </w:tcBorders>
          </w:tcPr>
          <w:p w14:paraId="7DCC30FF" w14:textId="77777777" w:rsidR="00B1114C" w:rsidRPr="003F003F" w:rsidRDefault="00B1114C" w:rsidP="00B1114C">
            <w:pPr>
              <w:spacing w:before="40" w:after="40" w:line="240" w:lineRule="auto"/>
              <w:jc w:val="right"/>
              <w:rPr>
                <w:rFonts w:ascii="Calibri" w:eastAsia="Times New Roman" w:hAnsi="Calibri" w:cs="Times New Roman"/>
                <w:bCs/>
                <w:sz w:val="18"/>
                <w:szCs w:val="18"/>
                <w:highlight w:val="yellow"/>
              </w:rPr>
            </w:pPr>
          </w:p>
        </w:tc>
      </w:tr>
      <w:tr w:rsidR="00B1114C" w:rsidRPr="00B1114C" w14:paraId="2A9CE869"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BAFD64C"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b/>
                <w:sz w:val="18"/>
                <w:szCs w:val="18"/>
              </w:rPr>
              <w:t>Non-Current Claims Related Recoveries</w:t>
            </w:r>
          </w:p>
        </w:tc>
        <w:tc>
          <w:tcPr>
            <w:tcW w:w="709" w:type="dxa"/>
            <w:tcBorders>
              <w:top w:val="nil"/>
              <w:left w:val="nil"/>
              <w:bottom w:val="nil"/>
              <w:right w:val="nil"/>
            </w:tcBorders>
          </w:tcPr>
          <w:p w14:paraId="53BD1D3D" w14:textId="77777777" w:rsidR="00B1114C" w:rsidRPr="00B1114C" w:rsidRDefault="00B1114C" w:rsidP="00B1114C">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1917A247" w14:textId="77777777" w:rsidR="00B1114C" w:rsidRPr="003F003F" w:rsidRDefault="00B1114C" w:rsidP="00B1114C">
            <w:pPr>
              <w:spacing w:before="40" w:after="40" w:line="240" w:lineRule="auto"/>
              <w:jc w:val="right"/>
              <w:rPr>
                <w:rFonts w:ascii="Calibri" w:eastAsia="Times New Roman" w:hAnsi="Calibri" w:cs="Times New Roman"/>
                <w:b/>
                <w:sz w:val="18"/>
                <w:szCs w:val="18"/>
                <w:highlight w:val="yellow"/>
              </w:rPr>
            </w:pPr>
          </w:p>
        </w:tc>
        <w:tc>
          <w:tcPr>
            <w:tcW w:w="567" w:type="dxa"/>
            <w:tcBorders>
              <w:top w:val="nil"/>
              <w:left w:val="nil"/>
              <w:bottom w:val="nil"/>
              <w:right w:val="nil"/>
            </w:tcBorders>
          </w:tcPr>
          <w:p w14:paraId="3AB92D99"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6D171C13" w14:textId="77777777" w:rsidR="00B1114C" w:rsidRPr="003F003F" w:rsidRDefault="00B1114C" w:rsidP="00B1114C">
            <w:pPr>
              <w:spacing w:before="40" w:after="40" w:line="240" w:lineRule="auto"/>
              <w:jc w:val="right"/>
              <w:rPr>
                <w:rFonts w:ascii="Calibri" w:eastAsia="Times New Roman" w:hAnsi="Calibri" w:cs="Times New Roman"/>
                <w:bCs/>
                <w:sz w:val="18"/>
                <w:szCs w:val="18"/>
                <w:highlight w:val="yellow"/>
              </w:rPr>
            </w:pPr>
          </w:p>
        </w:tc>
      </w:tr>
      <w:tr w:rsidR="00B1114C" w:rsidRPr="00B1114C" w14:paraId="7049FCB9"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08CC003"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12AF11F4" w14:textId="38EDC72B" w:rsidR="00B1114C" w:rsidRPr="00B1114C" w:rsidRDefault="00B1114C" w:rsidP="00B1114C">
            <w:pPr>
              <w:spacing w:before="40" w:after="40" w:line="240" w:lineRule="auto"/>
              <w:jc w:val="center"/>
              <w:rPr>
                <w:rFonts w:ascii="Calibri" w:eastAsia="Times New Roman" w:hAnsi="Calibri" w:cs="Times New Roman"/>
                <w:bCs/>
                <w:sz w:val="18"/>
                <w:szCs w:val="18"/>
              </w:rPr>
            </w:pPr>
            <w:r w:rsidRPr="00B1114C">
              <w:rPr>
                <w:rFonts w:ascii="Calibri" w:eastAsia="Times New Roman" w:hAnsi="Calibri" w:cs="Times New Roman"/>
                <w:bCs/>
                <w:sz w:val="18"/>
                <w:szCs w:val="18"/>
              </w:rPr>
              <w:t>2</w:t>
            </w:r>
            <w:r w:rsidR="001345E3">
              <w:rPr>
                <w:rFonts w:ascii="Calibri" w:eastAsia="Times New Roman" w:hAnsi="Calibri" w:cs="Times New Roman"/>
                <w:bCs/>
                <w:sz w:val="18"/>
                <w:szCs w:val="18"/>
              </w:rPr>
              <w:t>1</w:t>
            </w:r>
          </w:p>
        </w:tc>
        <w:tc>
          <w:tcPr>
            <w:tcW w:w="1417" w:type="dxa"/>
            <w:tcBorders>
              <w:top w:val="nil"/>
              <w:left w:val="nil"/>
              <w:bottom w:val="nil"/>
              <w:right w:val="nil"/>
            </w:tcBorders>
          </w:tcPr>
          <w:p w14:paraId="61506F77" w14:textId="6354EF4A"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137</w:t>
            </w:r>
          </w:p>
        </w:tc>
        <w:tc>
          <w:tcPr>
            <w:tcW w:w="567" w:type="dxa"/>
            <w:tcBorders>
              <w:top w:val="nil"/>
              <w:left w:val="nil"/>
              <w:bottom w:val="nil"/>
              <w:right w:val="nil"/>
            </w:tcBorders>
          </w:tcPr>
          <w:p w14:paraId="65D1206A"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22D569D6" w14:textId="036F63F4"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39</w:t>
            </w:r>
          </w:p>
        </w:tc>
      </w:tr>
      <w:tr w:rsidR="00B1114C" w:rsidRPr="00B1114C" w14:paraId="4816A53C" w14:textId="77777777" w:rsidTr="00323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1713812" w14:textId="77777777" w:rsidR="00B1114C" w:rsidRPr="00B1114C" w:rsidRDefault="00B1114C" w:rsidP="00B1114C">
            <w:pPr>
              <w:spacing w:before="40" w:after="40" w:line="240" w:lineRule="auto"/>
              <w:rPr>
                <w:rFonts w:ascii="Calibri" w:eastAsia="Times New Roman" w:hAnsi="Calibri" w:cs="Times New Roman"/>
                <w:sz w:val="18"/>
                <w:szCs w:val="18"/>
              </w:rPr>
            </w:pPr>
            <w:r w:rsidRPr="00B1114C">
              <w:rPr>
                <w:rFonts w:ascii="Calibri" w:eastAsia="Times New Roman" w:hAnsi="Calibri" w:cs="Times New Roman"/>
                <w:sz w:val="18"/>
                <w:szCs w:val="18"/>
              </w:rPr>
              <w:t xml:space="preserve">Reinsurance Recoveries </w:t>
            </w:r>
            <w:r w:rsidRPr="00B1114C">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4F80F5E9"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2166D0A6" w14:textId="15EB92F9"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34,611</w:t>
            </w:r>
          </w:p>
        </w:tc>
        <w:tc>
          <w:tcPr>
            <w:tcW w:w="567" w:type="dxa"/>
            <w:tcBorders>
              <w:top w:val="nil"/>
              <w:left w:val="nil"/>
              <w:bottom w:val="nil"/>
              <w:right w:val="nil"/>
            </w:tcBorders>
          </w:tcPr>
          <w:p w14:paraId="005F4474"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61D1C8F1" w14:textId="7822D4C5"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26,218</w:t>
            </w:r>
          </w:p>
        </w:tc>
      </w:tr>
      <w:tr w:rsidR="00B1114C" w:rsidRPr="00B1114C" w14:paraId="63829318" w14:textId="77777777" w:rsidTr="00032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7CDD54D"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sz w:val="18"/>
                <w:szCs w:val="18"/>
              </w:rPr>
              <w:t xml:space="preserve">Third Party Recoveries </w:t>
            </w:r>
            <w:r w:rsidRPr="00B1114C">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1E7CB108"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single" w:sz="4" w:space="0" w:color="auto"/>
              <w:right w:val="nil"/>
            </w:tcBorders>
          </w:tcPr>
          <w:p w14:paraId="30A05361" w14:textId="7BC783E2"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817</w:t>
            </w:r>
          </w:p>
        </w:tc>
        <w:tc>
          <w:tcPr>
            <w:tcW w:w="567" w:type="dxa"/>
            <w:tcBorders>
              <w:top w:val="nil"/>
              <w:left w:val="nil"/>
              <w:bottom w:val="single" w:sz="4" w:space="0" w:color="auto"/>
              <w:right w:val="nil"/>
            </w:tcBorders>
          </w:tcPr>
          <w:p w14:paraId="11AB710E"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single" w:sz="4" w:space="0" w:color="auto"/>
              <w:right w:val="nil"/>
            </w:tcBorders>
          </w:tcPr>
          <w:p w14:paraId="791CDE21" w14:textId="28AF403D" w:rsidR="00B1114C" w:rsidRPr="003F003F" w:rsidRDefault="00031761" w:rsidP="00B1114C">
            <w:pPr>
              <w:spacing w:before="40" w:after="40" w:line="240" w:lineRule="auto"/>
              <w:jc w:val="right"/>
              <w:rPr>
                <w:rFonts w:ascii="Calibri" w:eastAsia="Times New Roman" w:hAnsi="Calibri" w:cs="Times New Roman"/>
                <w:bCs/>
                <w:sz w:val="18"/>
                <w:szCs w:val="18"/>
                <w:highlight w:val="yellow"/>
              </w:rPr>
            </w:pPr>
            <w:r w:rsidRPr="00031761">
              <w:rPr>
                <w:bCs/>
                <w:sz w:val="18"/>
                <w:szCs w:val="18"/>
              </w:rPr>
              <w:t>1,865</w:t>
            </w:r>
          </w:p>
        </w:tc>
      </w:tr>
      <w:tr w:rsidR="00B1114C" w:rsidRPr="00B1114C" w14:paraId="3393ED6F" w14:textId="77777777" w:rsidTr="00032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351EA58" w14:textId="77777777" w:rsidR="00B1114C" w:rsidRPr="00B1114C" w:rsidRDefault="00B1114C" w:rsidP="00B1114C">
            <w:pPr>
              <w:spacing w:before="40" w:after="40" w:line="240" w:lineRule="auto"/>
              <w:rPr>
                <w:rFonts w:ascii="Calibri" w:eastAsia="Times New Roman" w:hAnsi="Calibri" w:cs="Times New Roman"/>
                <w:sz w:val="18"/>
                <w:szCs w:val="18"/>
                <w:vertAlign w:val="superscript"/>
              </w:rPr>
            </w:pPr>
            <w:r w:rsidRPr="00B1114C">
              <w:rPr>
                <w:rFonts w:ascii="Calibri" w:eastAsia="Times New Roman" w:hAnsi="Calibri" w:cs="Times New Roman"/>
                <w:b/>
                <w:sz w:val="18"/>
                <w:szCs w:val="18"/>
              </w:rPr>
              <w:t>Total Non-Current Claims Related Recoveries</w:t>
            </w:r>
          </w:p>
        </w:tc>
        <w:tc>
          <w:tcPr>
            <w:tcW w:w="709" w:type="dxa"/>
            <w:tcBorders>
              <w:top w:val="nil"/>
              <w:left w:val="nil"/>
              <w:bottom w:val="nil"/>
              <w:right w:val="nil"/>
            </w:tcBorders>
          </w:tcPr>
          <w:p w14:paraId="1897F7A8"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4" w:space="0" w:color="auto"/>
              <w:right w:val="nil"/>
            </w:tcBorders>
          </w:tcPr>
          <w:p w14:paraId="190498AA" w14:textId="487AC47A" w:rsidR="00B1114C" w:rsidRPr="003F003F" w:rsidRDefault="00031761"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35,565</w:t>
            </w:r>
          </w:p>
        </w:tc>
        <w:tc>
          <w:tcPr>
            <w:tcW w:w="567" w:type="dxa"/>
            <w:tcBorders>
              <w:top w:val="single" w:sz="4" w:space="0" w:color="auto"/>
              <w:left w:val="nil"/>
              <w:bottom w:val="single" w:sz="4" w:space="0" w:color="auto"/>
              <w:right w:val="nil"/>
            </w:tcBorders>
          </w:tcPr>
          <w:p w14:paraId="606160D0" w14:textId="77777777" w:rsidR="00B1114C" w:rsidRPr="003F003F"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left w:val="nil"/>
              <w:bottom w:val="single" w:sz="4" w:space="0" w:color="auto"/>
              <w:right w:val="nil"/>
            </w:tcBorders>
          </w:tcPr>
          <w:p w14:paraId="12CBE81A" w14:textId="595B6D86" w:rsidR="00B1114C" w:rsidRPr="003F003F" w:rsidRDefault="00031761"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28,122</w:t>
            </w:r>
          </w:p>
        </w:tc>
      </w:tr>
      <w:tr w:rsidR="00B1114C" w:rsidRPr="00B1114C" w14:paraId="112ED8D5" w14:textId="77777777" w:rsidTr="00032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3"/>
        </w:trPr>
        <w:tc>
          <w:tcPr>
            <w:tcW w:w="5529" w:type="dxa"/>
            <w:tcBorders>
              <w:top w:val="nil"/>
              <w:left w:val="nil"/>
              <w:bottom w:val="single" w:sz="12" w:space="0" w:color="492581" w:themeColor="accent1"/>
              <w:right w:val="nil"/>
            </w:tcBorders>
          </w:tcPr>
          <w:p w14:paraId="4D0899CF" w14:textId="77777777" w:rsidR="00B1114C" w:rsidRPr="00B1114C" w:rsidRDefault="00B1114C" w:rsidP="00B1114C">
            <w:pPr>
              <w:spacing w:before="40" w:after="40" w:line="240" w:lineRule="auto"/>
              <w:rPr>
                <w:rFonts w:ascii="Calibri" w:eastAsia="Times New Roman" w:hAnsi="Calibri" w:cs="Times New Roman"/>
                <w:b/>
                <w:sz w:val="18"/>
                <w:szCs w:val="18"/>
              </w:rPr>
            </w:pPr>
            <w:r w:rsidRPr="00B1114C">
              <w:rPr>
                <w:rFonts w:ascii="Calibri" w:eastAsia="Times New Roman" w:hAnsi="Calibri" w:cs="Times New Roman"/>
                <w:b/>
                <w:sz w:val="18"/>
                <w:szCs w:val="18"/>
              </w:rPr>
              <w:t>Total Claims Related Recoveries</w:t>
            </w:r>
          </w:p>
        </w:tc>
        <w:tc>
          <w:tcPr>
            <w:tcW w:w="709" w:type="dxa"/>
            <w:tcBorders>
              <w:top w:val="nil"/>
              <w:left w:val="nil"/>
              <w:bottom w:val="single" w:sz="12" w:space="0" w:color="492581" w:themeColor="accent1"/>
              <w:right w:val="nil"/>
            </w:tcBorders>
          </w:tcPr>
          <w:p w14:paraId="5E0175E9" w14:textId="77777777" w:rsidR="00B1114C" w:rsidRPr="00B1114C" w:rsidRDefault="00B1114C" w:rsidP="00B1114C">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79155211" w14:textId="58D17B44" w:rsidR="00B1114C" w:rsidRPr="003F003F" w:rsidRDefault="00031761"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58,396</w:t>
            </w:r>
          </w:p>
        </w:tc>
        <w:tc>
          <w:tcPr>
            <w:tcW w:w="567" w:type="dxa"/>
            <w:tcBorders>
              <w:top w:val="single" w:sz="4" w:space="0" w:color="auto"/>
              <w:left w:val="nil"/>
              <w:bottom w:val="single" w:sz="12" w:space="0" w:color="492581" w:themeColor="accent1"/>
              <w:right w:val="nil"/>
            </w:tcBorders>
          </w:tcPr>
          <w:p w14:paraId="41FA61FE" w14:textId="77777777" w:rsidR="00B1114C" w:rsidRPr="003F003F" w:rsidRDefault="00B1114C" w:rsidP="00B1114C">
            <w:pPr>
              <w:spacing w:before="40" w:after="40" w:line="240" w:lineRule="auto"/>
              <w:jc w:val="right"/>
              <w:rPr>
                <w:rFonts w:ascii="Calibri" w:eastAsia="Times New Roman" w:hAnsi="Calibri" w:cs="Times New Roman"/>
                <w:b/>
                <w:sz w:val="18"/>
                <w:szCs w:val="18"/>
                <w:highlight w:val="yellow"/>
              </w:rPr>
            </w:pPr>
          </w:p>
        </w:tc>
        <w:tc>
          <w:tcPr>
            <w:tcW w:w="1418" w:type="dxa"/>
            <w:tcBorders>
              <w:top w:val="single" w:sz="4" w:space="0" w:color="auto"/>
              <w:left w:val="nil"/>
              <w:bottom w:val="single" w:sz="12" w:space="0" w:color="492581" w:themeColor="accent1"/>
              <w:right w:val="nil"/>
            </w:tcBorders>
          </w:tcPr>
          <w:p w14:paraId="3D8E2504" w14:textId="09476406" w:rsidR="00B1114C" w:rsidRPr="003F003F" w:rsidRDefault="00031761" w:rsidP="00B1114C">
            <w:pPr>
              <w:spacing w:before="40" w:after="40" w:line="240" w:lineRule="auto"/>
              <w:jc w:val="right"/>
              <w:rPr>
                <w:rFonts w:ascii="Calibri" w:eastAsia="Times New Roman" w:hAnsi="Calibri" w:cs="Times New Roman"/>
                <w:b/>
                <w:sz w:val="18"/>
                <w:szCs w:val="18"/>
                <w:highlight w:val="yellow"/>
              </w:rPr>
            </w:pPr>
            <w:r w:rsidRPr="00031761">
              <w:rPr>
                <w:b/>
                <w:sz w:val="18"/>
                <w:szCs w:val="18"/>
              </w:rPr>
              <w:t>41,162</w:t>
            </w:r>
          </w:p>
        </w:tc>
      </w:tr>
      <w:tr w:rsidR="00B1114C" w:rsidRPr="0025404C" w14:paraId="03A75A0C" w14:textId="77777777" w:rsidTr="00032C06">
        <w:trPr>
          <w:cantSplit/>
          <w:trHeight w:val="1366"/>
        </w:trPr>
        <w:tc>
          <w:tcPr>
            <w:tcW w:w="9640" w:type="dxa"/>
            <w:gridSpan w:val="5"/>
            <w:tcBorders>
              <w:top w:val="single" w:sz="12" w:space="0" w:color="492581" w:themeColor="accent1"/>
              <w:bottom w:val="single" w:sz="12" w:space="0" w:color="492581" w:themeColor="accent1"/>
            </w:tcBorders>
            <w:vAlign w:val="bottom"/>
          </w:tcPr>
          <w:p w14:paraId="7F7DACAF" w14:textId="77777777" w:rsidR="00040A06" w:rsidRPr="0025404C" w:rsidRDefault="00040A06" w:rsidP="00040A06">
            <w:pPr>
              <w:pStyle w:val="Default"/>
              <w:spacing w:before="120" w:after="120"/>
              <w:rPr>
                <w:i/>
                <w:iCs/>
                <w:color w:val="auto"/>
                <w:sz w:val="17"/>
                <w:szCs w:val="17"/>
              </w:rPr>
            </w:pPr>
            <w:r w:rsidRPr="0025404C">
              <w:rPr>
                <w:rFonts w:asciiTheme="minorHAnsi" w:hAnsiTheme="minorHAnsi"/>
                <w:i/>
                <w:iCs/>
                <w:sz w:val="17"/>
                <w:szCs w:val="17"/>
                <w:vertAlign w:val="superscript"/>
              </w:rPr>
              <w:t xml:space="preserve">a </w:t>
            </w:r>
            <w:r w:rsidRPr="0025404C">
              <w:rPr>
                <w:i/>
                <w:iCs/>
                <w:color w:val="auto"/>
                <w:sz w:val="17"/>
                <w:szCs w:val="17"/>
              </w:rPr>
              <w:t xml:space="preserve">Reinsurance recovery estimates </w:t>
            </w:r>
            <w:proofErr w:type="gramStart"/>
            <w:r w:rsidRPr="0025404C">
              <w:rPr>
                <w:i/>
                <w:iCs/>
                <w:color w:val="auto"/>
                <w:sz w:val="17"/>
                <w:szCs w:val="17"/>
              </w:rPr>
              <w:t>mainly relate</w:t>
            </w:r>
            <w:proofErr w:type="gramEnd"/>
            <w:r w:rsidRPr="0025404C">
              <w:rPr>
                <w:i/>
                <w:iCs/>
                <w:color w:val="auto"/>
                <w:sz w:val="17"/>
                <w:szCs w:val="17"/>
              </w:rPr>
              <w:t xml:space="preserve"> to Property ($37.6 million) and Medical Malpractice ($14.9 million). The Authority incurred large individual claims and high-cost events </w:t>
            </w:r>
            <w:proofErr w:type="gramStart"/>
            <w:r w:rsidRPr="0025404C">
              <w:rPr>
                <w:i/>
                <w:iCs/>
                <w:color w:val="auto"/>
                <w:sz w:val="17"/>
                <w:szCs w:val="17"/>
              </w:rPr>
              <w:t>mainly due</w:t>
            </w:r>
            <w:proofErr w:type="gramEnd"/>
            <w:r w:rsidRPr="0025404C">
              <w:rPr>
                <w:i/>
                <w:iCs/>
                <w:color w:val="auto"/>
                <w:sz w:val="17"/>
                <w:szCs w:val="17"/>
              </w:rPr>
              <w:t xml:space="preserve"> to the significant fire events at the Hume Material Recovery Facility and North Canberra Hospital (formerly Calvary Public Hospital Bruce).</w:t>
            </w:r>
          </w:p>
          <w:p w14:paraId="5510E17D" w14:textId="3C522637" w:rsidR="00B1114C" w:rsidRPr="0025404C" w:rsidRDefault="00B1114C" w:rsidP="00B1114C">
            <w:pPr>
              <w:autoSpaceDE w:val="0"/>
              <w:autoSpaceDN w:val="0"/>
              <w:adjustRightInd w:val="0"/>
              <w:spacing w:before="120" w:after="120" w:line="240" w:lineRule="auto"/>
              <w:jc w:val="both"/>
              <w:rPr>
                <w:rFonts w:ascii="Calibri" w:eastAsia="Calibri" w:hAnsi="Calibri" w:cs="Montserrat Semi Bold"/>
                <w:i/>
                <w:iCs/>
                <w:sz w:val="17"/>
                <w:szCs w:val="17"/>
              </w:rPr>
            </w:pPr>
            <w:r w:rsidRPr="0025404C">
              <w:rPr>
                <w:rFonts w:ascii="Calibri" w:hAnsi="Calibri"/>
                <w:i/>
                <w:sz w:val="17"/>
                <w:szCs w:val="17"/>
                <w:vertAlign w:val="superscript"/>
              </w:rPr>
              <w:t xml:space="preserve"> b </w:t>
            </w:r>
            <w:r w:rsidRPr="0025404C">
              <w:rPr>
                <w:rFonts w:ascii="Calibri" w:hAnsi="Calibri"/>
                <w:i/>
                <w:sz w:val="17"/>
                <w:szCs w:val="17"/>
              </w:rPr>
              <w:t>Third party recoveries mainly related to the 2020 bushfire in the Namadgi National Park, where the costs of property damage are recoverable through a third party.</w:t>
            </w:r>
          </w:p>
        </w:tc>
      </w:tr>
    </w:tbl>
    <w:p w14:paraId="7DABA162" w14:textId="77777777" w:rsidR="00DF179F" w:rsidRPr="000F535B" w:rsidRDefault="00DF179F" w:rsidP="000F535B">
      <w:pPr>
        <w:autoSpaceDE w:val="0"/>
        <w:autoSpaceDN w:val="0"/>
        <w:adjustRightInd w:val="0"/>
        <w:spacing w:after="137" w:line="240" w:lineRule="auto"/>
        <w:outlineLvl w:val="0"/>
        <w:rPr>
          <w:rFonts w:ascii="Calibri" w:eastAsia="Calibri" w:hAnsi="Calibri" w:cs="Montserrat Semi Bold"/>
          <w:b/>
          <w:color w:val="000000"/>
          <w:sz w:val="30"/>
          <w:szCs w:val="30"/>
        </w:rPr>
      </w:pPr>
    </w:p>
    <w:p w14:paraId="7E094B93" w14:textId="77777777" w:rsidR="00086284" w:rsidRPr="000F535B" w:rsidRDefault="00086284" w:rsidP="000F535B">
      <w:pPr>
        <w:autoSpaceDE w:val="0"/>
        <w:autoSpaceDN w:val="0"/>
        <w:adjustRightInd w:val="0"/>
        <w:spacing w:after="137" w:line="240" w:lineRule="auto"/>
        <w:outlineLvl w:val="0"/>
        <w:rPr>
          <w:rFonts w:ascii="Calibri" w:eastAsia="Calibri" w:hAnsi="Calibri" w:cs="Montserrat Semi Bold"/>
          <w:b/>
          <w:color w:val="000000"/>
          <w:sz w:val="30"/>
          <w:szCs w:val="30"/>
        </w:rPr>
      </w:pPr>
      <w:r w:rsidRPr="000F535B">
        <w:rPr>
          <w:rFonts w:ascii="Calibri" w:eastAsia="Calibri" w:hAnsi="Calibri" w:cs="Montserrat Semi Bold"/>
          <w:b/>
          <w:color w:val="000000"/>
          <w:sz w:val="30"/>
          <w:szCs w:val="30"/>
        </w:rPr>
        <w:t>NOTE 14. OTHER ASSETS</w:t>
      </w:r>
    </w:p>
    <w:tbl>
      <w:tblPr>
        <w:tblW w:w="9640" w:type="dxa"/>
        <w:tblInd w:w="-142" w:type="dxa"/>
        <w:tblLayout w:type="fixed"/>
        <w:tblLook w:val="0000" w:firstRow="0" w:lastRow="0" w:firstColumn="0" w:lastColumn="0" w:noHBand="0" w:noVBand="0"/>
      </w:tblPr>
      <w:tblGrid>
        <w:gridCol w:w="5445"/>
        <w:gridCol w:w="701"/>
        <w:gridCol w:w="1398"/>
        <w:gridCol w:w="562"/>
        <w:gridCol w:w="1534"/>
      </w:tblGrid>
      <w:tr w:rsidR="00086284" w:rsidRPr="006A27ED" w14:paraId="5131385A" w14:textId="77777777" w:rsidTr="00B11ABC">
        <w:trPr>
          <w:cantSplit/>
        </w:trPr>
        <w:tc>
          <w:tcPr>
            <w:tcW w:w="5445" w:type="dxa"/>
            <w:tcBorders>
              <w:top w:val="single" w:sz="12" w:space="0" w:color="492581" w:themeColor="accent1"/>
              <w:bottom w:val="single" w:sz="12" w:space="0" w:color="492581" w:themeColor="accent1"/>
            </w:tcBorders>
          </w:tcPr>
          <w:p w14:paraId="45A54974" w14:textId="77777777" w:rsidR="00086284" w:rsidRPr="00B60FD6" w:rsidRDefault="00086284">
            <w:pPr>
              <w:pStyle w:val="VAText"/>
              <w:spacing w:before="40" w:after="40"/>
              <w:rPr>
                <w:rFonts w:asciiTheme="minorHAnsi" w:hAnsiTheme="minorHAnsi"/>
                <w:b/>
                <w:szCs w:val="18"/>
              </w:rPr>
            </w:pPr>
          </w:p>
        </w:tc>
        <w:tc>
          <w:tcPr>
            <w:tcW w:w="701" w:type="dxa"/>
            <w:tcBorders>
              <w:top w:val="single" w:sz="12" w:space="0" w:color="492581" w:themeColor="accent1"/>
              <w:bottom w:val="single" w:sz="12" w:space="0" w:color="492581" w:themeColor="accent1"/>
            </w:tcBorders>
          </w:tcPr>
          <w:p w14:paraId="70FFB523" w14:textId="77777777" w:rsidR="00086284" w:rsidRPr="006A27ED" w:rsidRDefault="00086284">
            <w:pPr>
              <w:pStyle w:val="VAText"/>
              <w:spacing w:before="40" w:after="40"/>
              <w:jc w:val="center"/>
              <w:rPr>
                <w:rFonts w:asciiTheme="minorHAnsi" w:hAnsiTheme="minorHAnsi"/>
                <w:b/>
                <w:szCs w:val="18"/>
              </w:rPr>
            </w:pPr>
            <w:r>
              <w:rPr>
                <w:rFonts w:asciiTheme="minorHAnsi" w:hAnsiTheme="minorHAnsi"/>
                <w:b/>
                <w:szCs w:val="18"/>
              </w:rPr>
              <w:t>Note No.</w:t>
            </w:r>
          </w:p>
        </w:tc>
        <w:tc>
          <w:tcPr>
            <w:tcW w:w="1398" w:type="dxa"/>
            <w:tcBorders>
              <w:top w:val="single" w:sz="12" w:space="0" w:color="492581" w:themeColor="accent1"/>
              <w:bottom w:val="single" w:sz="12" w:space="0" w:color="492581" w:themeColor="accent1"/>
            </w:tcBorders>
          </w:tcPr>
          <w:p w14:paraId="1CD5034B" w14:textId="77777777" w:rsidR="00086284" w:rsidRPr="006A27ED" w:rsidRDefault="00086284">
            <w:pPr>
              <w:pStyle w:val="VAText"/>
              <w:spacing w:before="40" w:after="40"/>
              <w:jc w:val="right"/>
              <w:rPr>
                <w:rFonts w:asciiTheme="minorHAnsi" w:hAnsiTheme="minorHAnsi"/>
                <w:b/>
                <w:szCs w:val="18"/>
              </w:rPr>
            </w:pPr>
            <w:r>
              <w:rPr>
                <w:rFonts w:asciiTheme="minorHAnsi" w:hAnsiTheme="minorHAnsi"/>
                <w:b/>
                <w:szCs w:val="18"/>
              </w:rPr>
              <w:t>2024</w:t>
            </w:r>
          </w:p>
          <w:p w14:paraId="32EC0639" w14:textId="77777777" w:rsidR="00086284" w:rsidRPr="006A27ED" w:rsidRDefault="00086284">
            <w:pPr>
              <w:pStyle w:val="VAText"/>
              <w:spacing w:before="40" w:after="40"/>
              <w:jc w:val="right"/>
              <w:rPr>
                <w:rFonts w:asciiTheme="minorHAnsi" w:hAnsiTheme="minorHAnsi"/>
                <w:b/>
                <w:szCs w:val="18"/>
              </w:rPr>
            </w:pPr>
            <w:r w:rsidRPr="006A27ED">
              <w:rPr>
                <w:rFonts w:asciiTheme="minorHAnsi" w:hAnsiTheme="minorHAnsi"/>
                <w:b/>
                <w:szCs w:val="18"/>
              </w:rPr>
              <w:t>$’000</w:t>
            </w:r>
          </w:p>
        </w:tc>
        <w:tc>
          <w:tcPr>
            <w:tcW w:w="562" w:type="dxa"/>
            <w:tcBorders>
              <w:top w:val="single" w:sz="12" w:space="0" w:color="492581" w:themeColor="accent1"/>
              <w:bottom w:val="single" w:sz="12" w:space="0" w:color="492581" w:themeColor="accent1"/>
            </w:tcBorders>
          </w:tcPr>
          <w:p w14:paraId="23B79878" w14:textId="77777777" w:rsidR="00086284" w:rsidRPr="00B60FD6" w:rsidRDefault="00086284">
            <w:pPr>
              <w:pStyle w:val="VAText"/>
              <w:spacing w:before="40" w:after="40"/>
              <w:jc w:val="right"/>
              <w:rPr>
                <w:rFonts w:asciiTheme="minorHAnsi" w:hAnsiTheme="minorHAnsi"/>
                <w:szCs w:val="18"/>
                <w:highlight w:val="yellow"/>
              </w:rPr>
            </w:pPr>
          </w:p>
        </w:tc>
        <w:tc>
          <w:tcPr>
            <w:tcW w:w="1534" w:type="dxa"/>
            <w:tcBorders>
              <w:top w:val="single" w:sz="12" w:space="0" w:color="492581" w:themeColor="accent1"/>
              <w:bottom w:val="single" w:sz="12" w:space="0" w:color="492581" w:themeColor="accent1"/>
            </w:tcBorders>
          </w:tcPr>
          <w:p w14:paraId="5560EC50" w14:textId="77777777" w:rsidR="00086284" w:rsidRPr="00CD5B89" w:rsidRDefault="00086284">
            <w:pPr>
              <w:pStyle w:val="VAText"/>
              <w:spacing w:before="40" w:after="40"/>
              <w:jc w:val="right"/>
              <w:rPr>
                <w:rFonts w:asciiTheme="minorHAnsi" w:hAnsiTheme="minorHAnsi"/>
                <w:b/>
                <w:szCs w:val="18"/>
              </w:rPr>
            </w:pPr>
            <w:r>
              <w:rPr>
                <w:rFonts w:asciiTheme="minorHAnsi" w:hAnsiTheme="minorHAnsi"/>
                <w:b/>
                <w:szCs w:val="18"/>
              </w:rPr>
              <w:t>2023</w:t>
            </w:r>
          </w:p>
          <w:p w14:paraId="0256A62A" w14:textId="77777777" w:rsidR="00086284" w:rsidRPr="00B60FD6" w:rsidRDefault="00086284">
            <w:pPr>
              <w:pStyle w:val="VAText"/>
              <w:spacing w:before="40" w:after="40"/>
              <w:jc w:val="right"/>
              <w:rPr>
                <w:rFonts w:asciiTheme="minorHAnsi" w:hAnsiTheme="minorHAnsi"/>
                <w:szCs w:val="18"/>
              </w:rPr>
            </w:pPr>
            <w:r w:rsidRPr="00CD5B89">
              <w:rPr>
                <w:rFonts w:asciiTheme="minorHAnsi" w:hAnsiTheme="minorHAnsi"/>
                <w:b/>
                <w:szCs w:val="18"/>
              </w:rPr>
              <w:t>$’000</w:t>
            </w:r>
          </w:p>
        </w:tc>
      </w:tr>
      <w:tr w:rsidR="00086284" w:rsidRPr="006A27ED" w14:paraId="027E6E61" w14:textId="77777777" w:rsidTr="00B11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single" w:sz="12" w:space="0" w:color="492581" w:themeColor="accent1"/>
              <w:left w:val="nil"/>
              <w:bottom w:val="nil"/>
              <w:right w:val="nil"/>
            </w:tcBorders>
          </w:tcPr>
          <w:p w14:paraId="684BBD25" w14:textId="77777777" w:rsidR="00086284" w:rsidRPr="006A27ED" w:rsidRDefault="00086284">
            <w:pPr>
              <w:pStyle w:val="VAText"/>
              <w:spacing w:before="40" w:after="40"/>
              <w:rPr>
                <w:rFonts w:asciiTheme="minorHAnsi" w:hAnsiTheme="minorHAnsi"/>
                <w:b/>
                <w:szCs w:val="18"/>
              </w:rPr>
            </w:pPr>
            <w:r w:rsidRPr="006A27ED">
              <w:rPr>
                <w:rFonts w:asciiTheme="minorHAnsi" w:hAnsiTheme="minorHAnsi"/>
                <w:b/>
                <w:szCs w:val="18"/>
              </w:rPr>
              <w:t>Current</w:t>
            </w:r>
            <w:r>
              <w:rPr>
                <w:rFonts w:asciiTheme="minorHAnsi" w:hAnsiTheme="minorHAnsi"/>
                <w:b/>
                <w:szCs w:val="18"/>
              </w:rPr>
              <w:t xml:space="preserve"> Other Assets</w:t>
            </w:r>
          </w:p>
        </w:tc>
        <w:tc>
          <w:tcPr>
            <w:tcW w:w="701" w:type="dxa"/>
            <w:tcBorders>
              <w:top w:val="single" w:sz="12" w:space="0" w:color="492581" w:themeColor="accent1"/>
              <w:left w:val="nil"/>
              <w:bottom w:val="nil"/>
              <w:right w:val="nil"/>
            </w:tcBorders>
          </w:tcPr>
          <w:p w14:paraId="3CA42D3A" w14:textId="77777777" w:rsidR="00086284" w:rsidRPr="006A27ED" w:rsidRDefault="00086284">
            <w:pPr>
              <w:pStyle w:val="VAText"/>
              <w:spacing w:before="40" w:after="40"/>
              <w:jc w:val="center"/>
              <w:rPr>
                <w:rFonts w:asciiTheme="minorHAnsi" w:hAnsiTheme="minorHAnsi"/>
                <w:szCs w:val="18"/>
              </w:rPr>
            </w:pPr>
          </w:p>
        </w:tc>
        <w:tc>
          <w:tcPr>
            <w:tcW w:w="1398" w:type="dxa"/>
            <w:tcBorders>
              <w:top w:val="single" w:sz="12" w:space="0" w:color="492581" w:themeColor="accent1"/>
              <w:left w:val="nil"/>
              <w:bottom w:val="nil"/>
              <w:right w:val="nil"/>
            </w:tcBorders>
          </w:tcPr>
          <w:p w14:paraId="0167DC6C" w14:textId="77777777" w:rsidR="00086284" w:rsidRPr="006A27ED" w:rsidRDefault="00086284">
            <w:pPr>
              <w:pStyle w:val="VAText"/>
              <w:tabs>
                <w:tab w:val="decimal" w:pos="539"/>
              </w:tabs>
              <w:spacing w:before="40" w:after="40"/>
              <w:jc w:val="right"/>
              <w:rPr>
                <w:rFonts w:asciiTheme="minorHAnsi" w:hAnsiTheme="minorHAnsi"/>
                <w:szCs w:val="18"/>
              </w:rPr>
            </w:pPr>
          </w:p>
        </w:tc>
        <w:tc>
          <w:tcPr>
            <w:tcW w:w="562" w:type="dxa"/>
            <w:tcBorders>
              <w:top w:val="single" w:sz="12" w:space="0" w:color="492581" w:themeColor="accent1"/>
              <w:left w:val="nil"/>
              <w:bottom w:val="nil"/>
              <w:right w:val="nil"/>
            </w:tcBorders>
          </w:tcPr>
          <w:p w14:paraId="087FC041" w14:textId="77777777" w:rsidR="00086284" w:rsidRPr="006A27ED" w:rsidRDefault="00086284">
            <w:pPr>
              <w:pStyle w:val="VAText"/>
              <w:spacing w:before="40" w:after="40"/>
              <w:jc w:val="right"/>
              <w:rPr>
                <w:rFonts w:asciiTheme="minorHAnsi" w:hAnsiTheme="minorHAnsi"/>
                <w:szCs w:val="18"/>
              </w:rPr>
            </w:pPr>
          </w:p>
        </w:tc>
        <w:tc>
          <w:tcPr>
            <w:tcW w:w="1534" w:type="dxa"/>
            <w:tcBorders>
              <w:top w:val="single" w:sz="12" w:space="0" w:color="492581" w:themeColor="accent1"/>
              <w:left w:val="nil"/>
              <w:bottom w:val="nil"/>
              <w:right w:val="nil"/>
            </w:tcBorders>
          </w:tcPr>
          <w:p w14:paraId="27FF26C0" w14:textId="77777777" w:rsidR="00086284" w:rsidRPr="006A27ED" w:rsidRDefault="00086284">
            <w:pPr>
              <w:pStyle w:val="VAText"/>
              <w:tabs>
                <w:tab w:val="decimal" w:pos="539"/>
              </w:tabs>
              <w:spacing w:before="40" w:after="40"/>
              <w:jc w:val="right"/>
              <w:rPr>
                <w:rFonts w:asciiTheme="minorHAnsi" w:hAnsiTheme="minorHAnsi"/>
                <w:szCs w:val="18"/>
              </w:rPr>
            </w:pPr>
          </w:p>
        </w:tc>
      </w:tr>
      <w:tr w:rsidR="00086284" w:rsidRPr="006A27ED" w14:paraId="25E71394" w14:textId="77777777" w:rsidTr="00B11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nil"/>
              <w:right w:val="nil"/>
            </w:tcBorders>
          </w:tcPr>
          <w:p w14:paraId="475D3A2B" w14:textId="77777777" w:rsidR="00086284" w:rsidRPr="006A27ED" w:rsidRDefault="00086284">
            <w:pPr>
              <w:pStyle w:val="VAText"/>
              <w:spacing w:before="40" w:after="40"/>
              <w:rPr>
                <w:rFonts w:asciiTheme="minorHAnsi" w:hAnsiTheme="minorHAnsi"/>
                <w:szCs w:val="18"/>
              </w:rPr>
            </w:pPr>
            <w:r>
              <w:rPr>
                <w:rFonts w:asciiTheme="minorHAnsi" w:hAnsiTheme="minorHAnsi"/>
                <w:szCs w:val="18"/>
              </w:rPr>
              <w:t>Prepayments</w:t>
            </w:r>
          </w:p>
        </w:tc>
        <w:tc>
          <w:tcPr>
            <w:tcW w:w="701" w:type="dxa"/>
            <w:tcBorders>
              <w:top w:val="nil"/>
              <w:left w:val="nil"/>
              <w:bottom w:val="nil"/>
              <w:right w:val="nil"/>
            </w:tcBorders>
          </w:tcPr>
          <w:p w14:paraId="5E8D6B49" w14:textId="77777777" w:rsidR="00086284" w:rsidRPr="006A27ED" w:rsidRDefault="00086284">
            <w:pPr>
              <w:pStyle w:val="VAText"/>
              <w:spacing w:before="40" w:after="40"/>
              <w:jc w:val="center"/>
              <w:rPr>
                <w:rFonts w:asciiTheme="minorHAnsi" w:hAnsiTheme="minorHAnsi"/>
                <w:b/>
                <w:szCs w:val="18"/>
              </w:rPr>
            </w:pPr>
          </w:p>
        </w:tc>
        <w:tc>
          <w:tcPr>
            <w:tcW w:w="1398" w:type="dxa"/>
            <w:tcBorders>
              <w:top w:val="nil"/>
              <w:left w:val="nil"/>
              <w:bottom w:val="single" w:sz="2" w:space="0" w:color="auto"/>
              <w:right w:val="nil"/>
            </w:tcBorders>
          </w:tcPr>
          <w:p w14:paraId="7259B8A4" w14:textId="77777777" w:rsidR="00086284" w:rsidRPr="0021372A" w:rsidRDefault="00086284">
            <w:pPr>
              <w:pStyle w:val="VAText"/>
              <w:spacing w:before="40" w:after="40"/>
              <w:jc w:val="right"/>
              <w:rPr>
                <w:rFonts w:asciiTheme="minorHAnsi" w:hAnsiTheme="minorHAnsi"/>
                <w:bCs/>
                <w:szCs w:val="18"/>
              </w:rPr>
            </w:pPr>
            <w:r>
              <w:rPr>
                <w:rFonts w:asciiTheme="minorHAnsi" w:hAnsiTheme="minorHAnsi"/>
                <w:bCs/>
                <w:szCs w:val="18"/>
              </w:rPr>
              <w:t>1,488</w:t>
            </w:r>
          </w:p>
        </w:tc>
        <w:tc>
          <w:tcPr>
            <w:tcW w:w="562" w:type="dxa"/>
            <w:tcBorders>
              <w:top w:val="nil"/>
              <w:left w:val="nil"/>
              <w:bottom w:val="single" w:sz="2" w:space="0" w:color="auto"/>
              <w:right w:val="nil"/>
            </w:tcBorders>
          </w:tcPr>
          <w:p w14:paraId="770D65B5" w14:textId="77777777" w:rsidR="00086284" w:rsidRPr="00AE3B20" w:rsidRDefault="00086284">
            <w:pPr>
              <w:pStyle w:val="VAText"/>
              <w:spacing w:before="40" w:after="40"/>
              <w:jc w:val="right"/>
              <w:rPr>
                <w:rFonts w:asciiTheme="minorHAnsi" w:hAnsiTheme="minorHAnsi"/>
                <w:bCs/>
                <w:szCs w:val="18"/>
              </w:rPr>
            </w:pPr>
          </w:p>
        </w:tc>
        <w:tc>
          <w:tcPr>
            <w:tcW w:w="1534" w:type="dxa"/>
            <w:tcBorders>
              <w:top w:val="nil"/>
              <w:left w:val="nil"/>
              <w:bottom w:val="single" w:sz="2" w:space="0" w:color="auto"/>
              <w:right w:val="nil"/>
            </w:tcBorders>
          </w:tcPr>
          <w:p w14:paraId="5803D3F4" w14:textId="77777777" w:rsidR="00086284" w:rsidRPr="00BC51A5" w:rsidRDefault="00086284">
            <w:pPr>
              <w:pStyle w:val="VAText"/>
              <w:spacing w:before="40" w:after="40"/>
              <w:jc w:val="right"/>
              <w:rPr>
                <w:rFonts w:asciiTheme="minorHAnsi" w:hAnsiTheme="minorHAnsi"/>
                <w:bCs/>
                <w:szCs w:val="18"/>
              </w:rPr>
            </w:pPr>
            <w:r>
              <w:rPr>
                <w:rFonts w:asciiTheme="minorHAnsi" w:hAnsiTheme="minorHAnsi"/>
                <w:bCs/>
                <w:szCs w:val="18"/>
              </w:rPr>
              <w:t>53</w:t>
            </w:r>
          </w:p>
        </w:tc>
      </w:tr>
      <w:tr w:rsidR="00086284" w:rsidRPr="006A27ED" w14:paraId="2CC3B195" w14:textId="77777777" w:rsidTr="00B11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nil"/>
              <w:right w:val="nil"/>
            </w:tcBorders>
          </w:tcPr>
          <w:p w14:paraId="2CE6E9BC" w14:textId="77777777" w:rsidR="00086284" w:rsidRPr="00D717DE" w:rsidRDefault="00086284">
            <w:pPr>
              <w:pStyle w:val="VAText"/>
              <w:spacing w:before="40" w:after="40"/>
              <w:rPr>
                <w:rFonts w:asciiTheme="minorHAnsi" w:hAnsiTheme="minorHAnsi"/>
                <w:b/>
                <w:szCs w:val="18"/>
              </w:rPr>
            </w:pPr>
            <w:r w:rsidRPr="00D717DE">
              <w:rPr>
                <w:rFonts w:asciiTheme="minorHAnsi" w:hAnsiTheme="minorHAnsi"/>
                <w:b/>
                <w:szCs w:val="18"/>
              </w:rPr>
              <w:t xml:space="preserve">Total Current Other Assets </w:t>
            </w:r>
          </w:p>
        </w:tc>
        <w:tc>
          <w:tcPr>
            <w:tcW w:w="701" w:type="dxa"/>
            <w:tcBorders>
              <w:top w:val="nil"/>
              <w:left w:val="nil"/>
              <w:bottom w:val="nil"/>
              <w:right w:val="nil"/>
            </w:tcBorders>
          </w:tcPr>
          <w:p w14:paraId="31A1AA63" w14:textId="77777777" w:rsidR="00086284" w:rsidRPr="00D717DE" w:rsidRDefault="00086284">
            <w:pPr>
              <w:pStyle w:val="VAText"/>
              <w:spacing w:before="40" w:after="40"/>
              <w:jc w:val="center"/>
              <w:rPr>
                <w:rFonts w:asciiTheme="minorHAnsi" w:hAnsiTheme="minorHAnsi"/>
                <w:b/>
                <w:szCs w:val="18"/>
              </w:rPr>
            </w:pPr>
          </w:p>
        </w:tc>
        <w:tc>
          <w:tcPr>
            <w:tcW w:w="1398" w:type="dxa"/>
            <w:tcBorders>
              <w:top w:val="single" w:sz="2" w:space="0" w:color="auto"/>
              <w:left w:val="nil"/>
              <w:bottom w:val="single" w:sz="2" w:space="0" w:color="auto"/>
              <w:right w:val="nil"/>
            </w:tcBorders>
          </w:tcPr>
          <w:p w14:paraId="221270AF" w14:textId="77777777" w:rsidR="00086284" w:rsidRPr="00D717DE" w:rsidRDefault="00086284">
            <w:pPr>
              <w:pStyle w:val="VAText"/>
              <w:spacing w:before="40" w:after="40"/>
              <w:jc w:val="right"/>
              <w:rPr>
                <w:rFonts w:asciiTheme="minorHAnsi" w:hAnsiTheme="minorHAnsi"/>
                <w:b/>
                <w:szCs w:val="18"/>
              </w:rPr>
            </w:pPr>
            <w:r>
              <w:rPr>
                <w:rFonts w:asciiTheme="minorHAnsi" w:hAnsiTheme="minorHAnsi"/>
                <w:b/>
                <w:szCs w:val="18"/>
              </w:rPr>
              <w:t>1,488</w:t>
            </w:r>
          </w:p>
        </w:tc>
        <w:tc>
          <w:tcPr>
            <w:tcW w:w="562" w:type="dxa"/>
            <w:tcBorders>
              <w:top w:val="single" w:sz="2" w:space="0" w:color="auto"/>
              <w:left w:val="nil"/>
              <w:bottom w:val="single" w:sz="2" w:space="0" w:color="auto"/>
              <w:right w:val="nil"/>
            </w:tcBorders>
          </w:tcPr>
          <w:p w14:paraId="38799F73" w14:textId="77777777" w:rsidR="00086284" w:rsidRPr="00D717DE" w:rsidRDefault="00086284">
            <w:pPr>
              <w:pStyle w:val="VAText"/>
              <w:spacing w:before="40" w:after="40"/>
              <w:jc w:val="right"/>
              <w:rPr>
                <w:rFonts w:asciiTheme="minorHAnsi" w:hAnsiTheme="minorHAnsi"/>
                <w:b/>
                <w:szCs w:val="18"/>
              </w:rPr>
            </w:pPr>
          </w:p>
        </w:tc>
        <w:tc>
          <w:tcPr>
            <w:tcW w:w="1534" w:type="dxa"/>
            <w:tcBorders>
              <w:top w:val="single" w:sz="2" w:space="0" w:color="auto"/>
              <w:left w:val="nil"/>
              <w:bottom w:val="single" w:sz="2" w:space="0" w:color="auto"/>
              <w:right w:val="nil"/>
            </w:tcBorders>
          </w:tcPr>
          <w:p w14:paraId="2CE6C942" w14:textId="77777777" w:rsidR="00086284" w:rsidRPr="00D717DE" w:rsidRDefault="00086284">
            <w:pPr>
              <w:pStyle w:val="VAText"/>
              <w:spacing w:before="40" w:after="40"/>
              <w:jc w:val="right"/>
              <w:rPr>
                <w:rFonts w:asciiTheme="minorHAnsi" w:hAnsiTheme="minorHAnsi"/>
                <w:b/>
                <w:szCs w:val="18"/>
              </w:rPr>
            </w:pPr>
            <w:r w:rsidRPr="00D717DE">
              <w:rPr>
                <w:rFonts w:asciiTheme="minorHAnsi" w:hAnsiTheme="minorHAnsi"/>
                <w:b/>
                <w:szCs w:val="18"/>
              </w:rPr>
              <w:t>53</w:t>
            </w:r>
          </w:p>
        </w:tc>
      </w:tr>
      <w:tr w:rsidR="00086284" w:rsidRPr="00AE3B20" w14:paraId="472B3B21" w14:textId="77777777" w:rsidTr="00B11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single" w:sz="12" w:space="0" w:color="492581" w:themeColor="accent1"/>
              <w:right w:val="nil"/>
            </w:tcBorders>
          </w:tcPr>
          <w:p w14:paraId="6A807B57" w14:textId="77777777" w:rsidR="00086284" w:rsidRPr="00CD1238" w:rsidRDefault="00086284">
            <w:pPr>
              <w:pStyle w:val="VAText"/>
              <w:spacing w:before="40" w:after="40"/>
              <w:rPr>
                <w:rFonts w:asciiTheme="minorHAnsi" w:hAnsiTheme="minorHAnsi"/>
                <w:b/>
                <w:szCs w:val="18"/>
              </w:rPr>
            </w:pPr>
            <w:r w:rsidRPr="00CD1238">
              <w:rPr>
                <w:rFonts w:asciiTheme="minorHAnsi" w:hAnsiTheme="minorHAnsi"/>
                <w:b/>
                <w:szCs w:val="18"/>
              </w:rPr>
              <w:t xml:space="preserve">Total </w:t>
            </w:r>
            <w:r>
              <w:rPr>
                <w:rFonts w:asciiTheme="minorHAnsi" w:hAnsiTheme="minorHAnsi"/>
                <w:b/>
                <w:szCs w:val="18"/>
              </w:rPr>
              <w:t>Other Assets</w:t>
            </w:r>
          </w:p>
        </w:tc>
        <w:tc>
          <w:tcPr>
            <w:tcW w:w="701" w:type="dxa"/>
            <w:tcBorders>
              <w:top w:val="nil"/>
              <w:left w:val="nil"/>
              <w:bottom w:val="single" w:sz="12" w:space="0" w:color="492581" w:themeColor="accent1"/>
              <w:right w:val="nil"/>
            </w:tcBorders>
          </w:tcPr>
          <w:p w14:paraId="5E08AD1E" w14:textId="77777777" w:rsidR="00086284" w:rsidRPr="006A27ED" w:rsidRDefault="00086284">
            <w:pPr>
              <w:pStyle w:val="VAText"/>
              <w:spacing w:before="40" w:after="40"/>
              <w:jc w:val="center"/>
              <w:rPr>
                <w:rFonts w:asciiTheme="minorHAnsi" w:hAnsiTheme="minorHAnsi"/>
                <w:b/>
                <w:szCs w:val="18"/>
              </w:rPr>
            </w:pPr>
          </w:p>
        </w:tc>
        <w:tc>
          <w:tcPr>
            <w:tcW w:w="1398" w:type="dxa"/>
            <w:tcBorders>
              <w:top w:val="single" w:sz="2" w:space="0" w:color="auto"/>
              <w:left w:val="nil"/>
              <w:bottom w:val="single" w:sz="12" w:space="0" w:color="492581" w:themeColor="accent1"/>
              <w:right w:val="nil"/>
            </w:tcBorders>
          </w:tcPr>
          <w:p w14:paraId="0DE6430D" w14:textId="77777777" w:rsidR="00086284" w:rsidRPr="0021372A" w:rsidRDefault="00086284">
            <w:pPr>
              <w:pStyle w:val="VAText"/>
              <w:spacing w:before="40" w:after="40"/>
              <w:jc w:val="right"/>
              <w:rPr>
                <w:rFonts w:asciiTheme="minorHAnsi" w:hAnsiTheme="minorHAnsi"/>
                <w:b/>
                <w:szCs w:val="18"/>
              </w:rPr>
            </w:pPr>
            <w:r>
              <w:rPr>
                <w:rFonts w:asciiTheme="minorHAnsi" w:hAnsiTheme="minorHAnsi"/>
                <w:b/>
                <w:szCs w:val="18"/>
              </w:rPr>
              <w:t>1,488</w:t>
            </w:r>
          </w:p>
        </w:tc>
        <w:tc>
          <w:tcPr>
            <w:tcW w:w="562" w:type="dxa"/>
            <w:tcBorders>
              <w:top w:val="single" w:sz="2" w:space="0" w:color="auto"/>
              <w:left w:val="nil"/>
              <w:bottom w:val="single" w:sz="12" w:space="0" w:color="492581" w:themeColor="accent1"/>
              <w:right w:val="nil"/>
            </w:tcBorders>
          </w:tcPr>
          <w:p w14:paraId="55A6F375" w14:textId="77777777" w:rsidR="00086284" w:rsidRPr="006A27ED" w:rsidRDefault="00086284">
            <w:pPr>
              <w:pStyle w:val="VAText"/>
              <w:spacing w:before="40" w:after="40"/>
              <w:jc w:val="right"/>
              <w:rPr>
                <w:rFonts w:asciiTheme="minorHAnsi" w:hAnsiTheme="minorHAnsi"/>
                <w:szCs w:val="18"/>
              </w:rPr>
            </w:pPr>
          </w:p>
        </w:tc>
        <w:tc>
          <w:tcPr>
            <w:tcW w:w="1534" w:type="dxa"/>
            <w:tcBorders>
              <w:top w:val="single" w:sz="2" w:space="0" w:color="auto"/>
              <w:left w:val="nil"/>
              <w:bottom w:val="single" w:sz="12" w:space="0" w:color="492581" w:themeColor="accent1"/>
              <w:right w:val="nil"/>
            </w:tcBorders>
          </w:tcPr>
          <w:p w14:paraId="00D6B004" w14:textId="77777777" w:rsidR="00086284" w:rsidRPr="00AE3B20" w:rsidRDefault="00086284">
            <w:pPr>
              <w:pStyle w:val="VAText"/>
              <w:spacing w:before="40" w:after="40"/>
              <w:jc w:val="right"/>
              <w:rPr>
                <w:rFonts w:asciiTheme="minorHAnsi" w:hAnsiTheme="minorHAnsi"/>
                <w:b/>
                <w:szCs w:val="18"/>
              </w:rPr>
            </w:pPr>
            <w:r>
              <w:rPr>
                <w:rFonts w:asciiTheme="minorHAnsi" w:hAnsiTheme="minorHAnsi"/>
                <w:b/>
                <w:szCs w:val="18"/>
              </w:rPr>
              <w:t>53</w:t>
            </w:r>
          </w:p>
        </w:tc>
      </w:tr>
      <w:tr w:rsidR="00652134" w:rsidRPr="0025404C" w14:paraId="2A45684C" w14:textId="77777777" w:rsidTr="00B11A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0"/>
        </w:trPr>
        <w:tc>
          <w:tcPr>
            <w:tcW w:w="9640" w:type="dxa"/>
            <w:gridSpan w:val="5"/>
            <w:tcBorders>
              <w:top w:val="single" w:sz="12" w:space="0" w:color="492581" w:themeColor="accent1"/>
              <w:left w:val="nil"/>
              <w:bottom w:val="single" w:sz="12" w:space="0" w:color="492581" w:themeColor="accent1"/>
              <w:right w:val="nil"/>
            </w:tcBorders>
          </w:tcPr>
          <w:p w14:paraId="53F6486D" w14:textId="6EDF4544" w:rsidR="00652134" w:rsidRPr="0025404C" w:rsidRDefault="00652134" w:rsidP="00F645D4">
            <w:pPr>
              <w:pStyle w:val="VAText"/>
              <w:spacing w:before="120" w:after="40"/>
              <w:rPr>
                <w:rFonts w:asciiTheme="minorHAnsi" w:hAnsiTheme="minorHAnsi"/>
                <w:b/>
                <w:sz w:val="17"/>
                <w:szCs w:val="17"/>
              </w:rPr>
            </w:pPr>
            <w:r w:rsidRPr="0025404C">
              <w:rPr>
                <w:rFonts w:asciiTheme="minorHAnsi" w:eastAsiaTheme="minorHAnsi" w:hAnsiTheme="minorHAnsi" w:cs="Source Sans Pro Light"/>
                <w:i/>
                <w:iCs/>
                <w:color w:val="000000"/>
                <w:sz w:val="17"/>
                <w:szCs w:val="17"/>
              </w:rPr>
              <w:t>The Authority made the payment in June 2024 to take up the arrangement of SG fleet insurance policy on behalf of ACT Government agencies covering the period from April 2024 to March 2025.</w:t>
            </w:r>
          </w:p>
        </w:tc>
      </w:tr>
    </w:tbl>
    <w:p w14:paraId="4D6775CB" w14:textId="77777777" w:rsidR="00652134" w:rsidRDefault="00652134" w:rsidP="00AF5DE3">
      <w:pPr>
        <w:spacing w:after="160" w:line="259" w:lineRule="auto"/>
        <w:rPr>
          <w:rFonts w:ascii="Calibri" w:eastAsia="Calibri" w:hAnsi="Calibri" w:cs="Montserrat Semi Bold"/>
          <w:b/>
          <w:bCs/>
          <w:color w:val="492581" w:themeColor="accent1"/>
          <w:sz w:val="30"/>
          <w:szCs w:val="30"/>
        </w:rPr>
      </w:pPr>
    </w:p>
    <w:p w14:paraId="14C9B81B" w14:textId="4C394DB8" w:rsidR="00AF5DE3" w:rsidRPr="003F16E9" w:rsidRDefault="00AF5DE3" w:rsidP="00AF5DE3">
      <w:pPr>
        <w:spacing w:after="160" w:line="259" w:lineRule="auto"/>
        <w:rPr>
          <w:rFonts w:ascii="Calibri" w:eastAsia="Calibri" w:hAnsi="Calibri" w:cs="Montserrat Semi Bold"/>
          <w:b/>
          <w:bCs/>
          <w:color w:val="492581" w:themeColor="accent1"/>
          <w:sz w:val="30"/>
          <w:szCs w:val="30"/>
        </w:rPr>
      </w:pPr>
      <w:r w:rsidRPr="003F16E9">
        <w:rPr>
          <w:rFonts w:ascii="Calibri" w:eastAsia="Calibri" w:hAnsi="Calibri" w:cs="Montserrat Semi Bold"/>
          <w:b/>
          <w:bCs/>
          <w:color w:val="492581" w:themeColor="accent1"/>
          <w:sz w:val="30"/>
          <w:szCs w:val="30"/>
        </w:rPr>
        <w:t>LIABILITY NOTES</w:t>
      </w:r>
    </w:p>
    <w:p w14:paraId="19A8AB38" w14:textId="77777777" w:rsidR="00AF5DE3" w:rsidRDefault="00AF5DE3" w:rsidP="00AF5DE3">
      <w:pPr>
        <w:autoSpaceDE w:val="0"/>
        <w:autoSpaceDN w:val="0"/>
        <w:adjustRightInd w:val="0"/>
        <w:spacing w:before="40" w:after="100" w:line="261" w:lineRule="atLeast"/>
        <w:rPr>
          <w:rFonts w:ascii="Calibri" w:eastAsia="Calibri" w:hAnsi="Calibri" w:cs="Calibri"/>
          <w:b/>
          <w:bCs/>
          <w:color w:val="492581" w:themeColor="accent1"/>
          <w:sz w:val="22"/>
          <w:szCs w:val="22"/>
        </w:rPr>
      </w:pPr>
      <w:r w:rsidRPr="003F16E9">
        <w:rPr>
          <w:rFonts w:ascii="Calibri" w:eastAsia="Calibri" w:hAnsi="Calibri" w:cs="Calibri"/>
          <w:b/>
          <w:bCs/>
          <w:color w:val="492581" w:themeColor="accent1"/>
          <w:sz w:val="22"/>
          <w:szCs w:val="22"/>
        </w:rPr>
        <w:t>Material Accounting Policies – Liability</w:t>
      </w:r>
    </w:p>
    <w:p w14:paraId="563A9866" w14:textId="77777777" w:rsidR="00F76D2E" w:rsidRPr="003F16E9" w:rsidRDefault="00F76D2E" w:rsidP="00AF5DE3">
      <w:pPr>
        <w:autoSpaceDE w:val="0"/>
        <w:autoSpaceDN w:val="0"/>
        <w:adjustRightInd w:val="0"/>
        <w:spacing w:before="40" w:after="100" w:line="261" w:lineRule="atLeast"/>
        <w:rPr>
          <w:rFonts w:ascii="Calibri" w:eastAsia="Calibri" w:hAnsi="Calibri" w:cs="Calibri"/>
          <w:b/>
          <w:bCs/>
          <w:color w:val="492581" w:themeColor="accent1"/>
          <w:sz w:val="22"/>
          <w:szCs w:val="22"/>
        </w:rPr>
      </w:pPr>
    </w:p>
    <w:p w14:paraId="76BD3ACA" w14:textId="77777777" w:rsidR="00AF5DE3" w:rsidRPr="00AF5DE3" w:rsidRDefault="00AF5DE3" w:rsidP="00AF5DE3">
      <w:pPr>
        <w:autoSpaceDE w:val="0"/>
        <w:autoSpaceDN w:val="0"/>
        <w:adjustRightInd w:val="0"/>
        <w:spacing w:before="40" w:after="100" w:line="261" w:lineRule="atLeast"/>
        <w:rPr>
          <w:rFonts w:ascii="Calibri" w:eastAsia="Calibri" w:hAnsi="Calibri" w:cs="Calibri"/>
          <w:b/>
          <w:bCs/>
          <w:color w:val="000000"/>
          <w:sz w:val="22"/>
          <w:szCs w:val="22"/>
        </w:rPr>
      </w:pPr>
      <w:r w:rsidRPr="00AF5DE3">
        <w:rPr>
          <w:rFonts w:ascii="Calibri" w:eastAsia="Calibri" w:hAnsi="Calibri" w:cs="Calibri"/>
          <w:b/>
          <w:bCs/>
          <w:color w:val="000000"/>
          <w:sz w:val="22"/>
          <w:szCs w:val="22"/>
        </w:rPr>
        <w:t>Liability – Current and Non-Current</w:t>
      </w:r>
    </w:p>
    <w:p w14:paraId="05B4331F" w14:textId="52E3AC20" w:rsidR="00F76D2E" w:rsidRDefault="00AF5DE3" w:rsidP="000F41B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Liabilities are classified as current when they are due to be settled within 12 months after the reporting date or the Authority does not have an unconditional right to defer settlement of the liability for at least 12 months after the reporting date. Liabilities which do not fall within the current classification are classified as non-current.</w:t>
      </w:r>
    </w:p>
    <w:p w14:paraId="034F1A93" w14:textId="77777777" w:rsidR="00F76D2E" w:rsidRDefault="00F76D2E">
      <w:pPr>
        <w:spacing w:after="0" w:line="240" w:lineRule="auto"/>
        <w:rPr>
          <w:rFonts w:eastAsia="Calibri" w:cs="Source Sans Pro Light"/>
          <w:color w:val="000000"/>
          <w:sz w:val="22"/>
          <w:szCs w:val="22"/>
          <w:lang w:eastAsia="en-AU"/>
        </w:rPr>
      </w:pPr>
      <w:r>
        <w:rPr>
          <w:rFonts w:cs="Source Sans Pro Light"/>
          <w:color w:val="000000"/>
          <w:sz w:val="22"/>
          <w:szCs w:val="22"/>
        </w:rPr>
        <w:br w:type="page"/>
      </w:r>
    </w:p>
    <w:p w14:paraId="6CEBC451" w14:textId="3D5DAAFB" w:rsidR="00DE0D68" w:rsidRPr="00DE0D68" w:rsidRDefault="00DE0D68" w:rsidP="00DE0D68">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DE0D68">
        <w:rPr>
          <w:rFonts w:ascii="Calibri" w:eastAsia="Calibri" w:hAnsi="Calibri" w:cs="Montserrat Semi Bold"/>
          <w:b/>
          <w:bCs/>
          <w:color w:val="000000"/>
          <w:sz w:val="30"/>
          <w:szCs w:val="30"/>
        </w:rPr>
        <w:lastRenderedPageBreak/>
        <w:t>NOTE 1</w:t>
      </w:r>
      <w:r w:rsidR="009169D4">
        <w:rPr>
          <w:rFonts w:ascii="Calibri" w:eastAsia="Calibri" w:hAnsi="Calibri" w:cs="Montserrat Semi Bold"/>
          <w:b/>
          <w:bCs/>
          <w:color w:val="000000"/>
          <w:sz w:val="30"/>
          <w:szCs w:val="30"/>
        </w:rPr>
        <w:t>5</w:t>
      </w:r>
      <w:r w:rsidRPr="00DE0D68">
        <w:rPr>
          <w:rFonts w:ascii="Calibri" w:eastAsia="Calibri" w:hAnsi="Calibri" w:cs="Montserrat Semi Bold"/>
          <w:b/>
          <w:bCs/>
          <w:color w:val="000000"/>
          <w:sz w:val="30"/>
          <w:szCs w:val="30"/>
        </w:rPr>
        <w:t>. OUTSTANDING CLAIMS</w:t>
      </w:r>
    </w:p>
    <w:p w14:paraId="2BD74FB0"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Description and Material Accounting Policies Relating to Supplies and Services</w:t>
      </w:r>
    </w:p>
    <w:p w14:paraId="7E18DAF1" w14:textId="40C6685B" w:rsidR="00DE0D68" w:rsidRPr="00DE0D68" w:rsidRDefault="00DE0D68" w:rsidP="00DE0D68">
      <w:pPr>
        <w:autoSpaceDE w:val="0"/>
        <w:autoSpaceDN w:val="0"/>
        <w:adjustRightInd w:val="0"/>
        <w:spacing w:after="140" w:line="211" w:lineRule="atLeast"/>
        <w:jc w:val="both"/>
        <w:rPr>
          <w:rFonts w:ascii="Calibri" w:eastAsia="Calibri" w:hAnsi="Calibri" w:cs="Calibri"/>
          <w:color w:val="000000"/>
          <w:sz w:val="22"/>
          <w:szCs w:val="22"/>
        </w:rPr>
      </w:pPr>
      <w:r w:rsidRPr="008A11DA">
        <w:rPr>
          <w:rFonts w:cstheme="minorHAnsi"/>
          <w:color w:val="000000"/>
          <w:sz w:val="22"/>
          <w:szCs w:val="22"/>
        </w:rPr>
        <w:t>Provisions are calculated gross of any reinsurance recoveries. A separate estimate is made of the amounts that will be recoverable from reinsurers based upon the gross provisions</w:t>
      </w:r>
      <w:r w:rsidRPr="00DE0D68">
        <w:rPr>
          <w:rFonts w:ascii="Calibri" w:eastAsia="Calibri" w:hAnsi="Calibri" w:cs="Calibri"/>
          <w:color w:val="000000"/>
          <w:sz w:val="22"/>
          <w:szCs w:val="22"/>
        </w:rPr>
        <w:t>.</w:t>
      </w:r>
    </w:p>
    <w:p w14:paraId="1A943EBF"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Significant Judgements and Estimates - Outstanding Claims</w:t>
      </w:r>
    </w:p>
    <w:p w14:paraId="4437EE24" w14:textId="77777777" w:rsidR="00DE0D68" w:rsidRPr="00DE0D68" w:rsidRDefault="00DE0D68" w:rsidP="00DE0D68">
      <w:pPr>
        <w:autoSpaceDE w:val="0"/>
        <w:autoSpaceDN w:val="0"/>
        <w:adjustRightInd w:val="0"/>
        <w:spacing w:before="40" w:after="100" w:line="261" w:lineRule="atLeast"/>
        <w:rPr>
          <w:rFonts w:ascii="Calibri" w:eastAsia="Calibri" w:hAnsi="Calibri" w:cs="Calibri"/>
          <w:b/>
          <w:bCs/>
          <w:color w:val="000000"/>
          <w:sz w:val="22"/>
          <w:szCs w:val="22"/>
        </w:rPr>
      </w:pPr>
      <w:r w:rsidRPr="00DE0D68">
        <w:rPr>
          <w:rFonts w:ascii="Calibri" w:eastAsia="Calibri" w:hAnsi="Calibri" w:cs="Calibri"/>
          <w:b/>
          <w:bCs/>
          <w:color w:val="000000"/>
          <w:sz w:val="22"/>
          <w:szCs w:val="22"/>
        </w:rPr>
        <w:t>The Ultimate Liability Arising from Claims Made Under Insurance Contracts</w:t>
      </w:r>
    </w:p>
    <w:p w14:paraId="60966711" w14:textId="77777777" w:rsidR="00DE0D68" w:rsidRPr="008A11DA" w:rsidRDefault="00DE0D68" w:rsidP="0001486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A provision is made at year-end for the estimated cost of claims incurred but not settled at the valuation date, including the cost of IBNR and IBNER claims to the Authority.</w:t>
      </w:r>
    </w:p>
    <w:p w14:paraId="04FCDAE9" w14:textId="77777777" w:rsidR="00014864" w:rsidRPr="008A11DA" w:rsidRDefault="00DE0D68" w:rsidP="0001486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 xml:space="preserve">The estimated cost of claims includes direct expenses to be incurred in settling claims net of the expected value of recoveries. The Authority takes all reasonable steps to ensure that it has appropriate information regarding its claim’s exposures. However, given the uncertainty in establishing claims provisions, it is likely that the </w:t>
      </w:r>
      <w:proofErr w:type="gramStart"/>
      <w:r w:rsidRPr="008A11DA">
        <w:rPr>
          <w:rFonts w:asciiTheme="minorHAnsi" w:hAnsiTheme="minorHAnsi" w:cstheme="minorHAnsi"/>
          <w:color w:val="000000"/>
          <w:sz w:val="22"/>
          <w:szCs w:val="22"/>
        </w:rPr>
        <w:t>final outcome</w:t>
      </w:r>
      <w:proofErr w:type="gramEnd"/>
      <w:r w:rsidRPr="008A11DA">
        <w:rPr>
          <w:rFonts w:asciiTheme="minorHAnsi" w:hAnsiTheme="minorHAnsi" w:cstheme="minorHAnsi"/>
          <w:color w:val="000000"/>
          <w:sz w:val="22"/>
          <w:szCs w:val="22"/>
        </w:rPr>
        <w:t xml:space="preserve"> will prove to be different from the original estimate of the liability.</w:t>
      </w:r>
    </w:p>
    <w:p w14:paraId="7366C70D" w14:textId="77777777" w:rsidR="00014864" w:rsidRPr="008A11DA" w:rsidRDefault="00014864" w:rsidP="0001486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The estimation of IBNR and IBNER are generally subject to a greater degree of uncertainty than the estimation of the cost of settling claims already notified, as the cost of these claims is often not apparent until many years after the claim event. The public liability and medical malpractice classes typically display higher levels of IBNR and IBNER claims.</w:t>
      </w:r>
    </w:p>
    <w:p w14:paraId="225E1EE7" w14:textId="77777777" w:rsidR="00E44248" w:rsidRDefault="00E44248" w:rsidP="00E44248">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For the property class, claims are typically reported soon after the claim event, and therefore tend to display lower levels of volatility.</w:t>
      </w:r>
    </w:p>
    <w:p w14:paraId="2DC519FA" w14:textId="77777777" w:rsidR="00441411" w:rsidRPr="008A11DA" w:rsidRDefault="00441411" w:rsidP="00441411">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 xml:space="preserve">In calculating the estimated cost of unpaid claims, the Authority uses a variety of estimation techniques, generally based upon statistical analyses of historical experience, which assumes that the development pattern of the current claims will be consistent with </w:t>
      </w:r>
      <w:proofErr w:type="gramStart"/>
      <w:r w:rsidRPr="008A11DA">
        <w:rPr>
          <w:rFonts w:asciiTheme="minorHAnsi" w:hAnsiTheme="minorHAnsi" w:cstheme="minorHAnsi"/>
          <w:color w:val="000000"/>
          <w:sz w:val="22"/>
          <w:szCs w:val="22"/>
        </w:rPr>
        <w:t>past experience</w:t>
      </w:r>
      <w:proofErr w:type="gramEnd"/>
      <w:r w:rsidRPr="008A11DA">
        <w:rPr>
          <w:rFonts w:asciiTheme="minorHAnsi" w:hAnsiTheme="minorHAnsi" w:cstheme="minorHAnsi"/>
          <w:color w:val="000000"/>
          <w:sz w:val="22"/>
          <w:szCs w:val="22"/>
        </w:rPr>
        <w:t>. Allowances are made for factors which may cause these to change, including:</w:t>
      </w:r>
    </w:p>
    <w:p w14:paraId="7D824E34"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changes in the Authority’s processes which might accelerate or slow down the development and/or recording of paid or incurred claims, compared with the statistics from previous periods;</w:t>
      </w:r>
    </w:p>
    <w:p w14:paraId="0AFF1E8D"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changes in the legal environment; </w:t>
      </w:r>
    </w:p>
    <w:p w14:paraId="7843ABDC"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the effects of inflation; </w:t>
      </w:r>
    </w:p>
    <w:p w14:paraId="5725104E"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changes in the ACT Government activities; </w:t>
      </w:r>
    </w:p>
    <w:p w14:paraId="43EF6411"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the impact of large losses; </w:t>
      </w:r>
    </w:p>
    <w:p w14:paraId="51DEB0F3"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movements in industry benchmarks; and </w:t>
      </w:r>
    </w:p>
    <w:p w14:paraId="67372CC5" w14:textId="77777777" w:rsidR="00441411" w:rsidRPr="008A11DA" w:rsidRDefault="00441411" w:rsidP="00A36E9A">
      <w:pPr>
        <w:pStyle w:val="Default"/>
        <w:numPr>
          <w:ilvl w:val="0"/>
          <w:numId w:val="33"/>
        </w:numPr>
        <w:spacing w:after="47"/>
        <w:ind w:left="284" w:hanging="284"/>
        <w:rPr>
          <w:rFonts w:asciiTheme="minorHAnsi" w:hAnsiTheme="minorHAnsi" w:cstheme="minorHAnsi"/>
          <w:sz w:val="22"/>
          <w:szCs w:val="22"/>
        </w:rPr>
      </w:pPr>
      <w:r w:rsidRPr="008A11DA">
        <w:rPr>
          <w:rFonts w:asciiTheme="minorHAnsi" w:hAnsiTheme="minorHAnsi" w:cstheme="minorHAnsi"/>
          <w:sz w:val="22"/>
          <w:szCs w:val="22"/>
        </w:rPr>
        <w:t xml:space="preserve">medical and technological developments. </w:t>
      </w:r>
    </w:p>
    <w:p w14:paraId="4ABD813E" w14:textId="77777777" w:rsidR="00441411" w:rsidRDefault="00441411" w:rsidP="00441411">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A component of these estimation techniques is the estimation of the cost of notified but not paid claims (case estimation) which considers the claim circumstance as reported, any information available from the ACT Government Solicitor and information on the cost of settling claims with similar characteristics in previous periods.</w:t>
      </w:r>
    </w:p>
    <w:p w14:paraId="63141524" w14:textId="77777777" w:rsidR="00441411" w:rsidRPr="00784A7B" w:rsidRDefault="00441411" w:rsidP="00441411">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Large claims are assessed separately, being measured on a case by case basis or projected separately, </w:t>
      </w:r>
      <w:proofErr w:type="gramStart"/>
      <w:r w:rsidRPr="00784A7B">
        <w:rPr>
          <w:rFonts w:asciiTheme="minorHAnsi" w:hAnsiTheme="minorHAnsi" w:cs="Source Sans Pro Light"/>
          <w:color w:val="000000"/>
          <w:sz w:val="22"/>
          <w:szCs w:val="22"/>
        </w:rPr>
        <w:t>in order to</w:t>
      </w:r>
      <w:proofErr w:type="gramEnd"/>
      <w:r w:rsidRPr="00784A7B">
        <w:rPr>
          <w:rFonts w:asciiTheme="minorHAnsi" w:hAnsiTheme="minorHAnsi" w:cs="Source Sans Pro Light"/>
          <w:color w:val="000000"/>
          <w:sz w:val="22"/>
          <w:szCs w:val="22"/>
        </w:rPr>
        <w:t xml:space="preserve"> allow for the possible distortive effect of the development and i</w:t>
      </w:r>
      <w:r>
        <w:rPr>
          <w:rFonts w:asciiTheme="minorHAnsi" w:hAnsiTheme="minorHAnsi" w:cs="Source Sans Pro Light"/>
          <w:color w:val="000000"/>
          <w:sz w:val="22"/>
          <w:szCs w:val="22"/>
        </w:rPr>
        <w:t>ncidence of these large claims.</w:t>
      </w:r>
    </w:p>
    <w:p w14:paraId="036442C5" w14:textId="18562E49" w:rsidR="00AE62BD" w:rsidRDefault="00441411" w:rsidP="00441411">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Where possible, the Authority adopts multiple techniques to estimate the required level of provisions. This assists in giving greater understanding of the trends inherent in the data being projected and the range of possible outcomes. The most appropriate estimation technique is </w:t>
      </w:r>
      <w:r w:rsidR="00381DD2" w:rsidRPr="00784A7B">
        <w:rPr>
          <w:rFonts w:asciiTheme="minorHAnsi" w:hAnsiTheme="minorHAnsi" w:cs="Source Sans Pro Light"/>
          <w:color w:val="000000"/>
          <w:sz w:val="22"/>
          <w:szCs w:val="22"/>
        </w:rPr>
        <w:t>selected considering the</w:t>
      </w:r>
    </w:p>
    <w:p w14:paraId="29642925" w14:textId="79BA34A3" w:rsidR="00AE62BD" w:rsidRPr="00AE62BD" w:rsidRDefault="00AE62BD" w:rsidP="00AE62BD">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25170C">
        <w:rPr>
          <w:rFonts w:asciiTheme="minorHAnsi" w:hAnsiTheme="minorHAnsi" w:cs="Montserrat Semi Bold"/>
          <w:b/>
          <w:bCs/>
          <w:color w:val="000000"/>
          <w:sz w:val="30"/>
          <w:szCs w:val="30"/>
        </w:rPr>
        <w:t>. OUTSTANDING CLAIMS - CONTINUED</w:t>
      </w:r>
    </w:p>
    <w:p w14:paraId="147BFC51" w14:textId="32DED754" w:rsidR="00441411" w:rsidRPr="00784A7B" w:rsidRDefault="00441411" w:rsidP="00441411">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characteristics of the business class and the extent of the development of each </w:t>
      </w:r>
      <w:r>
        <w:rPr>
          <w:rFonts w:asciiTheme="minorHAnsi" w:hAnsiTheme="minorHAnsi" w:cs="Source Sans Pro Light"/>
          <w:color w:val="000000"/>
          <w:sz w:val="22"/>
          <w:szCs w:val="22"/>
        </w:rPr>
        <w:t>insurance year.</w:t>
      </w:r>
    </w:p>
    <w:p w14:paraId="45F65415" w14:textId="53BA6A11" w:rsidR="00967164" w:rsidRPr="00D35C9A" w:rsidRDefault="00967164" w:rsidP="00D35C9A">
      <w:pPr>
        <w:autoSpaceDE w:val="0"/>
        <w:autoSpaceDN w:val="0"/>
        <w:adjustRightInd w:val="0"/>
        <w:spacing w:after="140" w:line="211" w:lineRule="atLeast"/>
        <w:jc w:val="both"/>
        <w:rPr>
          <w:rFonts w:ascii="Calibri" w:eastAsia="Calibri" w:hAnsi="Calibri" w:cs="Calibri"/>
          <w:color w:val="000000"/>
          <w:sz w:val="22"/>
          <w:szCs w:val="22"/>
        </w:rPr>
      </w:pPr>
      <w:r w:rsidRPr="00967164">
        <w:rPr>
          <w:rFonts w:ascii="Calibri" w:eastAsia="Calibri" w:hAnsi="Calibri" w:cs="Source Sans Pro"/>
          <w:b/>
          <w:bCs/>
          <w:color w:val="000000"/>
          <w:sz w:val="22"/>
          <w:szCs w:val="22"/>
        </w:rPr>
        <w:t xml:space="preserve">Changes in Actuarial Assumptions </w:t>
      </w:r>
    </w:p>
    <w:p w14:paraId="045A16EE" w14:textId="77777777" w:rsidR="000A4874" w:rsidRPr="00784A7B" w:rsidRDefault="000A4874" w:rsidP="000A4874">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Authority uses an </w:t>
      </w:r>
      <w:r>
        <w:rPr>
          <w:rFonts w:asciiTheme="minorHAnsi" w:hAnsiTheme="minorHAnsi" w:cs="Source Sans Pro Light"/>
          <w:color w:val="000000"/>
          <w:sz w:val="22"/>
          <w:szCs w:val="22"/>
        </w:rPr>
        <w:t xml:space="preserve">independent </w:t>
      </w:r>
      <w:r w:rsidRPr="00784A7B">
        <w:rPr>
          <w:rFonts w:asciiTheme="minorHAnsi" w:hAnsiTheme="minorHAnsi" w:cs="Source Sans Pro Light"/>
          <w:color w:val="000000"/>
          <w:sz w:val="22"/>
          <w:szCs w:val="22"/>
        </w:rPr>
        <w:t>actuary</w:t>
      </w:r>
      <w:r>
        <w:rPr>
          <w:rFonts w:asciiTheme="minorHAnsi" w:hAnsiTheme="minorHAnsi" w:cs="Source Sans Pro Light"/>
          <w:color w:val="000000"/>
          <w:sz w:val="22"/>
          <w:szCs w:val="22"/>
        </w:rPr>
        <w:t xml:space="preserve">, currently </w:t>
      </w:r>
      <w:r w:rsidRPr="00062399">
        <w:rPr>
          <w:rFonts w:asciiTheme="minorHAnsi" w:hAnsiTheme="minorHAnsi" w:cs="Source Sans Pro Light"/>
          <w:color w:val="000000"/>
          <w:sz w:val="22"/>
          <w:szCs w:val="22"/>
        </w:rPr>
        <w:t>Scyne Advisory</w:t>
      </w:r>
      <w:r w:rsidRPr="005F697B">
        <w:rPr>
          <w:rFonts w:asciiTheme="minorHAnsi" w:hAnsiTheme="minorHAnsi" w:cs="Source Sans Pro Light"/>
          <w:color w:val="000000"/>
          <w:sz w:val="22"/>
          <w:szCs w:val="22"/>
        </w:rPr>
        <w:t xml:space="preserve"> Pty Ltd</w:t>
      </w:r>
      <w:r>
        <w:rPr>
          <w:rFonts w:asciiTheme="minorHAnsi" w:hAnsiTheme="minorHAnsi" w:cs="Source Sans Pro Light"/>
          <w:color w:val="000000"/>
          <w:sz w:val="22"/>
          <w:szCs w:val="22"/>
        </w:rPr>
        <w:t xml:space="preserve">, </w:t>
      </w:r>
      <w:r w:rsidRPr="00BB7B62">
        <w:rPr>
          <w:rFonts w:asciiTheme="minorHAnsi" w:hAnsiTheme="minorHAnsi" w:cs="Source Sans Pro Light"/>
          <w:color w:val="000000"/>
          <w:sz w:val="22"/>
          <w:szCs w:val="22"/>
        </w:rPr>
        <w:t xml:space="preserve">to provide </w:t>
      </w:r>
      <w:r>
        <w:rPr>
          <w:rFonts w:asciiTheme="minorHAnsi" w:hAnsiTheme="minorHAnsi" w:cs="Source Sans Pro Light"/>
          <w:color w:val="000000"/>
          <w:sz w:val="22"/>
          <w:szCs w:val="22"/>
        </w:rPr>
        <w:t xml:space="preserve">the </w:t>
      </w:r>
      <w:r w:rsidRPr="00784A7B">
        <w:rPr>
          <w:rFonts w:asciiTheme="minorHAnsi" w:hAnsiTheme="minorHAnsi" w:cs="Source Sans Pro Light"/>
          <w:color w:val="000000"/>
          <w:sz w:val="22"/>
          <w:szCs w:val="22"/>
        </w:rPr>
        <w:t>estimate</w:t>
      </w:r>
      <w:r>
        <w:rPr>
          <w:rFonts w:asciiTheme="minorHAnsi" w:hAnsiTheme="minorHAnsi" w:cs="Source Sans Pro Light"/>
          <w:color w:val="000000"/>
          <w:sz w:val="22"/>
          <w:szCs w:val="22"/>
        </w:rPr>
        <w:t xml:space="preserve"> of</w:t>
      </w:r>
      <w:r w:rsidRPr="00784A7B">
        <w:rPr>
          <w:rFonts w:asciiTheme="minorHAnsi" w:hAnsiTheme="minorHAnsi" w:cs="Source Sans Pro Light"/>
          <w:color w:val="000000"/>
          <w:sz w:val="22"/>
          <w:szCs w:val="22"/>
        </w:rPr>
        <w:t xml:space="preserve"> outstanding claims liabilities</w:t>
      </w:r>
      <w:r>
        <w:rPr>
          <w:rFonts w:asciiTheme="minorHAnsi" w:hAnsiTheme="minorHAnsi" w:cs="Source Sans Pro Light"/>
          <w:color w:val="000000"/>
          <w:sz w:val="22"/>
          <w:szCs w:val="22"/>
        </w:rPr>
        <w:t xml:space="preserve"> for those insurance classes covering ACT Government entities.</w:t>
      </w:r>
      <w:r w:rsidRPr="00784A7B">
        <w:rPr>
          <w:rFonts w:asciiTheme="minorHAnsi" w:hAnsiTheme="minorHAnsi" w:cs="Source Sans Pro Light"/>
          <w:color w:val="000000"/>
          <w:sz w:val="22"/>
          <w:szCs w:val="22"/>
        </w:rPr>
        <w:t xml:space="preserve"> The estimate </w:t>
      </w:r>
      <w:r>
        <w:rPr>
          <w:rFonts w:asciiTheme="minorHAnsi" w:hAnsiTheme="minorHAnsi" w:cs="Source Sans Pro Light"/>
          <w:color w:val="000000"/>
          <w:sz w:val="22"/>
          <w:szCs w:val="22"/>
        </w:rPr>
        <w:t>utilises</w:t>
      </w:r>
      <w:r w:rsidRPr="00784A7B">
        <w:rPr>
          <w:rFonts w:asciiTheme="minorHAnsi" w:hAnsiTheme="minorHAnsi" w:cs="Source Sans Pro Light"/>
          <w:color w:val="000000"/>
          <w:sz w:val="22"/>
          <w:szCs w:val="22"/>
        </w:rPr>
        <w:t xml:space="preserve"> actuarial assumptions and methods which are based on past claims experience, risk exposure and projections of economic variables.</w:t>
      </w:r>
      <w:r>
        <w:rPr>
          <w:rFonts w:asciiTheme="minorHAnsi" w:hAnsiTheme="minorHAnsi" w:cs="Source Sans Pro Light"/>
          <w:color w:val="000000"/>
          <w:sz w:val="22"/>
          <w:szCs w:val="22"/>
        </w:rPr>
        <w:t xml:space="preserve"> As a result of changes in these variables, the estimate of the outstanding claims liabilities has changed. This change has resulted in an increase to the estimates of the outstanding claims liabilities and claims expense in the current reporting period (Refer to Note 6: ‘Net Incurred Claims’).</w:t>
      </w:r>
    </w:p>
    <w:p w14:paraId="0F2E690D" w14:textId="77777777" w:rsidR="000A4874" w:rsidRDefault="00967164" w:rsidP="000A4874">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Authority </w:t>
      </w:r>
      <w:r>
        <w:rPr>
          <w:rFonts w:asciiTheme="minorHAnsi" w:hAnsiTheme="minorHAnsi" w:cs="Source Sans Pro Light"/>
          <w:color w:val="000000"/>
          <w:sz w:val="22"/>
          <w:szCs w:val="22"/>
        </w:rPr>
        <w:t>provides</w:t>
      </w:r>
      <w:r w:rsidRPr="00784A7B">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 xml:space="preserve">the following </w:t>
      </w:r>
      <w:r w:rsidRPr="00784A7B">
        <w:rPr>
          <w:rFonts w:asciiTheme="minorHAnsi" w:hAnsiTheme="minorHAnsi" w:cs="Source Sans Pro Light"/>
          <w:color w:val="000000"/>
          <w:sz w:val="22"/>
          <w:szCs w:val="22"/>
        </w:rPr>
        <w:t>classes of insurance</w:t>
      </w:r>
      <w:r>
        <w:rPr>
          <w:rFonts w:asciiTheme="minorHAnsi" w:hAnsiTheme="minorHAnsi" w:cs="Source Sans Pro Light"/>
          <w:color w:val="000000"/>
          <w:sz w:val="22"/>
          <w:szCs w:val="22"/>
        </w:rPr>
        <w:t xml:space="preserve"> to ACT Government entities</w:t>
      </w:r>
      <w:r w:rsidRPr="00784A7B">
        <w:rPr>
          <w:rFonts w:asciiTheme="minorHAnsi" w:hAnsiTheme="minorHAnsi" w:cs="Source Sans Pro Light"/>
          <w:color w:val="000000"/>
          <w:sz w:val="22"/>
          <w:szCs w:val="22"/>
        </w:rPr>
        <w:t>: medical malpractice, public liability, property</w:t>
      </w:r>
      <w:r>
        <w:rPr>
          <w:rFonts w:asciiTheme="minorHAnsi" w:hAnsiTheme="minorHAnsi" w:cs="Source Sans Pro Light"/>
          <w:color w:val="000000"/>
          <w:sz w:val="22"/>
          <w:szCs w:val="22"/>
        </w:rPr>
        <w:t xml:space="preserve"> damage</w:t>
      </w:r>
      <w:r w:rsidRPr="00784A7B">
        <w:rPr>
          <w:rFonts w:asciiTheme="minorHAnsi" w:hAnsiTheme="minorHAnsi" w:cs="Source Sans Pro Light"/>
          <w:color w:val="000000"/>
          <w:sz w:val="22"/>
          <w:szCs w:val="22"/>
        </w:rPr>
        <w:t xml:space="preserve">, directors and officers, professional </w:t>
      </w:r>
      <w:proofErr w:type="gramStart"/>
      <w:r w:rsidRPr="00784A7B">
        <w:rPr>
          <w:rFonts w:asciiTheme="minorHAnsi" w:hAnsiTheme="minorHAnsi" w:cs="Source Sans Pro Light"/>
          <w:color w:val="000000"/>
          <w:sz w:val="22"/>
          <w:szCs w:val="22"/>
        </w:rPr>
        <w:t>indemnity</w:t>
      </w:r>
      <w:proofErr w:type="gramEnd"/>
      <w:r>
        <w:rPr>
          <w:rFonts w:asciiTheme="minorHAnsi" w:hAnsiTheme="minorHAnsi" w:cs="Source Sans Pro Light"/>
          <w:color w:val="000000"/>
          <w:sz w:val="22"/>
          <w:szCs w:val="22"/>
        </w:rPr>
        <w:t xml:space="preserve"> and </w:t>
      </w:r>
      <w:r w:rsidRPr="00784A7B">
        <w:rPr>
          <w:rFonts w:asciiTheme="minorHAnsi" w:hAnsiTheme="minorHAnsi" w:cs="Source Sans Pro Light"/>
          <w:color w:val="000000"/>
          <w:sz w:val="22"/>
          <w:szCs w:val="22"/>
        </w:rPr>
        <w:t xml:space="preserve">financial crime. </w:t>
      </w:r>
    </w:p>
    <w:p w14:paraId="0280E13B" w14:textId="77777777" w:rsidR="000A4874" w:rsidRPr="009C6608" w:rsidRDefault="000A4874" w:rsidP="000A4874">
      <w:pPr>
        <w:pStyle w:val="Default"/>
        <w:rPr>
          <w:rFonts w:asciiTheme="minorHAnsi" w:hAnsiTheme="minorHAnsi" w:cs="Source Sans Pro Light"/>
          <w:sz w:val="22"/>
          <w:szCs w:val="22"/>
        </w:rPr>
      </w:pPr>
      <w:r w:rsidRPr="00F052B8">
        <w:rPr>
          <w:rFonts w:asciiTheme="minorHAnsi" w:hAnsiTheme="minorHAnsi" w:cs="Source Sans Pro Light"/>
          <w:sz w:val="22"/>
          <w:szCs w:val="22"/>
        </w:rPr>
        <w:t xml:space="preserve">Additionally, the Authority also provides Insurance schemes to cover the Residential Builders Warranty for </w:t>
      </w:r>
      <w:r w:rsidRPr="009C6608">
        <w:rPr>
          <w:rFonts w:asciiTheme="minorHAnsi" w:hAnsiTheme="minorHAnsi" w:cs="Source Sans Pro Light"/>
          <w:sz w:val="22"/>
          <w:szCs w:val="22"/>
        </w:rPr>
        <w:t xml:space="preserve">homebuilders in the ACT and </w:t>
      </w:r>
      <w:r>
        <w:rPr>
          <w:rFonts w:asciiTheme="minorHAnsi" w:hAnsiTheme="minorHAnsi" w:cs="Source Sans Pro Light"/>
          <w:sz w:val="22"/>
          <w:szCs w:val="22"/>
        </w:rPr>
        <w:t xml:space="preserve">the </w:t>
      </w:r>
      <w:r w:rsidRPr="009C6608">
        <w:rPr>
          <w:rFonts w:asciiTheme="minorHAnsi" w:hAnsiTheme="minorHAnsi" w:cs="Source Sans Pro Light"/>
          <w:sz w:val="22"/>
          <w:szCs w:val="22"/>
        </w:rPr>
        <w:t xml:space="preserve">Physical and Sexual Abuse (PSA) Indemnity Scheme for out of home care providers who provide services for the Territory through a contractual relationship with the Community Services Directorate. </w:t>
      </w:r>
    </w:p>
    <w:p w14:paraId="254D4F2E" w14:textId="77777777" w:rsidR="000A4874" w:rsidRPr="009C6608" w:rsidRDefault="000A4874" w:rsidP="000A4874">
      <w:pPr>
        <w:pStyle w:val="Default"/>
        <w:rPr>
          <w:rFonts w:asciiTheme="minorHAnsi" w:hAnsiTheme="minorHAnsi" w:cs="Source Sans Pro Light"/>
          <w:sz w:val="22"/>
          <w:szCs w:val="22"/>
        </w:rPr>
      </w:pPr>
    </w:p>
    <w:p w14:paraId="21E35AC7" w14:textId="77777777" w:rsidR="000A4874" w:rsidRDefault="000A4874" w:rsidP="000A4874">
      <w:pPr>
        <w:pStyle w:val="Default"/>
        <w:rPr>
          <w:rFonts w:asciiTheme="minorHAnsi" w:hAnsiTheme="minorHAnsi" w:cs="Source Sans Pro Light"/>
          <w:sz w:val="22"/>
          <w:szCs w:val="22"/>
        </w:rPr>
      </w:pPr>
      <w:r w:rsidRPr="009C6608">
        <w:rPr>
          <w:rFonts w:asciiTheme="minorHAnsi" w:hAnsiTheme="minorHAnsi" w:cs="Source Sans Pro Light"/>
          <w:sz w:val="22"/>
          <w:szCs w:val="22"/>
        </w:rPr>
        <w:t>The Authority commenced the PSA indemnity scheme as a transitional arrangement effective from 1</w:t>
      </w:r>
      <w:r>
        <w:rPr>
          <w:rFonts w:asciiTheme="minorHAnsi" w:hAnsiTheme="minorHAnsi" w:cs="Source Sans Pro Light"/>
          <w:sz w:val="22"/>
          <w:szCs w:val="22"/>
        </w:rPr>
        <w:t> </w:t>
      </w:r>
      <w:r w:rsidRPr="009C6608">
        <w:rPr>
          <w:rFonts w:asciiTheme="minorHAnsi" w:hAnsiTheme="minorHAnsi" w:cs="Source Sans Pro Light"/>
          <w:sz w:val="22"/>
          <w:szCs w:val="22"/>
        </w:rPr>
        <w:t>April</w:t>
      </w:r>
      <w:r>
        <w:rPr>
          <w:rFonts w:asciiTheme="minorHAnsi" w:hAnsiTheme="minorHAnsi" w:cs="Source Sans Pro Light"/>
          <w:sz w:val="22"/>
          <w:szCs w:val="22"/>
        </w:rPr>
        <w:t> </w:t>
      </w:r>
      <w:r w:rsidRPr="009C6608">
        <w:rPr>
          <w:rFonts w:asciiTheme="minorHAnsi" w:hAnsiTheme="minorHAnsi" w:cs="Source Sans Pro Light"/>
          <w:sz w:val="22"/>
          <w:szCs w:val="22"/>
        </w:rPr>
        <w:t>2023 with the formal establishment of the indemnity scheme effective 1 July 2023</w:t>
      </w:r>
      <w:proofErr w:type="gramStart"/>
      <w:r w:rsidRPr="009C6608">
        <w:rPr>
          <w:rFonts w:asciiTheme="minorHAnsi" w:hAnsiTheme="minorHAnsi" w:cs="Source Sans Pro Light"/>
          <w:sz w:val="22"/>
          <w:szCs w:val="22"/>
        </w:rPr>
        <w:t xml:space="preserve">. </w:t>
      </w:r>
      <w:r>
        <w:rPr>
          <w:rFonts w:asciiTheme="minorHAnsi" w:hAnsiTheme="minorHAnsi" w:cs="Source Sans Pro Light"/>
          <w:sz w:val="22"/>
          <w:szCs w:val="22"/>
        </w:rPr>
        <w:t xml:space="preserve"> </w:t>
      </w:r>
      <w:proofErr w:type="gramEnd"/>
      <w:r>
        <w:rPr>
          <w:rFonts w:asciiTheme="minorHAnsi" w:hAnsiTheme="minorHAnsi" w:cs="Source Sans Pro Light"/>
          <w:sz w:val="22"/>
          <w:szCs w:val="22"/>
        </w:rPr>
        <w:t xml:space="preserve">The first independent actuarial valuation of claims liabilities and liability adequacy test for the PSA scheme </w:t>
      </w:r>
      <w:proofErr w:type="gramStart"/>
      <w:r>
        <w:rPr>
          <w:rFonts w:asciiTheme="minorHAnsi" w:hAnsiTheme="minorHAnsi" w:cs="Source Sans Pro Light"/>
          <w:sz w:val="22"/>
          <w:szCs w:val="22"/>
        </w:rPr>
        <w:t>was undertaken</w:t>
      </w:r>
      <w:proofErr w:type="gramEnd"/>
      <w:r>
        <w:rPr>
          <w:rFonts w:asciiTheme="minorHAnsi" w:hAnsiTheme="minorHAnsi" w:cs="Source Sans Pro Light"/>
          <w:sz w:val="22"/>
          <w:szCs w:val="22"/>
        </w:rPr>
        <w:t xml:space="preserve"> as at 30 June 2024. </w:t>
      </w:r>
    </w:p>
    <w:p w14:paraId="55BA8483" w14:textId="77777777" w:rsidR="0073040F" w:rsidRDefault="0073040F" w:rsidP="000A4874">
      <w:pPr>
        <w:pStyle w:val="Default"/>
        <w:rPr>
          <w:rFonts w:asciiTheme="minorHAnsi" w:hAnsiTheme="minorHAnsi" w:cs="Source Sans Pro Light"/>
          <w:sz w:val="22"/>
          <w:szCs w:val="22"/>
        </w:rPr>
      </w:pPr>
    </w:p>
    <w:p w14:paraId="79FD14C7" w14:textId="77777777" w:rsidR="00FB4754" w:rsidRPr="00784A7B" w:rsidRDefault="00FB4754" w:rsidP="00FB4754">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actuarial process for estimating the outstanding claims liabilities is similar for all classes. A description is as follows: </w:t>
      </w:r>
    </w:p>
    <w:p w14:paraId="7D130EED" w14:textId="77777777"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sidRPr="003D5185">
        <w:rPr>
          <w:rFonts w:asciiTheme="minorHAnsi" w:hAnsiTheme="minorHAnsi" w:cs="Source Sans Pro Light"/>
          <w:color w:val="auto"/>
          <w:sz w:val="22"/>
          <w:szCs w:val="22"/>
        </w:rPr>
        <w:t xml:space="preserve">estimates of </w:t>
      </w:r>
      <w:r>
        <w:rPr>
          <w:rFonts w:asciiTheme="minorHAnsi" w:hAnsiTheme="minorHAnsi" w:cs="Source Sans Pro Light"/>
          <w:color w:val="auto"/>
          <w:sz w:val="22"/>
          <w:szCs w:val="22"/>
        </w:rPr>
        <w:t xml:space="preserve">claims </w:t>
      </w:r>
      <w:r w:rsidRPr="00BB7B62">
        <w:rPr>
          <w:rFonts w:asciiTheme="minorHAnsi" w:hAnsiTheme="minorHAnsi" w:cs="Source Sans Pro Light"/>
          <w:sz w:val="22"/>
          <w:szCs w:val="22"/>
        </w:rPr>
        <w:t>incurred but not yet reported</w:t>
      </w:r>
      <w:r>
        <w:rPr>
          <w:rFonts w:asciiTheme="minorHAnsi" w:hAnsiTheme="minorHAnsi" w:cs="Source Sans Pro Light"/>
          <w:sz w:val="22"/>
          <w:szCs w:val="22"/>
        </w:rPr>
        <w:t xml:space="preserve"> (IBNR)</w:t>
      </w:r>
      <w:r w:rsidRPr="003D5185">
        <w:rPr>
          <w:rFonts w:asciiTheme="minorHAnsi" w:hAnsiTheme="minorHAnsi" w:cs="Source Sans Pro Light"/>
          <w:color w:val="auto"/>
          <w:sz w:val="22"/>
          <w:szCs w:val="22"/>
        </w:rPr>
        <w:t xml:space="preserve"> at the </w:t>
      </w:r>
      <w:r>
        <w:rPr>
          <w:rFonts w:asciiTheme="minorHAnsi" w:hAnsiTheme="minorHAnsi" w:cs="Source Sans Pro Light"/>
          <w:color w:val="auto"/>
          <w:sz w:val="22"/>
          <w:szCs w:val="22"/>
        </w:rPr>
        <w:t>actuarial valuation</w:t>
      </w:r>
      <w:r w:rsidRPr="003D5185">
        <w:rPr>
          <w:rFonts w:asciiTheme="minorHAnsi" w:hAnsiTheme="minorHAnsi" w:cs="Source Sans Pro Light"/>
          <w:color w:val="auto"/>
          <w:sz w:val="22"/>
          <w:szCs w:val="22"/>
        </w:rPr>
        <w:t xml:space="preserve"> date </w:t>
      </w:r>
      <w:proofErr w:type="gramStart"/>
      <w:r w:rsidRPr="003D5185">
        <w:rPr>
          <w:rFonts w:asciiTheme="minorHAnsi" w:hAnsiTheme="minorHAnsi" w:cs="Source Sans Pro Light"/>
          <w:color w:val="auto"/>
          <w:sz w:val="22"/>
          <w:szCs w:val="22"/>
        </w:rPr>
        <w:t>are made</w:t>
      </w:r>
      <w:proofErr w:type="gramEnd"/>
      <w:r w:rsidRPr="003D5185">
        <w:rPr>
          <w:rFonts w:asciiTheme="minorHAnsi" w:hAnsiTheme="minorHAnsi" w:cs="Source Sans Pro Light"/>
          <w:color w:val="auto"/>
          <w:sz w:val="22"/>
          <w:szCs w:val="22"/>
        </w:rPr>
        <w:t xml:space="preserve"> </w:t>
      </w:r>
      <w:r w:rsidRPr="00784A7B">
        <w:rPr>
          <w:rFonts w:asciiTheme="minorHAnsi" w:hAnsiTheme="minorHAnsi" w:cs="Source Sans Pro Light"/>
          <w:sz w:val="22"/>
          <w:szCs w:val="22"/>
        </w:rPr>
        <w:t xml:space="preserve">by analysing past reporting patterns and applying assumed development rates to numbers of claims already reported to the Authority; </w:t>
      </w:r>
    </w:p>
    <w:p w14:paraId="5F308505" w14:textId="77777777"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t</w:t>
      </w:r>
      <w:r w:rsidRPr="00784A7B">
        <w:rPr>
          <w:rFonts w:asciiTheme="minorHAnsi" w:hAnsiTheme="minorHAnsi" w:cs="Source Sans Pro Light"/>
          <w:sz w:val="22"/>
          <w:szCs w:val="22"/>
        </w:rPr>
        <w:t>he number of past settlements are analysed and</w:t>
      </w:r>
      <w:r>
        <w:rPr>
          <w:rFonts w:asciiTheme="minorHAnsi" w:hAnsiTheme="minorHAnsi" w:cs="Source Sans Pro Light"/>
          <w:sz w:val="22"/>
          <w:szCs w:val="22"/>
        </w:rPr>
        <w:t xml:space="preserve"> an </w:t>
      </w:r>
      <w:r w:rsidRPr="00784A7B">
        <w:rPr>
          <w:rFonts w:asciiTheme="minorHAnsi" w:hAnsiTheme="minorHAnsi" w:cs="Source Sans Pro Light"/>
          <w:sz w:val="22"/>
          <w:szCs w:val="22"/>
        </w:rPr>
        <w:t xml:space="preserve">adopted ultimate settlement proportions </w:t>
      </w:r>
      <w:proofErr w:type="gramStart"/>
      <w:r>
        <w:rPr>
          <w:rFonts w:asciiTheme="minorHAnsi" w:hAnsiTheme="minorHAnsi" w:cs="Source Sans Pro Light"/>
          <w:sz w:val="22"/>
          <w:szCs w:val="22"/>
        </w:rPr>
        <w:t>is</w:t>
      </w:r>
      <w:r w:rsidRPr="00784A7B">
        <w:rPr>
          <w:rFonts w:asciiTheme="minorHAnsi" w:hAnsiTheme="minorHAnsi" w:cs="Source Sans Pro Light"/>
          <w:sz w:val="22"/>
          <w:szCs w:val="22"/>
        </w:rPr>
        <w:t xml:space="preserve"> applied</w:t>
      </w:r>
      <w:proofErr w:type="gramEnd"/>
      <w:r w:rsidRPr="00784A7B">
        <w:rPr>
          <w:rFonts w:asciiTheme="minorHAnsi" w:hAnsiTheme="minorHAnsi" w:cs="Source Sans Pro Light"/>
          <w:sz w:val="22"/>
          <w:szCs w:val="22"/>
        </w:rPr>
        <w:t xml:space="preserve"> to the estimated ultimate numbers of claims to obtain </w:t>
      </w:r>
      <w:r>
        <w:rPr>
          <w:rFonts w:asciiTheme="minorHAnsi" w:hAnsiTheme="minorHAnsi" w:cs="Source Sans Pro Light"/>
          <w:sz w:val="22"/>
          <w:szCs w:val="22"/>
        </w:rPr>
        <w:t>numbers of future settlements;</w:t>
      </w:r>
    </w:p>
    <w:p w14:paraId="636BF272" w14:textId="77777777"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p</w:t>
      </w:r>
      <w:r w:rsidRPr="00784A7B">
        <w:rPr>
          <w:rFonts w:asciiTheme="minorHAnsi" w:hAnsiTheme="minorHAnsi" w:cs="Source Sans Pro Light"/>
          <w:sz w:val="22"/>
          <w:szCs w:val="22"/>
        </w:rPr>
        <w:t xml:space="preserve">ast settlement sizes and past changes </w:t>
      </w:r>
      <w:r>
        <w:rPr>
          <w:rFonts w:asciiTheme="minorHAnsi" w:hAnsiTheme="minorHAnsi" w:cs="Source Sans Pro Light"/>
          <w:sz w:val="22"/>
          <w:szCs w:val="22"/>
        </w:rPr>
        <w:t>in case estimates are analysed;</w:t>
      </w:r>
    </w:p>
    <w:p w14:paraId="3F40F341" w14:textId="77777777"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e</w:t>
      </w:r>
      <w:r w:rsidRPr="00784A7B">
        <w:rPr>
          <w:rFonts w:asciiTheme="minorHAnsi" w:hAnsiTheme="minorHAnsi" w:cs="Source Sans Pro Light"/>
          <w:sz w:val="22"/>
          <w:szCs w:val="22"/>
        </w:rPr>
        <w:t xml:space="preserve">stimates of outstanding claims </w:t>
      </w:r>
      <w:proofErr w:type="gramStart"/>
      <w:r w:rsidRPr="00784A7B">
        <w:rPr>
          <w:rFonts w:asciiTheme="minorHAnsi" w:hAnsiTheme="minorHAnsi" w:cs="Source Sans Pro Light"/>
          <w:sz w:val="22"/>
          <w:szCs w:val="22"/>
        </w:rPr>
        <w:t>are first adopted</w:t>
      </w:r>
      <w:proofErr w:type="gramEnd"/>
      <w:r w:rsidRPr="00784A7B">
        <w:rPr>
          <w:rFonts w:asciiTheme="minorHAnsi" w:hAnsiTheme="minorHAnsi" w:cs="Source Sans Pro Light"/>
          <w:sz w:val="22"/>
          <w:szCs w:val="22"/>
        </w:rPr>
        <w:t xml:space="preserve"> for the most developed insurance years, considering the average sizes and relationship to current estimates of the claims from the Authority. The same process </w:t>
      </w:r>
      <w:proofErr w:type="gramStart"/>
      <w:r w:rsidRPr="00784A7B">
        <w:rPr>
          <w:rFonts w:asciiTheme="minorHAnsi" w:hAnsiTheme="minorHAnsi" w:cs="Source Sans Pro Light"/>
          <w:sz w:val="22"/>
          <w:szCs w:val="22"/>
        </w:rPr>
        <w:t>is extended</w:t>
      </w:r>
      <w:proofErr w:type="gramEnd"/>
      <w:r w:rsidRPr="00784A7B">
        <w:rPr>
          <w:rFonts w:asciiTheme="minorHAnsi" w:hAnsiTheme="minorHAnsi" w:cs="Source Sans Pro Light"/>
          <w:sz w:val="22"/>
          <w:szCs w:val="22"/>
        </w:rPr>
        <w:t xml:space="preserve"> to the more recent years, considering the experience of the earlier years and any dif</w:t>
      </w:r>
      <w:r>
        <w:rPr>
          <w:rFonts w:asciiTheme="minorHAnsi" w:hAnsiTheme="minorHAnsi" w:cs="Source Sans Pro Light"/>
          <w:sz w:val="22"/>
          <w:szCs w:val="22"/>
        </w:rPr>
        <w:t>ferences in experience to date;</w:t>
      </w:r>
    </w:p>
    <w:p w14:paraId="39C0D769" w14:textId="77777777"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s</w:t>
      </w:r>
      <w:r w:rsidRPr="00784A7B">
        <w:rPr>
          <w:rFonts w:asciiTheme="minorHAnsi" w:hAnsiTheme="minorHAnsi" w:cs="Source Sans Pro Light"/>
          <w:sz w:val="22"/>
          <w:szCs w:val="22"/>
        </w:rPr>
        <w:t>eparate analys</w:t>
      </w:r>
      <w:r>
        <w:rPr>
          <w:rFonts w:asciiTheme="minorHAnsi" w:hAnsiTheme="minorHAnsi" w:cs="Source Sans Pro Light"/>
          <w:sz w:val="22"/>
          <w:szCs w:val="22"/>
        </w:rPr>
        <w:t>e</w:t>
      </w:r>
      <w:r w:rsidRPr="00784A7B">
        <w:rPr>
          <w:rFonts w:asciiTheme="minorHAnsi" w:hAnsiTheme="minorHAnsi" w:cs="Source Sans Pro Light"/>
          <w:sz w:val="22"/>
          <w:szCs w:val="22"/>
        </w:rPr>
        <w:t xml:space="preserve">s of large and small claims </w:t>
      </w:r>
      <w:proofErr w:type="gramStart"/>
      <w:r w:rsidRPr="00784A7B">
        <w:rPr>
          <w:rFonts w:asciiTheme="minorHAnsi" w:hAnsiTheme="minorHAnsi" w:cs="Source Sans Pro Light"/>
          <w:sz w:val="22"/>
          <w:szCs w:val="22"/>
        </w:rPr>
        <w:t>are made</w:t>
      </w:r>
      <w:proofErr w:type="gramEnd"/>
      <w:r>
        <w:rPr>
          <w:rFonts w:asciiTheme="minorHAnsi" w:hAnsiTheme="minorHAnsi" w:cs="Source Sans Pro Light"/>
          <w:sz w:val="22"/>
          <w:szCs w:val="22"/>
        </w:rPr>
        <w:t>, and t</w:t>
      </w:r>
      <w:r w:rsidRPr="00784A7B">
        <w:rPr>
          <w:rFonts w:asciiTheme="minorHAnsi" w:hAnsiTheme="minorHAnsi" w:cs="Source Sans Pro Light"/>
          <w:sz w:val="22"/>
          <w:szCs w:val="22"/>
        </w:rPr>
        <w:t xml:space="preserve">he incidence and sizes of large claims for recent years </w:t>
      </w:r>
      <w:r>
        <w:rPr>
          <w:rFonts w:asciiTheme="minorHAnsi" w:hAnsiTheme="minorHAnsi" w:cs="Source Sans Pro Light"/>
          <w:sz w:val="22"/>
          <w:szCs w:val="22"/>
        </w:rPr>
        <w:t xml:space="preserve">is </w:t>
      </w:r>
      <w:r w:rsidRPr="00784A7B">
        <w:rPr>
          <w:rFonts w:asciiTheme="minorHAnsi" w:hAnsiTheme="minorHAnsi" w:cs="Source Sans Pro Light"/>
          <w:sz w:val="22"/>
          <w:szCs w:val="22"/>
        </w:rPr>
        <w:t>drawn from experien</w:t>
      </w:r>
      <w:r>
        <w:rPr>
          <w:rFonts w:asciiTheme="minorHAnsi" w:hAnsiTheme="minorHAnsi" w:cs="Source Sans Pro Light"/>
          <w:sz w:val="22"/>
          <w:szCs w:val="22"/>
        </w:rPr>
        <w:t>ce in the more developed years;</w:t>
      </w:r>
    </w:p>
    <w:p w14:paraId="3614A5F8" w14:textId="4AB43FCB" w:rsidR="00FB4754" w:rsidRPr="00784A7B" w:rsidRDefault="00FB4754" w:rsidP="00A36E9A">
      <w:pPr>
        <w:pStyle w:val="Default"/>
        <w:numPr>
          <w:ilvl w:val="0"/>
          <w:numId w:val="34"/>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a</w:t>
      </w:r>
      <w:r w:rsidRPr="00784A7B">
        <w:rPr>
          <w:rFonts w:asciiTheme="minorHAnsi" w:hAnsiTheme="minorHAnsi" w:cs="Source Sans Pro Light"/>
          <w:sz w:val="22"/>
          <w:szCs w:val="22"/>
        </w:rPr>
        <w:t xml:space="preserve">nalyses </w:t>
      </w:r>
      <w:proofErr w:type="gramStart"/>
      <w:r w:rsidRPr="00784A7B">
        <w:rPr>
          <w:rFonts w:asciiTheme="minorHAnsi" w:hAnsiTheme="minorHAnsi" w:cs="Source Sans Pro Light"/>
          <w:sz w:val="22"/>
          <w:szCs w:val="22"/>
        </w:rPr>
        <w:t>are made</w:t>
      </w:r>
      <w:proofErr w:type="gramEnd"/>
      <w:r w:rsidRPr="00784A7B">
        <w:rPr>
          <w:rFonts w:asciiTheme="minorHAnsi" w:hAnsiTheme="minorHAnsi" w:cs="Source Sans Pro Light"/>
          <w:sz w:val="22"/>
          <w:szCs w:val="22"/>
        </w:rPr>
        <w:t xml:space="preserve"> on data which is gross of reinsurance and the resulting estimates of outstanding liabilities are </w:t>
      </w:r>
      <w:r>
        <w:rPr>
          <w:rFonts w:asciiTheme="minorHAnsi" w:hAnsiTheme="minorHAnsi" w:cs="Source Sans Pro Light"/>
          <w:sz w:val="22"/>
          <w:szCs w:val="22"/>
        </w:rPr>
        <w:t>also</w:t>
      </w:r>
      <w:r w:rsidRPr="00784A7B">
        <w:rPr>
          <w:rFonts w:asciiTheme="minorHAnsi" w:hAnsiTheme="minorHAnsi" w:cs="Source Sans Pro Light"/>
          <w:sz w:val="22"/>
          <w:szCs w:val="22"/>
        </w:rPr>
        <w:t xml:space="preserve"> gross of reinsurance. Subsequent allowances, where needed, </w:t>
      </w:r>
      <w:proofErr w:type="gramStart"/>
      <w:r w:rsidRPr="00784A7B">
        <w:rPr>
          <w:rFonts w:asciiTheme="minorHAnsi" w:hAnsiTheme="minorHAnsi" w:cs="Source Sans Pro Light"/>
          <w:sz w:val="22"/>
          <w:szCs w:val="22"/>
        </w:rPr>
        <w:t>are then made</w:t>
      </w:r>
      <w:proofErr w:type="gramEnd"/>
      <w:r w:rsidRPr="00784A7B">
        <w:rPr>
          <w:rFonts w:asciiTheme="minorHAnsi" w:hAnsiTheme="minorHAnsi" w:cs="Source Sans Pro Light"/>
          <w:sz w:val="22"/>
          <w:szCs w:val="22"/>
        </w:rPr>
        <w:t xml:space="preserve"> for potential reinsurance recoveries to arrive at estimates of n</w:t>
      </w:r>
      <w:r>
        <w:rPr>
          <w:rFonts w:asciiTheme="minorHAnsi" w:hAnsiTheme="minorHAnsi" w:cs="Source Sans Pro Light"/>
          <w:sz w:val="22"/>
          <w:szCs w:val="22"/>
        </w:rPr>
        <w:t>et outstanding liabilities; and</w:t>
      </w:r>
      <w:r w:rsidR="00DD07FD">
        <w:rPr>
          <w:rFonts w:asciiTheme="minorHAnsi" w:hAnsiTheme="minorHAnsi" w:cs="Source Sans Pro Light"/>
          <w:sz w:val="22"/>
          <w:szCs w:val="22"/>
        </w:rPr>
        <w:t xml:space="preserve"> </w:t>
      </w:r>
    </w:p>
    <w:p w14:paraId="64BD88BB" w14:textId="77777777" w:rsidR="00E736CA" w:rsidRDefault="00E736CA">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3027A951" w14:textId="7CA86F2A" w:rsidR="00580997" w:rsidRPr="00437DC4" w:rsidRDefault="00580997" w:rsidP="00437DC4">
      <w:pPr>
        <w:autoSpaceDE w:val="0"/>
        <w:autoSpaceDN w:val="0"/>
        <w:adjustRightInd w:val="0"/>
        <w:spacing w:after="137" w:line="240" w:lineRule="auto"/>
        <w:outlineLvl w:val="0"/>
        <w:rPr>
          <w:rFonts w:ascii="Calibri" w:eastAsia="Calibri" w:hAnsi="Calibri" w:cs="Montserrat Semi Bold"/>
          <w:b/>
          <w:color w:val="000000"/>
          <w:sz w:val="30"/>
          <w:szCs w:val="30"/>
        </w:rPr>
      </w:pPr>
      <w:r w:rsidRPr="00580997">
        <w:rPr>
          <w:rFonts w:ascii="Calibri" w:eastAsia="Calibri" w:hAnsi="Calibri" w:cs="Montserrat Semi Bold"/>
          <w:b/>
          <w:bCs/>
          <w:color w:val="000000"/>
          <w:sz w:val="30"/>
          <w:szCs w:val="30"/>
        </w:rPr>
        <w:lastRenderedPageBreak/>
        <w:t>NOTE 15. OUTSTANDING CLAIMS - CONTINUED</w:t>
      </w:r>
    </w:p>
    <w:p w14:paraId="453446BB" w14:textId="0981CB00" w:rsidR="00411E5C" w:rsidRPr="0037359C" w:rsidRDefault="00FB4754" w:rsidP="00A36E9A">
      <w:pPr>
        <w:pStyle w:val="Default"/>
        <w:numPr>
          <w:ilvl w:val="0"/>
          <w:numId w:val="34"/>
        </w:numPr>
        <w:spacing w:after="140" w:line="211" w:lineRule="atLeast"/>
        <w:ind w:left="357" w:hanging="357"/>
        <w:rPr>
          <w:rFonts w:eastAsia="Calibri" w:cs="Source Sans Pro Light"/>
          <w:sz w:val="22"/>
          <w:szCs w:val="22"/>
        </w:rPr>
      </w:pPr>
      <w:r w:rsidRPr="0037359C">
        <w:rPr>
          <w:rFonts w:asciiTheme="minorHAnsi" w:hAnsiTheme="minorHAnsi" w:cs="Source Sans Pro Light"/>
          <w:sz w:val="22"/>
          <w:szCs w:val="22"/>
        </w:rPr>
        <w:t xml:space="preserve">allowances </w:t>
      </w:r>
      <w:proofErr w:type="gramStart"/>
      <w:r w:rsidRPr="0037359C">
        <w:rPr>
          <w:rFonts w:asciiTheme="minorHAnsi" w:hAnsiTheme="minorHAnsi" w:cs="Source Sans Pro Light"/>
          <w:sz w:val="22"/>
          <w:szCs w:val="22"/>
        </w:rPr>
        <w:t>are made</w:t>
      </w:r>
      <w:proofErr w:type="gramEnd"/>
      <w:r w:rsidRPr="0037359C">
        <w:rPr>
          <w:rFonts w:asciiTheme="minorHAnsi" w:hAnsiTheme="minorHAnsi" w:cs="Source Sans Pro Light"/>
          <w:sz w:val="22"/>
          <w:szCs w:val="22"/>
        </w:rPr>
        <w:t xml:space="preserve"> for all future claims escalation, whether from external inflation or superimposed inflation and projected payments are discounted to present values to reflect the time value of money.</w:t>
      </w:r>
    </w:p>
    <w:p w14:paraId="08511338" w14:textId="139ADAE1" w:rsidR="00FA12D4" w:rsidRPr="008A11DA" w:rsidRDefault="00FA12D4" w:rsidP="00437DC4">
      <w:pPr>
        <w:spacing w:after="0" w:line="240" w:lineRule="auto"/>
        <w:rPr>
          <w:rFonts w:cs="Montserrat Semi Bold"/>
          <w:b/>
          <w:bCs/>
          <w:color w:val="000000"/>
          <w:sz w:val="22"/>
          <w:szCs w:val="22"/>
        </w:rPr>
      </w:pPr>
      <w:r w:rsidRPr="008A11DA">
        <w:rPr>
          <w:rFonts w:cs="Montserrat Semi Bold"/>
          <w:b/>
          <w:color w:val="000000"/>
          <w:sz w:val="22"/>
          <w:szCs w:val="22"/>
        </w:rPr>
        <w:t xml:space="preserve">Actuarial Assumptions </w:t>
      </w:r>
    </w:p>
    <w:p w14:paraId="295B02B8" w14:textId="3D984332" w:rsidR="00FA12D4" w:rsidRPr="00E8351D" w:rsidRDefault="00FA12D4" w:rsidP="00E8351D">
      <w:pPr>
        <w:autoSpaceDE w:val="0"/>
        <w:autoSpaceDN w:val="0"/>
        <w:adjustRightInd w:val="0"/>
        <w:spacing w:before="120" w:after="140" w:line="211" w:lineRule="atLeast"/>
        <w:rPr>
          <w:rFonts w:ascii="Calibri" w:eastAsia="Calibri" w:hAnsi="Calibri" w:cs="Source Sans Pro Light"/>
          <w:color w:val="000000"/>
          <w:sz w:val="22"/>
          <w:szCs w:val="22"/>
        </w:rPr>
      </w:pPr>
      <w:r w:rsidRPr="00E8351D">
        <w:rPr>
          <w:rFonts w:ascii="Calibri" w:eastAsia="Calibri" w:hAnsi="Calibri" w:cs="Source Sans Pro Light"/>
          <w:color w:val="000000"/>
          <w:sz w:val="22"/>
          <w:szCs w:val="22"/>
        </w:rPr>
        <w:t xml:space="preserve">The following assumptions have been made in estimating the outstanding claims liabilities for </w:t>
      </w:r>
      <w:r w:rsidR="00323290" w:rsidRPr="00E8351D">
        <w:rPr>
          <w:rFonts w:ascii="Calibri" w:eastAsia="Calibri" w:hAnsi="Calibri" w:cs="Source Sans Pro Light"/>
          <w:color w:val="000000"/>
          <w:sz w:val="22"/>
          <w:szCs w:val="22"/>
        </w:rPr>
        <w:t>2023-24</w:t>
      </w:r>
      <w:r w:rsidRPr="00E8351D">
        <w:rPr>
          <w:rFonts w:ascii="Calibri" w:eastAsia="Calibri" w:hAnsi="Calibri" w:cs="Source Sans Pro Light"/>
          <w:color w:val="000000"/>
          <w:sz w:val="22"/>
          <w:szCs w:val="22"/>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A13E0C" w:rsidRPr="00A13E0C" w14:paraId="4DEABAE5" w14:textId="77777777" w:rsidTr="00675DA2">
        <w:trPr>
          <w:trHeight w:val="218"/>
        </w:trPr>
        <w:tc>
          <w:tcPr>
            <w:tcW w:w="2268" w:type="dxa"/>
            <w:tcBorders>
              <w:top w:val="single" w:sz="12" w:space="0" w:color="492581" w:themeColor="accent1"/>
              <w:bottom w:val="single" w:sz="12" w:space="0" w:color="492581" w:themeColor="accent1"/>
            </w:tcBorders>
            <w:vAlign w:val="bottom"/>
          </w:tcPr>
          <w:p w14:paraId="04A6EA2A" w14:textId="13D4D369" w:rsidR="00A13E0C" w:rsidRPr="00A13E0C" w:rsidRDefault="00A13E0C" w:rsidP="00A13E0C">
            <w:pPr>
              <w:autoSpaceDE w:val="0"/>
              <w:autoSpaceDN w:val="0"/>
              <w:adjustRightInd w:val="0"/>
              <w:spacing w:before="100" w:after="100" w:line="181" w:lineRule="atLeast"/>
              <w:rPr>
                <w:rFonts w:ascii="Calibri" w:eastAsia="Calibri" w:hAnsi="Calibri" w:cs="Source Sans Pro SemiBold"/>
                <w:b/>
                <w:bCs/>
                <w:color w:val="000000"/>
                <w:sz w:val="28"/>
                <w:szCs w:val="28"/>
              </w:rPr>
            </w:pPr>
            <w:r w:rsidRPr="00A13E0C">
              <w:rPr>
                <w:rFonts w:ascii="Calibri" w:eastAsia="Calibri" w:hAnsi="Calibri" w:cs="Source Sans Pro SemiBold"/>
                <w:b/>
                <w:bCs/>
                <w:color w:val="000000"/>
                <w:sz w:val="28"/>
                <w:szCs w:val="28"/>
              </w:rPr>
              <w:t>202</w:t>
            </w:r>
            <w:r w:rsidR="004D0B84">
              <w:rPr>
                <w:rFonts w:ascii="Calibri" w:eastAsia="Calibri" w:hAnsi="Calibri" w:cs="Source Sans Pro SemiBold"/>
                <w:b/>
                <w:bCs/>
                <w:color w:val="000000"/>
                <w:sz w:val="28"/>
                <w:szCs w:val="28"/>
              </w:rPr>
              <w:t>4</w:t>
            </w:r>
          </w:p>
        </w:tc>
        <w:tc>
          <w:tcPr>
            <w:tcW w:w="1134" w:type="dxa"/>
            <w:tcBorders>
              <w:top w:val="single" w:sz="12" w:space="0" w:color="492581" w:themeColor="accent1"/>
              <w:bottom w:val="single" w:sz="12" w:space="0" w:color="492581" w:themeColor="accent1"/>
            </w:tcBorders>
          </w:tcPr>
          <w:p w14:paraId="1272124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Property and Motor </w:t>
            </w:r>
          </w:p>
        </w:tc>
        <w:tc>
          <w:tcPr>
            <w:tcW w:w="1134" w:type="dxa"/>
            <w:tcBorders>
              <w:top w:val="single" w:sz="12" w:space="0" w:color="492581" w:themeColor="accent1"/>
              <w:bottom w:val="single" w:sz="12" w:space="0" w:color="492581" w:themeColor="accent1"/>
            </w:tcBorders>
          </w:tcPr>
          <w:p w14:paraId="3D339FB5"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Public Liability </w:t>
            </w:r>
          </w:p>
        </w:tc>
        <w:tc>
          <w:tcPr>
            <w:tcW w:w="1134" w:type="dxa"/>
            <w:tcBorders>
              <w:top w:val="single" w:sz="12" w:space="0" w:color="492581" w:themeColor="accent1"/>
              <w:bottom w:val="single" w:sz="12" w:space="0" w:color="492581" w:themeColor="accent1"/>
            </w:tcBorders>
          </w:tcPr>
          <w:p w14:paraId="0082B6E7"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Medical Malpractice </w:t>
            </w:r>
          </w:p>
        </w:tc>
        <w:tc>
          <w:tcPr>
            <w:tcW w:w="1134" w:type="dxa"/>
            <w:tcBorders>
              <w:top w:val="single" w:sz="12" w:space="0" w:color="492581" w:themeColor="accent1"/>
              <w:bottom w:val="single" w:sz="12" w:space="0" w:color="492581" w:themeColor="accent1"/>
            </w:tcBorders>
          </w:tcPr>
          <w:p w14:paraId="31AF6EB8"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32376888"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Financial Crime </w:t>
            </w:r>
          </w:p>
        </w:tc>
        <w:tc>
          <w:tcPr>
            <w:tcW w:w="1276" w:type="dxa"/>
            <w:tcBorders>
              <w:top w:val="single" w:sz="12" w:space="0" w:color="492581" w:themeColor="accent1"/>
              <w:bottom w:val="single" w:sz="12" w:space="0" w:color="492581" w:themeColor="accent1"/>
            </w:tcBorders>
          </w:tcPr>
          <w:p w14:paraId="12B1E6AA" w14:textId="77777777" w:rsidR="00A13E0C" w:rsidRPr="00A13E0C" w:rsidRDefault="00A13E0C" w:rsidP="00A13E0C">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A13E0C">
              <w:rPr>
                <w:rFonts w:ascii="Calibri" w:eastAsia="Calibri" w:hAnsi="Calibri" w:cs="Source Sans Pro SemiBold"/>
                <w:b/>
                <w:bCs/>
                <w:color w:val="000000"/>
                <w:sz w:val="18"/>
                <w:szCs w:val="18"/>
              </w:rPr>
              <w:t xml:space="preserve">Professional Indemnity </w:t>
            </w:r>
          </w:p>
        </w:tc>
      </w:tr>
      <w:tr w:rsidR="00A13E0C" w:rsidRPr="00A13E0C" w14:paraId="26F713D1" w14:textId="77777777" w:rsidTr="00675DA2">
        <w:trPr>
          <w:trHeight w:val="220"/>
        </w:trPr>
        <w:tc>
          <w:tcPr>
            <w:tcW w:w="2268" w:type="dxa"/>
            <w:tcBorders>
              <w:top w:val="single" w:sz="12" w:space="0" w:color="492581" w:themeColor="accent1"/>
              <w:bottom w:val="nil"/>
            </w:tcBorders>
            <w:vAlign w:val="center"/>
          </w:tcPr>
          <w:p w14:paraId="4110CF0D" w14:textId="219AD16C"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33ED5">
              <w:rPr>
                <w:rFonts w:cstheme="minorHAnsi"/>
                <w:color w:val="000000"/>
                <w:sz w:val="18"/>
                <w:szCs w:val="18"/>
              </w:rPr>
              <w:t>Discounted Mean Term</w:t>
            </w:r>
            <w:r w:rsidRPr="00A33ED5">
              <w:rPr>
                <w:rFonts w:cstheme="minorHAnsi"/>
                <w:color w:val="000000"/>
                <w:sz w:val="18"/>
                <w:szCs w:val="18"/>
              </w:rPr>
              <w:br/>
              <w:t xml:space="preserve">(for Outstanding Claims) </w:t>
            </w:r>
          </w:p>
        </w:tc>
        <w:tc>
          <w:tcPr>
            <w:tcW w:w="1134" w:type="dxa"/>
            <w:tcBorders>
              <w:top w:val="single" w:sz="12" w:space="0" w:color="492581" w:themeColor="accent1"/>
              <w:bottom w:val="nil"/>
            </w:tcBorders>
            <w:vAlign w:val="center"/>
          </w:tcPr>
          <w:p w14:paraId="11A4EAED" w14:textId="132D8991" w:rsidR="00A13E0C" w:rsidRPr="00491E13" w:rsidRDefault="00295804"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1.21</w:t>
            </w:r>
          </w:p>
        </w:tc>
        <w:tc>
          <w:tcPr>
            <w:tcW w:w="1134" w:type="dxa"/>
            <w:tcBorders>
              <w:top w:val="single" w:sz="12" w:space="0" w:color="492581" w:themeColor="accent1"/>
              <w:bottom w:val="nil"/>
            </w:tcBorders>
            <w:vAlign w:val="center"/>
          </w:tcPr>
          <w:p w14:paraId="5881065F" w14:textId="762A5835" w:rsidR="00A13E0C" w:rsidRPr="00491E13" w:rsidRDefault="00A13E0C"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78</w:t>
            </w:r>
          </w:p>
        </w:tc>
        <w:tc>
          <w:tcPr>
            <w:tcW w:w="1134" w:type="dxa"/>
            <w:tcBorders>
              <w:top w:val="single" w:sz="12" w:space="0" w:color="492581" w:themeColor="accent1"/>
              <w:bottom w:val="nil"/>
            </w:tcBorders>
            <w:vAlign w:val="center"/>
          </w:tcPr>
          <w:p w14:paraId="32024198" w14:textId="405AD7CE" w:rsidR="00A13E0C" w:rsidRPr="00491E13" w:rsidRDefault="00A13E0C"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24</w:t>
            </w:r>
          </w:p>
        </w:tc>
        <w:tc>
          <w:tcPr>
            <w:tcW w:w="1134" w:type="dxa"/>
            <w:tcBorders>
              <w:top w:val="single" w:sz="12" w:space="0" w:color="492581" w:themeColor="accent1"/>
              <w:bottom w:val="nil"/>
            </w:tcBorders>
            <w:vAlign w:val="center"/>
          </w:tcPr>
          <w:p w14:paraId="29E2C294" w14:textId="77A00E71" w:rsidR="00A13E0C" w:rsidRPr="00491E13" w:rsidRDefault="00295804"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3.53</w:t>
            </w:r>
          </w:p>
        </w:tc>
        <w:tc>
          <w:tcPr>
            <w:tcW w:w="1134" w:type="dxa"/>
            <w:tcBorders>
              <w:top w:val="single" w:sz="12" w:space="0" w:color="492581" w:themeColor="accent1"/>
              <w:bottom w:val="nil"/>
            </w:tcBorders>
            <w:vAlign w:val="center"/>
          </w:tcPr>
          <w:p w14:paraId="2EE4E5C4" w14:textId="6C01C7EE" w:rsidR="00A13E0C" w:rsidRPr="00491E13" w:rsidRDefault="00A13E0C"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2.</w:t>
            </w:r>
            <w:r w:rsidR="00295804" w:rsidRPr="0041181D">
              <w:rPr>
                <w:rFonts w:cstheme="minorHAnsi"/>
                <w:color w:val="000000" w:themeColor="text1"/>
                <w:sz w:val="18"/>
                <w:szCs w:val="18"/>
              </w:rPr>
              <w:t>71</w:t>
            </w:r>
          </w:p>
        </w:tc>
        <w:tc>
          <w:tcPr>
            <w:tcW w:w="1276" w:type="dxa"/>
            <w:tcBorders>
              <w:top w:val="single" w:sz="12" w:space="0" w:color="492581" w:themeColor="accent1"/>
              <w:bottom w:val="nil"/>
            </w:tcBorders>
            <w:vAlign w:val="center"/>
          </w:tcPr>
          <w:p w14:paraId="64A19C53" w14:textId="4B9CA9B7" w:rsidR="00A13E0C" w:rsidRPr="00491E13" w:rsidRDefault="00A13E0C"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17</w:t>
            </w:r>
          </w:p>
        </w:tc>
      </w:tr>
      <w:tr w:rsidR="00A13E0C" w:rsidRPr="00A13E0C" w14:paraId="3F0B4F9C" w14:textId="77777777" w:rsidTr="00675DA2">
        <w:trPr>
          <w:trHeight w:val="220"/>
        </w:trPr>
        <w:tc>
          <w:tcPr>
            <w:tcW w:w="2268" w:type="dxa"/>
            <w:tcBorders>
              <w:top w:val="nil"/>
            </w:tcBorders>
            <w:vAlign w:val="center"/>
          </w:tcPr>
          <w:p w14:paraId="6FBFEF79" w14:textId="5D82F9FA"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33ED5">
              <w:rPr>
                <w:rFonts w:cstheme="minorHAnsi"/>
                <w:color w:val="000000"/>
                <w:sz w:val="18"/>
                <w:szCs w:val="18"/>
              </w:rPr>
              <w:t>Ultimate Claim Numbers (</w:t>
            </w:r>
            <w:r w:rsidR="00323290" w:rsidRPr="00A33ED5">
              <w:rPr>
                <w:rFonts w:cstheme="minorHAnsi"/>
                <w:color w:val="000000"/>
                <w:sz w:val="18"/>
                <w:szCs w:val="18"/>
              </w:rPr>
              <w:t>202</w:t>
            </w:r>
            <w:r w:rsidR="00323290">
              <w:rPr>
                <w:rFonts w:cstheme="minorHAnsi"/>
                <w:color w:val="000000"/>
                <w:sz w:val="18"/>
                <w:szCs w:val="18"/>
              </w:rPr>
              <w:t>3</w:t>
            </w:r>
            <w:r w:rsidR="00323290" w:rsidRPr="00A33ED5">
              <w:rPr>
                <w:rFonts w:cstheme="minorHAnsi"/>
                <w:color w:val="000000"/>
                <w:sz w:val="18"/>
                <w:szCs w:val="18"/>
              </w:rPr>
              <w:t>-2</w:t>
            </w:r>
            <w:r w:rsidR="00323290">
              <w:rPr>
                <w:rFonts w:cstheme="minorHAnsi"/>
                <w:color w:val="000000"/>
                <w:sz w:val="18"/>
                <w:szCs w:val="18"/>
              </w:rPr>
              <w:t>4</w:t>
            </w:r>
            <w:r w:rsidRPr="00A33ED5">
              <w:rPr>
                <w:rFonts w:cstheme="minorHAnsi"/>
                <w:color w:val="000000"/>
                <w:sz w:val="18"/>
                <w:szCs w:val="18"/>
              </w:rPr>
              <w:t xml:space="preserve"> Insurance Year) </w:t>
            </w:r>
            <w:r w:rsidRPr="00A33ED5">
              <w:rPr>
                <w:rFonts w:cstheme="minorHAnsi"/>
                <w:color w:val="000000"/>
                <w:sz w:val="18"/>
                <w:szCs w:val="18"/>
                <w:vertAlign w:val="superscript"/>
              </w:rPr>
              <w:t>a</w:t>
            </w:r>
            <w:r w:rsidRPr="00A33ED5">
              <w:rPr>
                <w:rFonts w:cstheme="minorHAnsi"/>
                <w:color w:val="000000"/>
                <w:sz w:val="18"/>
                <w:szCs w:val="18"/>
              </w:rPr>
              <w:t xml:space="preserve"> </w:t>
            </w:r>
          </w:p>
        </w:tc>
        <w:tc>
          <w:tcPr>
            <w:tcW w:w="1134" w:type="dxa"/>
            <w:tcBorders>
              <w:top w:val="nil"/>
            </w:tcBorders>
            <w:vAlign w:val="center"/>
          </w:tcPr>
          <w:p w14:paraId="3152D7CA" w14:textId="0F5A6C2F" w:rsidR="00A13E0C" w:rsidRPr="00491E13" w:rsidRDefault="00295804"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96</w:t>
            </w:r>
          </w:p>
        </w:tc>
        <w:tc>
          <w:tcPr>
            <w:tcW w:w="1134" w:type="dxa"/>
            <w:tcBorders>
              <w:top w:val="nil"/>
            </w:tcBorders>
            <w:vAlign w:val="center"/>
          </w:tcPr>
          <w:p w14:paraId="522D2A56" w14:textId="418AB86C" w:rsidR="00A13E0C" w:rsidRPr="00491E13" w:rsidRDefault="00295804"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131</w:t>
            </w:r>
          </w:p>
        </w:tc>
        <w:tc>
          <w:tcPr>
            <w:tcW w:w="1134" w:type="dxa"/>
            <w:tcBorders>
              <w:top w:val="nil"/>
            </w:tcBorders>
            <w:vAlign w:val="center"/>
          </w:tcPr>
          <w:p w14:paraId="29BE09CC" w14:textId="6CE7F9BC" w:rsidR="00A13E0C" w:rsidRPr="00491E13" w:rsidRDefault="00295804"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155</w:t>
            </w:r>
          </w:p>
        </w:tc>
        <w:tc>
          <w:tcPr>
            <w:tcW w:w="1134" w:type="dxa"/>
            <w:tcBorders>
              <w:top w:val="nil"/>
            </w:tcBorders>
            <w:vAlign w:val="center"/>
          </w:tcPr>
          <w:p w14:paraId="7A8AA7CE" w14:textId="1EAC15BF" w:rsidR="00A13E0C" w:rsidRPr="00491E13" w:rsidRDefault="00295804"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6.1</w:t>
            </w:r>
          </w:p>
        </w:tc>
        <w:tc>
          <w:tcPr>
            <w:tcW w:w="1134" w:type="dxa"/>
            <w:tcBorders>
              <w:top w:val="nil"/>
            </w:tcBorders>
            <w:vAlign w:val="center"/>
          </w:tcPr>
          <w:p w14:paraId="34547BBA" w14:textId="6B52A4E8"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0.11</w:t>
            </w:r>
          </w:p>
        </w:tc>
        <w:tc>
          <w:tcPr>
            <w:tcW w:w="1276" w:type="dxa"/>
            <w:tcBorders>
              <w:top w:val="nil"/>
            </w:tcBorders>
            <w:vAlign w:val="center"/>
          </w:tcPr>
          <w:p w14:paraId="281B6C02" w14:textId="322CE563" w:rsidR="00A13E0C" w:rsidRPr="00491E13" w:rsidRDefault="00295804"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13</w:t>
            </w:r>
          </w:p>
        </w:tc>
      </w:tr>
      <w:tr w:rsidR="00A13E0C" w:rsidRPr="00A13E0C" w14:paraId="3AF57933" w14:textId="77777777" w:rsidTr="00323290">
        <w:trPr>
          <w:trHeight w:val="330"/>
        </w:trPr>
        <w:tc>
          <w:tcPr>
            <w:tcW w:w="2268" w:type="dxa"/>
            <w:vAlign w:val="center"/>
          </w:tcPr>
          <w:p w14:paraId="2FF9E712" w14:textId="591A3483"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33ED5">
              <w:rPr>
                <w:rFonts w:cstheme="minorHAnsi"/>
                <w:color w:val="000000"/>
                <w:sz w:val="18"/>
                <w:szCs w:val="18"/>
              </w:rPr>
              <w:t xml:space="preserve">Average Settlement Size </w:t>
            </w:r>
          </w:p>
        </w:tc>
        <w:tc>
          <w:tcPr>
            <w:tcW w:w="1134" w:type="dxa"/>
            <w:vAlign w:val="center"/>
          </w:tcPr>
          <w:p w14:paraId="21225763" w14:textId="76232964"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w:t>
            </w:r>
            <w:r w:rsidR="00295804" w:rsidRPr="0041181D">
              <w:rPr>
                <w:rFonts w:cstheme="minorHAnsi"/>
                <w:color w:val="000000" w:themeColor="text1"/>
                <w:sz w:val="18"/>
                <w:szCs w:val="18"/>
              </w:rPr>
              <w:t>80</w:t>
            </w:r>
            <w:r w:rsidRPr="0041181D">
              <w:rPr>
                <w:rFonts w:cstheme="minorHAnsi"/>
                <w:color w:val="000000" w:themeColor="text1"/>
                <w:sz w:val="18"/>
                <w:szCs w:val="18"/>
              </w:rPr>
              <w:t xml:space="preserve">,400 </w:t>
            </w:r>
            <w:r w:rsidRPr="0041181D">
              <w:rPr>
                <w:rFonts w:cstheme="minorHAnsi"/>
                <w:color w:val="000000" w:themeColor="text1"/>
                <w:sz w:val="18"/>
                <w:szCs w:val="18"/>
                <w:vertAlign w:val="superscript"/>
              </w:rPr>
              <w:t>c</w:t>
            </w:r>
          </w:p>
        </w:tc>
        <w:tc>
          <w:tcPr>
            <w:tcW w:w="1134" w:type="dxa"/>
            <w:vAlign w:val="center"/>
          </w:tcPr>
          <w:p w14:paraId="6A0CAAB8" w14:textId="77777777" w:rsidR="00295804" w:rsidRPr="0041181D" w:rsidRDefault="00295804" w:rsidP="00295804">
            <w:pPr>
              <w:pStyle w:val="Pa21"/>
              <w:spacing w:line="240" w:lineRule="auto"/>
              <w:jc w:val="center"/>
              <w:rPr>
                <w:rFonts w:asciiTheme="minorHAnsi" w:hAnsiTheme="minorHAnsi" w:cstheme="minorHAnsi"/>
                <w:color w:val="000000" w:themeColor="text1"/>
                <w:sz w:val="18"/>
                <w:szCs w:val="18"/>
              </w:rPr>
            </w:pPr>
            <w:r w:rsidRPr="0041181D">
              <w:rPr>
                <w:rFonts w:asciiTheme="minorHAnsi" w:hAnsiTheme="minorHAnsi" w:cstheme="minorHAnsi"/>
                <w:color w:val="000000" w:themeColor="text1"/>
                <w:sz w:val="18"/>
                <w:szCs w:val="18"/>
              </w:rPr>
              <w:t xml:space="preserve">$146,500 </w:t>
            </w:r>
            <w:r w:rsidRPr="0041181D">
              <w:rPr>
                <w:rFonts w:asciiTheme="minorHAnsi" w:hAnsiTheme="minorHAnsi" w:cstheme="minorHAnsi"/>
                <w:color w:val="000000" w:themeColor="text1"/>
                <w:sz w:val="18"/>
                <w:szCs w:val="18"/>
                <w:vertAlign w:val="superscript"/>
              </w:rPr>
              <w:t>c</w:t>
            </w:r>
          </w:p>
          <w:p w14:paraId="52F345B8" w14:textId="02FE47F0" w:rsidR="00A13E0C" w:rsidRPr="00491E13" w:rsidRDefault="00A13E0C" w:rsidP="00A13E0C">
            <w:pPr>
              <w:autoSpaceDE w:val="0"/>
              <w:autoSpaceDN w:val="0"/>
              <w:adjustRightInd w:val="0"/>
              <w:spacing w:after="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 xml:space="preserve">and </w:t>
            </w:r>
            <w:r w:rsidR="00295804" w:rsidRPr="0041181D">
              <w:rPr>
                <w:rFonts w:cstheme="minorHAnsi"/>
                <w:color w:val="000000" w:themeColor="text1"/>
                <w:sz w:val="18"/>
                <w:szCs w:val="18"/>
              </w:rPr>
              <w:br/>
            </w:r>
            <w:r w:rsidRPr="0041181D">
              <w:rPr>
                <w:rFonts w:cstheme="minorHAnsi"/>
                <w:color w:val="000000" w:themeColor="text1"/>
                <w:sz w:val="18"/>
                <w:szCs w:val="18"/>
              </w:rPr>
              <w:t>$4.</w:t>
            </w:r>
            <w:r w:rsidR="00295804" w:rsidRPr="0041181D">
              <w:rPr>
                <w:rFonts w:cstheme="minorHAnsi"/>
                <w:color w:val="000000" w:themeColor="text1"/>
                <w:sz w:val="18"/>
                <w:szCs w:val="18"/>
              </w:rPr>
              <w:t>31m</w:t>
            </w:r>
            <w:r w:rsidRPr="0041181D">
              <w:rPr>
                <w:rFonts w:cstheme="minorHAnsi"/>
                <w:color w:val="000000" w:themeColor="text1"/>
                <w:sz w:val="18"/>
                <w:szCs w:val="18"/>
              </w:rPr>
              <w:t xml:space="preserve"> </w:t>
            </w:r>
            <w:r w:rsidRPr="0041181D">
              <w:rPr>
                <w:rFonts w:cstheme="minorHAnsi"/>
                <w:color w:val="000000" w:themeColor="text1"/>
                <w:sz w:val="18"/>
                <w:szCs w:val="18"/>
                <w:vertAlign w:val="superscript"/>
              </w:rPr>
              <w:t>d</w:t>
            </w:r>
          </w:p>
        </w:tc>
        <w:tc>
          <w:tcPr>
            <w:tcW w:w="1134" w:type="dxa"/>
            <w:shd w:val="clear" w:color="auto" w:fill="auto"/>
            <w:vAlign w:val="center"/>
          </w:tcPr>
          <w:p w14:paraId="59C691EA" w14:textId="4220CC6F"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w:t>
            </w:r>
            <w:r w:rsidR="00295804" w:rsidRPr="0041181D">
              <w:rPr>
                <w:rFonts w:cstheme="minorHAnsi"/>
                <w:color w:val="000000" w:themeColor="text1"/>
                <w:sz w:val="18"/>
                <w:szCs w:val="18"/>
              </w:rPr>
              <w:t>388</w:t>
            </w:r>
            <w:r w:rsidRPr="0041181D">
              <w:rPr>
                <w:rFonts w:cstheme="minorHAnsi"/>
                <w:color w:val="000000" w:themeColor="text1"/>
                <w:sz w:val="18"/>
                <w:szCs w:val="18"/>
              </w:rPr>
              <w:t xml:space="preserve">,400 </w:t>
            </w:r>
            <w:r w:rsidRPr="0041181D">
              <w:rPr>
                <w:rFonts w:cstheme="minorHAnsi"/>
                <w:color w:val="000000" w:themeColor="text1"/>
                <w:sz w:val="18"/>
                <w:szCs w:val="18"/>
                <w:vertAlign w:val="superscript"/>
              </w:rPr>
              <w:t>c</w:t>
            </w:r>
            <w:r w:rsidRPr="0041181D">
              <w:rPr>
                <w:rFonts w:cstheme="minorHAnsi"/>
                <w:color w:val="000000" w:themeColor="text1"/>
                <w:sz w:val="18"/>
                <w:szCs w:val="18"/>
              </w:rPr>
              <w:br/>
              <w:t>and</w:t>
            </w:r>
            <w:r w:rsidRPr="0041181D">
              <w:rPr>
                <w:rFonts w:cstheme="minorHAnsi"/>
                <w:color w:val="000000" w:themeColor="text1"/>
                <w:sz w:val="18"/>
                <w:szCs w:val="18"/>
              </w:rPr>
              <w:br/>
              <w:t>$</w:t>
            </w:r>
            <w:r w:rsidR="00295804" w:rsidRPr="0041181D">
              <w:rPr>
                <w:rFonts w:cstheme="minorHAnsi"/>
                <w:color w:val="000000" w:themeColor="text1"/>
                <w:sz w:val="18"/>
                <w:szCs w:val="18"/>
              </w:rPr>
              <w:t>4.07m</w:t>
            </w:r>
            <w:r w:rsidRPr="0041181D">
              <w:rPr>
                <w:rFonts w:cstheme="minorHAnsi"/>
                <w:color w:val="000000" w:themeColor="text1"/>
                <w:sz w:val="18"/>
                <w:szCs w:val="18"/>
              </w:rPr>
              <w:t xml:space="preserve"> </w:t>
            </w:r>
            <w:r w:rsidRPr="0041181D">
              <w:rPr>
                <w:rFonts w:cstheme="minorHAnsi"/>
                <w:color w:val="000000" w:themeColor="text1"/>
                <w:sz w:val="18"/>
                <w:szCs w:val="18"/>
                <w:vertAlign w:val="superscript"/>
              </w:rPr>
              <w:t>d</w:t>
            </w:r>
          </w:p>
        </w:tc>
        <w:tc>
          <w:tcPr>
            <w:tcW w:w="1134" w:type="dxa"/>
            <w:shd w:val="clear" w:color="auto" w:fill="auto"/>
            <w:vAlign w:val="center"/>
          </w:tcPr>
          <w:p w14:paraId="31D89154" w14:textId="2931B017"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w:t>
            </w:r>
            <w:r w:rsidR="00295804" w:rsidRPr="0041181D">
              <w:rPr>
                <w:rFonts w:cstheme="minorHAnsi"/>
                <w:color w:val="000000" w:themeColor="text1"/>
                <w:sz w:val="18"/>
                <w:szCs w:val="18"/>
              </w:rPr>
              <w:t>72,600</w:t>
            </w:r>
            <w:r w:rsidRPr="0041181D">
              <w:rPr>
                <w:rFonts w:cstheme="minorHAnsi"/>
                <w:color w:val="000000" w:themeColor="text1"/>
                <w:sz w:val="18"/>
                <w:szCs w:val="18"/>
                <w:vertAlign w:val="superscript"/>
              </w:rPr>
              <w:t xml:space="preserve"> c</w:t>
            </w:r>
          </w:p>
        </w:tc>
        <w:tc>
          <w:tcPr>
            <w:tcW w:w="1134" w:type="dxa"/>
            <w:shd w:val="clear" w:color="auto" w:fill="auto"/>
            <w:vAlign w:val="center"/>
          </w:tcPr>
          <w:p w14:paraId="5C4C1CC1" w14:textId="2FA039D7"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w:t>
            </w:r>
            <w:r w:rsidR="00295804" w:rsidRPr="0041181D">
              <w:rPr>
                <w:rFonts w:cstheme="minorHAnsi"/>
                <w:color w:val="000000" w:themeColor="text1"/>
                <w:sz w:val="18"/>
                <w:szCs w:val="18"/>
              </w:rPr>
              <w:t>160</w:t>
            </w:r>
            <w:r w:rsidRPr="0041181D">
              <w:rPr>
                <w:rFonts w:cstheme="minorHAnsi"/>
                <w:color w:val="000000" w:themeColor="text1"/>
                <w:sz w:val="18"/>
                <w:szCs w:val="18"/>
              </w:rPr>
              <w:t>,000</w:t>
            </w:r>
            <w:r w:rsidRPr="0041181D">
              <w:rPr>
                <w:rFonts w:cstheme="minorHAnsi"/>
                <w:color w:val="000000" w:themeColor="text1"/>
                <w:sz w:val="18"/>
                <w:szCs w:val="18"/>
                <w:vertAlign w:val="superscript"/>
              </w:rPr>
              <w:t xml:space="preserve"> c</w:t>
            </w:r>
          </w:p>
        </w:tc>
        <w:tc>
          <w:tcPr>
            <w:tcW w:w="1276" w:type="dxa"/>
            <w:shd w:val="clear" w:color="auto" w:fill="auto"/>
            <w:vAlign w:val="center"/>
          </w:tcPr>
          <w:p w14:paraId="6EF7FEC3" w14:textId="60798946"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w:t>
            </w:r>
            <w:r w:rsidR="00295804" w:rsidRPr="0041181D">
              <w:rPr>
                <w:rFonts w:cstheme="minorHAnsi"/>
                <w:color w:val="000000" w:themeColor="text1"/>
                <w:sz w:val="18"/>
                <w:szCs w:val="18"/>
              </w:rPr>
              <w:t>97,900</w:t>
            </w:r>
            <w:r w:rsidRPr="0041181D">
              <w:rPr>
                <w:rFonts w:cstheme="minorHAnsi"/>
                <w:color w:val="000000" w:themeColor="text1"/>
                <w:sz w:val="18"/>
                <w:szCs w:val="18"/>
              </w:rPr>
              <w:t xml:space="preserve"> </w:t>
            </w:r>
            <w:r w:rsidRPr="0041181D">
              <w:rPr>
                <w:rFonts w:cstheme="minorHAnsi"/>
                <w:color w:val="000000" w:themeColor="text1"/>
                <w:sz w:val="18"/>
                <w:szCs w:val="18"/>
                <w:vertAlign w:val="superscript"/>
              </w:rPr>
              <w:t>c</w:t>
            </w:r>
          </w:p>
        </w:tc>
      </w:tr>
      <w:tr w:rsidR="00A13E0C" w:rsidRPr="00A13E0C" w14:paraId="7914A57A" w14:textId="77777777" w:rsidTr="00323290">
        <w:trPr>
          <w:trHeight w:val="110"/>
        </w:trPr>
        <w:tc>
          <w:tcPr>
            <w:tcW w:w="2268" w:type="dxa"/>
            <w:vAlign w:val="center"/>
          </w:tcPr>
          <w:p w14:paraId="763764D4" w14:textId="6627E255"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33ED5">
              <w:rPr>
                <w:rFonts w:cstheme="minorHAnsi"/>
                <w:color w:val="000000"/>
                <w:sz w:val="18"/>
                <w:szCs w:val="18"/>
              </w:rPr>
              <w:t xml:space="preserve">Expense Rate </w:t>
            </w:r>
          </w:p>
        </w:tc>
        <w:tc>
          <w:tcPr>
            <w:tcW w:w="1134" w:type="dxa"/>
            <w:vAlign w:val="center"/>
          </w:tcPr>
          <w:p w14:paraId="462407E9" w14:textId="1E296568"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c>
          <w:tcPr>
            <w:tcW w:w="1134" w:type="dxa"/>
          </w:tcPr>
          <w:p w14:paraId="6F5048E3" w14:textId="44215B29"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c>
          <w:tcPr>
            <w:tcW w:w="1134" w:type="dxa"/>
          </w:tcPr>
          <w:p w14:paraId="76092519" w14:textId="465674A4"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c>
          <w:tcPr>
            <w:tcW w:w="1134" w:type="dxa"/>
          </w:tcPr>
          <w:p w14:paraId="57E11B01" w14:textId="1FB903ED"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c>
          <w:tcPr>
            <w:tcW w:w="1134" w:type="dxa"/>
          </w:tcPr>
          <w:p w14:paraId="71D5D6FE" w14:textId="6034301B"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c>
          <w:tcPr>
            <w:tcW w:w="1276" w:type="dxa"/>
          </w:tcPr>
          <w:p w14:paraId="33A5C21D" w14:textId="57901AD9"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10%</w:t>
            </w:r>
          </w:p>
        </w:tc>
      </w:tr>
      <w:tr w:rsidR="00A13E0C" w:rsidRPr="00A13E0C" w14:paraId="4B159001" w14:textId="77777777" w:rsidTr="00054954">
        <w:trPr>
          <w:trHeight w:val="110"/>
        </w:trPr>
        <w:tc>
          <w:tcPr>
            <w:tcW w:w="2268" w:type="dxa"/>
            <w:tcBorders>
              <w:bottom w:val="nil"/>
            </w:tcBorders>
            <w:vAlign w:val="center"/>
          </w:tcPr>
          <w:p w14:paraId="281D3C72" w14:textId="07F03158"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rPr>
            </w:pPr>
            <w:r w:rsidRPr="00A33ED5">
              <w:rPr>
                <w:rFonts w:cstheme="minorHAnsi"/>
                <w:color w:val="000000"/>
                <w:sz w:val="18"/>
                <w:szCs w:val="18"/>
              </w:rPr>
              <w:t xml:space="preserve">Discount Rate </w:t>
            </w:r>
            <w:r w:rsidRPr="00A33ED5">
              <w:rPr>
                <w:rFonts w:cstheme="minorHAnsi"/>
                <w:color w:val="000000"/>
                <w:sz w:val="18"/>
                <w:szCs w:val="18"/>
                <w:vertAlign w:val="superscript"/>
              </w:rPr>
              <w:t>b</w:t>
            </w:r>
          </w:p>
        </w:tc>
        <w:tc>
          <w:tcPr>
            <w:tcW w:w="1134" w:type="dxa"/>
            <w:tcBorders>
              <w:bottom w:val="nil"/>
            </w:tcBorders>
            <w:vAlign w:val="center"/>
          </w:tcPr>
          <w:p w14:paraId="04A4B676" w14:textId="42088FD8"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4</w:t>
            </w:r>
            <w:r w:rsidRPr="0041181D">
              <w:rPr>
                <w:rFonts w:cstheme="minorHAnsi"/>
                <w:color w:val="000000" w:themeColor="text1"/>
                <w:sz w:val="18"/>
                <w:szCs w:val="18"/>
              </w:rPr>
              <w:t>%</w:t>
            </w:r>
          </w:p>
        </w:tc>
        <w:tc>
          <w:tcPr>
            <w:tcW w:w="1134" w:type="dxa"/>
            <w:tcBorders>
              <w:bottom w:val="nil"/>
            </w:tcBorders>
            <w:vAlign w:val="center"/>
          </w:tcPr>
          <w:p w14:paraId="3DF88690" w14:textId="0AF09515"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6</w:t>
            </w:r>
            <w:r w:rsidRPr="0041181D">
              <w:rPr>
                <w:rFonts w:cstheme="minorHAnsi"/>
                <w:color w:val="000000" w:themeColor="text1"/>
                <w:sz w:val="18"/>
                <w:szCs w:val="18"/>
              </w:rPr>
              <w:t>%</w:t>
            </w:r>
          </w:p>
        </w:tc>
        <w:tc>
          <w:tcPr>
            <w:tcW w:w="1134" w:type="dxa"/>
            <w:tcBorders>
              <w:bottom w:val="nil"/>
            </w:tcBorders>
            <w:vAlign w:val="center"/>
          </w:tcPr>
          <w:p w14:paraId="024F16E9" w14:textId="2C1696A7"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6</w:t>
            </w:r>
            <w:r w:rsidRPr="0041181D">
              <w:rPr>
                <w:rFonts w:cstheme="minorHAnsi"/>
                <w:color w:val="000000" w:themeColor="text1"/>
                <w:sz w:val="18"/>
                <w:szCs w:val="18"/>
              </w:rPr>
              <w:t>%</w:t>
            </w:r>
          </w:p>
        </w:tc>
        <w:tc>
          <w:tcPr>
            <w:tcW w:w="1134" w:type="dxa"/>
            <w:tcBorders>
              <w:bottom w:val="nil"/>
            </w:tcBorders>
            <w:vAlign w:val="center"/>
          </w:tcPr>
          <w:p w14:paraId="2F2E9EE5" w14:textId="47F35D0F"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8</w:t>
            </w:r>
            <w:r w:rsidRPr="0041181D">
              <w:rPr>
                <w:rFonts w:cstheme="minorHAnsi"/>
                <w:color w:val="000000" w:themeColor="text1"/>
                <w:sz w:val="18"/>
                <w:szCs w:val="18"/>
              </w:rPr>
              <w:t>%</w:t>
            </w:r>
          </w:p>
        </w:tc>
        <w:tc>
          <w:tcPr>
            <w:tcW w:w="1134" w:type="dxa"/>
            <w:tcBorders>
              <w:bottom w:val="nil"/>
            </w:tcBorders>
            <w:vAlign w:val="center"/>
          </w:tcPr>
          <w:p w14:paraId="2A927E27" w14:textId="3A12820A"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3</w:t>
            </w:r>
            <w:r w:rsidRPr="0041181D">
              <w:rPr>
                <w:rFonts w:cstheme="minorHAnsi"/>
                <w:color w:val="000000" w:themeColor="text1"/>
                <w:sz w:val="18"/>
                <w:szCs w:val="18"/>
              </w:rPr>
              <w:t>%</w:t>
            </w:r>
          </w:p>
        </w:tc>
        <w:tc>
          <w:tcPr>
            <w:tcW w:w="1276" w:type="dxa"/>
            <w:tcBorders>
              <w:bottom w:val="nil"/>
            </w:tcBorders>
            <w:vAlign w:val="center"/>
          </w:tcPr>
          <w:p w14:paraId="50FE692C" w14:textId="4E83B7DB"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4.</w:t>
            </w:r>
            <w:r w:rsidR="00295804" w:rsidRPr="0041181D">
              <w:rPr>
                <w:rFonts w:cstheme="minorHAnsi"/>
                <w:color w:val="000000" w:themeColor="text1"/>
                <w:sz w:val="18"/>
                <w:szCs w:val="18"/>
              </w:rPr>
              <w:t>5</w:t>
            </w:r>
            <w:r w:rsidRPr="0041181D">
              <w:rPr>
                <w:rFonts w:cstheme="minorHAnsi"/>
                <w:color w:val="000000" w:themeColor="text1"/>
                <w:sz w:val="18"/>
                <w:szCs w:val="18"/>
              </w:rPr>
              <w:t>%</w:t>
            </w:r>
          </w:p>
        </w:tc>
      </w:tr>
      <w:tr w:rsidR="00A13E0C" w:rsidRPr="00A13E0C" w14:paraId="3135F786" w14:textId="77777777" w:rsidTr="00054954">
        <w:trPr>
          <w:trHeight w:val="220"/>
        </w:trPr>
        <w:tc>
          <w:tcPr>
            <w:tcW w:w="2268" w:type="dxa"/>
            <w:tcBorders>
              <w:top w:val="nil"/>
              <w:bottom w:val="single" w:sz="12" w:space="0" w:color="492581" w:themeColor="accent1"/>
            </w:tcBorders>
            <w:vAlign w:val="center"/>
          </w:tcPr>
          <w:p w14:paraId="15425A19" w14:textId="68A7A658" w:rsidR="00A13E0C" w:rsidRPr="00A13E0C" w:rsidRDefault="00A13E0C" w:rsidP="00A13E0C">
            <w:pPr>
              <w:autoSpaceDE w:val="0"/>
              <w:autoSpaceDN w:val="0"/>
              <w:adjustRightInd w:val="0"/>
              <w:spacing w:before="100" w:after="100" w:line="240" w:lineRule="auto"/>
              <w:rPr>
                <w:rFonts w:ascii="Calibri" w:eastAsia="Calibri" w:hAnsi="Calibri" w:cs="Calibri"/>
                <w:color w:val="000000"/>
                <w:sz w:val="18"/>
                <w:szCs w:val="18"/>
                <w:vertAlign w:val="superscript"/>
              </w:rPr>
            </w:pPr>
            <w:r w:rsidRPr="00A33ED5">
              <w:rPr>
                <w:rFonts w:cstheme="minorHAnsi"/>
                <w:color w:val="000000"/>
                <w:sz w:val="18"/>
                <w:szCs w:val="18"/>
              </w:rPr>
              <w:t>Inflation and</w:t>
            </w:r>
            <w:r w:rsidRPr="00A33ED5">
              <w:rPr>
                <w:rFonts w:cstheme="minorHAnsi"/>
                <w:color w:val="000000"/>
                <w:sz w:val="18"/>
                <w:szCs w:val="18"/>
              </w:rPr>
              <w:br/>
              <w:t xml:space="preserve">Superimposed Inflation </w:t>
            </w:r>
            <w:r w:rsidRPr="00A33ED5">
              <w:rPr>
                <w:rFonts w:cstheme="minorHAnsi"/>
                <w:color w:val="000000"/>
                <w:sz w:val="18"/>
                <w:szCs w:val="18"/>
                <w:vertAlign w:val="superscript"/>
              </w:rPr>
              <w:t>b</w:t>
            </w:r>
          </w:p>
        </w:tc>
        <w:tc>
          <w:tcPr>
            <w:tcW w:w="1134" w:type="dxa"/>
            <w:tcBorders>
              <w:top w:val="nil"/>
              <w:bottom w:val="single" w:sz="12" w:space="0" w:color="492581" w:themeColor="accent1"/>
            </w:tcBorders>
            <w:vAlign w:val="center"/>
          </w:tcPr>
          <w:p w14:paraId="2D871B7E" w14:textId="3021D724"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6</w:t>
            </w:r>
            <w:r w:rsidRPr="0041181D">
              <w:rPr>
                <w:rFonts w:cstheme="minorHAnsi"/>
                <w:color w:val="000000" w:themeColor="text1"/>
                <w:sz w:val="18"/>
                <w:szCs w:val="18"/>
              </w:rPr>
              <w:t>%</w:t>
            </w:r>
          </w:p>
        </w:tc>
        <w:tc>
          <w:tcPr>
            <w:tcW w:w="1134" w:type="dxa"/>
            <w:tcBorders>
              <w:top w:val="nil"/>
              <w:bottom w:val="single" w:sz="12" w:space="0" w:color="492581" w:themeColor="accent1"/>
            </w:tcBorders>
            <w:vAlign w:val="center"/>
          </w:tcPr>
          <w:p w14:paraId="33368345" w14:textId="51BF472B"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7</w:t>
            </w:r>
            <w:r w:rsidRPr="0041181D">
              <w:rPr>
                <w:rFonts w:cstheme="minorHAnsi"/>
                <w:color w:val="000000" w:themeColor="text1"/>
                <w:sz w:val="18"/>
                <w:szCs w:val="18"/>
              </w:rPr>
              <w:t>%</w:t>
            </w:r>
          </w:p>
        </w:tc>
        <w:tc>
          <w:tcPr>
            <w:tcW w:w="1134" w:type="dxa"/>
            <w:tcBorders>
              <w:top w:val="nil"/>
              <w:bottom w:val="single" w:sz="12" w:space="0" w:color="492581" w:themeColor="accent1"/>
            </w:tcBorders>
            <w:vAlign w:val="center"/>
          </w:tcPr>
          <w:p w14:paraId="4D56C761" w14:textId="2EB6F4B6"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7</w:t>
            </w:r>
            <w:r w:rsidRPr="0041181D">
              <w:rPr>
                <w:rFonts w:cstheme="minorHAnsi"/>
                <w:color w:val="000000" w:themeColor="text1"/>
                <w:sz w:val="18"/>
                <w:szCs w:val="18"/>
              </w:rPr>
              <w:t>%</w:t>
            </w:r>
          </w:p>
        </w:tc>
        <w:tc>
          <w:tcPr>
            <w:tcW w:w="1134" w:type="dxa"/>
            <w:tcBorders>
              <w:top w:val="nil"/>
              <w:bottom w:val="single" w:sz="12" w:space="0" w:color="492581" w:themeColor="accent1"/>
            </w:tcBorders>
            <w:vAlign w:val="center"/>
          </w:tcPr>
          <w:p w14:paraId="152BC1DC" w14:textId="3825AB51"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8</w:t>
            </w:r>
            <w:r w:rsidRPr="0041181D">
              <w:rPr>
                <w:rFonts w:cstheme="minorHAnsi"/>
                <w:color w:val="000000" w:themeColor="text1"/>
                <w:sz w:val="18"/>
                <w:szCs w:val="18"/>
              </w:rPr>
              <w:t>%</w:t>
            </w:r>
          </w:p>
        </w:tc>
        <w:tc>
          <w:tcPr>
            <w:tcW w:w="1134" w:type="dxa"/>
            <w:tcBorders>
              <w:top w:val="nil"/>
              <w:bottom w:val="single" w:sz="12" w:space="0" w:color="492581" w:themeColor="accent1"/>
            </w:tcBorders>
            <w:vAlign w:val="center"/>
          </w:tcPr>
          <w:p w14:paraId="4AB8E4CC" w14:textId="20914523"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5</w:t>
            </w:r>
            <w:r w:rsidRPr="0041181D">
              <w:rPr>
                <w:rFonts w:cstheme="minorHAnsi"/>
                <w:color w:val="000000" w:themeColor="text1"/>
                <w:sz w:val="18"/>
                <w:szCs w:val="18"/>
              </w:rPr>
              <w:t>%</w:t>
            </w:r>
          </w:p>
        </w:tc>
        <w:tc>
          <w:tcPr>
            <w:tcW w:w="1276" w:type="dxa"/>
            <w:tcBorders>
              <w:top w:val="nil"/>
              <w:bottom w:val="single" w:sz="12" w:space="0" w:color="492581" w:themeColor="accent1"/>
            </w:tcBorders>
            <w:vAlign w:val="center"/>
          </w:tcPr>
          <w:p w14:paraId="322E31B7" w14:textId="6CA9C53D" w:rsidR="00A13E0C" w:rsidRPr="00491E13" w:rsidRDefault="00A13E0C" w:rsidP="00A13E0C">
            <w:pPr>
              <w:autoSpaceDE w:val="0"/>
              <w:autoSpaceDN w:val="0"/>
              <w:adjustRightInd w:val="0"/>
              <w:spacing w:before="100" w:after="100" w:line="240" w:lineRule="auto"/>
              <w:jc w:val="center"/>
              <w:rPr>
                <w:rFonts w:ascii="Calibri" w:eastAsia="Calibri" w:hAnsi="Calibri" w:cs="Calibri"/>
                <w:color w:val="000000"/>
                <w:sz w:val="18"/>
                <w:szCs w:val="18"/>
                <w:highlight w:val="yellow"/>
              </w:rPr>
            </w:pPr>
            <w:r w:rsidRPr="0041181D">
              <w:rPr>
                <w:rFonts w:cstheme="minorHAnsi"/>
                <w:color w:val="000000" w:themeColor="text1"/>
                <w:sz w:val="18"/>
                <w:szCs w:val="18"/>
              </w:rPr>
              <w:t>3.</w:t>
            </w:r>
            <w:r w:rsidR="00295804" w:rsidRPr="0041181D">
              <w:rPr>
                <w:rFonts w:cstheme="minorHAnsi"/>
                <w:color w:val="000000" w:themeColor="text1"/>
                <w:sz w:val="18"/>
                <w:szCs w:val="18"/>
              </w:rPr>
              <w:t>6</w:t>
            </w:r>
            <w:r w:rsidRPr="0041181D">
              <w:rPr>
                <w:rFonts w:cstheme="minorHAnsi"/>
                <w:color w:val="000000" w:themeColor="text1"/>
                <w:sz w:val="18"/>
                <w:szCs w:val="18"/>
              </w:rPr>
              <w:t>%</w:t>
            </w:r>
          </w:p>
        </w:tc>
      </w:tr>
    </w:tbl>
    <w:p w14:paraId="243EED25" w14:textId="4DCAE0A7" w:rsidR="00A37897" w:rsidRPr="00A37897" w:rsidRDefault="00A45D3E" w:rsidP="00054954">
      <w:pPr>
        <w:autoSpaceDE w:val="0"/>
        <w:autoSpaceDN w:val="0"/>
        <w:adjustRightInd w:val="0"/>
        <w:spacing w:before="120" w:after="140" w:line="211" w:lineRule="atLeast"/>
        <w:rPr>
          <w:rFonts w:ascii="Calibri" w:eastAsia="Calibri" w:hAnsi="Calibri" w:cs="Source Sans Pro Light"/>
          <w:color w:val="000000"/>
          <w:sz w:val="22"/>
          <w:szCs w:val="22"/>
        </w:rPr>
      </w:pPr>
      <w:r>
        <w:rPr>
          <w:rFonts w:ascii="Calibri" w:eastAsia="Calibri" w:hAnsi="Calibri" w:cs="Source Sans Pro Light"/>
          <w:color w:val="000000"/>
          <w:sz w:val="22"/>
          <w:szCs w:val="22"/>
        </w:rPr>
        <w:br/>
      </w:r>
      <w:r w:rsidR="00A37897" w:rsidRPr="00A37897">
        <w:rPr>
          <w:rFonts w:ascii="Calibri" w:eastAsia="Calibri" w:hAnsi="Calibri" w:cs="Source Sans Pro Light"/>
          <w:color w:val="000000"/>
          <w:sz w:val="22"/>
          <w:szCs w:val="22"/>
        </w:rPr>
        <w:t>The following assumptions were made in estimating the outstanding claims liabilities for 202</w:t>
      </w:r>
      <w:r w:rsidR="00491E13">
        <w:rPr>
          <w:rFonts w:ascii="Calibri" w:eastAsia="Calibri" w:hAnsi="Calibri" w:cs="Source Sans Pro Light"/>
          <w:color w:val="000000"/>
          <w:sz w:val="22"/>
          <w:szCs w:val="22"/>
        </w:rPr>
        <w:t>2</w:t>
      </w:r>
      <w:r w:rsidR="00A37897" w:rsidRPr="00A37897">
        <w:rPr>
          <w:rFonts w:ascii="Calibri" w:eastAsia="Calibri" w:hAnsi="Calibri" w:cs="Source Sans Pro Light"/>
          <w:color w:val="000000"/>
          <w:sz w:val="22"/>
          <w:szCs w:val="22"/>
        </w:rPr>
        <w:t>-2</w:t>
      </w:r>
      <w:r w:rsidR="00491E13">
        <w:rPr>
          <w:rFonts w:ascii="Calibri" w:eastAsia="Calibri" w:hAnsi="Calibri" w:cs="Source Sans Pro Light"/>
          <w:color w:val="000000"/>
          <w:sz w:val="22"/>
          <w:szCs w:val="22"/>
        </w:rPr>
        <w:t>3</w:t>
      </w:r>
      <w:r w:rsidR="00A37897" w:rsidRPr="00A37897">
        <w:rPr>
          <w:rFonts w:ascii="Calibri" w:eastAsia="Calibri" w:hAnsi="Calibri" w:cs="Source Sans Pro Light"/>
          <w:color w:val="000000"/>
          <w:sz w:val="22"/>
          <w:szCs w:val="22"/>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4867CE" w:rsidRPr="004867CE" w14:paraId="784AFD70" w14:textId="77777777" w:rsidTr="00054954">
        <w:trPr>
          <w:trHeight w:val="218"/>
        </w:trPr>
        <w:tc>
          <w:tcPr>
            <w:tcW w:w="2268" w:type="dxa"/>
            <w:tcBorders>
              <w:top w:val="single" w:sz="12" w:space="0" w:color="492581" w:themeColor="accent1"/>
              <w:bottom w:val="single" w:sz="12" w:space="0" w:color="492581" w:themeColor="accent1"/>
            </w:tcBorders>
            <w:vAlign w:val="bottom"/>
          </w:tcPr>
          <w:p w14:paraId="29ED7F16" w14:textId="78F93B6C" w:rsidR="004867CE" w:rsidRPr="004867CE" w:rsidRDefault="004867CE" w:rsidP="004867CE">
            <w:pPr>
              <w:autoSpaceDE w:val="0"/>
              <w:autoSpaceDN w:val="0"/>
              <w:adjustRightInd w:val="0"/>
              <w:spacing w:before="100" w:after="100" w:line="181" w:lineRule="atLeast"/>
              <w:rPr>
                <w:rFonts w:ascii="Calibri" w:eastAsia="Calibri" w:hAnsi="Calibri" w:cs="Source Sans Pro SemiBold"/>
                <w:b/>
                <w:bCs/>
                <w:color w:val="000000"/>
                <w:sz w:val="28"/>
                <w:szCs w:val="28"/>
              </w:rPr>
            </w:pPr>
            <w:r w:rsidRPr="004867CE">
              <w:rPr>
                <w:rFonts w:ascii="Calibri" w:eastAsia="Calibri" w:hAnsi="Calibri" w:cs="Source Sans Pro SemiBold"/>
                <w:b/>
                <w:bCs/>
                <w:color w:val="000000"/>
                <w:sz w:val="28"/>
                <w:szCs w:val="28"/>
              </w:rPr>
              <w:t>202</w:t>
            </w:r>
            <w:r w:rsidR="00491E13">
              <w:rPr>
                <w:rFonts w:ascii="Calibri" w:eastAsia="Calibri" w:hAnsi="Calibri" w:cs="Source Sans Pro SemiBold"/>
                <w:b/>
                <w:bCs/>
                <w:color w:val="000000"/>
                <w:sz w:val="28"/>
                <w:szCs w:val="28"/>
              </w:rPr>
              <w:t>3</w:t>
            </w:r>
          </w:p>
        </w:tc>
        <w:tc>
          <w:tcPr>
            <w:tcW w:w="1134" w:type="dxa"/>
            <w:tcBorders>
              <w:top w:val="single" w:sz="12" w:space="0" w:color="492581" w:themeColor="accent1"/>
              <w:bottom w:val="single" w:sz="12" w:space="0" w:color="492581" w:themeColor="accent1"/>
            </w:tcBorders>
          </w:tcPr>
          <w:p w14:paraId="17312DDC"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Property and Motor </w:t>
            </w:r>
          </w:p>
        </w:tc>
        <w:tc>
          <w:tcPr>
            <w:tcW w:w="1134" w:type="dxa"/>
            <w:tcBorders>
              <w:top w:val="single" w:sz="12" w:space="0" w:color="492581" w:themeColor="accent1"/>
              <w:bottom w:val="single" w:sz="12" w:space="0" w:color="492581" w:themeColor="accent1"/>
            </w:tcBorders>
          </w:tcPr>
          <w:p w14:paraId="54B9139B"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Public Liability </w:t>
            </w:r>
          </w:p>
        </w:tc>
        <w:tc>
          <w:tcPr>
            <w:tcW w:w="1134" w:type="dxa"/>
            <w:tcBorders>
              <w:top w:val="single" w:sz="12" w:space="0" w:color="492581" w:themeColor="accent1"/>
              <w:bottom w:val="single" w:sz="12" w:space="0" w:color="492581" w:themeColor="accent1"/>
            </w:tcBorders>
          </w:tcPr>
          <w:p w14:paraId="5B321479"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Medical Malpractice </w:t>
            </w:r>
          </w:p>
        </w:tc>
        <w:tc>
          <w:tcPr>
            <w:tcW w:w="1134" w:type="dxa"/>
            <w:tcBorders>
              <w:top w:val="single" w:sz="12" w:space="0" w:color="492581" w:themeColor="accent1"/>
              <w:bottom w:val="single" w:sz="12" w:space="0" w:color="492581" w:themeColor="accent1"/>
            </w:tcBorders>
          </w:tcPr>
          <w:p w14:paraId="2B4846C4"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0ECF9AC2"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Financial Crime </w:t>
            </w:r>
          </w:p>
        </w:tc>
        <w:tc>
          <w:tcPr>
            <w:tcW w:w="1276" w:type="dxa"/>
            <w:tcBorders>
              <w:top w:val="single" w:sz="12" w:space="0" w:color="492581" w:themeColor="accent1"/>
              <w:bottom w:val="single" w:sz="12" w:space="0" w:color="492581" w:themeColor="accent1"/>
            </w:tcBorders>
          </w:tcPr>
          <w:p w14:paraId="4D70B7E0" w14:textId="77777777" w:rsidR="004867CE" w:rsidRPr="004867CE" w:rsidRDefault="004867CE" w:rsidP="004867CE">
            <w:pPr>
              <w:autoSpaceDE w:val="0"/>
              <w:autoSpaceDN w:val="0"/>
              <w:adjustRightInd w:val="0"/>
              <w:spacing w:before="100" w:after="100" w:line="240" w:lineRule="auto"/>
              <w:jc w:val="center"/>
              <w:rPr>
                <w:rFonts w:ascii="Calibri" w:eastAsia="Calibri" w:hAnsi="Calibri" w:cs="Source Sans Pro SemiBold"/>
                <w:color w:val="000000"/>
                <w:sz w:val="18"/>
                <w:szCs w:val="18"/>
              </w:rPr>
            </w:pPr>
            <w:r w:rsidRPr="004867CE">
              <w:rPr>
                <w:rFonts w:ascii="Calibri" w:eastAsia="Calibri" w:hAnsi="Calibri" w:cs="Source Sans Pro SemiBold"/>
                <w:b/>
                <w:bCs/>
                <w:color w:val="000000"/>
                <w:sz w:val="18"/>
                <w:szCs w:val="18"/>
              </w:rPr>
              <w:t xml:space="preserve">Professional Indemnity </w:t>
            </w:r>
          </w:p>
        </w:tc>
      </w:tr>
      <w:tr w:rsidR="004867CE" w:rsidRPr="004867CE" w14:paraId="5544CEB4" w14:textId="77777777" w:rsidTr="00054954">
        <w:trPr>
          <w:trHeight w:val="220"/>
        </w:trPr>
        <w:tc>
          <w:tcPr>
            <w:tcW w:w="2268" w:type="dxa"/>
            <w:tcBorders>
              <w:top w:val="single" w:sz="12" w:space="0" w:color="492581" w:themeColor="accent1"/>
              <w:bottom w:val="nil"/>
            </w:tcBorders>
            <w:vAlign w:val="center"/>
          </w:tcPr>
          <w:p w14:paraId="6FE9B58F" w14:textId="53C9592A"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BA6CFA">
              <w:rPr>
                <w:rFonts w:cs="Source Sans Pro Light"/>
                <w:color w:val="000000"/>
                <w:sz w:val="18"/>
                <w:szCs w:val="18"/>
              </w:rPr>
              <w:t>Discounted Mean Term</w:t>
            </w:r>
            <w:r w:rsidRPr="00BA6CFA">
              <w:rPr>
                <w:rFonts w:cs="Source Sans Pro Light"/>
                <w:color w:val="000000"/>
                <w:sz w:val="18"/>
                <w:szCs w:val="18"/>
              </w:rPr>
              <w:br/>
              <w:t xml:space="preserve">(for Outstanding Claims) </w:t>
            </w:r>
          </w:p>
        </w:tc>
        <w:tc>
          <w:tcPr>
            <w:tcW w:w="1134" w:type="dxa"/>
            <w:tcBorders>
              <w:top w:val="single" w:sz="12" w:space="0" w:color="492581" w:themeColor="accent1"/>
              <w:bottom w:val="nil"/>
            </w:tcBorders>
            <w:vAlign w:val="center"/>
          </w:tcPr>
          <w:p w14:paraId="1EF2E6E5" w14:textId="77777777" w:rsidR="004867CE" w:rsidRDefault="00773BA8" w:rsidP="00773BA8">
            <w:pPr>
              <w:pStyle w:val="Pa21"/>
              <w:spacing w:line="240" w:lineRule="auto"/>
              <w:jc w:val="center"/>
              <w:rPr>
                <w:rFonts w:asciiTheme="minorHAnsi" w:hAnsiTheme="minorHAnsi" w:cstheme="minorHAnsi"/>
                <w:color w:val="000000"/>
                <w:sz w:val="18"/>
                <w:szCs w:val="18"/>
              </w:rPr>
            </w:pPr>
            <w:r w:rsidRPr="00345122">
              <w:rPr>
                <w:rFonts w:asciiTheme="minorHAnsi" w:hAnsiTheme="minorHAnsi" w:cstheme="minorHAnsi"/>
                <w:color w:val="000000"/>
                <w:sz w:val="18"/>
                <w:szCs w:val="18"/>
              </w:rPr>
              <w:t>2.01</w:t>
            </w:r>
            <w:r w:rsidR="004867CE">
              <w:rPr>
                <w:rFonts w:asciiTheme="minorHAnsi" w:hAnsiTheme="minorHAnsi" w:cstheme="minorHAnsi"/>
                <w:color w:val="000000"/>
                <w:sz w:val="18"/>
                <w:szCs w:val="18"/>
              </w:rPr>
              <w:t xml:space="preserve"> </w:t>
            </w:r>
          </w:p>
          <w:p w14:paraId="053CD19C" w14:textId="6790A326"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c>
          <w:tcPr>
            <w:tcW w:w="1134" w:type="dxa"/>
            <w:tcBorders>
              <w:top w:val="single" w:sz="12" w:space="0" w:color="492581" w:themeColor="accent1"/>
              <w:bottom w:val="nil"/>
            </w:tcBorders>
            <w:vAlign w:val="center"/>
          </w:tcPr>
          <w:p w14:paraId="6BB7F414" w14:textId="77777777" w:rsidR="004867CE" w:rsidRDefault="004867CE" w:rsidP="00773BA8">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w:t>
            </w:r>
            <w:r w:rsidR="00773BA8" w:rsidRPr="00345122">
              <w:rPr>
                <w:rFonts w:asciiTheme="minorHAnsi" w:hAnsiTheme="minorHAnsi" w:cstheme="minorHAnsi"/>
                <w:color w:val="000000"/>
                <w:sz w:val="18"/>
                <w:szCs w:val="18"/>
              </w:rPr>
              <w:t>82</w:t>
            </w:r>
            <w:r>
              <w:rPr>
                <w:rFonts w:asciiTheme="minorHAnsi" w:hAnsiTheme="minorHAnsi" w:cstheme="minorHAnsi"/>
                <w:color w:val="000000"/>
                <w:sz w:val="18"/>
                <w:szCs w:val="18"/>
              </w:rPr>
              <w:t xml:space="preserve"> </w:t>
            </w:r>
          </w:p>
          <w:p w14:paraId="4643C8AE" w14:textId="0B1B9D8D"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c>
          <w:tcPr>
            <w:tcW w:w="1134" w:type="dxa"/>
            <w:tcBorders>
              <w:top w:val="single" w:sz="12" w:space="0" w:color="492581" w:themeColor="accent1"/>
              <w:bottom w:val="nil"/>
            </w:tcBorders>
            <w:vAlign w:val="center"/>
          </w:tcPr>
          <w:p w14:paraId="3D04D0BB" w14:textId="77777777" w:rsidR="004867CE" w:rsidRDefault="004867CE" w:rsidP="00773BA8">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4.</w:t>
            </w:r>
            <w:r w:rsidR="00773BA8" w:rsidRPr="00345122">
              <w:rPr>
                <w:rFonts w:asciiTheme="minorHAnsi" w:hAnsiTheme="minorHAnsi" w:cstheme="minorHAnsi"/>
                <w:color w:val="000000"/>
                <w:sz w:val="18"/>
                <w:szCs w:val="18"/>
              </w:rPr>
              <w:t>01</w:t>
            </w:r>
            <w:r>
              <w:rPr>
                <w:rFonts w:asciiTheme="minorHAnsi" w:hAnsiTheme="minorHAnsi" w:cstheme="minorHAnsi"/>
                <w:color w:val="000000"/>
                <w:sz w:val="18"/>
                <w:szCs w:val="18"/>
              </w:rPr>
              <w:t xml:space="preserve"> </w:t>
            </w:r>
          </w:p>
          <w:p w14:paraId="2E8896A7" w14:textId="7CC86CEC"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c>
          <w:tcPr>
            <w:tcW w:w="1134" w:type="dxa"/>
            <w:tcBorders>
              <w:top w:val="single" w:sz="12" w:space="0" w:color="492581" w:themeColor="accent1"/>
              <w:bottom w:val="nil"/>
            </w:tcBorders>
            <w:vAlign w:val="center"/>
          </w:tcPr>
          <w:p w14:paraId="2DFFC57E" w14:textId="77777777" w:rsidR="004867CE" w:rsidRDefault="00773BA8" w:rsidP="00773BA8">
            <w:pPr>
              <w:pStyle w:val="Pa21"/>
              <w:spacing w:line="240" w:lineRule="auto"/>
              <w:jc w:val="center"/>
              <w:rPr>
                <w:rFonts w:asciiTheme="minorHAnsi" w:hAnsiTheme="minorHAnsi" w:cstheme="minorHAnsi"/>
                <w:color w:val="000000"/>
                <w:sz w:val="18"/>
                <w:szCs w:val="18"/>
              </w:rPr>
            </w:pPr>
            <w:r w:rsidRPr="00345122">
              <w:rPr>
                <w:rFonts w:asciiTheme="minorHAnsi" w:hAnsiTheme="minorHAnsi" w:cstheme="minorHAnsi"/>
                <w:color w:val="000000"/>
                <w:sz w:val="18"/>
                <w:szCs w:val="18"/>
              </w:rPr>
              <w:t>2.66</w:t>
            </w:r>
            <w:r w:rsidR="004867CE">
              <w:rPr>
                <w:rFonts w:asciiTheme="minorHAnsi" w:hAnsiTheme="minorHAnsi" w:cstheme="minorHAnsi"/>
                <w:color w:val="000000"/>
                <w:sz w:val="18"/>
                <w:szCs w:val="18"/>
              </w:rPr>
              <w:t xml:space="preserve"> </w:t>
            </w:r>
          </w:p>
          <w:p w14:paraId="5FA303F8" w14:textId="484832C3"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c>
          <w:tcPr>
            <w:tcW w:w="1134" w:type="dxa"/>
            <w:tcBorders>
              <w:top w:val="single" w:sz="12" w:space="0" w:color="492581" w:themeColor="accent1"/>
              <w:bottom w:val="nil"/>
            </w:tcBorders>
            <w:vAlign w:val="center"/>
          </w:tcPr>
          <w:p w14:paraId="1466E8DE" w14:textId="77777777" w:rsidR="004867CE" w:rsidRDefault="004867CE" w:rsidP="00773BA8">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2.</w:t>
            </w:r>
            <w:r w:rsidR="00773BA8" w:rsidRPr="00345122">
              <w:rPr>
                <w:rFonts w:asciiTheme="minorHAnsi" w:hAnsiTheme="minorHAnsi" w:cstheme="minorHAnsi"/>
                <w:color w:val="000000"/>
                <w:sz w:val="18"/>
                <w:szCs w:val="18"/>
              </w:rPr>
              <w:t>72</w:t>
            </w:r>
            <w:r>
              <w:rPr>
                <w:rFonts w:asciiTheme="minorHAnsi" w:hAnsiTheme="minorHAnsi" w:cstheme="minorHAnsi"/>
                <w:color w:val="000000"/>
                <w:sz w:val="18"/>
                <w:szCs w:val="18"/>
              </w:rPr>
              <w:t xml:space="preserve"> </w:t>
            </w:r>
          </w:p>
          <w:p w14:paraId="16F94960" w14:textId="4B004CB6"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c>
          <w:tcPr>
            <w:tcW w:w="1276" w:type="dxa"/>
            <w:tcBorders>
              <w:top w:val="single" w:sz="12" w:space="0" w:color="492581" w:themeColor="accent1"/>
              <w:bottom w:val="nil"/>
            </w:tcBorders>
            <w:vAlign w:val="center"/>
          </w:tcPr>
          <w:p w14:paraId="3E7403A1" w14:textId="77777777" w:rsidR="004867CE" w:rsidRDefault="00773BA8" w:rsidP="00773BA8">
            <w:pPr>
              <w:pStyle w:val="Pa21"/>
              <w:spacing w:line="240" w:lineRule="auto"/>
              <w:jc w:val="center"/>
              <w:rPr>
                <w:rFonts w:asciiTheme="minorHAnsi" w:hAnsiTheme="minorHAnsi" w:cstheme="minorHAnsi"/>
                <w:color w:val="000000"/>
                <w:sz w:val="18"/>
                <w:szCs w:val="18"/>
              </w:rPr>
            </w:pPr>
            <w:r w:rsidRPr="00345122">
              <w:rPr>
                <w:rFonts w:asciiTheme="minorHAnsi" w:hAnsiTheme="minorHAnsi" w:cstheme="minorHAnsi"/>
                <w:color w:val="000000"/>
                <w:sz w:val="18"/>
                <w:szCs w:val="18"/>
              </w:rPr>
              <w:t>4.13</w:t>
            </w:r>
            <w:r w:rsidR="004867CE">
              <w:rPr>
                <w:rFonts w:asciiTheme="minorHAnsi" w:hAnsiTheme="minorHAnsi" w:cstheme="minorHAnsi"/>
                <w:color w:val="000000"/>
                <w:sz w:val="18"/>
                <w:szCs w:val="18"/>
              </w:rPr>
              <w:t xml:space="preserve"> </w:t>
            </w:r>
          </w:p>
          <w:p w14:paraId="09246BB6" w14:textId="03BC1E4B" w:rsidR="004867CE" w:rsidRPr="00491E13" w:rsidRDefault="004867CE" w:rsidP="004867CE">
            <w:pPr>
              <w:autoSpaceDE w:val="0"/>
              <w:autoSpaceDN w:val="0"/>
              <w:adjustRightInd w:val="0"/>
              <w:spacing w:after="0" w:line="240" w:lineRule="auto"/>
              <w:jc w:val="center"/>
              <w:rPr>
                <w:rFonts w:ascii="Calibri" w:eastAsia="Calibri" w:hAnsi="Calibri" w:cs="Source Sans Pro Light"/>
                <w:color w:val="000000"/>
                <w:sz w:val="18"/>
                <w:szCs w:val="18"/>
                <w:highlight w:val="yellow"/>
              </w:rPr>
            </w:pPr>
            <w:r>
              <w:rPr>
                <w:rFonts w:cstheme="minorHAnsi"/>
                <w:color w:val="000000"/>
                <w:sz w:val="18"/>
                <w:szCs w:val="18"/>
              </w:rPr>
              <w:t>years</w:t>
            </w:r>
          </w:p>
        </w:tc>
      </w:tr>
      <w:tr w:rsidR="004867CE" w:rsidRPr="004867CE" w14:paraId="4A08BEB4" w14:textId="77777777" w:rsidTr="00054954">
        <w:trPr>
          <w:trHeight w:val="220"/>
        </w:trPr>
        <w:tc>
          <w:tcPr>
            <w:tcW w:w="2268" w:type="dxa"/>
            <w:tcBorders>
              <w:top w:val="nil"/>
            </w:tcBorders>
            <w:vAlign w:val="center"/>
          </w:tcPr>
          <w:p w14:paraId="4BBAA1F6" w14:textId="348ABAEA"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BA6CFA">
              <w:rPr>
                <w:rFonts w:cs="Source Sans Pro Light"/>
                <w:color w:val="000000"/>
                <w:sz w:val="18"/>
                <w:szCs w:val="18"/>
              </w:rPr>
              <w:t>Ultimate Claim Numbers (</w:t>
            </w:r>
            <w:r w:rsidR="00773BA8" w:rsidRPr="00BA6CFA">
              <w:rPr>
                <w:rFonts w:cs="Source Sans Pro Light"/>
                <w:color w:val="000000"/>
                <w:sz w:val="18"/>
                <w:szCs w:val="18"/>
              </w:rPr>
              <w:t>20</w:t>
            </w:r>
            <w:r w:rsidR="00773BA8">
              <w:rPr>
                <w:rFonts w:cs="Source Sans Pro Light"/>
                <w:color w:val="000000"/>
                <w:sz w:val="18"/>
                <w:szCs w:val="18"/>
              </w:rPr>
              <w:t>22</w:t>
            </w:r>
            <w:r w:rsidR="00773BA8" w:rsidRPr="00BA6CFA">
              <w:rPr>
                <w:rFonts w:cs="Source Sans Pro Light"/>
                <w:color w:val="000000"/>
                <w:sz w:val="18"/>
                <w:szCs w:val="18"/>
              </w:rPr>
              <w:t>-2</w:t>
            </w:r>
            <w:r w:rsidR="00773BA8">
              <w:rPr>
                <w:rFonts w:cs="Source Sans Pro Light"/>
                <w:color w:val="000000"/>
                <w:sz w:val="18"/>
                <w:szCs w:val="18"/>
              </w:rPr>
              <w:t>3</w:t>
            </w:r>
            <w:r w:rsidRPr="00BA6CFA">
              <w:rPr>
                <w:rFonts w:cs="Source Sans Pro Light"/>
                <w:color w:val="000000"/>
                <w:sz w:val="18"/>
                <w:szCs w:val="18"/>
              </w:rPr>
              <w:t xml:space="preserve"> Insurance Year) </w:t>
            </w:r>
            <w:r w:rsidRPr="00BA6CFA">
              <w:rPr>
                <w:rFonts w:cs="Source Sans Pro Light"/>
                <w:color w:val="000000"/>
                <w:sz w:val="18"/>
                <w:szCs w:val="18"/>
                <w:vertAlign w:val="superscript"/>
              </w:rPr>
              <w:t>a</w:t>
            </w:r>
            <w:r w:rsidRPr="00BA6CFA">
              <w:rPr>
                <w:rFonts w:cs="Source Sans Pro Light"/>
                <w:color w:val="000000"/>
                <w:sz w:val="18"/>
                <w:szCs w:val="18"/>
              </w:rPr>
              <w:t xml:space="preserve"> </w:t>
            </w:r>
          </w:p>
        </w:tc>
        <w:tc>
          <w:tcPr>
            <w:tcW w:w="1134" w:type="dxa"/>
            <w:tcBorders>
              <w:top w:val="nil"/>
            </w:tcBorders>
            <w:vAlign w:val="center"/>
          </w:tcPr>
          <w:p w14:paraId="51E43AA6" w14:textId="0708CB1E"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93</w:t>
            </w:r>
          </w:p>
        </w:tc>
        <w:tc>
          <w:tcPr>
            <w:tcW w:w="1134" w:type="dxa"/>
            <w:tcBorders>
              <w:top w:val="nil"/>
            </w:tcBorders>
            <w:vAlign w:val="center"/>
          </w:tcPr>
          <w:p w14:paraId="3BAADBCE" w14:textId="74EED42B"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136</w:t>
            </w:r>
          </w:p>
        </w:tc>
        <w:tc>
          <w:tcPr>
            <w:tcW w:w="1134" w:type="dxa"/>
            <w:tcBorders>
              <w:top w:val="nil"/>
            </w:tcBorders>
            <w:vAlign w:val="center"/>
          </w:tcPr>
          <w:p w14:paraId="24BF3E16" w14:textId="1EF19518"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153</w:t>
            </w:r>
          </w:p>
        </w:tc>
        <w:tc>
          <w:tcPr>
            <w:tcW w:w="1134" w:type="dxa"/>
            <w:tcBorders>
              <w:top w:val="nil"/>
            </w:tcBorders>
            <w:vAlign w:val="center"/>
          </w:tcPr>
          <w:p w14:paraId="57BD9A12" w14:textId="31AB52A6"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0.26</w:t>
            </w:r>
          </w:p>
        </w:tc>
        <w:tc>
          <w:tcPr>
            <w:tcW w:w="1134" w:type="dxa"/>
            <w:tcBorders>
              <w:top w:val="nil"/>
            </w:tcBorders>
            <w:vAlign w:val="center"/>
          </w:tcPr>
          <w:p w14:paraId="1FCC9AB4" w14:textId="3A50B289"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0.</w:t>
            </w:r>
            <w:r w:rsidR="00773BA8" w:rsidRPr="00345122">
              <w:rPr>
                <w:rFonts w:cstheme="minorHAnsi"/>
                <w:color w:val="000000"/>
                <w:sz w:val="18"/>
                <w:szCs w:val="18"/>
              </w:rPr>
              <w:t>11</w:t>
            </w:r>
          </w:p>
        </w:tc>
        <w:tc>
          <w:tcPr>
            <w:tcW w:w="1276" w:type="dxa"/>
            <w:tcBorders>
              <w:top w:val="nil"/>
            </w:tcBorders>
            <w:vAlign w:val="center"/>
          </w:tcPr>
          <w:p w14:paraId="0757B007" w14:textId="166A4618"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11</w:t>
            </w:r>
          </w:p>
        </w:tc>
      </w:tr>
      <w:tr w:rsidR="004867CE" w:rsidRPr="004867CE" w14:paraId="221ECC4D" w14:textId="77777777" w:rsidTr="00773BA8">
        <w:trPr>
          <w:trHeight w:val="330"/>
        </w:trPr>
        <w:tc>
          <w:tcPr>
            <w:tcW w:w="2268" w:type="dxa"/>
            <w:vAlign w:val="center"/>
          </w:tcPr>
          <w:p w14:paraId="4C88E824" w14:textId="2818974A"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BA6CFA">
              <w:rPr>
                <w:rFonts w:cs="Source Sans Pro Light"/>
                <w:color w:val="000000"/>
                <w:sz w:val="18"/>
                <w:szCs w:val="18"/>
              </w:rPr>
              <w:t xml:space="preserve">Average Settlement Size </w:t>
            </w:r>
          </w:p>
        </w:tc>
        <w:tc>
          <w:tcPr>
            <w:tcW w:w="1134" w:type="dxa"/>
            <w:vAlign w:val="center"/>
          </w:tcPr>
          <w:p w14:paraId="3B3E845F" w14:textId="4A3C0149"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$83,400</w:t>
            </w:r>
            <w:r>
              <w:rPr>
                <w:rFonts w:cstheme="minorHAnsi"/>
                <w:color w:val="000000"/>
                <w:sz w:val="18"/>
                <w:szCs w:val="18"/>
              </w:rPr>
              <w:t xml:space="preserve"> </w:t>
            </w:r>
            <w:r w:rsidRPr="00DD31B5">
              <w:rPr>
                <w:rFonts w:cstheme="minorHAnsi"/>
                <w:color w:val="000000"/>
                <w:sz w:val="18"/>
                <w:szCs w:val="18"/>
                <w:vertAlign w:val="superscript"/>
              </w:rPr>
              <w:t>c</w:t>
            </w:r>
          </w:p>
        </w:tc>
        <w:tc>
          <w:tcPr>
            <w:tcW w:w="1134" w:type="dxa"/>
            <w:vAlign w:val="center"/>
          </w:tcPr>
          <w:p w14:paraId="52100983" w14:textId="77777777" w:rsidR="00773BA8" w:rsidRPr="00345122" w:rsidRDefault="00773BA8" w:rsidP="00773BA8">
            <w:pPr>
              <w:pStyle w:val="Pa21"/>
              <w:spacing w:line="240" w:lineRule="auto"/>
              <w:jc w:val="center"/>
              <w:rPr>
                <w:rFonts w:asciiTheme="minorHAnsi" w:hAnsiTheme="minorHAnsi" w:cstheme="minorHAnsi"/>
                <w:color w:val="000000"/>
                <w:sz w:val="18"/>
                <w:szCs w:val="18"/>
              </w:rPr>
            </w:pPr>
            <w:r w:rsidRPr="00345122">
              <w:rPr>
                <w:rFonts w:asciiTheme="minorHAnsi" w:hAnsiTheme="minorHAnsi" w:cstheme="minorHAnsi"/>
                <w:color w:val="000000"/>
                <w:sz w:val="18"/>
                <w:szCs w:val="18"/>
              </w:rPr>
              <w:t xml:space="preserve">$146,400 </w:t>
            </w:r>
            <w:r w:rsidRPr="00345122">
              <w:rPr>
                <w:rFonts w:asciiTheme="minorHAnsi" w:hAnsiTheme="minorHAnsi" w:cstheme="minorHAnsi"/>
                <w:color w:val="000000"/>
                <w:sz w:val="18"/>
                <w:szCs w:val="18"/>
                <w:vertAlign w:val="superscript"/>
              </w:rPr>
              <w:t>c</w:t>
            </w:r>
          </w:p>
          <w:p w14:paraId="1E82EA1B" w14:textId="4C49CA05"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and $4.</w:t>
            </w:r>
            <w:r w:rsidR="00773BA8" w:rsidRPr="00345122">
              <w:rPr>
                <w:rFonts w:cstheme="minorHAnsi"/>
                <w:color w:val="000000"/>
                <w:sz w:val="18"/>
                <w:szCs w:val="18"/>
              </w:rPr>
              <w:t>039m</w:t>
            </w:r>
            <w:r>
              <w:rPr>
                <w:rFonts w:cstheme="minorHAnsi"/>
                <w:color w:val="000000"/>
                <w:sz w:val="18"/>
                <w:szCs w:val="18"/>
              </w:rPr>
              <w:t xml:space="preserve"> </w:t>
            </w:r>
            <w:r w:rsidRPr="00DD31B5">
              <w:rPr>
                <w:rFonts w:cstheme="minorHAnsi"/>
                <w:color w:val="000000"/>
                <w:sz w:val="18"/>
                <w:szCs w:val="18"/>
                <w:vertAlign w:val="superscript"/>
              </w:rPr>
              <w:t>d</w:t>
            </w:r>
          </w:p>
        </w:tc>
        <w:tc>
          <w:tcPr>
            <w:tcW w:w="1134" w:type="dxa"/>
            <w:shd w:val="clear" w:color="auto" w:fill="auto"/>
            <w:vAlign w:val="center"/>
          </w:tcPr>
          <w:p w14:paraId="1F5BCF4C" w14:textId="0A14CB40"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w:t>
            </w:r>
            <w:r w:rsidR="00773BA8" w:rsidRPr="00345122">
              <w:rPr>
                <w:rFonts w:cstheme="minorHAnsi"/>
                <w:color w:val="000000"/>
                <w:sz w:val="18"/>
                <w:szCs w:val="18"/>
              </w:rPr>
              <w:t>368,400</w:t>
            </w:r>
            <w:r w:rsidRPr="00A33ED5">
              <w:rPr>
                <w:rFonts w:cstheme="minorHAnsi"/>
                <w:color w:val="000000"/>
                <w:sz w:val="18"/>
                <w:szCs w:val="18"/>
              </w:rPr>
              <w:t xml:space="preserve"> </w:t>
            </w:r>
            <w:r w:rsidRPr="00A33ED5">
              <w:rPr>
                <w:rFonts w:cstheme="minorHAnsi"/>
                <w:color w:val="000000"/>
                <w:sz w:val="18"/>
                <w:szCs w:val="18"/>
                <w:vertAlign w:val="superscript"/>
              </w:rPr>
              <w:t>c</w:t>
            </w:r>
            <w:r w:rsidRPr="00A33ED5">
              <w:rPr>
                <w:rFonts w:cstheme="minorHAnsi"/>
                <w:color w:val="000000"/>
                <w:sz w:val="18"/>
                <w:szCs w:val="18"/>
              </w:rPr>
              <w:br/>
              <w:t>and</w:t>
            </w:r>
            <w:r w:rsidRPr="00A33ED5">
              <w:rPr>
                <w:rFonts w:cstheme="minorHAnsi"/>
                <w:color w:val="000000"/>
                <w:sz w:val="18"/>
                <w:szCs w:val="18"/>
              </w:rPr>
              <w:br/>
              <w:t xml:space="preserve">$3.9m </w:t>
            </w:r>
            <w:r w:rsidRPr="00A33ED5">
              <w:rPr>
                <w:rFonts w:cstheme="minorHAnsi"/>
                <w:color w:val="000000"/>
                <w:sz w:val="18"/>
                <w:szCs w:val="18"/>
                <w:vertAlign w:val="superscript"/>
              </w:rPr>
              <w:t>d</w:t>
            </w:r>
          </w:p>
        </w:tc>
        <w:tc>
          <w:tcPr>
            <w:tcW w:w="1134" w:type="dxa"/>
            <w:shd w:val="clear" w:color="auto" w:fill="auto"/>
            <w:vAlign w:val="center"/>
          </w:tcPr>
          <w:p w14:paraId="202C6702" w14:textId="7A2259BB"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$83,</w:t>
            </w:r>
            <w:r w:rsidR="00773BA8" w:rsidRPr="00345122">
              <w:rPr>
                <w:rFonts w:cstheme="minorHAnsi"/>
                <w:color w:val="000000"/>
                <w:sz w:val="18"/>
                <w:szCs w:val="18"/>
              </w:rPr>
              <w:t>000</w:t>
            </w:r>
            <w:r w:rsidRPr="00A33ED5">
              <w:rPr>
                <w:rFonts w:cstheme="minorHAnsi"/>
                <w:color w:val="000000"/>
                <w:sz w:val="18"/>
                <w:szCs w:val="18"/>
                <w:vertAlign w:val="superscript"/>
              </w:rPr>
              <w:t xml:space="preserve"> c</w:t>
            </w:r>
          </w:p>
        </w:tc>
        <w:tc>
          <w:tcPr>
            <w:tcW w:w="1134" w:type="dxa"/>
            <w:shd w:val="clear" w:color="auto" w:fill="auto"/>
            <w:vAlign w:val="center"/>
          </w:tcPr>
          <w:p w14:paraId="62788DBE" w14:textId="36E646E9"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$ 150,000</w:t>
            </w:r>
            <w:r w:rsidRPr="00A33ED5">
              <w:rPr>
                <w:rFonts w:cstheme="minorHAnsi"/>
                <w:color w:val="000000"/>
                <w:sz w:val="18"/>
                <w:szCs w:val="18"/>
                <w:vertAlign w:val="superscript"/>
              </w:rPr>
              <w:t xml:space="preserve"> c</w:t>
            </w:r>
          </w:p>
        </w:tc>
        <w:tc>
          <w:tcPr>
            <w:tcW w:w="1276" w:type="dxa"/>
            <w:shd w:val="clear" w:color="auto" w:fill="auto"/>
            <w:vAlign w:val="center"/>
          </w:tcPr>
          <w:p w14:paraId="45E29FF1" w14:textId="66075381"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 xml:space="preserve">$96,600 </w:t>
            </w:r>
            <w:r w:rsidRPr="00345122">
              <w:rPr>
                <w:rFonts w:cstheme="minorHAnsi"/>
                <w:color w:val="000000"/>
                <w:sz w:val="18"/>
                <w:szCs w:val="18"/>
                <w:vertAlign w:val="superscript"/>
              </w:rPr>
              <w:t>c</w:t>
            </w:r>
          </w:p>
        </w:tc>
      </w:tr>
      <w:tr w:rsidR="004867CE" w:rsidRPr="004867CE" w14:paraId="7820E6FE" w14:textId="77777777" w:rsidTr="00323290">
        <w:trPr>
          <w:trHeight w:val="110"/>
        </w:trPr>
        <w:tc>
          <w:tcPr>
            <w:tcW w:w="2268" w:type="dxa"/>
            <w:vAlign w:val="center"/>
          </w:tcPr>
          <w:p w14:paraId="12906118" w14:textId="32C9D17B"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BA6CFA">
              <w:rPr>
                <w:rFonts w:cs="Source Sans Pro Light"/>
                <w:color w:val="000000"/>
                <w:sz w:val="18"/>
                <w:szCs w:val="18"/>
              </w:rPr>
              <w:t xml:space="preserve">Expense Rate </w:t>
            </w:r>
          </w:p>
        </w:tc>
        <w:tc>
          <w:tcPr>
            <w:tcW w:w="1134" w:type="dxa"/>
            <w:vAlign w:val="center"/>
          </w:tcPr>
          <w:p w14:paraId="47E99542" w14:textId="651073F8"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c>
          <w:tcPr>
            <w:tcW w:w="1134" w:type="dxa"/>
          </w:tcPr>
          <w:p w14:paraId="670FE003" w14:textId="34E6E144"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c>
          <w:tcPr>
            <w:tcW w:w="1134" w:type="dxa"/>
          </w:tcPr>
          <w:p w14:paraId="6711C787" w14:textId="365DBF57"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c>
          <w:tcPr>
            <w:tcW w:w="1134" w:type="dxa"/>
          </w:tcPr>
          <w:p w14:paraId="30206A39" w14:textId="2E06E0EE"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c>
          <w:tcPr>
            <w:tcW w:w="1134" w:type="dxa"/>
          </w:tcPr>
          <w:p w14:paraId="6697E0ED" w14:textId="02A97718"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c>
          <w:tcPr>
            <w:tcW w:w="1276" w:type="dxa"/>
          </w:tcPr>
          <w:p w14:paraId="6B9CC43A" w14:textId="56C44B43"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10%</w:t>
            </w:r>
          </w:p>
        </w:tc>
      </w:tr>
      <w:tr w:rsidR="004867CE" w:rsidRPr="004867CE" w14:paraId="2D10C4CD" w14:textId="77777777" w:rsidTr="00054954">
        <w:trPr>
          <w:trHeight w:val="110"/>
        </w:trPr>
        <w:tc>
          <w:tcPr>
            <w:tcW w:w="2268" w:type="dxa"/>
            <w:tcBorders>
              <w:bottom w:val="nil"/>
            </w:tcBorders>
            <w:vAlign w:val="center"/>
          </w:tcPr>
          <w:p w14:paraId="214A9D47" w14:textId="5A0D9E1F"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rPr>
            </w:pPr>
            <w:r w:rsidRPr="00BA6CFA">
              <w:rPr>
                <w:rFonts w:cs="Source Sans Pro Light"/>
                <w:color w:val="000000"/>
                <w:sz w:val="18"/>
                <w:szCs w:val="18"/>
              </w:rPr>
              <w:t xml:space="preserve">Discount Rate </w:t>
            </w:r>
            <w:r w:rsidRPr="00BA6CFA">
              <w:rPr>
                <w:rFonts w:cs="Source Sans Pro Light"/>
                <w:color w:val="000000"/>
                <w:sz w:val="18"/>
                <w:szCs w:val="18"/>
                <w:vertAlign w:val="superscript"/>
              </w:rPr>
              <w:t>b</w:t>
            </w:r>
          </w:p>
        </w:tc>
        <w:tc>
          <w:tcPr>
            <w:tcW w:w="1134" w:type="dxa"/>
            <w:tcBorders>
              <w:bottom w:val="nil"/>
            </w:tcBorders>
            <w:vAlign w:val="center"/>
          </w:tcPr>
          <w:p w14:paraId="46808223" w14:textId="2F68D36D"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w:t>
            </w:r>
            <w:r w:rsidR="004867CE" w:rsidRPr="00A33ED5">
              <w:rPr>
                <w:rFonts w:cstheme="minorHAnsi"/>
                <w:color w:val="000000"/>
                <w:sz w:val="18"/>
                <w:szCs w:val="18"/>
              </w:rPr>
              <w:t>3%</w:t>
            </w:r>
          </w:p>
        </w:tc>
        <w:tc>
          <w:tcPr>
            <w:tcW w:w="1134" w:type="dxa"/>
            <w:tcBorders>
              <w:bottom w:val="nil"/>
            </w:tcBorders>
            <w:vAlign w:val="center"/>
          </w:tcPr>
          <w:p w14:paraId="4B0D4E48" w14:textId="52A1258D"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4.4</w:t>
            </w:r>
            <w:r w:rsidR="004867CE" w:rsidRPr="00A33ED5">
              <w:rPr>
                <w:rFonts w:cstheme="minorHAnsi"/>
                <w:color w:val="000000"/>
                <w:sz w:val="18"/>
                <w:szCs w:val="18"/>
              </w:rPr>
              <w:t>%</w:t>
            </w:r>
          </w:p>
        </w:tc>
        <w:tc>
          <w:tcPr>
            <w:tcW w:w="1134" w:type="dxa"/>
            <w:tcBorders>
              <w:bottom w:val="nil"/>
            </w:tcBorders>
            <w:vAlign w:val="center"/>
          </w:tcPr>
          <w:p w14:paraId="58810AA1" w14:textId="752FF71A"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w:t>
            </w:r>
            <w:r w:rsidR="004867CE" w:rsidRPr="00A33ED5">
              <w:rPr>
                <w:rFonts w:cstheme="minorHAnsi"/>
                <w:color w:val="000000"/>
                <w:sz w:val="18"/>
                <w:szCs w:val="18"/>
              </w:rPr>
              <w:t>3%</w:t>
            </w:r>
          </w:p>
        </w:tc>
        <w:tc>
          <w:tcPr>
            <w:tcW w:w="1134" w:type="dxa"/>
            <w:tcBorders>
              <w:bottom w:val="nil"/>
            </w:tcBorders>
            <w:vAlign w:val="center"/>
          </w:tcPr>
          <w:p w14:paraId="6981A099" w14:textId="27451250"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4.4</w:t>
            </w:r>
            <w:r w:rsidR="004867CE" w:rsidRPr="00A33ED5">
              <w:rPr>
                <w:rFonts w:cstheme="minorHAnsi"/>
                <w:color w:val="000000"/>
                <w:sz w:val="18"/>
                <w:szCs w:val="18"/>
              </w:rPr>
              <w:t>%</w:t>
            </w:r>
          </w:p>
        </w:tc>
        <w:tc>
          <w:tcPr>
            <w:tcW w:w="1134" w:type="dxa"/>
            <w:tcBorders>
              <w:bottom w:val="nil"/>
            </w:tcBorders>
            <w:vAlign w:val="center"/>
          </w:tcPr>
          <w:p w14:paraId="2CFAECD1" w14:textId="60F4D853"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4.2</w:t>
            </w:r>
            <w:r w:rsidR="004867CE" w:rsidRPr="00A33ED5">
              <w:rPr>
                <w:rFonts w:cstheme="minorHAnsi"/>
                <w:color w:val="000000"/>
                <w:sz w:val="18"/>
                <w:szCs w:val="18"/>
              </w:rPr>
              <w:t>%</w:t>
            </w:r>
          </w:p>
        </w:tc>
        <w:tc>
          <w:tcPr>
            <w:tcW w:w="1276" w:type="dxa"/>
            <w:tcBorders>
              <w:bottom w:val="nil"/>
            </w:tcBorders>
            <w:vAlign w:val="center"/>
          </w:tcPr>
          <w:p w14:paraId="315BE299" w14:textId="44ADE83E" w:rsidR="004867CE" w:rsidRPr="00491E13" w:rsidRDefault="00773BA8"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345122">
              <w:rPr>
                <w:rFonts w:cstheme="minorHAnsi"/>
                <w:color w:val="000000"/>
                <w:sz w:val="18"/>
                <w:szCs w:val="18"/>
              </w:rPr>
              <w:t>4.</w:t>
            </w:r>
            <w:r w:rsidR="004867CE" w:rsidRPr="00A33ED5">
              <w:rPr>
                <w:rFonts w:cstheme="minorHAnsi"/>
                <w:color w:val="000000"/>
                <w:sz w:val="18"/>
                <w:szCs w:val="18"/>
              </w:rPr>
              <w:t>3%</w:t>
            </w:r>
          </w:p>
        </w:tc>
      </w:tr>
      <w:tr w:rsidR="004867CE" w:rsidRPr="004867CE" w14:paraId="6ACFDCD9" w14:textId="77777777" w:rsidTr="00054954">
        <w:trPr>
          <w:trHeight w:val="220"/>
        </w:trPr>
        <w:tc>
          <w:tcPr>
            <w:tcW w:w="2268" w:type="dxa"/>
            <w:tcBorders>
              <w:top w:val="nil"/>
              <w:bottom w:val="single" w:sz="12" w:space="0" w:color="492581" w:themeColor="accent1"/>
            </w:tcBorders>
            <w:vAlign w:val="center"/>
          </w:tcPr>
          <w:p w14:paraId="775AAF4E" w14:textId="21B8FB55" w:rsidR="004867CE" w:rsidRPr="004867CE" w:rsidRDefault="004867CE" w:rsidP="004867CE">
            <w:pPr>
              <w:autoSpaceDE w:val="0"/>
              <w:autoSpaceDN w:val="0"/>
              <w:adjustRightInd w:val="0"/>
              <w:spacing w:before="100" w:after="100" w:line="240" w:lineRule="auto"/>
              <w:rPr>
                <w:rFonts w:ascii="Calibri" w:eastAsia="Calibri" w:hAnsi="Calibri" w:cs="Source Sans Pro Light"/>
                <w:color w:val="000000"/>
                <w:sz w:val="18"/>
                <w:szCs w:val="18"/>
                <w:vertAlign w:val="superscript"/>
              </w:rPr>
            </w:pPr>
            <w:r w:rsidRPr="00BA6CFA">
              <w:rPr>
                <w:rFonts w:cs="Source Sans Pro Light"/>
                <w:color w:val="000000"/>
                <w:sz w:val="18"/>
                <w:szCs w:val="18"/>
              </w:rPr>
              <w:t>Inflation and</w:t>
            </w:r>
            <w:r w:rsidRPr="00BA6CFA">
              <w:rPr>
                <w:rFonts w:cs="Source Sans Pro Light"/>
                <w:color w:val="000000"/>
                <w:sz w:val="18"/>
                <w:szCs w:val="18"/>
              </w:rPr>
              <w:br/>
              <w:t xml:space="preserve">Superimposed Inflation </w:t>
            </w:r>
            <w:r w:rsidRPr="00BA6CFA">
              <w:rPr>
                <w:rFonts w:cs="Source Sans Pro Light"/>
                <w:color w:val="000000"/>
                <w:sz w:val="18"/>
                <w:szCs w:val="18"/>
                <w:vertAlign w:val="superscript"/>
              </w:rPr>
              <w:t>b</w:t>
            </w:r>
          </w:p>
        </w:tc>
        <w:tc>
          <w:tcPr>
            <w:tcW w:w="1134" w:type="dxa"/>
            <w:tcBorders>
              <w:top w:val="nil"/>
              <w:bottom w:val="single" w:sz="12" w:space="0" w:color="492581" w:themeColor="accent1"/>
            </w:tcBorders>
            <w:vAlign w:val="center"/>
          </w:tcPr>
          <w:p w14:paraId="6D04446F" w14:textId="0F21A295"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7</w:t>
            </w:r>
            <w:r w:rsidRPr="00A33ED5">
              <w:rPr>
                <w:rFonts w:cstheme="minorHAnsi"/>
                <w:color w:val="000000"/>
                <w:sz w:val="18"/>
                <w:szCs w:val="18"/>
              </w:rPr>
              <w:t>%</w:t>
            </w:r>
          </w:p>
        </w:tc>
        <w:tc>
          <w:tcPr>
            <w:tcW w:w="1134" w:type="dxa"/>
            <w:tcBorders>
              <w:top w:val="nil"/>
              <w:bottom w:val="single" w:sz="12" w:space="0" w:color="492581" w:themeColor="accent1"/>
            </w:tcBorders>
            <w:vAlign w:val="center"/>
          </w:tcPr>
          <w:p w14:paraId="57C25554" w14:textId="3CFB33B7"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8</w:t>
            </w:r>
            <w:r w:rsidRPr="00A33ED5">
              <w:rPr>
                <w:rFonts w:cstheme="minorHAnsi"/>
                <w:color w:val="000000"/>
                <w:sz w:val="18"/>
                <w:szCs w:val="18"/>
              </w:rPr>
              <w:t>%</w:t>
            </w:r>
          </w:p>
        </w:tc>
        <w:tc>
          <w:tcPr>
            <w:tcW w:w="1134" w:type="dxa"/>
            <w:tcBorders>
              <w:top w:val="nil"/>
              <w:bottom w:val="single" w:sz="12" w:space="0" w:color="492581" w:themeColor="accent1"/>
            </w:tcBorders>
            <w:vAlign w:val="center"/>
          </w:tcPr>
          <w:p w14:paraId="55504CDC" w14:textId="5573BACC"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8</w:t>
            </w:r>
            <w:r w:rsidRPr="00A33ED5">
              <w:rPr>
                <w:rFonts w:cstheme="minorHAnsi"/>
                <w:color w:val="000000"/>
                <w:sz w:val="18"/>
                <w:szCs w:val="18"/>
              </w:rPr>
              <w:t>%</w:t>
            </w:r>
          </w:p>
        </w:tc>
        <w:tc>
          <w:tcPr>
            <w:tcW w:w="1134" w:type="dxa"/>
            <w:tcBorders>
              <w:top w:val="nil"/>
              <w:bottom w:val="single" w:sz="12" w:space="0" w:color="492581" w:themeColor="accent1"/>
            </w:tcBorders>
            <w:vAlign w:val="center"/>
          </w:tcPr>
          <w:p w14:paraId="04A1697E" w14:textId="3B7AF444"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9</w:t>
            </w:r>
            <w:r w:rsidRPr="00A33ED5">
              <w:rPr>
                <w:rFonts w:cstheme="minorHAnsi"/>
                <w:color w:val="000000"/>
                <w:sz w:val="18"/>
                <w:szCs w:val="18"/>
              </w:rPr>
              <w:t>%</w:t>
            </w:r>
          </w:p>
        </w:tc>
        <w:tc>
          <w:tcPr>
            <w:tcW w:w="1134" w:type="dxa"/>
            <w:tcBorders>
              <w:top w:val="nil"/>
              <w:bottom w:val="single" w:sz="12" w:space="0" w:color="492581" w:themeColor="accent1"/>
            </w:tcBorders>
            <w:vAlign w:val="center"/>
          </w:tcPr>
          <w:p w14:paraId="3F58CAE2" w14:textId="646A7380"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6</w:t>
            </w:r>
            <w:r w:rsidRPr="00A33ED5">
              <w:rPr>
                <w:rFonts w:cstheme="minorHAnsi"/>
                <w:color w:val="000000"/>
                <w:sz w:val="18"/>
                <w:szCs w:val="18"/>
              </w:rPr>
              <w:t>%</w:t>
            </w:r>
          </w:p>
        </w:tc>
        <w:tc>
          <w:tcPr>
            <w:tcW w:w="1276" w:type="dxa"/>
            <w:tcBorders>
              <w:top w:val="nil"/>
              <w:bottom w:val="single" w:sz="12" w:space="0" w:color="492581" w:themeColor="accent1"/>
            </w:tcBorders>
            <w:vAlign w:val="center"/>
          </w:tcPr>
          <w:p w14:paraId="4C6C1E36" w14:textId="76F719C5" w:rsidR="004867CE" w:rsidRPr="00491E13" w:rsidRDefault="004867CE" w:rsidP="004867CE">
            <w:pPr>
              <w:autoSpaceDE w:val="0"/>
              <w:autoSpaceDN w:val="0"/>
              <w:adjustRightInd w:val="0"/>
              <w:spacing w:before="100" w:after="100" w:line="240" w:lineRule="auto"/>
              <w:jc w:val="center"/>
              <w:rPr>
                <w:rFonts w:ascii="Calibri" w:eastAsia="Calibri" w:hAnsi="Calibri" w:cs="Source Sans Pro Light"/>
                <w:color w:val="000000"/>
                <w:sz w:val="18"/>
                <w:szCs w:val="18"/>
                <w:highlight w:val="yellow"/>
              </w:rPr>
            </w:pPr>
            <w:r w:rsidRPr="00A33ED5">
              <w:rPr>
                <w:rFonts w:cstheme="minorHAnsi"/>
                <w:color w:val="000000"/>
                <w:sz w:val="18"/>
                <w:szCs w:val="18"/>
              </w:rPr>
              <w:t>3.</w:t>
            </w:r>
            <w:r w:rsidR="00773BA8" w:rsidRPr="00345122">
              <w:rPr>
                <w:rFonts w:cstheme="minorHAnsi"/>
                <w:color w:val="000000"/>
                <w:sz w:val="18"/>
                <w:szCs w:val="18"/>
              </w:rPr>
              <w:t>8</w:t>
            </w:r>
            <w:r w:rsidRPr="00A33ED5">
              <w:rPr>
                <w:rFonts w:cstheme="minorHAnsi"/>
                <w:color w:val="000000"/>
                <w:sz w:val="18"/>
                <w:szCs w:val="18"/>
              </w:rPr>
              <w:t>%</w:t>
            </w:r>
          </w:p>
        </w:tc>
      </w:tr>
    </w:tbl>
    <w:p w14:paraId="0C6F0D58" w14:textId="77777777" w:rsidR="00D73171" w:rsidRPr="00E736CA" w:rsidRDefault="00D73171" w:rsidP="007B66D6">
      <w:pPr>
        <w:autoSpaceDE w:val="0"/>
        <w:autoSpaceDN w:val="0"/>
        <w:adjustRightInd w:val="0"/>
        <w:spacing w:before="120" w:after="60" w:line="240" w:lineRule="auto"/>
        <w:rPr>
          <w:rFonts w:cs="Source Sans Pro Light"/>
          <w:i/>
          <w:color w:val="000000"/>
          <w:sz w:val="17"/>
          <w:szCs w:val="17"/>
        </w:rPr>
      </w:pPr>
      <w:r w:rsidRPr="00E736CA">
        <w:rPr>
          <w:rFonts w:cs="Source Sans Pro Light"/>
          <w:i/>
          <w:color w:val="000000"/>
          <w:sz w:val="17"/>
          <w:szCs w:val="17"/>
          <w:vertAlign w:val="superscript"/>
        </w:rPr>
        <w:t xml:space="preserve">a </w:t>
      </w:r>
      <w:r w:rsidRPr="00E736CA">
        <w:rPr>
          <w:rFonts w:cs="Source Sans Pro Light"/>
          <w:i/>
          <w:color w:val="000000"/>
          <w:sz w:val="17"/>
          <w:szCs w:val="17"/>
        </w:rPr>
        <w:t xml:space="preserve">Ultimate claims reported are the assumed number of claims incurred in the insurance year. </w:t>
      </w:r>
    </w:p>
    <w:p w14:paraId="1B5FB253" w14:textId="77777777" w:rsidR="00D73171" w:rsidRPr="00E736CA" w:rsidRDefault="00D73171" w:rsidP="007B66D6">
      <w:pPr>
        <w:autoSpaceDE w:val="0"/>
        <w:autoSpaceDN w:val="0"/>
        <w:adjustRightInd w:val="0"/>
        <w:spacing w:after="60" w:line="240" w:lineRule="auto"/>
        <w:ind w:left="147" w:hanging="147"/>
        <w:rPr>
          <w:rFonts w:cs="Source Sans Pro Light"/>
          <w:i/>
          <w:color w:val="000000"/>
          <w:sz w:val="17"/>
          <w:szCs w:val="17"/>
        </w:rPr>
      </w:pPr>
      <w:r w:rsidRPr="00E736CA">
        <w:rPr>
          <w:rFonts w:cs="Source Sans Pro Light"/>
          <w:i/>
          <w:color w:val="000000"/>
          <w:sz w:val="17"/>
          <w:szCs w:val="17"/>
          <w:vertAlign w:val="superscript"/>
        </w:rPr>
        <w:t xml:space="preserve">b </w:t>
      </w:r>
      <w:r w:rsidRPr="00E736CA">
        <w:rPr>
          <w:rFonts w:cs="Source Sans Pro Light"/>
          <w:i/>
          <w:color w:val="000000"/>
          <w:sz w:val="17"/>
          <w:szCs w:val="17"/>
        </w:rPr>
        <w:t xml:space="preserve">Discount and inflation rates are calculated for each insurance class based on the payment pattern and the discount/inflation rate at the corresponding </w:t>
      </w:r>
      <w:proofErr w:type="gramStart"/>
      <w:r w:rsidRPr="00E736CA">
        <w:rPr>
          <w:rFonts w:cs="Source Sans Pro Light"/>
          <w:i/>
          <w:color w:val="000000"/>
          <w:sz w:val="17"/>
          <w:szCs w:val="17"/>
        </w:rPr>
        <w:t>period of time</w:t>
      </w:r>
      <w:proofErr w:type="gramEnd"/>
      <w:r w:rsidRPr="00E736CA">
        <w:rPr>
          <w:rFonts w:cs="Source Sans Pro Light"/>
          <w:i/>
          <w:color w:val="000000"/>
          <w:sz w:val="17"/>
          <w:szCs w:val="17"/>
        </w:rPr>
        <w:t>.</w:t>
      </w:r>
    </w:p>
    <w:p w14:paraId="4148ED53" w14:textId="77777777" w:rsidR="00D73171" w:rsidRPr="00E736CA" w:rsidRDefault="00D73171" w:rsidP="007B66D6">
      <w:pPr>
        <w:autoSpaceDE w:val="0"/>
        <w:autoSpaceDN w:val="0"/>
        <w:adjustRightInd w:val="0"/>
        <w:spacing w:after="60" w:line="240" w:lineRule="auto"/>
        <w:rPr>
          <w:rFonts w:cs="Source Sans Pro Light"/>
          <w:i/>
          <w:color w:val="000000"/>
          <w:sz w:val="17"/>
          <w:szCs w:val="17"/>
        </w:rPr>
      </w:pPr>
      <w:r w:rsidRPr="00E736CA">
        <w:rPr>
          <w:rFonts w:cs="Source Sans Pro Light"/>
          <w:i/>
          <w:color w:val="000000"/>
          <w:sz w:val="17"/>
          <w:szCs w:val="17"/>
          <w:vertAlign w:val="superscript"/>
        </w:rPr>
        <w:t xml:space="preserve">c </w:t>
      </w:r>
      <w:r w:rsidRPr="00E736CA">
        <w:rPr>
          <w:rFonts w:cs="Source Sans Pro Light"/>
          <w:i/>
          <w:color w:val="000000"/>
          <w:sz w:val="17"/>
          <w:szCs w:val="17"/>
        </w:rPr>
        <w:t>The adopted average claim size for small claims has a total cost up to $1 million.</w:t>
      </w:r>
    </w:p>
    <w:p w14:paraId="25C55475" w14:textId="77777777" w:rsidR="00D73171" w:rsidRPr="00E736CA" w:rsidRDefault="00D73171" w:rsidP="007B66D6">
      <w:pPr>
        <w:pBdr>
          <w:bottom w:val="single" w:sz="12" w:space="1" w:color="492581" w:themeColor="accent1"/>
        </w:pBdr>
        <w:autoSpaceDE w:val="0"/>
        <w:autoSpaceDN w:val="0"/>
        <w:adjustRightInd w:val="0"/>
        <w:spacing w:after="60" w:line="240" w:lineRule="auto"/>
        <w:rPr>
          <w:rFonts w:cs="Source Sans Pro Light"/>
          <w:i/>
          <w:color w:val="000000"/>
          <w:sz w:val="17"/>
          <w:szCs w:val="17"/>
        </w:rPr>
      </w:pPr>
      <w:r w:rsidRPr="00E736CA">
        <w:rPr>
          <w:rFonts w:cs="Source Sans Pro Light"/>
          <w:i/>
          <w:color w:val="000000"/>
          <w:sz w:val="17"/>
          <w:szCs w:val="17"/>
          <w:vertAlign w:val="superscript"/>
        </w:rPr>
        <w:t xml:space="preserve">d </w:t>
      </w:r>
      <w:r w:rsidRPr="00E736CA">
        <w:rPr>
          <w:rFonts w:cs="Source Sans Pro Light"/>
          <w:i/>
          <w:color w:val="000000"/>
          <w:sz w:val="17"/>
          <w:szCs w:val="17"/>
        </w:rPr>
        <w:t>The adopted average claim size for large claims has a total cost of $1 million or greater</w:t>
      </w:r>
      <w:r w:rsidRPr="00E736CA">
        <w:rPr>
          <w:rFonts w:cs="Source Sans Pro Light"/>
          <w:color w:val="000000"/>
          <w:sz w:val="17"/>
          <w:szCs w:val="17"/>
        </w:rPr>
        <w:t>.</w:t>
      </w:r>
    </w:p>
    <w:p w14:paraId="0FDE4EA9" w14:textId="77777777" w:rsidR="00DA2EE6" w:rsidRPr="00DA2EE6" w:rsidRDefault="00DA2EE6" w:rsidP="00DA2EE6">
      <w:pPr>
        <w:autoSpaceDE w:val="0"/>
        <w:autoSpaceDN w:val="0"/>
        <w:adjustRightInd w:val="0"/>
        <w:spacing w:after="137" w:line="240" w:lineRule="auto"/>
        <w:outlineLvl w:val="0"/>
        <w:rPr>
          <w:rFonts w:ascii="Calibri" w:eastAsia="Calibri" w:hAnsi="Calibri" w:cs="Montserrat Semi Bold"/>
          <w:b/>
          <w:bCs/>
          <w:color w:val="000000"/>
          <w:sz w:val="30"/>
          <w:szCs w:val="30"/>
        </w:rPr>
      </w:pPr>
      <w:bookmarkStart w:id="87" w:name="_Hlk46475843"/>
      <w:r w:rsidRPr="00DA2EE6">
        <w:rPr>
          <w:rFonts w:ascii="Calibri" w:eastAsia="Calibri" w:hAnsi="Calibri" w:cs="Montserrat Semi Bold"/>
          <w:b/>
          <w:bCs/>
          <w:color w:val="000000"/>
          <w:sz w:val="30"/>
          <w:szCs w:val="30"/>
        </w:rPr>
        <w:lastRenderedPageBreak/>
        <w:t>NOTE 1</w:t>
      </w:r>
      <w:r w:rsidR="00C82769">
        <w:rPr>
          <w:rFonts w:ascii="Calibri" w:eastAsia="Calibri" w:hAnsi="Calibri" w:cs="Montserrat Semi Bold"/>
          <w:b/>
          <w:bCs/>
          <w:color w:val="000000"/>
          <w:sz w:val="30"/>
          <w:szCs w:val="30"/>
        </w:rPr>
        <w:t>5</w:t>
      </w:r>
      <w:r w:rsidRPr="00DA2EE6">
        <w:rPr>
          <w:rFonts w:ascii="Calibri" w:eastAsia="Calibri" w:hAnsi="Calibri" w:cs="Montserrat Semi Bold"/>
          <w:b/>
          <w:bCs/>
          <w:color w:val="000000"/>
          <w:sz w:val="30"/>
          <w:szCs w:val="30"/>
        </w:rPr>
        <w:t>. OUTSTANDING CLAIMS - CONTINUED</w:t>
      </w:r>
    </w:p>
    <w:p w14:paraId="7CD0ED1C" w14:textId="77777777" w:rsidR="00EA1722" w:rsidRPr="004423A2" w:rsidRDefault="00EA1722" w:rsidP="00EA1722">
      <w:pPr>
        <w:pStyle w:val="Pa11"/>
        <w:spacing w:before="40" w:after="100"/>
        <w:rPr>
          <w:rFonts w:asciiTheme="minorHAnsi" w:hAnsiTheme="minorHAnsi" w:cs="Montserrat Semi Bold"/>
          <w:b/>
          <w:bCs/>
          <w:color w:val="000000"/>
          <w:sz w:val="26"/>
          <w:szCs w:val="26"/>
        </w:rPr>
      </w:pPr>
      <w:r w:rsidRPr="004423A2">
        <w:rPr>
          <w:rFonts w:asciiTheme="minorHAnsi" w:hAnsiTheme="minorHAnsi" w:cs="Montserrat Semi Bold"/>
          <w:b/>
          <w:bCs/>
          <w:color w:val="000000"/>
          <w:sz w:val="26"/>
          <w:szCs w:val="26"/>
        </w:rPr>
        <w:t xml:space="preserve">Process used to determine assumptions </w:t>
      </w:r>
    </w:p>
    <w:p w14:paraId="76254A3F" w14:textId="65BD336F" w:rsidR="00DA2EE6" w:rsidRPr="00793CE3" w:rsidRDefault="00DA2EE6" w:rsidP="00EA1722">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Discounted mean term</w:t>
      </w:r>
    </w:p>
    <w:p w14:paraId="0F9E557D" w14:textId="77777777" w:rsidR="00DA2EE6" w:rsidRPr="008A11DA" w:rsidRDefault="00DA2EE6" w:rsidP="00EA1722">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discounted mean term </w:t>
      </w:r>
      <w:r>
        <w:rPr>
          <w:rFonts w:asciiTheme="minorHAnsi" w:hAnsiTheme="minorHAnsi" w:cs="Source Sans Pro Light"/>
          <w:color w:val="000000"/>
          <w:sz w:val="22"/>
          <w:szCs w:val="22"/>
        </w:rPr>
        <w:t xml:space="preserve">is the number of years taken </w:t>
      </w:r>
      <w:r w:rsidRPr="008A11DA">
        <w:rPr>
          <w:rFonts w:asciiTheme="minorHAnsi" w:hAnsiTheme="minorHAnsi" w:cs="Source Sans Pro Light"/>
          <w:color w:val="000000"/>
          <w:sz w:val="22"/>
          <w:szCs w:val="22"/>
        </w:rPr>
        <w:t xml:space="preserve">to </w:t>
      </w:r>
      <w:r>
        <w:rPr>
          <w:rFonts w:asciiTheme="minorHAnsi" w:hAnsiTheme="minorHAnsi" w:cs="Source Sans Pro Light"/>
          <w:color w:val="000000"/>
          <w:sz w:val="22"/>
          <w:szCs w:val="22"/>
        </w:rPr>
        <w:t xml:space="preserve">finalise claims </w:t>
      </w:r>
      <w:r w:rsidRPr="008A11DA">
        <w:rPr>
          <w:rFonts w:asciiTheme="minorHAnsi" w:hAnsiTheme="minorHAnsi" w:cs="Source Sans Pro Light"/>
          <w:color w:val="000000"/>
          <w:sz w:val="22"/>
          <w:szCs w:val="22"/>
        </w:rPr>
        <w:t xml:space="preserve">settlement </w:t>
      </w:r>
      <w:r>
        <w:rPr>
          <w:rFonts w:asciiTheme="minorHAnsi" w:hAnsiTheme="minorHAnsi" w:cs="Source Sans Pro Light"/>
          <w:color w:val="000000"/>
          <w:sz w:val="22"/>
          <w:szCs w:val="22"/>
        </w:rPr>
        <w:t xml:space="preserve">and </w:t>
      </w:r>
      <w:r w:rsidRPr="008A11DA">
        <w:rPr>
          <w:rFonts w:asciiTheme="minorHAnsi" w:hAnsiTheme="minorHAnsi" w:cs="Source Sans Pro Light"/>
          <w:color w:val="000000"/>
          <w:sz w:val="22"/>
          <w:szCs w:val="22"/>
        </w:rPr>
        <w:t>is calculated separately by class of insurance based on historic settlement patterns. A decrease in the discounted mean term to settlement would lead to more claims being paid sooner than anticipated. A change in the discounted mean term can cause an increase or a decrease in claims expense, depending on the interaction between the discount and interest rates.</w:t>
      </w:r>
    </w:p>
    <w:p w14:paraId="484266F7" w14:textId="77777777" w:rsidR="00DA2EE6" w:rsidRPr="00793CE3" w:rsidRDefault="00DA2EE6" w:rsidP="00EA1722">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Ultimate claim numbers </w:t>
      </w:r>
    </w:p>
    <w:p w14:paraId="3674E14E" w14:textId="77777777" w:rsidR="00DA2EE6" w:rsidRPr="008A11DA" w:rsidRDefault="00DA2EE6" w:rsidP="00EA1722">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ultimate number of claims for each insurance class is the estimated total number of claims expected to emerge from each insurance year. The ultimate number of claims is estimated by analysing historical claim reporting rates and applying them to the observed claims reported to date </w:t>
      </w:r>
      <w:proofErr w:type="gramStart"/>
      <w:r w:rsidRPr="008A11DA">
        <w:rPr>
          <w:rFonts w:asciiTheme="minorHAnsi" w:hAnsiTheme="minorHAnsi" w:cs="Source Sans Pro Light"/>
          <w:color w:val="000000"/>
          <w:sz w:val="22"/>
          <w:szCs w:val="22"/>
        </w:rPr>
        <w:t>in order to</w:t>
      </w:r>
      <w:proofErr w:type="gramEnd"/>
      <w:r w:rsidRPr="008A11DA">
        <w:rPr>
          <w:rFonts w:asciiTheme="minorHAnsi" w:hAnsiTheme="minorHAnsi" w:cs="Source Sans Pro Light"/>
          <w:color w:val="000000"/>
          <w:sz w:val="22"/>
          <w:szCs w:val="22"/>
        </w:rPr>
        <w:t xml:space="preserve"> project the timing and number of future claims reported. All else being equal, an increase in the ultimate number of claims will increase the liability. </w:t>
      </w:r>
    </w:p>
    <w:p w14:paraId="3CF4436E" w14:textId="77777777" w:rsidR="00DA2EE6" w:rsidRPr="00793CE3" w:rsidRDefault="00DA2EE6" w:rsidP="00EA1722">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Average settlement size </w:t>
      </w:r>
    </w:p>
    <w:p w14:paraId="01CBA17D" w14:textId="77777777" w:rsidR="00DA2EE6" w:rsidRPr="008A11DA" w:rsidRDefault="00DA2EE6" w:rsidP="00EA1722">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average settlement size is based on past claims experience. For public liability and medical malpractice classes the incidence of large claims is greater and therefore their average size for small and large claims are shown separately. </w:t>
      </w:r>
    </w:p>
    <w:p w14:paraId="7BFEF9AB" w14:textId="77777777" w:rsidR="00DA2EE6" w:rsidRPr="00793CE3" w:rsidRDefault="00DA2EE6" w:rsidP="00EA1722">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Expense rate </w:t>
      </w:r>
    </w:p>
    <w:p w14:paraId="7FBD1D57" w14:textId="77777777" w:rsidR="00DA2EE6" w:rsidRPr="008A11DA" w:rsidRDefault="00DA2EE6" w:rsidP="00EA1722">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Claims handling expenses were calculated based on an assumed proportion of claims handling costs as a percentage of past payments. An estimate for the internal costs of handling claims is included in the outstanding claims liability. An increase or decrease in the expense rate assumption would have a corresponding impact on claims expense. </w:t>
      </w:r>
    </w:p>
    <w:p w14:paraId="516C5D0F" w14:textId="77777777" w:rsidR="00DA2EE6" w:rsidRPr="00793CE3" w:rsidRDefault="00DA2EE6" w:rsidP="00D67B00">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Discount rate </w:t>
      </w:r>
    </w:p>
    <w:p w14:paraId="453ADCAB" w14:textId="77777777" w:rsidR="00DA2EE6" w:rsidRPr="008A11DA" w:rsidRDefault="00DA2EE6" w:rsidP="00D67B00">
      <w:pPr>
        <w:pStyle w:val="Pa6"/>
        <w:spacing w:after="140"/>
        <w:rPr>
          <w:rFonts w:asciiTheme="minorHAnsi" w:hAnsiTheme="minorHAnsi" w:cs="Source Sans Pro Light"/>
          <w:color w:val="000000"/>
          <w:sz w:val="22"/>
          <w:szCs w:val="22"/>
        </w:rPr>
      </w:pPr>
      <w:r w:rsidRPr="008A11DA">
        <w:rPr>
          <w:rFonts w:asciiTheme="minorHAnsi" w:hAnsiTheme="minorHAnsi" w:cs="Source Sans Pro Light"/>
          <w:sz w:val="22"/>
          <w:szCs w:val="22"/>
        </w:rPr>
        <w:t xml:space="preserve">Discount rates derived from market yields on Commonwealth Government Bonds as at the valuation date have </w:t>
      </w:r>
      <w:r w:rsidRPr="008A11DA">
        <w:rPr>
          <w:rFonts w:asciiTheme="minorHAnsi" w:hAnsiTheme="minorHAnsi" w:cs="Source Sans Pro Light"/>
          <w:color w:val="000000"/>
          <w:sz w:val="22"/>
          <w:szCs w:val="22"/>
        </w:rPr>
        <w:t xml:space="preserve">been adopted. The discount rates shown are the rates which match the weighted term and the outstanding claims liability is discounted to adjust for the time value of money. All else being equal, an increase or decrease in the discount rate would have a corresponding decrease or increase on claims expense respectively. </w:t>
      </w:r>
    </w:p>
    <w:p w14:paraId="7E306C40" w14:textId="77777777" w:rsidR="00DA2EE6" w:rsidRPr="00793CE3" w:rsidRDefault="00DA2EE6" w:rsidP="00D67B00">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Inflation </w:t>
      </w:r>
    </w:p>
    <w:p w14:paraId="22B5D52E" w14:textId="77777777" w:rsidR="00DA2EE6" w:rsidRPr="008A11DA" w:rsidRDefault="00DA2EE6" w:rsidP="00D67B00">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Economic inflation assumptions are set by reference to current economic indicators. An increase or decrease in the assumed levels of either economic inflation rates would have a corresponding increase or decrease on claims expense. </w:t>
      </w:r>
    </w:p>
    <w:p w14:paraId="34BFF7FD" w14:textId="77777777" w:rsidR="00DA2EE6" w:rsidRPr="008A11DA" w:rsidRDefault="00DA2EE6" w:rsidP="00D67B00">
      <w:pPr>
        <w:pStyle w:val="Pa6"/>
        <w:spacing w:before="40" w:after="100" w:line="240" w:lineRule="auto"/>
        <w:rPr>
          <w:rFonts w:asciiTheme="minorHAnsi" w:hAnsiTheme="minorHAnsi" w:cs="Source Sans Pro"/>
          <w:b/>
          <w:color w:val="000000"/>
          <w:sz w:val="22"/>
          <w:szCs w:val="22"/>
        </w:rPr>
      </w:pPr>
      <w:r w:rsidRPr="008A11DA">
        <w:rPr>
          <w:rFonts w:asciiTheme="minorHAnsi" w:hAnsiTheme="minorHAnsi" w:cs="Source Sans Pro"/>
          <w:b/>
          <w:color w:val="000000"/>
          <w:sz w:val="22"/>
          <w:szCs w:val="22"/>
        </w:rPr>
        <w:t xml:space="preserve">Superimposed inflation </w:t>
      </w:r>
    </w:p>
    <w:p w14:paraId="2425220E" w14:textId="2E3323F0" w:rsidR="00234706" w:rsidRDefault="00DA2EE6" w:rsidP="00234706">
      <w:pPr>
        <w:ind w:right="-1"/>
        <w:rPr>
          <w:rFonts w:ascii="Calibri" w:eastAsia="Calibri" w:hAnsi="Calibri" w:cs="Montserrat Semi Bold"/>
          <w:b/>
          <w:bCs/>
          <w:color w:val="000000"/>
          <w:sz w:val="30"/>
          <w:szCs w:val="30"/>
        </w:rPr>
      </w:pPr>
      <w:r w:rsidRPr="00234706">
        <w:rPr>
          <w:rFonts w:cs="Source Sans Pro Light"/>
          <w:color w:val="000000"/>
          <w:sz w:val="22"/>
          <w:szCs w:val="22"/>
        </w:rPr>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 Currently, there has been no allowance for inflation over and above economic inflation measures used.</w:t>
      </w:r>
      <w:r w:rsidR="00234706">
        <w:rPr>
          <w:rFonts w:ascii="Calibri" w:eastAsia="Calibri" w:hAnsi="Calibri" w:cs="Montserrat Semi Bold"/>
          <w:b/>
          <w:bCs/>
          <w:color w:val="000000"/>
          <w:sz w:val="30"/>
          <w:szCs w:val="30"/>
        </w:rPr>
        <w:br w:type="page"/>
      </w:r>
    </w:p>
    <w:p w14:paraId="5920B5F8" w14:textId="79BB5E7F" w:rsidR="00B53814" w:rsidRPr="00D67D53" w:rsidRDefault="00B53814" w:rsidP="00D67D53">
      <w:pPr>
        <w:spacing w:after="0" w:line="240" w:lineRule="auto"/>
        <w:rPr>
          <w:rFonts w:ascii="Calibri" w:eastAsia="Calibri" w:hAnsi="Calibri" w:cs="Source Sans Pro Light"/>
          <w:color w:val="000000"/>
          <w:sz w:val="22"/>
          <w:szCs w:val="22"/>
        </w:rPr>
      </w:pPr>
      <w:r w:rsidRPr="00B53814">
        <w:rPr>
          <w:rFonts w:ascii="Calibri" w:eastAsia="Calibri" w:hAnsi="Calibri" w:cs="Montserrat Semi Bold"/>
          <w:b/>
          <w:bCs/>
          <w:color w:val="000000"/>
          <w:sz w:val="30"/>
          <w:szCs w:val="30"/>
        </w:rPr>
        <w:lastRenderedPageBreak/>
        <w:t>NOTE 1</w:t>
      </w:r>
      <w:r w:rsidR="001B587B">
        <w:rPr>
          <w:rFonts w:ascii="Calibri" w:eastAsia="Calibri" w:hAnsi="Calibri" w:cs="Montserrat Semi Bold"/>
          <w:b/>
          <w:bCs/>
          <w:color w:val="000000"/>
          <w:sz w:val="30"/>
          <w:szCs w:val="30"/>
        </w:rPr>
        <w:t>5</w:t>
      </w:r>
      <w:r w:rsidRPr="00B53814">
        <w:rPr>
          <w:rFonts w:ascii="Calibri" w:eastAsia="Calibri" w:hAnsi="Calibri" w:cs="Montserrat Semi Bold"/>
          <w:b/>
          <w:bCs/>
          <w:color w:val="000000"/>
          <w:sz w:val="30"/>
          <w:szCs w:val="30"/>
        </w:rPr>
        <w:t>. OUTSTANDING CLAIMS - CONTINUED</w:t>
      </w:r>
    </w:p>
    <w:p w14:paraId="56F1CB27" w14:textId="3F6708F3" w:rsidR="00B53814" w:rsidRPr="00B53814" w:rsidRDefault="00B53814" w:rsidP="00B53814">
      <w:pPr>
        <w:autoSpaceDE w:val="0"/>
        <w:autoSpaceDN w:val="0"/>
        <w:adjustRightInd w:val="0"/>
        <w:spacing w:before="40" w:after="100" w:line="261" w:lineRule="atLeast"/>
        <w:rPr>
          <w:rFonts w:ascii="Calibri" w:eastAsia="Calibri" w:hAnsi="Calibri" w:cs="Montserrat Semi Bold"/>
          <w:b/>
          <w:bCs/>
          <w:color w:val="000000"/>
          <w:sz w:val="22"/>
          <w:szCs w:val="22"/>
        </w:rPr>
      </w:pPr>
      <w:r w:rsidRPr="00B53814">
        <w:rPr>
          <w:rFonts w:ascii="Calibri" w:eastAsia="Calibri" w:hAnsi="Calibri" w:cs="Montserrat Semi Bold"/>
          <w:b/>
          <w:bCs/>
          <w:color w:val="000000"/>
          <w:sz w:val="22"/>
          <w:szCs w:val="22"/>
        </w:rPr>
        <w:t>Sensitivity Analysis</w:t>
      </w:r>
    </w:p>
    <w:p w14:paraId="7F9EA937" w14:textId="77777777" w:rsidR="00B53814" w:rsidRPr="00CC46AC" w:rsidRDefault="00B53814" w:rsidP="008C7756">
      <w:pPr>
        <w:autoSpaceDE w:val="0"/>
        <w:autoSpaceDN w:val="0"/>
        <w:adjustRightInd w:val="0"/>
        <w:spacing w:after="140" w:line="211" w:lineRule="atLeast"/>
        <w:rPr>
          <w:rFonts w:cs="Source Sans Pro Light"/>
          <w:color w:val="000000"/>
          <w:sz w:val="22"/>
          <w:szCs w:val="22"/>
        </w:rPr>
      </w:pPr>
      <w:r w:rsidRPr="00CC46AC">
        <w:rPr>
          <w:rFonts w:cs="Source Sans Pro Light"/>
          <w:color w:val="000000"/>
          <w:sz w:val="22"/>
          <w:szCs w:val="22"/>
        </w:rPr>
        <w:t xml:space="preserve">The Authority conducted a sensitivity analysis to quantify the exposure to risk of changes in the key underlying variables. The valuations included in the reported results are calculated using certain assumptions about these variables as disclosed above. The movement in any key variable will impact the financial performance and equity position of the Authority. </w:t>
      </w:r>
    </w:p>
    <w:p w14:paraId="7231F473" w14:textId="04CE8E0F" w:rsidR="00B53814" w:rsidRPr="00CC46AC" w:rsidRDefault="00B53814" w:rsidP="00B53814">
      <w:pPr>
        <w:autoSpaceDE w:val="0"/>
        <w:autoSpaceDN w:val="0"/>
        <w:adjustRightInd w:val="0"/>
        <w:spacing w:after="140" w:line="211" w:lineRule="atLeast"/>
        <w:jc w:val="both"/>
        <w:rPr>
          <w:rFonts w:ascii="Calibri" w:eastAsia="Calibri" w:hAnsi="Calibri" w:cs="Source Sans Pro Light"/>
          <w:color w:val="000000"/>
          <w:sz w:val="22"/>
          <w:szCs w:val="22"/>
        </w:rPr>
      </w:pPr>
      <w:r w:rsidRPr="00CC46AC">
        <w:rPr>
          <w:rFonts w:cs="Source Sans Pro Light"/>
          <w:color w:val="000000"/>
          <w:sz w:val="22"/>
          <w:szCs w:val="22"/>
        </w:rPr>
        <w:t xml:space="preserve">Each of the below variations has been considered in isolation. However, </w:t>
      </w:r>
      <w:proofErr w:type="gramStart"/>
      <w:r w:rsidRPr="00CC46AC">
        <w:rPr>
          <w:rFonts w:cs="Source Sans Pro Light"/>
          <w:color w:val="000000"/>
          <w:sz w:val="22"/>
          <w:szCs w:val="22"/>
        </w:rPr>
        <w:t>in reality, volatility</w:t>
      </w:r>
      <w:proofErr w:type="gramEnd"/>
      <w:r w:rsidRPr="00CC46AC">
        <w:rPr>
          <w:rFonts w:cs="Source Sans Pro Light"/>
          <w:color w:val="000000"/>
          <w:sz w:val="22"/>
          <w:szCs w:val="22"/>
        </w:rPr>
        <w:t xml:space="preserve"> in the net outstanding claims is likely to be due to a number of these and other factors in combination</w:t>
      </w:r>
      <w:r w:rsidRPr="00CC46AC">
        <w:rPr>
          <w:rFonts w:ascii="Calibri" w:eastAsia="Calibri" w:hAnsi="Calibri" w:cs="Source Sans Pro Light"/>
          <w:color w:val="000000"/>
          <w:sz w:val="22"/>
          <w:szCs w:val="22"/>
        </w:rPr>
        <w:t>.</w:t>
      </w:r>
    </w:p>
    <w:tbl>
      <w:tblPr>
        <w:tblW w:w="9822" w:type="dxa"/>
        <w:tblInd w:w="-108" w:type="dxa"/>
        <w:tblBorders>
          <w:top w:val="nil"/>
          <w:left w:val="nil"/>
          <w:bottom w:val="nil"/>
          <w:right w:val="nil"/>
        </w:tblBorders>
        <w:tblLayout w:type="fixed"/>
        <w:tblLook w:val="0000" w:firstRow="0" w:lastRow="0" w:firstColumn="0" w:lastColumn="0" w:noHBand="0" w:noVBand="0"/>
      </w:tblPr>
      <w:tblGrid>
        <w:gridCol w:w="4313"/>
        <w:gridCol w:w="869"/>
        <w:gridCol w:w="1305"/>
        <w:gridCol w:w="1134"/>
        <w:gridCol w:w="25"/>
        <w:gridCol w:w="1134"/>
        <w:gridCol w:w="25"/>
        <w:gridCol w:w="462"/>
        <w:gridCol w:w="555"/>
      </w:tblGrid>
      <w:tr w:rsidR="00E44B25" w:rsidRPr="00E44B25" w14:paraId="72F45320" w14:textId="77777777" w:rsidTr="001C26CF">
        <w:trPr>
          <w:trHeight w:val="166"/>
        </w:trPr>
        <w:tc>
          <w:tcPr>
            <w:tcW w:w="4313" w:type="dxa"/>
            <w:vMerge w:val="restart"/>
            <w:tcBorders>
              <w:top w:val="single" w:sz="12" w:space="0" w:color="492581" w:themeColor="accent1"/>
              <w:bottom w:val="single" w:sz="12" w:space="0" w:color="492581" w:themeColor="accent1"/>
            </w:tcBorders>
          </w:tcPr>
          <w:p w14:paraId="69E25DC9"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Assumptions </w:t>
            </w:r>
          </w:p>
        </w:tc>
        <w:tc>
          <w:tcPr>
            <w:tcW w:w="869" w:type="dxa"/>
            <w:tcBorders>
              <w:top w:val="single" w:sz="12" w:space="0" w:color="492581" w:themeColor="accent1"/>
              <w:bottom w:val="nil"/>
            </w:tcBorders>
            <w:vAlign w:val="center"/>
          </w:tcPr>
          <w:p w14:paraId="2C34D2F2"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Note</w:t>
            </w:r>
          </w:p>
        </w:tc>
        <w:tc>
          <w:tcPr>
            <w:tcW w:w="2464" w:type="dxa"/>
            <w:gridSpan w:val="3"/>
            <w:tcBorders>
              <w:top w:val="single" w:sz="12" w:space="0" w:color="492581" w:themeColor="accent1"/>
              <w:bottom w:val="nil"/>
            </w:tcBorders>
          </w:tcPr>
          <w:p w14:paraId="018D491D"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Net </w:t>
            </w:r>
            <w:r w:rsidRPr="00E44B25">
              <w:rPr>
                <w:rFonts w:ascii="Calibri" w:eastAsia="Calibri" w:hAnsi="Calibri" w:cs="Source Sans Pro SemiBold"/>
                <w:b/>
                <w:bCs/>
                <w:sz w:val="18"/>
                <w:szCs w:val="18"/>
              </w:rPr>
              <w:t>Outstanding Claims</w:t>
            </w:r>
            <w:r w:rsidRPr="00E44B25">
              <w:rPr>
                <w:rFonts w:ascii="Calibri" w:eastAsia="Calibri" w:hAnsi="Calibri" w:cs="Source Sans Pro SemiBold"/>
                <w:b/>
                <w:bCs/>
                <w:color w:val="000000"/>
                <w:sz w:val="18"/>
                <w:szCs w:val="18"/>
              </w:rPr>
              <w:t xml:space="preserve"> </w:t>
            </w:r>
          </w:p>
        </w:tc>
        <w:tc>
          <w:tcPr>
            <w:tcW w:w="2176" w:type="dxa"/>
            <w:gridSpan w:val="4"/>
            <w:tcBorders>
              <w:top w:val="single" w:sz="12" w:space="0" w:color="492581" w:themeColor="accent1"/>
              <w:bottom w:val="nil"/>
            </w:tcBorders>
          </w:tcPr>
          <w:p w14:paraId="243A7DAE"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      Difference </w:t>
            </w:r>
          </w:p>
        </w:tc>
      </w:tr>
      <w:tr w:rsidR="00E44B25" w:rsidRPr="00E44B25" w14:paraId="2F741AAF" w14:textId="77777777" w:rsidTr="001C26CF">
        <w:trPr>
          <w:trHeight w:val="80"/>
        </w:trPr>
        <w:tc>
          <w:tcPr>
            <w:tcW w:w="4313" w:type="dxa"/>
            <w:vMerge/>
            <w:tcBorders>
              <w:top w:val="single" w:sz="12" w:space="0" w:color="492581" w:themeColor="accent1"/>
              <w:bottom w:val="single" w:sz="12" w:space="0" w:color="492581" w:themeColor="accent1"/>
            </w:tcBorders>
          </w:tcPr>
          <w:p w14:paraId="2225F2F1"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rPr>
            </w:pPr>
          </w:p>
        </w:tc>
        <w:tc>
          <w:tcPr>
            <w:tcW w:w="869" w:type="dxa"/>
            <w:tcBorders>
              <w:top w:val="nil"/>
              <w:bottom w:val="single" w:sz="12" w:space="0" w:color="492581" w:themeColor="accent1"/>
            </w:tcBorders>
            <w:vAlign w:val="center"/>
          </w:tcPr>
          <w:p w14:paraId="24E5D09C"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No.</w:t>
            </w:r>
          </w:p>
        </w:tc>
        <w:tc>
          <w:tcPr>
            <w:tcW w:w="2464" w:type="dxa"/>
            <w:gridSpan w:val="3"/>
            <w:tcBorders>
              <w:top w:val="nil"/>
              <w:bottom w:val="single" w:sz="12" w:space="0" w:color="492581" w:themeColor="accent1"/>
            </w:tcBorders>
          </w:tcPr>
          <w:p w14:paraId="1F80A7F9"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1159" w:type="dxa"/>
            <w:gridSpan w:val="2"/>
            <w:tcBorders>
              <w:top w:val="nil"/>
              <w:bottom w:val="single" w:sz="12" w:space="0" w:color="492581" w:themeColor="accent1"/>
            </w:tcBorders>
          </w:tcPr>
          <w:p w14:paraId="25B8B0E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1017" w:type="dxa"/>
            <w:gridSpan w:val="2"/>
            <w:tcBorders>
              <w:top w:val="nil"/>
              <w:bottom w:val="single" w:sz="12" w:space="0" w:color="492581" w:themeColor="accent1"/>
            </w:tcBorders>
          </w:tcPr>
          <w:p w14:paraId="39669522"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 </w:t>
            </w:r>
          </w:p>
        </w:tc>
      </w:tr>
      <w:tr w:rsidR="00E44B25" w:rsidRPr="00E44B25" w14:paraId="3650C77A" w14:textId="77777777" w:rsidTr="001C26CF">
        <w:trPr>
          <w:trHeight w:val="214"/>
        </w:trPr>
        <w:tc>
          <w:tcPr>
            <w:tcW w:w="4313" w:type="dxa"/>
            <w:tcBorders>
              <w:top w:val="single" w:sz="12" w:space="0" w:color="492581" w:themeColor="accent1"/>
              <w:left w:val="nil"/>
              <w:bottom w:val="nil"/>
            </w:tcBorders>
          </w:tcPr>
          <w:p w14:paraId="1430838B"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sz w:val="18"/>
                <w:szCs w:val="18"/>
              </w:rPr>
            </w:pPr>
          </w:p>
        </w:tc>
        <w:tc>
          <w:tcPr>
            <w:tcW w:w="869" w:type="dxa"/>
            <w:tcBorders>
              <w:top w:val="single" w:sz="12" w:space="0" w:color="492581" w:themeColor="accent1"/>
              <w:bottom w:val="nil"/>
            </w:tcBorders>
          </w:tcPr>
          <w:p w14:paraId="2433286A"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2464" w:type="dxa"/>
            <w:gridSpan w:val="3"/>
            <w:tcBorders>
              <w:top w:val="single" w:sz="12" w:space="0" w:color="492581" w:themeColor="accent1"/>
              <w:bottom w:val="nil"/>
            </w:tcBorders>
          </w:tcPr>
          <w:p w14:paraId="59A237D5"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159" w:type="dxa"/>
            <w:gridSpan w:val="2"/>
            <w:tcBorders>
              <w:top w:val="single" w:sz="12" w:space="0" w:color="492581" w:themeColor="accent1"/>
              <w:bottom w:val="nil"/>
            </w:tcBorders>
          </w:tcPr>
          <w:p w14:paraId="3F44D19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017" w:type="dxa"/>
            <w:gridSpan w:val="2"/>
            <w:tcBorders>
              <w:top w:val="single" w:sz="12" w:space="0" w:color="492581" w:themeColor="accent1"/>
              <w:bottom w:val="nil"/>
              <w:right w:val="nil"/>
            </w:tcBorders>
          </w:tcPr>
          <w:p w14:paraId="4E29D803"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E44B25" w:rsidRPr="00E44B25" w14:paraId="6A1F28BD" w14:textId="77777777" w:rsidTr="001C26CF">
        <w:trPr>
          <w:trHeight w:val="214"/>
        </w:trPr>
        <w:tc>
          <w:tcPr>
            <w:tcW w:w="4313" w:type="dxa"/>
            <w:tcBorders>
              <w:top w:val="nil"/>
              <w:bottom w:val="nil"/>
            </w:tcBorders>
          </w:tcPr>
          <w:p w14:paraId="54016BBC" w14:textId="0C599F96" w:rsidR="00E44B25" w:rsidRPr="00E44B25" w:rsidRDefault="00E44B25" w:rsidP="00E44B25">
            <w:pPr>
              <w:autoSpaceDE w:val="0"/>
              <w:autoSpaceDN w:val="0"/>
              <w:adjustRightInd w:val="0"/>
              <w:spacing w:before="40" w:after="40" w:line="240" w:lineRule="auto"/>
              <w:rPr>
                <w:rFonts w:ascii="Calibri" w:eastAsia="Calibri" w:hAnsi="Calibri" w:cs="Times New Roman"/>
                <w:b/>
                <w:bCs/>
                <w:sz w:val="18"/>
                <w:szCs w:val="18"/>
              </w:rPr>
            </w:pPr>
            <w:r w:rsidRPr="003667E3">
              <w:rPr>
                <w:b/>
                <w:color w:val="000000" w:themeColor="text1"/>
                <w:sz w:val="18"/>
                <w:szCs w:val="18"/>
              </w:rPr>
              <w:t>Gross Outstanding Claims Liabilities</w:t>
            </w:r>
          </w:p>
        </w:tc>
        <w:tc>
          <w:tcPr>
            <w:tcW w:w="869" w:type="dxa"/>
            <w:tcBorders>
              <w:top w:val="nil"/>
              <w:bottom w:val="nil"/>
            </w:tcBorders>
          </w:tcPr>
          <w:p w14:paraId="558EF206"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2464" w:type="dxa"/>
            <w:gridSpan w:val="3"/>
            <w:tcBorders>
              <w:top w:val="nil"/>
              <w:bottom w:val="nil"/>
            </w:tcBorders>
          </w:tcPr>
          <w:p w14:paraId="67E7AB24" w14:textId="2B5FE32D" w:rsidR="00E44B25" w:rsidRPr="0093461A" w:rsidRDefault="00BD5801"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3667E3">
              <w:rPr>
                <w:color w:val="000000" w:themeColor="text1"/>
                <w:sz w:val="18"/>
                <w:szCs w:val="18"/>
              </w:rPr>
              <w:t>420,095</w:t>
            </w:r>
          </w:p>
        </w:tc>
        <w:tc>
          <w:tcPr>
            <w:tcW w:w="1159" w:type="dxa"/>
            <w:gridSpan w:val="2"/>
            <w:tcBorders>
              <w:top w:val="nil"/>
              <w:bottom w:val="nil"/>
            </w:tcBorders>
          </w:tcPr>
          <w:p w14:paraId="3D9D718D"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017" w:type="dxa"/>
            <w:gridSpan w:val="2"/>
            <w:tcBorders>
              <w:top w:val="nil"/>
              <w:bottom w:val="nil"/>
            </w:tcBorders>
          </w:tcPr>
          <w:p w14:paraId="5C19F028"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r>
      <w:tr w:rsidR="001C26CF" w:rsidRPr="00E44B25" w14:paraId="00074C41" w14:textId="77777777" w:rsidTr="001C26CF">
        <w:trPr>
          <w:gridAfter w:val="1"/>
          <w:wAfter w:w="555" w:type="dxa"/>
          <w:trHeight w:val="214"/>
        </w:trPr>
        <w:tc>
          <w:tcPr>
            <w:tcW w:w="4313" w:type="dxa"/>
            <w:tcBorders>
              <w:top w:val="nil"/>
              <w:bottom w:val="nil"/>
            </w:tcBorders>
          </w:tcPr>
          <w:p w14:paraId="486ABE51" w14:textId="0C5DFBBF" w:rsidR="001C26CF" w:rsidRPr="00E44B25" w:rsidRDefault="001C26CF" w:rsidP="00E44B25">
            <w:pPr>
              <w:autoSpaceDE w:val="0"/>
              <w:autoSpaceDN w:val="0"/>
              <w:adjustRightInd w:val="0"/>
              <w:spacing w:before="40" w:after="40" w:line="240" w:lineRule="auto"/>
              <w:rPr>
                <w:rFonts w:ascii="Calibri" w:eastAsia="Calibri" w:hAnsi="Calibri" w:cs="Times New Roman"/>
                <w:sz w:val="18"/>
                <w:szCs w:val="18"/>
              </w:rPr>
            </w:pPr>
            <w:r w:rsidRPr="003667E3">
              <w:rPr>
                <w:color w:val="000000" w:themeColor="text1"/>
                <w:sz w:val="18"/>
                <w:szCs w:val="18"/>
              </w:rPr>
              <w:t>Less expected Current and Non-Current Recoveries</w:t>
            </w:r>
          </w:p>
        </w:tc>
        <w:tc>
          <w:tcPr>
            <w:tcW w:w="869" w:type="dxa"/>
            <w:tcBorders>
              <w:top w:val="nil"/>
              <w:bottom w:val="nil"/>
            </w:tcBorders>
          </w:tcPr>
          <w:p w14:paraId="4213F33B" w14:textId="77777777" w:rsidR="001C26CF" w:rsidRPr="00E44B25" w:rsidRDefault="001C26CF"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305" w:type="dxa"/>
            <w:tcBorders>
              <w:top w:val="nil"/>
              <w:bottom w:val="nil"/>
            </w:tcBorders>
          </w:tcPr>
          <w:p w14:paraId="1E83B9CA" w14:textId="77777777" w:rsidR="001C26CF" w:rsidRPr="003667E3" w:rsidRDefault="001C26CF" w:rsidP="00E44B25">
            <w:pPr>
              <w:autoSpaceDE w:val="0"/>
              <w:autoSpaceDN w:val="0"/>
              <w:adjustRightInd w:val="0"/>
              <w:spacing w:before="40" w:after="40" w:line="240" w:lineRule="auto"/>
              <w:jc w:val="right"/>
              <w:rPr>
                <w:color w:val="000000" w:themeColor="text1"/>
                <w:sz w:val="18"/>
                <w:szCs w:val="18"/>
              </w:rPr>
            </w:pPr>
          </w:p>
        </w:tc>
        <w:tc>
          <w:tcPr>
            <w:tcW w:w="1134" w:type="dxa"/>
            <w:tcBorders>
              <w:top w:val="nil"/>
              <w:bottom w:val="single" w:sz="4" w:space="0" w:color="auto"/>
            </w:tcBorders>
          </w:tcPr>
          <w:p w14:paraId="1266F50E" w14:textId="7CC4A1E5" w:rsidR="001C26CF" w:rsidRPr="0093461A" w:rsidRDefault="001C26CF" w:rsidP="00E44B25">
            <w:pPr>
              <w:autoSpaceDE w:val="0"/>
              <w:autoSpaceDN w:val="0"/>
              <w:adjustRightInd w:val="0"/>
              <w:spacing w:before="40" w:after="40" w:line="240" w:lineRule="auto"/>
              <w:jc w:val="right"/>
              <w:rPr>
                <w:rFonts w:ascii="Calibri" w:eastAsia="Calibri" w:hAnsi="Calibri" w:cs="Source Sans Pro SemiBold"/>
                <w:sz w:val="18"/>
                <w:szCs w:val="18"/>
                <w:highlight w:val="yellow"/>
              </w:rPr>
            </w:pPr>
            <w:r w:rsidRPr="003667E3">
              <w:rPr>
                <w:color w:val="000000" w:themeColor="text1"/>
                <w:sz w:val="18"/>
                <w:szCs w:val="18"/>
              </w:rPr>
              <w:t>(58,3</w:t>
            </w:r>
            <w:r>
              <w:rPr>
                <w:color w:val="000000" w:themeColor="text1"/>
                <w:sz w:val="18"/>
                <w:szCs w:val="18"/>
              </w:rPr>
              <w:t>96</w:t>
            </w:r>
            <w:r w:rsidRPr="003667E3">
              <w:rPr>
                <w:color w:val="000000" w:themeColor="text1"/>
                <w:sz w:val="18"/>
                <w:szCs w:val="18"/>
              </w:rPr>
              <w:t>)</w:t>
            </w:r>
          </w:p>
        </w:tc>
        <w:tc>
          <w:tcPr>
            <w:tcW w:w="1159" w:type="dxa"/>
            <w:gridSpan w:val="2"/>
            <w:tcBorders>
              <w:top w:val="nil"/>
              <w:bottom w:val="nil"/>
            </w:tcBorders>
          </w:tcPr>
          <w:p w14:paraId="12D3CCAA" w14:textId="77777777" w:rsidR="001C26CF" w:rsidRPr="0093461A" w:rsidRDefault="001C26CF"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487" w:type="dxa"/>
            <w:gridSpan w:val="2"/>
            <w:tcBorders>
              <w:top w:val="nil"/>
              <w:bottom w:val="nil"/>
            </w:tcBorders>
          </w:tcPr>
          <w:p w14:paraId="625F6089" w14:textId="77777777" w:rsidR="001C26CF" w:rsidRPr="0093461A" w:rsidRDefault="001C26CF"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r>
      <w:tr w:rsidR="00E44B25" w:rsidRPr="00E44B25" w14:paraId="7B12A73D" w14:textId="77777777" w:rsidTr="001C26CF">
        <w:trPr>
          <w:trHeight w:val="80"/>
        </w:trPr>
        <w:tc>
          <w:tcPr>
            <w:tcW w:w="4313" w:type="dxa"/>
            <w:tcBorders>
              <w:top w:val="nil"/>
              <w:bottom w:val="single" w:sz="12" w:space="0" w:color="492581" w:themeColor="accent1"/>
            </w:tcBorders>
          </w:tcPr>
          <w:p w14:paraId="3304FCFB" w14:textId="3A7236AB"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3667E3">
              <w:rPr>
                <w:rFonts w:cs="Source Sans Pro SemiBold"/>
                <w:b/>
                <w:color w:val="000000" w:themeColor="text1"/>
                <w:sz w:val="18"/>
                <w:szCs w:val="18"/>
              </w:rPr>
              <w:t>Net Outstanding Claims Liabilities</w:t>
            </w:r>
          </w:p>
        </w:tc>
        <w:tc>
          <w:tcPr>
            <w:tcW w:w="869" w:type="dxa"/>
            <w:tcBorders>
              <w:top w:val="nil"/>
              <w:bottom w:val="single" w:sz="12" w:space="0" w:color="492581" w:themeColor="accent1"/>
            </w:tcBorders>
          </w:tcPr>
          <w:p w14:paraId="6169F8D5"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sz w:val="18"/>
                <w:szCs w:val="18"/>
              </w:rPr>
            </w:pPr>
          </w:p>
        </w:tc>
        <w:tc>
          <w:tcPr>
            <w:tcW w:w="2464" w:type="dxa"/>
            <w:gridSpan w:val="3"/>
            <w:tcBorders>
              <w:top w:val="nil"/>
              <w:bottom w:val="single" w:sz="12" w:space="0" w:color="492581" w:themeColor="accent1"/>
            </w:tcBorders>
          </w:tcPr>
          <w:p w14:paraId="397BEE14" w14:textId="2D86ABB9" w:rsidR="00E44B25" w:rsidRPr="001A41AC" w:rsidRDefault="00BD5801"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1A41AC">
              <w:rPr>
                <w:b/>
                <w:bCs/>
                <w:color w:val="000000" w:themeColor="text1"/>
                <w:sz w:val="18"/>
                <w:szCs w:val="18"/>
              </w:rPr>
              <w:t>361,699</w:t>
            </w:r>
          </w:p>
        </w:tc>
        <w:tc>
          <w:tcPr>
            <w:tcW w:w="2176" w:type="dxa"/>
            <w:gridSpan w:val="4"/>
            <w:tcBorders>
              <w:top w:val="nil"/>
              <w:bottom w:val="single" w:sz="12" w:space="0" w:color="492581" w:themeColor="accent1"/>
            </w:tcBorders>
          </w:tcPr>
          <w:p w14:paraId="626941EA" w14:textId="77777777" w:rsidR="00E44B25" w:rsidRPr="0093461A" w:rsidRDefault="00E44B25" w:rsidP="00E44B25">
            <w:pPr>
              <w:autoSpaceDE w:val="0"/>
              <w:autoSpaceDN w:val="0"/>
              <w:adjustRightInd w:val="0"/>
              <w:spacing w:before="40" w:after="40" w:line="240" w:lineRule="auto"/>
              <w:rPr>
                <w:rFonts w:ascii="Calibri" w:eastAsia="Calibri" w:hAnsi="Calibri" w:cs="Source Sans Pro SemiBold"/>
                <w:sz w:val="18"/>
                <w:szCs w:val="18"/>
                <w:highlight w:val="yellow"/>
              </w:rPr>
            </w:pPr>
          </w:p>
        </w:tc>
      </w:tr>
      <w:tr w:rsidR="00E44B25" w:rsidRPr="00E44B25" w14:paraId="3AD2BB84" w14:textId="77777777" w:rsidTr="001C26CF">
        <w:trPr>
          <w:trHeight w:val="80"/>
        </w:trPr>
        <w:tc>
          <w:tcPr>
            <w:tcW w:w="9822" w:type="dxa"/>
            <w:gridSpan w:val="9"/>
            <w:tcBorders>
              <w:top w:val="single" w:sz="12" w:space="0" w:color="492581" w:themeColor="accent1"/>
              <w:bottom w:val="single" w:sz="12" w:space="0" w:color="492581" w:themeColor="accent1"/>
            </w:tcBorders>
            <w:vAlign w:val="center"/>
          </w:tcPr>
          <w:p w14:paraId="15A6CB52" w14:textId="77777777" w:rsidR="00E44B25" w:rsidRPr="0093461A" w:rsidRDefault="00E44B25" w:rsidP="00E44B25">
            <w:pPr>
              <w:autoSpaceDE w:val="0"/>
              <w:autoSpaceDN w:val="0"/>
              <w:adjustRightInd w:val="0"/>
              <w:spacing w:before="40" w:after="40" w:line="240" w:lineRule="auto"/>
              <w:rPr>
                <w:rFonts w:ascii="Calibri" w:eastAsia="Calibri" w:hAnsi="Calibri" w:cs="Source Sans Pro SemiBold"/>
                <w:sz w:val="18"/>
                <w:szCs w:val="18"/>
                <w:highlight w:val="yellow"/>
              </w:rPr>
            </w:pPr>
            <w:r w:rsidRPr="00786D26">
              <w:rPr>
                <w:rFonts w:ascii="Calibri" w:eastAsia="Calibri" w:hAnsi="Calibri" w:cs="Source Sans Pro SemiBold"/>
                <w:b/>
                <w:sz w:val="18"/>
                <w:szCs w:val="18"/>
              </w:rPr>
              <w:t xml:space="preserve">Economic Assumptions </w:t>
            </w:r>
          </w:p>
        </w:tc>
      </w:tr>
      <w:tr w:rsidR="00E44B25" w:rsidRPr="00E44B25" w14:paraId="7AEF92E4" w14:textId="77777777" w:rsidTr="001C26CF">
        <w:trPr>
          <w:trHeight w:val="75"/>
        </w:trPr>
        <w:tc>
          <w:tcPr>
            <w:tcW w:w="4313" w:type="dxa"/>
            <w:tcBorders>
              <w:top w:val="single" w:sz="12" w:space="0" w:color="492581" w:themeColor="accent1"/>
            </w:tcBorders>
          </w:tcPr>
          <w:p w14:paraId="41708FAB" w14:textId="5EFB2F48"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3667E3">
              <w:rPr>
                <w:rFonts w:cs="Source Sans Pro Light"/>
                <w:color w:val="000000" w:themeColor="text1"/>
                <w:sz w:val="18"/>
                <w:szCs w:val="18"/>
              </w:rPr>
              <w:t xml:space="preserve">Discount rates increased by 1.0% </w:t>
            </w:r>
          </w:p>
        </w:tc>
        <w:tc>
          <w:tcPr>
            <w:tcW w:w="3333" w:type="dxa"/>
            <w:gridSpan w:val="4"/>
            <w:tcBorders>
              <w:top w:val="single" w:sz="12" w:space="0" w:color="492581" w:themeColor="accent1"/>
            </w:tcBorders>
          </w:tcPr>
          <w:p w14:paraId="16446F5C" w14:textId="0C02B982" w:rsidR="00E44B25" w:rsidRPr="0093461A" w:rsidRDefault="00786D26"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349,123</w:t>
            </w:r>
          </w:p>
        </w:tc>
        <w:tc>
          <w:tcPr>
            <w:tcW w:w="1159" w:type="dxa"/>
            <w:gridSpan w:val="2"/>
            <w:tcBorders>
              <w:top w:val="single" w:sz="12" w:space="0" w:color="492581" w:themeColor="accent1"/>
            </w:tcBorders>
          </w:tcPr>
          <w:p w14:paraId="5A70E6E6" w14:textId="366D0AA8" w:rsidR="00E44B25" w:rsidRPr="0093461A" w:rsidRDefault="00786D26"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(12,576)</w:t>
            </w:r>
          </w:p>
        </w:tc>
        <w:tc>
          <w:tcPr>
            <w:tcW w:w="1017" w:type="dxa"/>
            <w:gridSpan w:val="2"/>
            <w:tcBorders>
              <w:top w:val="single" w:sz="12" w:space="0" w:color="492581" w:themeColor="accent1"/>
            </w:tcBorders>
          </w:tcPr>
          <w:p w14:paraId="3856F486" w14:textId="4C4382D1"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w:t>
            </w:r>
            <w:r w:rsidR="00786D26" w:rsidRPr="003667E3">
              <w:rPr>
                <w:color w:val="000000" w:themeColor="text1"/>
                <w:sz w:val="18"/>
                <w:szCs w:val="18"/>
              </w:rPr>
              <w:t>5</w:t>
            </w:r>
            <w:r w:rsidRPr="003667E3">
              <w:rPr>
                <w:color w:val="000000" w:themeColor="text1"/>
                <w:sz w:val="18"/>
                <w:szCs w:val="18"/>
              </w:rPr>
              <w:t>%)</w:t>
            </w:r>
          </w:p>
        </w:tc>
      </w:tr>
      <w:tr w:rsidR="00E44B25" w:rsidRPr="00E44B25" w14:paraId="6571E4F1" w14:textId="77777777" w:rsidTr="001C26CF">
        <w:trPr>
          <w:trHeight w:val="75"/>
        </w:trPr>
        <w:tc>
          <w:tcPr>
            <w:tcW w:w="4313" w:type="dxa"/>
          </w:tcPr>
          <w:p w14:paraId="53E32957" w14:textId="3EACC0B6"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3667E3">
              <w:rPr>
                <w:rFonts w:cs="Source Sans Pro Light"/>
                <w:color w:val="000000" w:themeColor="text1"/>
                <w:sz w:val="18"/>
                <w:szCs w:val="18"/>
              </w:rPr>
              <w:t xml:space="preserve">Discount rates decreased by 1.0% </w:t>
            </w:r>
          </w:p>
        </w:tc>
        <w:tc>
          <w:tcPr>
            <w:tcW w:w="3333" w:type="dxa"/>
            <w:gridSpan w:val="4"/>
          </w:tcPr>
          <w:p w14:paraId="4CB5D9D4" w14:textId="6CE12A40" w:rsidR="00E44B25" w:rsidRPr="0093461A" w:rsidRDefault="00786D26"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375,211</w:t>
            </w:r>
          </w:p>
        </w:tc>
        <w:tc>
          <w:tcPr>
            <w:tcW w:w="1159" w:type="dxa"/>
            <w:gridSpan w:val="2"/>
          </w:tcPr>
          <w:p w14:paraId="77727114" w14:textId="5A6C759D" w:rsidR="00E44B25" w:rsidRPr="0093461A" w:rsidRDefault="00786D26"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13,512</w:t>
            </w:r>
          </w:p>
        </w:tc>
        <w:tc>
          <w:tcPr>
            <w:tcW w:w="1017" w:type="dxa"/>
            <w:gridSpan w:val="2"/>
          </w:tcPr>
          <w:p w14:paraId="7C690F03" w14:textId="3DC316CB"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w:t>
            </w:r>
            <w:r w:rsidR="00786D26" w:rsidRPr="003667E3">
              <w:rPr>
                <w:color w:val="000000" w:themeColor="text1"/>
                <w:sz w:val="18"/>
                <w:szCs w:val="18"/>
              </w:rPr>
              <w:t>7</w:t>
            </w:r>
            <w:r w:rsidRPr="003667E3">
              <w:rPr>
                <w:color w:val="000000" w:themeColor="text1"/>
                <w:sz w:val="18"/>
                <w:szCs w:val="18"/>
              </w:rPr>
              <w:t>%</w:t>
            </w:r>
          </w:p>
        </w:tc>
      </w:tr>
      <w:tr w:rsidR="00E44B25" w:rsidRPr="00E44B25" w14:paraId="6E575F7D" w14:textId="77777777" w:rsidTr="001C26CF">
        <w:trPr>
          <w:trHeight w:val="75"/>
        </w:trPr>
        <w:tc>
          <w:tcPr>
            <w:tcW w:w="4313" w:type="dxa"/>
          </w:tcPr>
          <w:p w14:paraId="5D68DF52"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p>
        </w:tc>
        <w:tc>
          <w:tcPr>
            <w:tcW w:w="3333" w:type="dxa"/>
            <w:gridSpan w:val="4"/>
          </w:tcPr>
          <w:p w14:paraId="1B4C2A9A"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159" w:type="dxa"/>
            <w:gridSpan w:val="2"/>
          </w:tcPr>
          <w:p w14:paraId="540B194E"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017" w:type="dxa"/>
            <w:gridSpan w:val="2"/>
          </w:tcPr>
          <w:p w14:paraId="48D6AA7D"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E44B25" w:rsidRPr="00E44B25" w14:paraId="2ED3CE19" w14:textId="77777777" w:rsidTr="001C26CF">
        <w:trPr>
          <w:trHeight w:val="80"/>
        </w:trPr>
        <w:tc>
          <w:tcPr>
            <w:tcW w:w="9822" w:type="dxa"/>
            <w:gridSpan w:val="9"/>
            <w:tcBorders>
              <w:top w:val="nil"/>
              <w:bottom w:val="single" w:sz="8" w:space="0" w:color="auto"/>
            </w:tcBorders>
          </w:tcPr>
          <w:p w14:paraId="28F735B3" w14:textId="77777777" w:rsidR="00E44B25" w:rsidRPr="00C40FCA"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C40FCA">
              <w:rPr>
                <w:rFonts w:ascii="Calibri" w:eastAsia="Calibri" w:hAnsi="Calibri" w:cs="Source Sans Pro SemiBold"/>
                <w:b/>
                <w:sz w:val="18"/>
                <w:szCs w:val="18"/>
              </w:rPr>
              <w:t xml:space="preserve">Medical Malpractice </w:t>
            </w:r>
          </w:p>
        </w:tc>
      </w:tr>
      <w:tr w:rsidR="00E44B25" w:rsidRPr="00E44B25" w14:paraId="3AD9D48A" w14:textId="77777777" w:rsidTr="001C26CF">
        <w:trPr>
          <w:trHeight w:val="74"/>
        </w:trPr>
        <w:tc>
          <w:tcPr>
            <w:tcW w:w="9822" w:type="dxa"/>
            <w:gridSpan w:val="9"/>
            <w:tcBorders>
              <w:top w:val="single" w:sz="8" w:space="0" w:color="auto"/>
            </w:tcBorders>
          </w:tcPr>
          <w:p w14:paraId="0E966628" w14:textId="77777777" w:rsidR="00E44B25" w:rsidRPr="00C40FCA"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C40FCA">
              <w:rPr>
                <w:rFonts w:ascii="Calibri" w:eastAsia="Calibri" w:hAnsi="Calibri" w:cs="Source Sans Pro Light"/>
                <w:i/>
                <w:sz w:val="18"/>
                <w:szCs w:val="18"/>
              </w:rPr>
              <w:t xml:space="preserve">Large Claims </w:t>
            </w:r>
          </w:p>
        </w:tc>
      </w:tr>
      <w:tr w:rsidR="00E44B25" w:rsidRPr="00E44B25" w14:paraId="20691E7D" w14:textId="77777777" w:rsidTr="001C26CF">
        <w:trPr>
          <w:trHeight w:val="75"/>
        </w:trPr>
        <w:tc>
          <w:tcPr>
            <w:tcW w:w="9822" w:type="dxa"/>
            <w:gridSpan w:val="9"/>
          </w:tcPr>
          <w:p w14:paraId="51BB7AF6" w14:textId="59C3136E" w:rsidR="00E44B25" w:rsidRPr="00C40FCA"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C40FCA">
              <w:rPr>
                <w:rFonts w:ascii="Calibri" w:eastAsia="Calibri" w:hAnsi="Calibri" w:cs="Source Sans Pro Light"/>
                <w:sz w:val="18"/>
                <w:szCs w:val="18"/>
              </w:rPr>
              <w:t>Assumed average size of IBNR Claims is $</w:t>
            </w:r>
            <w:r w:rsidR="00C1006B" w:rsidRPr="00C40FCA">
              <w:rPr>
                <w:rFonts w:ascii="Calibri" w:eastAsia="Calibri" w:hAnsi="Calibri" w:cs="Source Sans Pro Light"/>
                <w:sz w:val="18"/>
                <w:szCs w:val="18"/>
              </w:rPr>
              <w:t>4.1</w:t>
            </w:r>
            <w:r w:rsidRPr="00C40FCA">
              <w:rPr>
                <w:rFonts w:ascii="Calibri" w:eastAsia="Calibri" w:hAnsi="Calibri" w:cs="Source Sans Pro Light"/>
                <w:sz w:val="18"/>
                <w:szCs w:val="18"/>
              </w:rPr>
              <w:t xml:space="preserve"> million </w:t>
            </w:r>
          </w:p>
        </w:tc>
      </w:tr>
      <w:tr w:rsidR="00E44B25" w:rsidRPr="00E44B25" w14:paraId="781B0A63" w14:textId="77777777" w:rsidTr="001C26CF">
        <w:trPr>
          <w:trHeight w:val="75"/>
        </w:trPr>
        <w:tc>
          <w:tcPr>
            <w:tcW w:w="4313" w:type="dxa"/>
          </w:tcPr>
          <w:p w14:paraId="7BC36332"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Increase by $1.0 million </w:t>
            </w:r>
          </w:p>
        </w:tc>
        <w:tc>
          <w:tcPr>
            <w:tcW w:w="3333" w:type="dxa"/>
            <w:gridSpan w:val="4"/>
          </w:tcPr>
          <w:p w14:paraId="11C16170" w14:textId="69A87375"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390</w:t>
            </w:r>
            <w:r w:rsidR="00C40FCA" w:rsidRPr="003667E3">
              <w:rPr>
                <w:color w:val="000000" w:themeColor="text1"/>
                <w:sz w:val="18"/>
                <w:szCs w:val="18"/>
              </w:rPr>
              <w:t>,239</w:t>
            </w:r>
          </w:p>
        </w:tc>
        <w:tc>
          <w:tcPr>
            <w:tcW w:w="1159" w:type="dxa"/>
            <w:gridSpan w:val="2"/>
          </w:tcPr>
          <w:p w14:paraId="42C3CB4C" w14:textId="1CAFA365" w:rsidR="00E44B25" w:rsidRPr="0093461A" w:rsidRDefault="00C40FCA"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28,541</w:t>
            </w:r>
          </w:p>
        </w:tc>
        <w:tc>
          <w:tcPr>
            <w:tcW w:w="1017" w:type="dxa"/>
            <w:gridSpan w:val="2"/>
          </w:tcPr>
          <w:p w14:paraId="6C5AF2A1" w14:textId="64F5737F" w:rsidR="00E44B25" w:rsidRPr="0093461A" w:rsidRDefault="00C40FCA"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7</w:t>
            </w:r>
            <w:r w:rsidR="00E44B25" w:rsidRPr="003667E3">
              <w:rPr>
                <w:color w:val="000000" w:themeColor="text1"/>
                <w:sz w:val="18"/>
                <w:szCs w:val="18"/>
              </w:rPr>
              <w:t>.9%</w:t>
            </w:r>
          </w:p>
        </w:tc>
      </w:tr>
      <w:tr w:rsidR="00E44B25" w:rsidRPr="00E44B25" w14:paraId="07E0F2D1" w14:textId="77777777" w:rsidTr="001C26CF">
        <w:trPr>
          <w:trHeight w:val="75"/>
        </w:trPr>
        <w:tc>
          <w:tcPr>
            <w:tcW w:w="4313" w:type="dxa"/>
          </w:tcPr>
          <w:p w14:paraId="406A7A91"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Decrease by $1.0 million </w:t>
            </w:r>
          </w:p>
        </w:tc>
        <w:tc>
          <w:tcPr>
            <w:tcW w:w="3333" w:type="dxa"/>
            <w:gridSpan w:val="4"/>
          </w:tcPr>
          <w:p w14:paraId="4FECD73B" w14:textId="7CB9633A" w:rsidR="00E44B25" w:rsidRPr="0093461A" w:rsidRDefault="00C40FCA"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333,463</w:t>
            </w:r>
          </w:p>
        </w:tc>
        <w:tc>
          <w:tcPr>
            <w:tcW w:w="1159" w:type="dxa"/>
            <w:gridSpan w:val="2"/>
          </w:tcPr>
          <w:p w14:paraId="4C09C202" w14:textId="4F637F8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(28,</w:t>
            </w:r>
            <w:r w:rsidR="00C40FCA" w:rsidRPr="003667E3">
              <w:rPr>
                <w:color w:val="000000" w:themeColor="text1"/>
                <w:sz w:val="18"/>
                <w:szCs w:val="18"/>
              </w:rPr>
              <w:t>236</w:t>
            </w:r>
            <w:r w:rsidRPr="003667E3">
              <w:rPr>
                <w:color w:val="000000" w:themeColor="text1"/>
                <w:sz w:val="18"/>
                <w:szCs w:val="18"/>
              </w:rPr>
              <w:t>)</w:t>
            </w:r>
          </w:p>
        </w:tc>
        <w:tc>
          <w:tcPr>
            <w:tcW w:w="1017" w:type="dxa"/>
            <w:gridSpan w:val="2"/>
          </w:tcPr>
          <w:p w14:paraId="2D649CD2" w14:textId="6840BF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w:t>
            </w:r>
            <w:r w:rsidR="00C40FCA" w:rsidRPr="003667E3">
              <w:rPr>
                <w:color w:val="000000" w:themeColor="text1"/>
                <w:sz w:val="18"/>
                <w:szCs w:val="18"/>
              </w:rPr>
              <w:t>7.</w:t>
            </w:r>
            <w:r w:rsidRPr="003667E3">
              <w:rPr>
                <w:color w:val="000000" w:themeColor="text1"/>
                <w:sz w:val="18"/>
                <w:szCs w:val="18"/>
              </w:rPr>
              <w:t>8%)</w:t>
            </w:r>
          </w:p>
        </w:tc>
      </w:tr>
      <w:tr w:rsidR="00E44B25" w:rsidRPr="00E44B25" w14:paraId="5530FC4B" w14:textId="77777777" w:rsidTr="001C26CF">
        <w:trPr>
          <w:trHeight w:val="150"/>
        </w:trPr>
        <w:tc>
          <w:tcPr>
            <w:tcW w:w="9822" w:type="dxa"/>
            <w:gridSpan w:val="9"/>
          </w:tcPr>
          <w:p w14:paraId="5BCFFD30" w14:textId="4037C3EB" w:rsidR="00E44B25" w:rsidRPr="00830BE7"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830BE7">
              <w:rPr>
                <w:rFonts w:ascii="Calibri" w:eastAsia="Calibri" w:hAnsi="Calibri" w:cs="Source Sans Pro Light"/>
                <w:sz w:val="18"/>
                <w:szCs w:val="18"/>
              </w:rPr>
              <w:t xml:space="preserve">High uncertainty in </w:t>
            </w:r>
            <w:r w:rsidR="00E20412">
              <w:rPr>
                <w:rFonts w:ascii="Calibri" w:eastAsia="Calibri" w:hAnsi="Calibri" w:cs="Source Sans Pro Light"/>
                <w:sz w:val="18"/>
                <w:szCs w:val="18"/>
              </w:rPr>
              <w:t>ultimate large</w:t>
            </w:r>
            <w:r w:rsidRPr="00830BE7">
              <w:rPr>
                <w:rFonts w:ascii="Calibri" w:eastAsia="Calibri" w:hAnsi="Calibri" w:cs="Source Sans Pro Light"/>
                <w:sz w:val="18"/>
                <w:szCs w:val="18"/>
              </w:rPr>
              <w:t xml:space="preserve"> claim numbers for more recent insurance years </w:t>
            </w:r>
          </w:p>
        </w:tc>
      </w:tr>
      <w:tr w:rsidR="00E44B25" w:rsidRPr="00E44B25" w14:paraId="011235BA" w14:textId="77777777" w:rsidTr="001C26CF">
        <w:trPr>
          <w:trHeight w:val="75"/>
        </w:trPr>
        <w:tc>
          <w:tcPr>
            <w:tcW w:w="4313" w:type="dxa"/>
          </w:tcPr>
          <w:p w14:paraId="534BABA0" w14:textId="6171E9E1"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1 additional claim per annum for 201</w:t>
            </w:r>
            <w:r w:rsidR="0028636E">
              <w:rPr>
                <w:rFonts w:ascii="Calibri" w:eastAsia="Calibri" w:hAnsi="Calibri" w:cs="Source Sans Pro Light"/>
                <w:sz w:val="18"/>
                <w:szCs w:val="18"/>
              </w:rPr>
              <w:t>9</w:t>
            </w:r>
            <w:r w:rsidRPr="00E44B25">
              <w:rPr>
                <w:rFonts w:ascii="Calibri" w:eastAsia="Calibri" w:hAnsi="Calibri" w:cs="Source Sans Pro Light"/>
                <w:sz w:val="18"/>
                <w:szCs w:val="18"/>
              </w:rPr>
              <w:t xml:space="preserve"> and later </w:t>
            </w:r>
          </w:p>
        </w:tc>
        <w:tc>
          <w:tcPr>
            <w:tcW w:w="3333" w:type="dxa"/>
            <w:gridSpan w:val="4"/>
          </w:tcPr>
          <w:p w14:paraId="190405EC" w14:textId="16E520B2" w:rsidR="00E44B25" w:rsidRPr="0093461A" w:rsidRDefault="00830BE7"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379,005</w:t>
            </w:r>
          </w:p>
        </w:tc>
        <w:tc>
          <w:tcPr>
            <w:tcW w:w="1159" w:type="dxa"/>
            <w:gridSpan w:val="2"/>
          </w:tcPr>
          <w:p w14:paraId="4A63FEAF" w14:textId="52CA3AE3" w:rsidR="00E44B25" w:rsidRPr="0093461A" w:rsidRDefault="00830BE7"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17,306</w:t>
            </w:r>
          </w:p>
        </w:tc>
        <w:tc>
          <w:tcPr>
            <w:tcW w:w="1017" w:type="dxa"/>
            <w:gridSpan w:val="2"/>
          </w:tcPr>
          <w:p w14:paraId="792E5224" w14:textId="0625158F" w:rsidR="00E44B25" w:rsidRPr="0093461A" w:rsidRDefault="00830BE7"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4.8</w:t>
            </w:r>
            <w:r w:rsidR="00E44B25" w:rsidRPr="003667E3">
              <w:rPr>
                <w:color w:val="000000" w:themeColor="text1"/>
                <w:sz w:val="18"/>
                <w:szCs w:val="18"/>
              </w:rPr>
              <w:t>%</w:t>
            </w:r>
          </w:p>
        </w:tc>
      </w:tr>
      <w:tr w:rsidR="00E44B25" w:rsidRPr="00E44B25" w14:paraId="190FDA4A" w14:textId="77777777" w:rsidTr="001C26CF">
        <w:trPr>
          <w:trHeight w:val="75"/>
        </w:trPr>
        <w:tc>
          <w:tcPr>
            <w:tcW w:w="4313" w:type="dxa"/>
          </w:tcPr>
          <w:p w14:paraId="32A3E3C8" w14:textId="5950232F"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1 less claim per annum for 201</w:t>
            </w:r>
            <w:r w:rsidR="0028636E">
              <w:rPr>
                <w:rFonts w:ascii="Calibri" w:eastAsia="Calibri" w:hAnsi="Calibri" w:cs="Source Sans Pro Light"/>
                <w:sz w:val="18"/>
                <w:szCs w:val="18"/>
              </w:rPr>
              <w:t>9</w:t>
            </w:r>
            <w:r w:rsidRPr="00E44B25">
              <w:rPr>
                <w:rFonts w:ascii="Calibri" w:eastAsia="Calibri" w:hAnsi="Calibri" w:cs="Source Sans Pro Light"/>
                <w:sz w:val="18"/>
                <w:szCs w:val="18"/>
              </w:rPr>
              <w:t xml:space="preserve"> and later </w:t>
            </w:r>
          </w:p>
        </w:tc>
        <w:tc>
          <w:tcPr>
            <w:tcW w:w="3333" w:type="dxa"/>
            <w:gridSpan w:val="4"/>
          </w:tcPr>
          <w:p w14:paraId="546646DF" w14:textId="6812C9BB" w:rsidR="00E44B25" w:rsidRPr="0093461A" w:rsidRDefault="00830BE7"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344,386</w:t>
            </w:r>
          </w:p>
        </w:tc>
        <w:tc>
          <w:tcPr>
            <w:tcW w:w="1159" w:type="dxa"/>
            <w:gridSpan w:val="2"/>
          </w:tcPr>
          <w:p w14:paraId="72B9CED5" w14:textId="18C634A3" w:rsidR="00E44B25" w:rsidRPr="0093461A" w:rsidRDefault="00830BE7"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(17,313)</w:t>
            </w:r>
          </w:p>
        </w:tc>
        <w:tc>
          <w:tcPr>
            <w:tcW w:w="1017" w:type="dxa"/>
            <w:gridSpan w:val="2"/>
          </w:tcPr>
          <w:p w14:paraId="5D40C69A" w14:textId="0DF990E4"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3667E3">
              <w:rPr>
                <w:color w:val="000000" w:themeColor="text1"/>
                <w:sz w:val="18"/>
                <w:szCs w:val="18"/>
              </w:rPr>
              <w:t>(</w:t>
            </w:r>
            <w:r w:rsidR="00830BE7" w:rsidRPr="003667E3">
              <w:rPr>
                <w:color w:val="000000" w:themeColor="text1"/>
                <w:sz w:val="18"/>
                <w:szCs w:val="18"/>
              </w:rPr>
              <w:t>4</w:t>
            </w:r>
            <w:r w:rsidRPr="003667E3">
              <w:rPr>
                <w:color w:val="000000" w:themeColor="text1"/>
                <w:sz w:val="18"/>
                <w:szCs w:val="18"/>
              </w:rPr>
              <w:t>.8%)</w:t>
            </w:r>
          </w:p>
        </w:tc>
      </w:tr>
      <w:tr w:rsidR="00E44B25" w:rsidRPr="00E44B25" w14:paraId="7A12E6F3" w14:textId="77777777" w:rsidTr="001C26CF">
        <w:trPr>
          <w:trHeight w:val="75"/>
        </w:trPr>
        <w:tc>
          <w:tcPr>
            <w:tcW w:w="4313" w:type="dxa"/>
            <w:tcBorders>
              <w:bottom w:val="nil"/>
            </w:tcBorders>
          </w:tcPr>
          <w:p w14:paraId="10360248"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p>
        </w:tc>
        <w:tc>
          <w:tcPr>
            <w:tcW w:w="3333" w:type="dxa"/>
            <w:gridSpan w:val="4"/>
            <w:tcBorders>
              <w:bottom w:val="nil"/>
            </w:tcBorders>
          </w:tcPr>
          <w:p w14:paraId="03023CE2"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159" w:type="dxa"/>
            <w:gridSpan w:val="2"/>
            <w:tcBorders>
              <w:bottom w:val="nil"/>
            </w:tcBorders>
          </w:tcPr>
          <w:p w14:paraId="07E64A79"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017" w:type="dxa"/>
            <w:gridSpan w:val="2"/>
            <w:tcBorders>
              <w:bottom w:val="nil"/>
            </w:tcBorders>
          </w:tcPr>
          <w:p w14:paraId="28C3C96B"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E44B25" w:rsidRPr="00E44B25" w14:paraId="35FF44BA" w14:textId="77777777" w:rsidTr="001C26CF">
        <w:trPr>
          <w:trHeight w:val="80"/>
        </w:trPr>
        <w:tc>
          <w:tcPr>
            <w:tcW w:w="9822" w:type="dxa"/>
            <w:gridSpan w:val="9"/>
            <w:tcBorders>
              <w:top w:val="nil"/>
              <w:left w:val="nil"/>
              <w:bottom w:val="single" w:sz="12" w:space="0" w:color="492581" w:themeColor="accent1"/>
              <w:right w:val="nil"/>
            </w:tcBorders>
          </w:tcPr>
          <w:tbl>
            <w:tblPr>
              <w:tblW w:w="9822" w:type="dxa"/>
              <w:tblInd w:w="4" w:type="dxa"/>
              <w:tblBorders>
                <w:top w:val="nil"/>
                <w:left w:val="nil"/>
                <w:bottom w:val="nil"/>
                <w:right w:val="nil"/>
              </w:tblBorders>
              <w:tblLayout w:type="fixed"/>
              <w:tblLook w:val="0000" w:firstRow="0" w:lastRow="0" w:firstColumn="0" w:lastColumn="0" w:noHBand="0" w:noVBand="0"/>
            </w:tblPr>
            <w:tblGrid>
              <w:gridCol w:w="4313"/>
              <w:gridCol w:w="3333"/>
              <w:gridCol w:w="1159"/>
              <w:gridCol w:w="1017"/>
            </w:tblGrid>
            <w:tr w:rsidR="006F6460" w:rsidRPr="003667E3" w14:paraId="1CF28BF9" w14:textId="77777777" w:rsidTr="0040725C">
              <w:trPr>
                <w:trHeight w:val="80"/>
              </w:trPr>
              <w:tc>
                <w:tcPr>
                  <w:tcW w:w="9822" w:type="dxa"/>
                  <w:gridSpan w:val="4"/>
                  <w:tcBorders>
                    <w:top w:val="nil"/>
                    <w:left w:val="nil"/>
                    <w:bottom w:val="single" w:sz="8" w:space="0" w:color="auto"/>
                    <w:right w:val="nil"/>
                  </w:tcBorders>
                </w:tcPr>
                <w:p w14:paraId="50AD21B2" w14:textId="77777777" w:rsidR="006F6460" w:rsidRPr="003667E3" w:rsidRDefault="006F6460" w:rsidP="006F6460">
                  <w:pPr>
                    <w:autoSpaceDE w:val="0"/>
                    <w:autoSpaceDN w:val="0"/>
                    <w:adjustRightInd w:val="0"/>
                    <w:spacing w:before="40" w:after="40" w:line="240" w:lineRule="auto"/>
                    <w:rPr>
                      <w:rFonts w:cs="Source Sans Pro SemiBold"/>
                      <w:sz w:val="18"/>
                      <w:szCs w:val="18"/>
                    </w:rPr>
                  </w:pPr>
                  <w:r w:rsidRPr="003667E3">
                    <w:rPr>
                      <w:rFonts w:cs="Source Sans Pro SemiBold"/>
                      <w:b/>
                      <w:bCs/>
                      <w:color w:val="000000" w:themeColor="text1"/>
                      <w:sz w:val="18"/>
                      <w:szCs w:val="18"/>
                    </w:rPr>
                    <w:t xml:space="preserve">Public Liability </w:t>
                  </w:r>
                </w:p>
              </w:tc>
            </w:tr>
            <w:tr w:rsidR="006F6460" w:rsidRPr="003667E3" w14:paraId="6AA7C7CD" w14:textId="77777777" w:rsidTr="0040725C">
              <w:trPr>
                <w:trHeight w:val="74"/>
              </w:trPr>
              <w:tc>
                <w:tcPr>
                  <w:tcW w:w="9822" w:type="dxa"/>
                  <w:gridSpan w:val="4"/>
                  <w:tcBorders>
                    <w:top w:val="single" w:sz="8" w:space="0" w:color="auto"/>
                  </w:tcBorders>
                </w:tcPr>
                <w:p w14:paraId="1FF08EEC" w14:textId="77777777" w:rsidR="006F6460" w:rsidRPr="003667E3" w:rsidRDefault="006F6460" w:rsidP="006F6460">
                  <w:pPr>
                    <w:autoSpaceDE w:val="0"/>
                    <w:autoSpaceDN w:val="0"/>
                    <w:adjustRightInd w:val="0"/>
                    <w:spacing w:before="40" w:after="40" w:line="240" w:lineRule="auto"/>
                    <w:rPr>
                      <w:rFonts w:cs="Source Sans Pro Light"/>
                      <w:sz w:val="18"/>
                      <w:szCs w:val="18"/>
                    </w:rPr>
                  </w:pPr>
                  <w:r w:rsidRPr="003667E3">
                    <w:rPr>
                      <w:rFonts w:cs="Source Sans Pro Light"/>
                      <w:i/>
                      <w:iCs/>
                      <w:color w:val="000000" w:themeColor="text1"/>
                      <w:sz w:val="18"/>
                      <w:szCs w:val="18"/>
                    </w:rPr>
                    <w:t xml:space="preserve">Large Claims </w:t>
                  </w:r>
                </w:p>
              </w:tc>
            </w:tr>
            <w:tr w:rsidR="006F6460" w:rsidRPr="003667E3" w14:paraId="0AD9A2B7" w14:textId="77777777" w:rsidTr="0040725C">
              <w:trPr>
                <w:trHeight w:val="75"/>
              </w:trPr>
              <w:tc>
                <w:tcPr>
                  <w:tcW w:w="9822" w:type="dxa"/>
                  <w:gridSpan w:val="4"/>
                </w:tcPr>
                <w:p w14:paraId="41A8FC08" w14:textId="77777777" w:rsidR="006F6460" w:rsidRPr="003667E3" w:rsidRDefault="006F6460" w:rsidP="006F6460">
                  <w:pPr>
                    <w:autoSpaceDE w:val="0"/>
                    <w:autoSpaceDN w:val="0"/>
                    <w:adjustRightInd w:val="0"/>
                    <w:spacing w:before="40" w:after="40" w:line="240" w:lineRule="auto"/>
                    <w:rPr>
                      <w:rFonts w:cs="Source Sans Pro Light"/>
                      <w:sz w:val="18"/>
                      <w:szCs w:val="18"/>
                    </w:rPr>
                  </w:pPr>
                  <w:r w:rsidRPr="003667E3">
                    <w:rPr>
                      <w:rFonts w:cs="Source Sans Pro Light"/>
                      <w:color w:val="000000" w:themeColor="text1"/>
                      <w:sz w:val="18"/>
                      <w:szCs w:val="18"/>
                    </w:rPr>
                    <w:t xml:space="preserve">Assumed average size of IBNR Claims is $4.3 million </w:t>
                  </w:r>
                </w:p>
              </w:tc>
            </w:tr>
            <w:tr w:rsidR="006F6460" w:rsidRPr="003667E3" w14:paraId="22F04442" w14:textId="77777777" w:rsidTr="00A72C99">
              <w:trPr>
                <w:trHeight w:val="75"/>
              </w:trPr>
              <w:tc>
                <w:tcPr>
                  <w:tcW w:w="4313" w:type="dxa"/>
                </w:tcPr>
                <w:p w14:paraId="5A43F7DB" w14:textId="77777777" w:rsidR="006F6460" w:rsidRPr="003667E3" w:rsidRDefault="006F6460" w:rsidP="006F6460">
                  <w:pPr>
                    <w:autoSpaceDE w:val="0"/>
                    <w:autoSpaceDN w:val="0"/>
                    <w:adjustRightInd w:val="0"/>
                    <w:spacing w:before="40" w:after="40" w:line="240" w:lineRule="auto"/>
                    <w:ind w:left="454"/>
                    <w:rPr>
                      <w:rFonts w:cs="Source Sans Pro Light"/>
                      <w:sz w:val="18"/>
                      <w:szCs w:val="18"/>
                    </w:rPr>
                  </w:pPr>
                  <w:r w:rsidRPr="003667E3">
                    <w:rPr>
                      <w:rFonts w:cs="Source Sans Pro Light"/>
                      <w:color w:val="000000" w:themeColor="text1"/>
                      <w:sz w:val="18"/>
                      <w:szCs w:val="18"/>
                    </w:rPr>
                    <w:t xml:space="preserve">Increase by $1.0 million </w:t>
                  </w:r>
                </w:p>
              </w:tc>
              <w:tc>
                <w:tcPr>
                  <w:tcW w:w="3333" w:type="dxa"/>
                </w:tcPr>
                <w:p w14:paraId="7C88814B"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363,774</w:t>
                  </w:r>
                </w:p>
              </w:tc>
              <w:tc>
                <w:tcPr>
                  <w:tcW w:w="1159" w:type="dxa"/>
                </w:tcPr>
                <w:p w14:paraId="1BD51A4D"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2,075</w:t>
                  </w:r>
                </w:p>
              </w:tc>
              <w:tc>
                <w:tcPr>
                  <w:tcW w:w="1017" w:type="dxa"/>
                </w:tcPr>
                <w:p w14:paraId="595EBFC8"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0.6%</w:t>
                  </w:r>
                </w:p>
              </w:tc>
            </w:tr>
            <w:tr w:rsidR="006F6460" w:rsidRPr="003667E3" w14:paraId="4B970FEE" w14:textId="77777777" w:rsidTr="00A72C99">
              <w:trPr>
                <w:trHeight w:val="75"/>
              </w:trPr>
              <w:tc>
                <w:tcPr>
                  <w:tcW w:w="4313" w:type="dxa"/>
                </w:tcPr>
                <w:p w14:paraId="76776154" w14:textId="77777777" w:rsidR="006F6460" w:rsidRPr="003667E3" w:rsidRDefault="006F6460" w:rsidP="006F6460">
                  <w:pPr>
                    <w:autoSpaceDE w:val="0"/>
                    <w:autoSpaceDN w:val="0"/>
                    <w:adjustRightInd w:val="0"/>
                    <w:spacing w:before="40" w:after="40" w:line="240" w:lineRule="auto"/>
                    <w:ind w:left="454"/>
                    <w:rPr>
                      <w:rFonts w:cs="Source Sans Pro Light"/>
                      <w:sz w:val="18"/>
                      <w:szCs w:val="18"/>
                    </w:rPr>
                  </w:pPr>
                  <w:r w:rsidRPr="003667E3">
                    <w:rPr>
                      <w:rFonts w:cs="Source Sans Pro Light"/>
                      <w:color w:val="000000" w:themeColor="text1"/>
                      <w:sz w:val="18"/>
                      <w:szCs w:val="18"/>
                    </w:rPr>
                    <w:t xml:space="preserve">Decrease by $1.0 million </w:t>
                  </w:r>
                </w:p>
              </w:tc>
              <w:tc>
                <w:tcPr>
                  <w:tcW w:w="3333" w:type="dxa"/>
                </w:tcPr>
                <w:p w14:paraId="5CDDCD0C"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359,624</w:t>
                  </w:r>
                </w:p>
              </w:tc>
              <w:tc>
                <w:tcPr>
                  <w:tcW w:w="1159" w:type="dxa"/>
                </w:tcPr>
                <w:p w14:paraId="4410372D"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(2,075)</w:t>
                  </w:r>
                </w:p>
              </w:tc>
              <w:tc>
                <w:tcPr>
                  <w:tcW w:w="1017" w:type="dxa"/>
                </w:tcPr>
                <w:p w14:paraId="3D218FD1"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(0.6%)</w:t>
                  </w:r>
                </w:p>
              </w:tc>
            </w:tr>
            <w:tr w:rsidR="006F6460" w:rsidRPr="003667E3" w14:paraId="3EF8826A" w14:textId="77777777" w:rsidTr="0040725C">
              <w:trPr>
                <w:trHeight w:val="150"/>
              </w:trPr>
              <w:tc>
                <w:tcPr>
                  <w:tcW w:w="9822" w:type="dxa"/>
                  <w:gridSpan w:val="4"/>
                  <w:tcBorders>
                    <w:bottom w:val="nil"/>
                  </w:tcBorders>
                </w:tcPr>
                <w:p w14:paraId="7D4AF07A" w14:textId="77777777" w:rsidR="006F6460" w:rsidRPr="003667E3" w:rsidRDefault="006F6460" w:rsidP="006F6460">
                  <w:pPr>
                    <w:autoSpaceDE w:val="0"/>
                    <w:autoSpaceDN w:val="0"/>
                    <w:adjustRightInd w:val="0"/>
                    <w:spacing w:before="40" w:after="40" w:line="240" w:lineRule="auto"/>
                    <w:rPr>
                      <w:rFonts w:cs="Source Sans Pro Light"/>
                      <w:sz w:val="18"/>
                      <w:szCs w:val="18"/>
                    </w:rPr>
                  </w:pPr>
                  <w:r w:rsidRPr="003667E3">
                    <w:rPr>
                      <w:rFonts w:cs="Source Sans Pro Light"/>
                      <w:color w:val="000000" w:themeColor="text1"/>
                      <w:sz w:val="18"/>
                      <w:szCs w:val="18"/>
                    </w:rPr>
                    <w:t>High uncertainty in ultimate large</w:t>
                  </w:r>
                  <w:r w:rsidRPr="003667E3" w:rsidDel="00C94557">
                    <w:rPr>
                      <w:rFonts w:cs="Source Sans Pro Light"/>
                      <w:color w:val="000000" w:themeColor="text1"/>
                      <w:sz w:val="18"/>
                      <w:szCs w:val="18"/>
                    </w:rPr>
                    <w:t xml:space="preserve"> </w:t>
                  </w:r>
                  <w:r w:rsidRPr="003667E3">
                    <w:rPr>
                      <w:rFonts w:cs="Source Sans Pro Light"/>
                      <w:color w:val="000000" w:themeColor="text1"/>
                      <w:sz w:val="18"/>
                      <w:szCs w:val="18"/>
                    </w:rPr>
                    <w:t xml:space="preserve">claim numbers for the more recent insurance years </w:t>
                  </w:r>
                </w:p>
              </w:tc>
            </w:tr>
            <w:tr w:rsidR="006F6460" w:rsidRPr="003667E3" w14:paraId="6E554813" w14:textId="77777777" w:rsidTr="00A72C99">
              <w:trPr>
                <w:trHeight w:val="75"/>
              </w:trPr>
              <w:tc>
                <w:tcPr>
                  <w:tcW w:w="4313" w:type="dxa"/>
                  <w:tcBorders>
                    <w:top w:val="nil"/>
                    <w:left w:val="nil"/>
                    <w:bottom w:val="nil"/>
                  </w:tcBorders>
                </w:tcPr>
                <w:p w14:paraId="5EAFED5B" w14:textId="77777777" w:rsidR="006F6460" w:rsidRPr="003667E3" w:rsidRDefault="006F6460" w:rsidP="006F6460">
                  <w:pPr>
                    <w:autoSpaceDE w:val="0"/>
                    <w:autoSpaceDN w:val="0"/>
                    <w:adjustRightInd w:val="0"/>
                    <w:spacing w:before="40" w:after="40" w:line="240" w:lineRule="auto"/>
                    <w:ind w:left="454"/>
                    <w:rPr>
                      <w:rFonts w:cs="Source Sans Pro Light"/>
                      <w:sz w:val="18"/>
                      <w:szCs w:val="18"/>
                    </w:rPr>
                  </w:pPr>
                  <w:r w:rsidRPr="003667E3">
                    <w:rPr>
                      <w:rFonts w:cs="Source Sans Pro Light"/>
                      <w:color w:val="000000" w:themeColor="text1"/>
                      <w:sz w:val="18"/>
                      <w:szCs w:val="18"/>
                    </w:rPr>
                    <w:t xml:space="preserve">1 additional claim per annum for 2019 and later </w:t>
                  </w:r>
                </w:p>
              </w:tc>
              <w:tc>
                <w:tcPr>
                  <w:tcW w:w="3333" w:type="dxa"/>
                  <w:tcBorders>
                    <w:top w:val="nil"/>
                    <w:bottom w:val="nil"/>
                  </w:tcBorders>
                </w:tcPr>
                <w:p w14:paraId="1E319586"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378,443</w:t>
                  </w:r>
                </w:p>
              </w:tc>
              <w:tc>
                <w:tcPr>
                  <w:tcW w:w="1159" w:type="dxa"/>
                  <w:tcBorders>
                    <w:top w:val="nil"/>
                    <w:bottom w:val="nil"/>
                  </w:tcBorders>
                </w:tcPr>
                <w:p w14:paraId="6F420ADF"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16.744</w:t>
                  </w:r>
                </w:p>
              </w:tc>
              <w:tc>
                <w:tcPr>
                  <w:tcW w:w="1017" w:type="dxa"/>
                  <w:tcBorders>
                    <w:top w:val="nil"/>
                    <w:bottom w:val="nil"/>
                    <w:right w:val="nil"/>
                  </w:tcBorders>
                </w:tcPr>
                <w:p w14:paraId="53A7FB01" w14:textId="77777777" w:rsidR="006F6460" w:rsidRPr="003667E3" w:rsidRDefault="006F6460" w:rsidP="006F6460">
                  <w:pPr>
                    <w:autoSpaceDE w:val="0"/>
                    <w:autoSpaceDN w:val="0"/>
                    <w:adjustRightInd w:val="0"/>
                    <w:spacing w:before="40" w:after="40" w:line="240" w:lineRule="auto"/>
                    <w:jc w:val="right"/>
                    <w:rPr>
                      <w:rFonts w:cs="Source Sans Pro Light"/>
                      <w:sz w:val="18"/>
                      <w:szCs w:val="18"/>
                    </w:rPr>
                  </w:pPr>
                  <w:r w:rsidRPr="003667E3">
                    <w:rPr>
                      <w:color w:val="000000" w:themeColor="text1"/>
                      <w:sz w:val="18"/>
                      <w:szCs w:val="18"/>
                    </w:rPr>
                    <w:t>4.6%</w:t>
                  </w:r>
                </w:p>
              </w:tc>
            </w:tr>
            <w:tr w:rsidR="00A72C99" w:rsidRPr="003667E3" w14:paraId="45723D7D" w14:textId="77777777" w:rsidTr="00A72C99">
              <w:trPr>
                <w:trHeight w:val="75"/>
              </w:trPr>
              <w:tc>
                <w:tcPr>
                  <w:tcW w:w="7646" w:type="dxa"/>
                  <w:gridSpan w:val="2"/>
                  <w:tcBorders>
                    <w:bottom w:val="nil"/>
                  </w:tcBorders>
                </w:tcPr>
                <w:p w14:paraId="19AD548E" w14:textId="54C20D21" w:rsidR="00A72C99" w:rsidRPr="003667E3" w:rsidRDefault="00A72C99" w:rsidP="00A72C99">
                  <w:pPr>
                    <w:autoSpaceDE w:val="0"/>
                    <w:autoSpaceDN w:val="0"/>
                    <w:adjustRightInd w:val="0"/>
                    <w:spacing w:before="40" w:after="40" w:line="240" w:lineRule="auto"/>
                    <w:rPr>
                      <w:sz w:val="18"/>
                      <w:szCs w:val="18"/>
                    </w:rPr>
                  </w:pPr>
                  <w:r w:rsidRPr="003667E3">
                    <w:rPr>
                      <w:rFonts w:cs="Source Sans Pro Light"/>
                      <w:color w:val="000000" w:themeColor="text1"/>
                      <w:sz w:val="18"/>
                      <w:szCs w:val="18"/>
                    </w:rPr>
                    <w:t xml:space="preserve">High uncertainty in IBNR allowance for years 2018 and prior </w:t>
                  </w:r>
                </w:p>
              </w:tc>
              <w:tc>
                <w:tcPr>
                  <w:tcW w:w="1159" w:type="dxa"/>
                </w:tcPr>
                <w:p w14:paraId="29918AAD" w14:textId="77777777" w:rsidR="00A72C99" w:rsidRPr="003667E3" w:rsidRDefault="00A72C99" w:rsidP="006F6460">
                  <w:pPr>
                    <w:autoSpaceDE w:val="0"/>
                    <w:autoSpaceDN w:val="0"/>
                    <w:adjustRightInd w:val="0"/>
                    <w:spacing w:before="40" w:after="40" w:line="240" w:lineRule="auto"/>
                    <w:jc w:val="right"/>
                    <w:rPr>
                      <w:sz w:val="18"/>
                      <w:szCs w:val="18"/>
                    </w:rPr>
                  </w:pPr>
                </w:p>
              </w:tc>
              <w:tc>
                <w:tcPr>
                  <w:tcW w:w="1017" w:type="dxa"/>
                </w:tcPr>
                <w:p w14:paraId="4F81E670" w14:textId="77777777" w:rsidR="00A72C99" w:rsidRPr="003667E3" w:rsidRDefault="00A72C99" w:rsidP="006F6460">
                  <w:pPr>
                    <w:autoSpaceDE w:val="0"/>
                    <w:autoSpaceDN w:val="0"/>
                    <w:adjustRightInd w:val="0"/>
                    <w:spacing w:before="40" w:after="40" w:line="240" w:lineRule="auto"/>
                    <w:jc w:val="right"/>
                    <w:rPr>
                      <w:sz w:val="18"/>
                      <w:szCs w:val="18"/>
                    </w:rPr>
                  </w:pPr>
                </w:p>
              </w:tc>
            </w:tr>
            <w:tr w:rsidR="006F6460" w:rsidRPr="003667E3" w14:paraId="33933CCD" w14:textId="77777777" w:rsidTr="00526D6A">
              <w:trPr>
                <w:trHeight w:val="75"/>
              </w:trPr>
              <w:tc>
                <w:tcPr>
                  <w:tcW w:w="4313" w:type="dxa"/>
                  <w:tcBorders>
                    <w:top w:val="nil"/>
                    <w:left w:val="nil"/>
                    <w:bottom w:val="nil"/>
                  </w:tcBorders>
                </w:tcPr>
                <w:p w14:paraId="4AADC657" w14:textId="77777777" w:rsidR="006F6460" w:rsidRPr="003667E3" w:rsidRDefault="006F6460" w:rsidP="006F6460">
                  <w:pPr>
                    <w:autoSpaceDE w:val="0"/>
                    <w:autoSpaceDN w:val="0"/>
                    <w:adjustRightInd w:val="0"/>
                    <w:spacing w:before="40" w:after="40" w:line="240" w:lineRule="auto"/>
                    <w:ind w:left="454"/>
                    <w:rPr>
                      <w:rFonts w:cs="Source Sans Pro Light"/>
                      <w:color w:val="000000" w:themeColor="text1"/>
                      <w:sz w:val="18"/>
                      <w:szCs w:val="18"/>
                    </w:rPr>
                  </w:pPr>
                  <w:r w:rsidRPr="003667E3">
                    <w:rPr>
                      <w:rFonts w:cs="Source Sans Pro Light"/>
                      <w:color w:val="000000" w:themeColor="text1"/>
                      <w:sz w:val="18"/>
                      <w:szCs w:val="18"/>
                    </w:rPr>
                    <w:t>10 additional claims in allowance</w:t>
                  </w:r>
                </w:p>
              </w:tc>
              <w:tc>
                <w:tcPr>
                  <w:tcW w:w="3333" w:type="dxa"/>
                  <w:tcBorders>
                    <w:top w:val="nil"/>
                    <w:bottom w:val="nil"/>
                  </w:tcBorders>
                </w:tcPr>
                <w:p w14:paraId="079EE0F5"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364,089</w:t>
                  </w:r>
                </w:p>
              </w:tc>
              <w:tc>
                <w:tcPr>
                  <w:tcW w:w="1159" w:type="dxa"/>
                  <w:tcBorders>
                    <w:top w:val="nil"/>
                    <w:bottom w:val="nil"/>
                  </w:tcBorders>
                </w:tcPr>
                <w:p w14:paraId="7528D950"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2,390</w:t>
                  </w:r>
                </w:p>
              </w:tc>
              <w:tc>
                <w:tcPr>
                  <w:tcW w:w="1017" w:type="dxa"/>
                  <w:tcBorders>
                    <w:top w:val="nil"/>
                    <w:bottom w:val="nil"/>
                    <w:right w:val="nil"/>
                  </w:tcBorders>
                </w:tcPr>
                <w:p w14:paraId="3B25C8C0"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0.7%</w:t>
                  </w:r>
                </w:p>
              </w:tc>
            </w:tr>
            <w:tr w:rsidR="006F6460" w:rsidRPr="003667E3" w14:paraId="0B647D46" w14:textId="77777777" w:rsidTr="00526D6A">
              <w:trPr>
                <w:trHeight w:val="319"/>
              </w:trPr>
              <w:tc>
                <w:tcPr>
                  <w:tcW w:w="4313" w:type="dxa"/>
                  <w:tcBorders>
                    <w:top w:val="nil"/>
                    <w:left w:val="nil"/>
                    <w:bottom w:val="nil"/>
                  </w:tcBorders>
                </w:tcPr>
                <w:p w14:paraId="32905027" w14:textId="77777777" w:rsidR="006F6460" w:rsidRPr="003667E3" w:rsidRDefault="006F6460" w:rsidP="006F6460">
                  <w:pPr>
                    <w:autoSpaceDE w:val="0"/>
                    <w:autoSpaceDN w:val="0"/>
                    <w:adjustRightInd w:val="0"/>
                    <w:spacing w:before="40" w:after="40" w:line="240" w:lineRule="auto"/>
                    <w:ind w:left="454"/>
                    <w:rPr>
                      <w:rFonts w:cs="Source Sans Pro Light"/>
                      <w:color w:val="000000" w:themeColor="text1"/>
                      <w:sz w:val="18"/>
                      <w:szCs w:val="18"/>
                    </w:rPr>
                  </w:pPr>
                  <w:r w:rsidRPr="003667E3">
                    <w:rPr>
                      <w:rFonts w:cs="Source Sans Pro Light"/>
                      <w:color w:val="000000" w:themeColor="text1"/>
                      <w:sz w:val="18"/>
                      <w:szCs w:val="18"/>
                    </w:rPr>
                    <w:t>10 fewer claims in allowance</w:t>
                  </w:r>
                </w:p>
              </w:tc>
              <w:tc>
                <w:tcPr>
                  <w:tcW w:w="3333" w:type="dxa"/>
                  <w:tcBorders>
                    <w:top w:val="nil"/>
                    <w:bottom w:val="nil"/>
                  </w:tcBorders>
                </w:tcPr>
                <w:p w14:paraId="655FAD2D"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359,309</w:t>
                  </w:r>
                </w:p>
              </w:tc>
              <w:tc>
                <w:tcPr>
                  <w:tcW w:w="1159" w:type="dxa"/>
                  <w:tcBorders>
                    <w:top w:val="nil"/>
                    <w:bottom w:val="nil"/>
                  </w:tcBorders>
                </w:tcPr>
                <w:p w14:paraId="22837C5A"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(2,390)</w:t>
                  </w:r>
                </w:p>
              </w:tc>
              <w:tc>
                <w:tcPr>
                  <w:tcW w:w="1017" w:type="dxa"/>
                  <w:tcBorders>
                    <w:top w:val="nil"/>
                    <w:bottom w:val="nil"/>
                    <w:right w:val="nil"/>
                  </w:tcBorders>
                </w:tcPr>
                <w:p w14:paraId="29465CD7" w14:textId="77777777" w:rsidR="006F6460" w:rsidRPr="003667E3" w:rsidRDefault="006F6460" w:rsidP="006F6460">
                  <w:pPr>
                    <w:autoSpaceDE w:val="0"/>
                    <w:autoSpaceDN w:val="0"/>
                    <w:adjustRightInd w:val="0"/>
                    <w:spacing w:before="40" w:after="40" w:line="240" w:lineRule="auto"/>
                    <w:jc w:val="right"/>
                    <w:rPr>
                      <w:color w:val="000000" w:themeColor="text1"/>
                      <w:sz w:val="18"/>
                      <w:szCs w:val="18"/>
                    </w:rPr>
                  </w:pPr>
                  <w:r w:rsidRPr="003667E3">
                    <w:rPr>
                      <w:color w:val="000000" w:themeColor="text1"/>
                      <w:sz w:val="18"/>
                      <w:szCs w:val="18"/>
                    </w:rPr>
                    <w:t>(0.7%)</w:t>
                  </w:r>
                </w:p>
              </w:tc>
            </w:tr>
          </w:tbl>
          <w:p w14:paraId="4232E81C" w14:textId="370BF945" w:rsidR="00E44B25" w:rsidRPr="0093461A" w:rsidRDefault="00E44B25" w:rsidP="00E44B25">
            <w:pPr>
              <w:autoSpaceDE w:val="0"/>
              <w:autoSpaceDN w:val="0"/>
              <w:adjustRightInd w:val="0"/>
              <w:spacing w:before="40" w:after="40" w:line="240" w:lineRule="auto"/>
              <w:rPr>
                <w:rFonts w:ascii="Calibri" w:eastAsia="Calibri" w:hAnsi="Calibri" w:cs="Source Sans Pro SemiBold"/>
                <w:sz w:val="18"/>
                <w:szCs w:val="18"/>
                <w:highlight w:val="yellow"/>
              </w:rPr>
            </w:pPr>
          </w:p>
        </w:tc>
      </w:tr>
    </w:tbl>
    <w:p w14:paraId="2E28586A" w14:textId="77777777" w:rsidR="00CB3621" w:rsidRDefault="00CB3621">
      <w:pPr>
        <w:spacing w:after="0" w:line="240" w:lineRule="auto"/>
        <w:rPr>
          <w:rFonts w:cs="Montserrat Semi Bold"/>
          <w:b/>
          <w:bCs/>
          <w:color w:val="000000"/>
          <w:sz w:val="30"/>
          <w:szCs w:val="30"/>
        </w:rPr>
      </w:pPr>
      <w:r>
        <w:rPr>
          <w:rFonts w:cs="Montserrat Semi Bold"/>
          <w:b/>
          <w:bCs/>
          <w:color w:val="000000"/>
          <w:sz w:val="30"/>
          <w:szCs w:val="30"/>
        </w:rPr>
        <w:br w:type="page"/>
      </w:r>
    </w:p>
    <w:p w14:paraId="42556045" w14:textId="57749296" w:rsidR="0040725C" w:rsidRPr="0040725C" w:rsidRDefault="0040725C" w:rsidP="0040725C">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25170C">
        <w:rPr>
          <w:rFonts w:asciiTheme="minorHAnsi" w:hAnsiTheme="minorHAnsi" w:cs="Montserrat Semi Bold"/>
          <w:b/>
          <w:bCs/>
          <w:color w:val="000000"/>
          <w:sz w:val="30"/>
          <w:szCs w:val="30"/>
        </w:rPr>
        <w:t>. OUTSTANDING CLAIMS - CONTINUED</w:t>
      </w:r>
    </w:p>
    <w:p w14:paraId="6EC2C18B" w14:textId="77777777" w:rsidR="00B92298" w:rsidRPr="008A11DA" w:rsidRDefault="00B92298" w:rsidP="00DD6BFC">
      <w:pPr>
        <w:pStyle w:val="Pa6"/>
        <w:spacing w:before="40" w:after="100"/>
        <w:rPr>
          <w:rFonts w:asciiTheme="minorHAnsi" w:hAnsiTheme="minorHAnsi" w:cs="Source Sans Pro"/>
          <w:sz w:val="22"/>
          <w:szCs w:val="22"/>
        </w:rPr>
      </w:pPr>
      <w:r w:rsidRPr="008A11DA">
        <w:rPr>
          <w:rFonts w:asciiTheme="minorHAnsi" w:hAnsiTheme="minorHAnsi" w:cs="Source Sans Pro"/>
          <w:b/>
          <w:sz w:val="22"/>
          <w:szCs w:val="22"/>
        </w:rPr>
        <w:t xml:space="preserve">Economic Assumptions </w:t>
      </w:r>
    </w:p>
    <w:p w14:paraId="4087D560" w14:textId="77777777" w:rsidR="00B92298" w:rsidRPr="00323F29" w:rsidRDefault="00B92298" w:rsidP="00323F29">
      <w:pPr>
        <w:pStyle w:val="Pa6"/>
        <w:spacing w:after="140"/>
        <w:rPr>
          <w:rFonts w:asciiTheme="minorHAnsi" w:hAnsiTheme="minorHAnsi" w:cs="Source Sans Pro Light"/>
          <w:sz w:val="22"/>
          <w:szCs w:val="22"/>
        </w:rPr>
      </w:pPr>
      <w:r w:rsidRPr="00323F29">
        <w:rPr>
          <w:rFonts w:asciiTheme="minorHAnsi" w:hAnsiTheme="minorHAnsi" w:cs="Source Sans Pro Light"/>
          <w:sz w:val="22"/>
          <w:szCs w:val="22"/>
        </w:rPr>
        <w:t xml:space="preserve">The liability for outstanding claims is sensitive to movements in the discount rate. Discount rates have increased since 30 June </w:t>
      </w:r>
      <w:r w:rsidR="00DD6BFC" w:rsidRPr="00323F29">
        <w:rPr>
          <w:rFonts w:asciiTheme="minorHAnsi" w:hAnsiTheme="minorHAnsi" w:cs="Source Sans Pro Light"/>
          <w:sz w:val="22"/>
          <w:szCs w:val="22"/>
        </w:rPr>
        <w:t>2023</w:t>
      </w:r>
      <w:r w:rsidRPr="00323F29">
        <w:rPr>
          <w:rFonts w:asciiTheme="minorHAnsi" w:hAnsiTheme="minorHAnsi" w:cs="Source Sans Pro Light"/>
          <w:sz w:val="22"/>
          <w:szCs w:val="22"/>
        </w:rPr>
        <w:t>, consequently the sensitivity analysis was undertaken using a reduction or increase of 1% as interest rates are high enough now that a decrease in rates would remain positive. Currently, a 1 percent increase in the discount rate would result in a decrease of $</w:t>
      </w:r>
      <w:r w:rsidR="00DD6BFC" w:rsidRPr="00323F29">
        <w:rPr>
          <w:rFonts w:asciiTheme="minorHAnsi" w:hAnsiTheme="minorHAnsi" w:cs="Source Sans Pro Light"/>
          <w:sz w:val="22"/>
          <w:szCs w:val="22"/>
        </w:rPr>
        <w:t>12.58</w:t>
      </w:r>
      <w:r w:rsidRPr="00323F29">
        <w:rPr>
          <w:rFonts w:asciiTheme="minorHAnsi" w:hAnsiTheme="minorHAnsi" w:cs="Source Sans Pro Light"/>
          <w:sz w:val="22"/>
          <w:szCs w:val="22"/>
        </w:rPr>
        <w:t xml:space="preserve"> million in claims liability whereas a decrease in the discount rate of 1 percent would result in an increase of $</w:t>
      </w:r>
      <w:r w:rsidR="00DD6BFC" w:rsidRPr="00323F29">
        <w:rPr>
          <w:rFonts w:asciiTheme="minorHAnsi" w:hAnsiTheme="minorHAnsi" w:cs="Source Sans Pro Light"/>
          <w:sz w:val="22"/>
          <w:szCs w:val="22"/>
        </w:rPr>
        <w:t>13.51</w:t>
      </w:r>
      <w:r w:rsidRPr="00323F29">
        <w:rPr>
          <w:rFonts w:asciiTheme="minorHAnsi" w:hAnsiTheme="minorHAnsi" w:cs="Source Sans Pro Light"/>
          <w:sz w:val="22"/>
          <w:szCs w:val="22"/>
        </w:rPr>
        <w:t xml:space="preserve"> million in the liability.</w:t>
      </w:r>
      <w:bookmarkEnd w:id="87"/>
      <w:r w:rsidR="00DD6BFC" w:rsidRPr="00323F29">
        <w:rPr>
          <w:rFonts w:asciiTheme="minorHAnsi" w:hAnsiTheme="minorHAnsi" w:cs="Source Sans Pro Light"/>
          <w:sz w:val="22"/>
          <w:szCs w:val="22"/>
        </w:rPr>
        <w:t xml:space="preserve">  </w:t>
      </w:r>
    </w:p>
    <w:p w14:paraId="3611A2A9" w14:textId="77777777" w:rsidR="006E27EE" w:rsidRPr="00FA102D" w:rsidRDefault="006E27EE" w:rsidP="00DD6BFC">
      <w:pPr>
        <w:autoSpaceDE w:val="0"/>
        <w:autoSpaceDN w:val="0"/>
        <w:adjustRightInd w:val="0"/>
        <w:spacing w:before="40" w:after="100"/>
        <w:rPr>
          <w:rFonts w:cs="Source Sans Pro Light"/>
          <w:sz w:val="22"/>
          <w:szCs w:val="22"/>
        </w:rPr>
      </w:pPr>
      <w:r w:rsidRPr="00FA102D">
        <w:rPr>
          <w:rFonts w:cs="Source Sans Pro"/>
          <w:b/>
          <w:sz w:val="22"/>
          <w:szCs w:val="22"/>
        </w:rPr>
        <w:t xml:space="preserve">Medical Malpractice and Public Liability </w:t>
      </w:r>
    </w:p>
    <w:p w14:paraId="5D99FE9E" w14:textId="77777777" w:rsidR="006E27EE" w:rsidRPr="00E3088D" w:rsidRDefault="006E27EE" w:rsidP="00DD6BFC">
      <w:pPr>
        <w:pStyle w:val="Pa6"/>
        <w:spacing w:after="140"/>
        <w:rPr>
          <w:rFonts w:asciiTheme="minorHAnsi" w:hAnsiTheme="minorHAnsi" w:cs="Source Sans Pro Light"/>
          <w:sz w:val="22"/>
          <w:szCs w:val="22"/>
        </w:rPr>
      </w:pPr>
      <w:r w:rsidRPr="00E3088D">
        <w:rPr>
          <w:rFonts w:asciiTheme="minorHAnsi" w:hAnsiTheme="minorHAnsi" w:cs="Source Sans Pro Light"/>
          <w:sz w:val="22"/>
          <w:szCs w:val="22"/>
        </w:rPr>
        <w:t>The liability for outstanding claims is sensitive to movements in the average claim size. As per the previous table, a change in average large claim size for medical malpractice by $1.0 million has a subsequent effect on the outstanding claims of either an increase of $</w:t>
      </w:r>
      <w:r w:rsidR="00DD6BFC" w:rsidRPr="00E3088D">
        <w:rPr>
          <w:rFonts w:asciiTheme="minorHAnsi" w:hAnsiTheme="minorHAnsi" w:cs="Source Sans Pro Light"/>
          <w:sz w:val="22"/>
          <w:szCs w:val="22"/>
        </w:rPr>
        <w:t>28.54</w:t>
      </w:r>
      <w:r w:rsidRPr="00E3088D">
        <w:rPr>
          <w:rFonts w:asciiTheme="minorHAnsi" w:hAnsiTheme="minorHAnsi" w:cs="Source Sans Pro Light"/>
          <w:sz w:val="22"/>
          <w:szCs w:val="22"/>
        </w:rPr>
        <w:t xml:space="preserve"> million or a decrease of $28.</w:t>
      </w:r>
      <w:r w:rsidR="00DD6BFC" w:rsidRPr="00E3088D">
        <w:rPr>
          <w:rFonts w:asciiTheme="minorHAnsi" w:hAnsiTheme="minorHAnsi" w:cs="Source Sans Pro Light"/>
          <w:sz w:val="22"/>
          <w:szCs w:val="22"/>
        </w:rPr>
        <w:t>24 million.</w:t>
      </w:r>
      <w:r w:rsidRPr="00E3088D">
        <w:rPr>
          <w:rFonts w:asciiTheme="minorHAnsi" w:hAnsiTheme="minorHAnsi" w:cs="Source Sans Pro Light"/>
          <w:sz w:val="22"/>
          <w:szCs w:val="22"/>
        </w:rPr>
        <w:t xml:space="preserve"> Whereas for a change by $1.0 million in average large claim size for public liability would either increase or decrease the outstanding claims liabilities by $2.</w:t>
      </w:r>
      <w:r w:rsidR="00DD6BFC" w:rsidRPr="00E3088D">
        <w:rPr>
          <w:rFonts w:asciiTheme="minorHAnsi" w:hAnsiTheme="minorHAnsi" w:cs="Source Sans Pro Light"/>
          <w:sz w:val="22"/>
          <w:szCs w:val="22"/>
        </w:rPr>
        <w:t>08</w:t>
      </w:r>
      <w:r w:rsidRPr="00E3088D">
        <w:rPr>
          <w:rFonts w:asciiTheme="minorHAnsi" w:hAnsiTheme="minorHAnsi" w:cs="Source Sans Pro Light"/>
          <w:sz w:val="22"/>
          <w:szCs w:val="22"/>
        </w:rPr>
        <w:t xml:space="preserve"> million.</w:t>
      </w:r>
    </w:p>
    <w:p w14:paraId="77C9C957" w14:textId="77777777" w:rsidR="006E27EE" w:rsidRPr="00E3088D" w:rsidRDefault="006E27EE" w:rsidP="00DD6BFC">
      <w:pPr>
        <w:pStyle w:val="Pa6"/>
        <w:spacing w:after="140"/>
        <w:rPr>
          <w:rFonts w:asciiTheme="minorHAnsi" w:hAnsiTheme="minorHAnsi" w:cs="Source Sans Pro Light"/>
          <w:sz w:val="22"/>
          <w:szCs w:val="22"/>
        </w:rPr>
      </w:pPr>
      <w:r w:rsidRPr="00E3088D">
        <w:rPr>
          <w:rFonts w:asciiTheme="minorHAnsi" w:hAnsiTheme="minorHAnsi" w:cs="Source Sans Pro Light"/>
          <w:sz w:val="22"/>
          <w:szCs w:val="22"/>
        </w:rPr>
        <w:t xml:space="preserve">A significant proportion of the outstanding claims liability is associated with large medical malpractice and public liability claims. As such, the provision is sensitive to movements in the assumed number of large claims, with a greater uncertainty for more recent insurance years where experience is still relatively undeveloped. </w:t>
      </w:r>
    </w:p>
    <w:p w14:paraId="133DF58F" w14:textId="77777777" w:rsidR="00DD6BFC" w:rsidRPr="00E3088D" w:rsidRDefault="00DD6BFC" w:rsidP="00DD6BFC">
      <w:pPr>
        <w:pStyle w:val="Pa6"/>
        <w:spacing w:after="140"/>
        <w:rPr>
          <w:rFonts w:asciiTheme="minorHAnsi" w:hAnsiTheme="minorHAnsi" w:cs="Source Sans Pro Light"/>
          <w:sz w:val="22"/>
          <w:szCs w:val="22"/>
        </w:rPr>
      </w:pPr>
      <w:r w:rsidRPr="00E3088D">
        <w:rPr>
          <w:rFonts w:asciiTheme="minorHAnsi" w:hAnsiTheme="minorHAnsi" w:cs="Source Sans Pro Light"/>
          <w:sz w:val="22"/>
          <w:szCs w:val="22"/>
        </w:rPr>
        <w:t>For large medical malpractice claims, a change in the assumption of allowing for one additional or one less IBNR claim per annum from 2019 and later has the subsequent effect on the outstanding claims liability of either an increase or decrease of $17.31 million. For large public liability claims, a change in the assumption of allowing for one additional IBNR claim per annum from 2019 and later has the subsequent effect on the outstanding claims liabilities of an increase of $16.74 million.</w:t>
      </w:r>
    </w:p>
    <w:p w14:paraId="4B02389A" w14:textId="77777777" w:rsidR="00DD6BFC" w:rsidRPr="00D03D51" w:rsidRDefault="00DD6BFC" w:rsidP="00DD6BFC">
      <w:pPr>
        <w:pStyle w:val="Pa6"/>
        <w:spacing w:after="140"/>
        <w:rPr>
          <w:rFonts w:asciiTheme="minorHAnsi" w:hAnsiTheme="minorHAnsi" w:cs="Source Sans Pro Light"/>
          <w:sz w:val="22"/>
          <w:szCs w:val="22"/>
        </w:rPr>
      </w:pPr>
      <w:r w:rsidRPr="00E3088D">
        <w:rPr>
          <w:rFonts w:asciiTheme="minorHAnsi" w:hAnsiTheme="minorHAnsi" w:cs="Source Sans Pro Light"/>
          <w:sz w:val="22"/>
          <w:szCs w:val="22"/>
        </w:rPr>
        <w:t>For public liability, a change in the allowance for 10 greater or fewer IBNR claims from older years where an allowance was made for sexual assault claim reports has a corresponding increase or decrease in the outstanding claims liabilities of $2.39m.</w:t>
      </w:r>
    </w:p>
    <w:p w14:paraId="2F425AFE" w14:textId="77777777" w:rsidR="006E27EE" w:rsidRPr="00D03D51" w:rsidRDefault="006E27EE" w:rsidP="00DD6BFC">
      <w:pPr>
        <w:pStyle w:val="Pa6"/>
        <w:spacing w:before="40" w:after="100"/>
        <w:rPr>
          <w:rFonts w:asciiTheme="minorHAnsi" w:hAnsiTheme="minorHAnsi" w:cs="Source Sans Pro"/>
          <w:b/>
          <w:sz w:val="22"/>
          <w:szCs w:val="22"/>
        </w:rPr>
      </w:pPr>
      <w:r w:rsidRPr="00D03D51">
        <w:rPr>
          <w:rFonts w:asciiTheme="minorHAnsi" w:hAnsiTheme="minorHAnsi" w:cs="Source Sans Pro"/>
          <w:b/>
          <w:sz w:val="22"/>
          <w:szCs w:val="22"/>
        </w:rPr>
        <w:t xml:space="preserve">Gross Outstanding Claims Liabilities </w:t>
      </w:r>
    </w:p>
    <w:p w14:paraId="13EF9697" w14:textId="6E8C0B5A" w:rsidR="00962EAF" w:rsidRDefault="00DD6BFC" w:rsidP="00714E0B">
      <w:pPr>
        <w:pStyle w:val="Pa6"/>
        <w:spacing w:after="140"/>
        <w:rPr>
          <w:rFonts w:ascii="Calibri" w:hAnsi="Calibri" w:cs="Source Sans Pro Light"/>
          <w:color w:val="000000"/>
          <w:sz w:val="22"/>
          <w:szCs w:val="22"/>
        </w:rPr>
      </w:pPr>
      <w:r w:rsidRPr="00D03D51">
        <w:rPr>
          <w:rFonts w:asciiTheme="minorHAnsi" w:hAnsiTheme="minorHAnsi" w:cs="Source Sans Pro Light"/>
          <w:color w:val="000000"/>
          <w:sz w:val="22"/>
          <w:szCs w:val="22"/>
        </w:rPr>
        <w:t xml:space="preserve">The Authority used the services of an independent actuary, Scyne Advisory Pty Ltd to estimate the outstanding claims liabilities at 30 June 2024. The movement in outstanding claims liability can either reduce claims expense in the case of a reduction in liability or increase claims expense in the case of an increase in liability. </w:t>
      </w:r>
    </w:p>
    <w:p w14:paraId="4278CFDB" w14:textId="77777777" w:rsidR="00714E0B" w:rsidRDefault="00714E0B">
      <w:pPr>
        <w:spacing w:after="0" w:line="240" w:lineRule="auto"/>
        <w:rPr>
          <w:rFonts w:cs="Montserrat Semi Bold"/>
          <w:b/>
          <w:bCs/>
          <w:color w:val="000000"/>
          <w:sz w:val="30"/>
          <w:szCs w:val="30"/>
        </w:rPr>
      </w:pPr>
      <w:r>
        <w:rPr>
          <w:rFonts w:cs="Montserrat Semi Bold"/>
          <w:b/>
          <w:bCs/>
          <w:color w:val="000000"/>
          <w:sz w:val="30"/>
          <w:szCs w:val="30"/>
        </w:rPr>
        <w:br w:type="page"/>
      </w:r>
    </w:p>
    <w:p w14:paraId="6DDBA1ED" w14:textId="0D9C5BC2" w:rsidR="00962EAF" w:rsidRPr="009840DF" w:rsidRDefault="00754380" w:rsidP="009840DF">
      <w:pPr>
        <w:pStyle w:val="Pa4"/>
        <w:spacing w:after="137" w:line="240" w:lineRule="auto"/>
        <w:outlineLvl w:val="0"/>
        <w:rPr>
          <w:rFonts w:asciiTheme="minorHAnsi" w:hAnsiTheme="minorHAnsi" w:cs="Montserrat Semi Bold"/>
          <w:b/>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25170C">
        <w:rPr>
          <w:rFonts w:asciiTheme="minorHAnsi" w:hAnsiTheme="minorHAnsi" w:cs="Montserrat Semi Bold"/>
          <w:b/>
          <w:bCs/>
          <w:color w:val="000000"/>
          <w:sz w:val="30"/>
          <w:szCs w:val="30"/>
        </w:rPr>
        <w:t>. OUTSTANDING CLAIMS - CONTINUED</w:t>
      </w:r>
    </w:p>
    <w:tbl>
      <w:tblPr>
        <w:tblW w:w="9641" w:type="dxa"/>
        <w:tblInd w:w="-142" w:type="dxa"/>
        <w:tblLayout w:type="fixed"/>
        <w:tblLook w:val="0000" w:firstRow="0" w:lastRow="0" w:firstColumn="0" w:lastColumn="0" w:noHBand="0" w:noVBand="0"/>
      </w:tblPr>
      <w:tblGrid>
        <w:gridCol w:w="5387"/>
        <w:gridCol w:w="852"/>
        <w:gridCol w:w="1417"/>
        <w:gridCol w:w="567"/>
        <w:gridCol w:w="1418"/>
      </w:tblGrid>
      <w:tr w:rsidR="006846F9" w:rsidRPr="00D03D51" w14:paraId="4401D497" w14:textId="77777777" w:rsidTr="00714E0B">
        <w:trPr>
          <w:cantSplit/>
        </w:trPr>
        <w:tc>
          <w:tcPr>
            <w:tcW w:w="5387" w:type="dxa"/>
            <w:tcBorders>
              <w:top w:val="single" w:sz="12" w:space="0" w:color="492581" w:themeColor="accent1"/>
              <w:bottom w:val="single" w:sz="12" w:space="0" w:color="492581" w:themeColor="accent1"/>
            </w:tcBorders>
          </w:tcPr>
          <w:p w14:paraId="34056DD8" w14:textId="77777777" w:rsidR="006846F9" w:rsidRPr="00D03D51" w:rsidRDefault="006846F9" w:rsidP="006846F9">
            <w:pPr>
              <w:pStyle w:val="VAText"/>
              <w:spacing w:before="40" w:after="40"/>
              <w:rPr>
                <w:rFonts w:asciiTheme="minorHAnsi" w:hAnsiTheme="minorHAnsi"/>
                <w:b/>
                <w:szCs w:val="18"/>
              </w:rPr>
            </w:pPr>
          </w:p>
        </w:tc>
        <w:tc>
          <w:tcPr>
            <w:tcW w:w="852" w:type="dxa"/>
            <w:tcBorders>
              <w:top w:val="single" w:sz="12" w:space="0" w:color="492581" w:themeColor="accent1"/>
              <w:bottom w:val="single" w:sz="12" w:space="0" w:color="492581" w:themeColor="accent1"/>
            </w:tcBorders>
          </w:tcPr>
          <w:p w14:paraId="4F53D953" w14:textId="77777777" w:rsidR="006846F9" w:rsidRPr="00D03D51" w:rsidRDefault="006846F9" w:rsidP="006846F9">
            <w:pPr>
              <w:pStyle w:val="VAText"/>
              <w:spacing w:before="40" w:after="40"/>
              <w:jc w:val="center"/>
              <w:rPr>
                <w:rFonts w:asciiTheme="minorHAnsi" w:hAnsiTheme="minorHAnsi"/>
                <w:b/>
                <w:szCs w:val="18"/>
              </w:rPr>
            </w:pPr>
            <w:r w:rsidRPr="00D03D51">
              <w:rPr>
                <w:rFonts w:asciiTheme="minorHAnsi" w:hAnsiTheme="minorHAnsi"/>
                <w:b/>
                <w:szCs w:val="18"/>
              </w:rPr>
              <w:t>Note</w:t>
            </w:r>
          </w:p>
          <w:p w14:paraId="5EC52788" w14:textId="77777777" w:rsidR="006846F9" w:rsidRPr="00D03D51" w:rsidRDefault="006846F9" w:rsidP="006846F9">
            <w:pPr>
              <w:pStyle w:val="VAText"/>
              <w:spacing w:before="40" w:after="40"/>
              <w:jc w:val="center"/>
              <w:rPr>
                <w:rFonts w:asciiTheme="minorHAnsi" w:hAnsiTheme="minorHAnsi"/>
                <w:b/>
                <w:szCs w:val="18"/>
              </w:rPr>
            </w:pPr>
            <w:r w:rsidRPr="00D03D51">
              <w:rPr>
                <w:rFonts w:asciiTheme="minorHAnsi" w:hAnsiTheme="minorHAnsi"/>
                <w:b/>
                <w:szCs w:val="18"/>
              </w:rPr>
              <w:t>No.</w:t>
            </w:r>
          </w:p>
        </w:tc>
        <w:tc>
          <w:tcPr>
            <w:tcW w:w="1417" w:type="dxa"/>
            <w:tcBorders>
              <w:top w:val="single" w:sz="12" w:space="0" w:color="492581" w:themeColor="accent1"/>
              <w:bottom w:val="single" w:sz="12" w:space="0" w:color="492581" w:themeColor="accent1"/>
            </w:tcBorders>
          </w:tcPr>
          <w:p w14:paraId="4C8A7934"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2024</w:t>
            </w:r>
          </w:p>
          <w:p w14:paraId="77588FD6"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$’000</w:t>
            </w:r>
          </w:p>
        </w:tc>
        <w:tc>
          <w:tcPr>
            <w:tcW w:w="567" w:type="dxa"/>
            <w:tcBorders>
              <w:top w:val="single" w:sz="12" w:space="0" w:color="492581" w:themeColor="accent1"/>
              <w:bottom w:val="single" w:sz="12" w:space="0" w:color="492581" w:themeColor="accent1"/>
            </w:tcBorders>
          </w:tcPr>
          <w:p w14:paraId="1B92FDAE" w14:textId="77777777" w:rsidR="006846F9" w:rsidRPr="00D03D51" w:rsidRDefault="006846F9" w:rsidP="006846F9">
            <w:pPr>
              <w:pStyle w:val="VAText"/>
              <w:spacing w:before="40" w:after="40"/>
              <w:jc w:val="right"/>
              <w:rPr>
                <w:rFonts w:asciiTheme="minorHAnsi" w:hAnsiTheme="minorHAnsi"/>
                <w:szCs w:val="18"/>
              </w:rPr>
            </w:pPr>
          </w:p>
        </w:tc>
        <w:tc>
          <w:tcPr>
            <w:tcW w:w="1418" w:type="dxa"/>
            <w:tcBorders>
              <w:top w:val="single" w:sz="12" w:space="0" w:color="492581" w:themeColor="accent1"/>
              <w:bottom w:val="single" w:sz="12" w:space="0" w:color="492581" w:themeColor="accent1"/>
            </w:tcBorders>
          </w:tcPr>
          <w:p w14:paraId="711AB647"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2023</w:t>
            </w:r>
          </w:p>
          <w:p w14:paraId="28CFB93B" w14:textId="77777777" w:rsidR="006846F9" w:rsidRPr="00D03D51" w:rsidRDefault="006846F9" w:rsidP="006846F9">
            <w:pPr>
              <w:pStyle w:val="VAText"/>
              <w:spacing w:before="40" w:after="40"/>
              <w:jc w:val="right"/>
              <w:rPr>
                <w:rFonts w:asciiTheme="minorHAnsi" w:hAnsiTheme="minorHAnsi"/>
                <w:szCs w:val="18"/>
              </w:rPr>
            </w:pPr>
            <w:r w:rsidRPr="00D03D51">
              <w:rPr>
                <w:rFonts w:asciiTheme="minorHAnsi" w:hAnsiTheme="minorHAnsi"/>
                <w:b/>
                <w:szCs w:val="18"/>
              </w:rPr>
              <w:t>$’000</w:t>
            </w:r>
          </w:p>
        </w:tc>
      </w:tr>
      <w:tr w:rsidR="006846F9" w:rsidRPr="00D03D51" w14:paraId="4E5840A1" w14:textId="77777777" w:rsidTr="00714E0B">
        <w:trPr>
          <w:cantSplit/>
          <w:trHeight w:val="185"/>
        </w:trPr>
        <w:tc>
          <w:tcPr>
            <w:tcW w:w="5387" w:type="dxa"/>
            <w:tcBorders>
              <w:top w:val="single" w:sz="12" w:space="0" w:color="492581" w:themeColor="accent1"/>
            </w:tcBorders>
          </w:tcPr>
          <w:p w14:paraId="15457BA0" w14:textId="77777777" w:rsidR="006846F9" w:rsidRPr="00D03D51" w:rsidRDefault="006846F9" w:rsidP="006846F9">
            <w:pPr>
              <w:pStyle w:val="VAText"/>
              <w:spacing w:before="40" w:after="40"/>
              <w:ind w:left="357" w:hanging="357"/>
              <w:rPr>
                <w:rFonts w:asciiTheme="minorHAnsi" w:hAnsiTheme="minorHAnsi"/>
                <w:b/>
                <w:szCs w:val="18"/>
              </w:rPr>
            </w:pPr>
            <w:r w:rsidRPr="00D03D51">
              <w:rPr>
                <w:rFonts w:asciiTheme="minorHAnsi" w:hAnsiTheme="minorHAnsi"/>
                <w:b/>
                <w:szCs w:val="18"/>
              </w:rPr>
              <w:t>Expected Future Claim Payments and Discounted Liability for Outstanding Claims</w:t>
            </w:r>
          </w:p>
        </w:tc>
        <w:tc>
          <w:tcPr>
            <w:tcW w:w="852" w:type="dxa"/>
            <w:tcBorders>
              <w:top w:val="single" w:sz="12" w:space="0" w:color="492581" w:themeColor="accent1"/>
            </w:tcBorders>
          </w:tcPr>
          <w:p w14:paraId="25A469A4" w14:textId="77777777" w:rsidR="006846F9" w:rsidRPr="00D03D51" w:rsidRDefault="006846F9" w:rsidP="006846F9">
            <w:pPr>
              <w:pStyle w:val="VAText"/>
              <w:jc w:val="center"/>
              <w:rPr>
                <w:rFonts w:asciiTheme="minorHAnsi" w:hAnsiTheme="minorHAnsi"/>
                <w:szCs w:val="18"/>
              </w:rPr>
            </w:pPr>
          </w:p>
        </w:tc>
        <w:tc>
          <w:tcPr>
            <w:tcW w:w="1417" w:type="dxa"/>
            <w:tcBorders>
              <w:top w:val="single" w:sz="12" w:space="0" w:color="492581" w:themeColor="accent1"/>
            </w:tcBorders>
          </w:tcPr>
          <w:p w14:paraId="2F757B1E" w14:textId="77777777" w:rsidR="006846F9" w:rsidRPr="00D03D51" w:rsidRDefault="006846F9" w:rsidP="006846F9">
            <w:pPr>
              <w:pStyle w:val="VAText"/>
              <w:spacing w:before="40" w:after="40"/>
              <w:jc w:val="right"/>
              <w:rPr>
                <w:rFonts w:asciiTheme="minorHAnsi" w:hAnsiTheme="minorHAnsi"/>
                <w:b/>
                <w:szCs w:val="18"/>
              </w:rPr>
            </w:pPr>
          </w:p>
        </w:tc>
        <w:tc>
          <w:tcPr>
            <w:tcW w:w="567" w:type="dxa"/>
            <w:tcBorders>
              <w:top w:val="single" w:sz="12" w:space="0" w:color="492581" w:themeColor="accent1"/>
            </w:tcBorders>
          </w:tcPr>
          <w:p w14:paraId="4900ECC3" w14:textId="77777777" w:rsidR="006846F9" w:rsidRPr="00D03D51" w:rsidRDefault="006846F9" w:rsidP="006846F9">
            <w:pPr>
              <w:pStyle w:val="VAText"/>
              <w:spacing w:before="40" w:after="40"/>
              <w:jc w:val="right"/>
              <w:rPr>
                <w:rFonts w:asciiTheme="minorHAnsi" w:hAnsiTheme="minorHAnsi"/>
                <w:szCs w:val="18"/>
              </w:rPr>
            </w:pPr>
          </w:p>
        </w:tc>
        <w:tc>
          <w:tcPr>
            <w:tcW w:w="1418" w:type="dxa"/>
            <w:tcBorders>
              <w:top w:val="single" w:sz="12" w:space="0" w:color="492581" w:themeColor="accent1"/>
            </w:tcBorders>
          </w:tcPr>
          <w:p w14:paraId="4387DDE4" w14:textId="77777777" w:rsidR="006846F9" w:rsidRPr="00D03D51" w:rsidRDefault="006846F9" w:rsidP="006846F9">
            <w:pPr>
              <w:pStyle w:val="VAText"/>
              <w:spacing w:before="40" w:after="40"/>
              <w:jc w:val="right"/>
              <w:rPr>
                <w:rFonts w:asciiTheme="minorHAnsi" w:hAnsiTheme="minorHAnsi"/>
                <w:szCs w:val="18"/>
              </w:rPr>
            </w:pPr>
          </w:p>
        </w:tc>
      </w:tr>
      <w:tr w:rsidR="006846F9" w:rsidRPr="00D03D51" w14:paraId="0749F313" w14:textId="77777777" w:rsidTr="006846F9">
        <w:trPr>
          <w:cantSplit/>
          <w:trHeight w:val="185"/>
        </w:trPr>
        <w:tc>
          <w:tcPr>
            <w:tcW w:w="5387" w:type="dxa"/>
          </w:tcPr>
          <w:p w14:paraId="2AB4414C" w14:textId="77777777" w:rsidR="006846F9" w:rsidRPr="00D03D51" w:rsidRDefault="006846F9" w:rsidP="006846F9">
            <w:pPr>
              <w:pStyle w:val="VAText"/>
              <w:rPr>
                <w:rFonts w:asciiTheme="minorHAnsi" w:hAnsiTheme="minorHAnsi"/>
                <w:szCs w:val="18"/>
                <w:vertAlign w:val="superscript"/>
              </w:rPr>
            </w:pPr>
            <w:r w:rsidRPr="00D03D51">
              <w:rPr>
                <w:rFonts w:asciiTheme="minorHAnsi" w:hAnsiTheme="minorHAnsi"/>
                <w:szCs w:val="18"/>
              </w:rPr>
              <w:t>Central Estimate</w:t>
            </w:r>
            <w:r w:rsidRPr="00D03D51">
              <w:rPr>
                <w:rFonts w:asciiTheme="minorHAnsi" w:hAnsiTheme="minorHAnsi"/>
                <w:szCs w:val="18"/>
                <w:vertAlign w:val="superscript"/>
              </w:rPr>
              <w:t xml:space="preserve"> </w:t>
            </w:r>
          </w:p>
        </w:tc>
        <w:tc>
          <w:tcPr>
            <w:tcW w:w="852" w:type="dxa"/>
          </w:tcPr>
          <w:p w14:paraId="6039CE29" w14:textId="77777777" w:rsidR="006846F9" w:rsidRPr="00D03D51" w:rsidRDefault="006846F9" w:rsidP="006846F9">
            <w:pPr>
              <w:pStyle w:val="VAText"/>
              <w:jc w:val="center"/>
              <w:rPr>
                <w:rFonts w:asciiTheme="minorHAnsi" w:hAnsiTheme="minorHAnsi"/>
                <w:szCs w:val="18"/>
              </w:rPr>
            </w:pPr>
          </w:p>
        </w:tc>
        <w:tc>
          <w:tcPr>
            <w:tcW w:w="1417" w:type="dxa"/>
          </w:tcPr>
          <w:p w14:paraId="24A6D4A9"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399,160</w:t>
            </w:r>
          </w:p>
        </w:tc>
        <w:tc>
          <w:tcPr>
            <w:tcW w:w="567" w:type="dxa"/>
          </w:tcPr>
          <w:p w14:paraId="2F392219" w14:textId="77777777" w:rsidR="006846F9" w:rsidRPr="00D03D51" w:rsidRDefault="006846F9" w:rsidP="006846F9">
            <w:pPr>
              <w:pStyle w:val="VAText"/>
              <w:jc w:val="right"/>
              <w:rPr>
                <w:rFonts w:asciiTheme="minorHAnsi" w:hAnsiTheme="minorHAnsi"/>
                <w:szCs w:val="18"/>
              </w:rPr>
            </w:pPr>
          </w:p>
        </w:tc>
        <w:tc>
          <w:tcPr>
            <w:tcW w:w="1418" w:type="dxa"/>
          </w:tcPr>
          <w:p w14:paraId="3DDDF698"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355,124</w:t>
            </w:r>
          </w:p>
        </w:tc>
      </w:tr>
      <w:tr w:rsidR="006846F9" w:rsidRPr="00D03D51" w14:paraId="0B1C0800" w14:textId="77777777" w:rsidTr="006846F9">
        <w:trPr>
          <w:cantSplit/>
        </w:trPr>
        <w:tc>
          <w:tcPr>
            <w:tcW w:w="5387" w:type="dxa"/>
          </w:tcPr>
          <w:p w14:paraId="3AFEC8D0"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Risk Margin</w:t>
            </w:r>
          </w:p>
        </w:tc>
        <w:tc>
          <w:tcPr>
            <w:tcW w:w="852" w:type="dxa"/>
          </w:tcPr>
          <w:p w14:paraId="5B6AB425" w14:textId="77777777" w:rsidR="006846F9" w:rsidRPr="00D03D51" w:rsidRDefault="006846F9" w:rsidP="006846F9">
            <w:pPr>
              <w:pStyle w:val="VAText"/>
              <w:jc w:val="center"/>
              <w:rPr>
                <w:rFonts w:asciiTheme="minorHAnsi" w:hAnsiTheme="minorHAnsi"/>
                <w:szCs w:val="18"/>
              </w:rPr>
            </w:pPr>
          </w:p>
        </w:tc>
        <w:tc>
          <w:tcPr>
            <w:tcW w:w="1417" w:type="dxa"/>
          </w:tcPr>
          <w:p w14:paraId="278DCE74"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60,377</w:t>
            </w:r>
          </w:p>
        </w:tc>
        <w:tc>
          <w:tcPr>
            <w:tcW w:w="567" w:type="dxa"/>
          </w:tcPr>
          <w:p w14:paraId="0635F7E9" w14:textId="77777777" w:rsidR="006846F9" w:rsidRPr="00D03D51" w:rsidRDefault="006846F9" w:rsidP="006846F9">
            <w:pPr>
              <w:pStyle w:val="VAText"/>
              <w:jc w:val="right"/>
              <w:rPr>
                <w:rFonts w:asciiTheme="minorHAnsi" w:hAnsiTheme="minorHAnsi"/>
                <w:szCs w:val="18"/>
              </w:rPr>
            </w:pPr>
          </w:p>
        </w:tc>
        <w:tc>
          <w:tcPr>
            <w:tcW w:w="1418" w:type="dxa"/>
          </w:tcPr>
          <w:p w14:paraId="5F7448DC"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54,328</w:t>
            </w:r>
          </w:p>
        </w:tc>
      </w:tr>
      <w:tr w:rsidR="006846F9" w:rsidRPr="00D03D51" w14:paraId="7C3279A2" w14:textId="77777777" w:rsidTr="006846F9">
        <w:trPr>
          <w:cantSplit/>
        </w:trPr>
        <w:tc>
          <w:tcPr>
            <w:tcW w:w="5387" w:type="dxa"/>
          </w:tcPr>
          <w:p w14:paraId="4D6BA6F0"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Claims Handling Costs</w:t>
            </w:r>
          </w:p>
        </w:tc>
        <w:tc>
          <w:tcPr>
            <w:tcW w:w="852" w:type="dxa"/>
          </w:tcPr>
          <w:p w14:paraId="35F03535" w14:textId="77777777" w:rsidR="006846F9" w:rsidRPr="00D03D51" w:rsidRDefault="006846F9" w:rsidP="006846F9">
            <w:pPr>
              <w:pStyle w:val="VAText"/>
              <w:jc w:val="center"/>
              <w:rPr>
                <w:rFonts w:asciiTheme="minorHAnsi" w:hAnsiTheme="minorHAnsi"/>
                <w:szCs w:val="18"/>
              </w:rPr>
            </w:pPr>
          </w:p>
        </w:tc>
        <w:tc>
          <w:tcPr>
            <w:tcW w:w="1417" w:type="dxa"/>
            <w:tcBorders>
              <w:bottom w:val="single" w:sz="4" w:space="0" w:color="auto"/>
            </w:tcBorders>
          </w:tcPr>
          <w:p w14:paraId="5B35FAEF"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39,558</w:t>
            </w:r>
          </w:p>
        </w:tc>
        <w:tc>
          <w:tcPr>
            <w:tcW w:w="567" w:type="dxa"/>
            <w:tcBorders>
              <w:bottom w:val="single" w:sz="4" w:space="0" w:color="auto"/>
            </w:tcBorders>
          </w:tcPr>
          <w:p w14:paraId="40E88402" w14:textId="77777777" w:rsidR="006846F9" w:rsidRPr="00D03D51" w:rsidRDefault="006846F9" w:rsidP="006846F9">
            <w:pPr>
              <w:pStyle w:val="VAText"/>
              <w:jc w:val="right"/>
              <w:rPr>
                <w:rFonts w:asciiTheme="minorHAnsi" w:hAnsiTheme="minorHAnsi"/>
                <w:szCs w:val="18"/>
              </w:rPr>
            </w:pPr>
          </w:p>
        </w:tc>
        <w:tc>
          <w:tcPr>
            <w:tcW w:w="1418" w:type="dxa"/>
            <w:tcBorders>
              <w:bottom w:val="single" w:sz="4" w:space="0" w:color="auto"/>
            </w:tcBorders>
          </w:tcPr>
          <w:p w14:paraId="331D0AC2"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35,484</w:t>
            </w:r>
          </w:p>
        </w:tc>
      </w:tr>
      <w:tr w:rsidR="006846F9" w:rsidRPr="00D03D51" w14:paraId="375C4244" w14:textId="77777777" w:rsidTr="006846F9">
        <w:trPr>
          <w:cantSplit/>
        </w:trPr>
        <w:tc>
          <w:tcPr>
            <w:tcW w:w="5387" w:type="dxa"/>
          </w:tcPr>
          <w:p w14:paraId="37712ECB" w14:textId="77777777" w:rsidR="006846F9" w:rsidRPr="00D03D51" w:rsidRDefault="006846F9" w:rsidP="006846F9">
            <w:pPr>
              <w:pStyle w:val="VAText"/>
              <w:rPr>
                <w:rFonts w:asciiTheme="minorHAnsi" w:hAnsiTheme="minorHAnsi"/>
                <w:b/>
                <w:szCs w:val="18"/>
              </w:rPr>
            </w:pPr>
            <w:r w:rsidRPr="00D03D51">
              <w:rPr>
                <w:rFonts w:asciiTheme="minorHAnsi" w:hAnsiTheme="minorHAnsi"/>
                <w:b/>
                <w:szCs w:val="18"/>
              </w:rPr>
              <w:t xml:space="preserve">Total Undiscounted </w:t>
            </w:r>
            <w:r>
              <w:rPr>
                <w:rFonts w:asciiTheme="minorHAnsi" w:hAnsiTheme="minorHAnsi"/>
                <w:b/>
                <w:szCs w:val="18"/>
              </w:rPr>
              <w:t>Outstanding</w:t>
            </w:r>
            <w:r w:rsidRPr="00D03D51">
              <w:rPr>
                <w:rFonts w:asciiTheme="minorHAnsi" w:hAnsiTheme="minorHAnsi"/>
                <w:b/>
                <w:szCs w:val="18"/>
              </w:rPr>
              <w:t xml:space="preserve"> Claims</w:t>
            </w:r>
          </w:p>
        </w:tc>
        <w:tc>
          <w:tcPr>
            <w:tcW w:w="852" w:type="dxa"/>
          </w:tcPr>
          <w:p w14:paraId="0C1CEDCD" w14:textId="77777777" w:rsidR="006846F9" w:rsidRPr="00D03D51" w:rsidRDefault="006846F9" w:rsidP="006846F9">
            <w:pPr>
              <w:pStyle w:val="VAText"/>
              <w:jc w:val="center"/>
              <w:rPr>
                <w:rFonts w:asciiTheme="minorHAnsi" w:hAnsiTheme="minorHAnsi"/>
                <w:szCs w:val="18"/>
              </w:rPr>
            </w:pPr>
          </w:p>
        </w:tc>
        <w:tc>
          <w:tcPr>
            <w:tcW w:w="1417" w:type="dxa"/>
            <w:tcBorders>
              <w:top w:val="single" w:sz="4" w:space="0" w:color="auto"/>
            </w:tcBorders>
          </w:tcPr>
          <w:p w14:paraId="4CDB92F6" w14:textId="77777777" w:rsidR="006846F9" w:rsidRPr="007B7F5B" w:rsidRDefault="006846F9" w:rsidP="006846F9">
            <w:pPr>
              <w:pStyle w:val="VAText"/>
              <w:spacing w:before="40" w:after="40"/>
              <w:jc w:val="right"/>
              <w:rPr>
                <w:rFonts w:asciiTheme="minorHAnsi" w:hAnsiTheme="minorHAnsi"/>
                <w:b/>
                <w:szCs w:val="18"/>
              </w:rPr>
            </w:pPr>
            <w:r w:rsidRPr="007B7F5B">
              <w:rPr>
                <w:rFonts w:asciiTheme="minorHAnsi" w:hAnsiTheme="minorHAnsi"/>
                <w:b/>
                <w:color w:val="000000" w:themeColor="text1"/>
                <w:szCs w:val="18"/>
              </w:rPr>
              <w:t>499,095</w:t>
            </w:r>
          </w:p>
        </w:tc>
        <w:tc>
          <w:tcPr>
            <w:tcW w:w="567" w:type="dxa"/>
            <w:tcBorders>
              <w:top w:val="single" w:sz="4" w:space="0" w:color="auto"/>
            </w:tcBorders>
          </w:tcPr>
          <w:p w14:paraId="1EA1B7C5" w14:textId="77777777" w:rsidR="006846F9" w:rsidRPr="00D03D51" w:rsidRDefault="006846F9" w:rsidP="006846F9">
            <w:pPr>
              <w:pStyle w:val="VAText"/>
              <w:jc w:val="right"/>
              <w:rPr>
                <w:rFonts w:asciiTheme="minorHAnsi" w:hAnsiTheme="minorHAnsi"/>
                <w:b/>
                <w:szCs w:val="18"/>
              </w:rPr>
            </w:pPr>
          </w:p>
        </w:tc>
        <w:tc>
          <w:tcPr>
            <w:tcW w:w="1418" w:type="dxa"/>
            <w:tcBorders>
              <w:top w:val="single" w:sz="4" w:space="0" w:color="auto"/>
            </w:tcBorders>
          </w:tcPr>
          <w:p w14:paraId="3D13B039"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444,936</w:t>
            </w:r>
          </w:p>
        </w:tc>
      </w:tr>
      <w:tr w:rsidR="006846F9" w:rsidRPr="00D03D51" w14:paraId="457DE43B" w14:textId="77777777" w:rsidTr="006846F9">
        <w:trPr>
          <w:cantSplit/>
        </w:trPr>
        <w:tc>
          <w:tcPr>
            <w:tcW w:w="5387" w:type="dxa"/>
          </w:tcPr>
          <w:p w14:paraId="6966F016"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Discount to Present Value</w:t>
            </w:r>
          </w:p>
        </w:tc>
        <w:tc>
          <w:tcPr>
            <w:tcW w:w="852" w:type="dxa"/>
          </w:tcPr>
          <w:p w14:paraId="2D155D7A" w14:textId="77777777" w:rsidR="006846F9" w:rsidRPr="00D03D51" w:rsidRDefault="006846F9" w:rsidP="006846F9">
            <w:pPr>
              <w:pStyle w:val="VAText"/>
              <w:jc w:val="center"/>
              <w:rPr>
                <w:rFonts w:asciiTheme="minorHAnsi" w:hAnsiTheme="minorHAnsi"/>
                <w:szCs w:val="18"/>
              </w:rPr>
            </w:pPr>
          </w:p>
        </w:tc>
        <w:tc>
          <w:tcPr>
            <w:tcW w:w="1417" w:type="dxa"/>
            <w:tcBorders>
              <w:bottom w:val="single" w:sz="4" w:space="0" w:color="auto"/>
            </w:tcBorders>
          </w:tcPr>
          <w:p w14:paraId="27AFD0DC" w14:textId="77777777" w:rsidR="006846F9" w:rsidRPr="007B7F5B" w:rsidRDefault="006846F9" w:rsidP="006846F9">
            <w:pPr>
              <w:pStyle w:val="VAText"/>
              <w:spacing w:before="40" w:after="40"/>
              <w:jc w:val="right"/>
              <w:rPr>
                <w:rFonts w:asciiTheme="minorHAnsi" w:hAnsiTheme="minorHAnsi"/>
                <w:bCs/>
                <w:szCs w:val="18"/>
              </w:rPr>
            </w:pPr>
            <w:r>
              <w:rPr>
                <w:rFonts w:asciiTheme="minorHAnsi" w:hAnsiTheme="minorHAnsi"/>
                <w:bCs/>
                <w:color w:val="000000" w:themeColor="text1"/>
                <w:szCs w:val="18"/>
              </w:rPr>
              <w:t>(</w:t>
            </w:r>
            <w:r w:rsidRPr="007B7F5B">
              <w:rPr>
                <w:rFonts w:asciiTheme="minorHAnsi" w:hAnsiTheme="minorHAnsi"/>
                <w:bCs/>
                <w:color w:val="000000" w:themeColor="text1"/>
                <w:szCs w:val="18"/>
              </w:rPr>
              <w:t>79,000</w:t>
            </w:r>
            <w:r>
              <w:rPr>
                <w:rFonts w:asciiTheme="minorHAnsi" w:hAnsiTheme="minorHAnsi"/>
                <w:bCs/>
                <w:color w:val="000000" w:themeColor="text1"/>
                <w:szCs w:val="18"/>
              </w:rPr>
              <w:t>)</w:t>
            </w:r>
          </w:p>
        </w:tc>
        <w:tc>
          <w:tcPr>
            <w:tcW w:w="567" w:type="dxa"/>
            <w:tcBorders>
              <w:bottom w:val="single" w:sz="4" w:space="0" w:color="auto"/>
            </w:tcBorders>
          </w:tcPr>
          <w:p w14:paraId="1EEC62F6" w14:textId="77777777" w:rsidR="006846F9" w:rsidRPr="00D03D51" w:rsidRDefault="006846F9" w:rsidP="006846F9">
            <w:pPr>
              <w:pStyle w:val="VAText"/>
              <w:jc w:val="right"/>
              <w:rPr>
                <w:rFonts w:asciiTheme="minorHAnsi" w:hAnsiTheme="minorHAnsi"/>
                <w:szCs w:val="18"/>
              </w:rPr>
            </w:pPr>
          </w:p>
        </w:tc>
        <w:tc>
          <w:tcPr>
            <w:tcW w:w="1418" w:type="dxa"/>
            <w:tcBorders>
              <w:bottom w:val="single" w:sz="4" w:space="0" w:color="auto"/>
            </w:tcBorders>
          </w:tcPr>
          <w:p w14:paraId="6D9D4571"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(61,011)</w:t>
            </w:r>
          </w:p>
        </w:tc>
      </w:tr>
      <w:tr w:rsidR="006846F9" w:rsidRPr="00D03D51" w14:paraId="3B30761F" w14:textId="77777777" w:rsidTr="006846F9">
        <w:trPr>
          <w:cantSplit/>
        </w:trPr>
        <w:tc>
          <w:tcPr>
            <w:tcW w:w="5387" w:type="dxa"/>
          </w:tcPr>
          <w:p w14:paraId="09A97FBB" w14:textId="77777777" w:rsidR="006846F9" w:rsidRPr="00D03D51" w:rsidRDefault="006846F9" w:rsidP="006846F9">
            <w:pPr>
              <w:pStyle w:val="VAText"/>
              <w:rPr>
                <w:rFonts w:asciiTheme="minorHAnsi" w:hAnsiTheme="minorHAnsi"/>
                <w:b/>
                <w:szCs w:val="18"/>
                <w:vertAlign w:val="superscript"/>
              </w:rPr>
            </w:pPr>
            <w:r w:rsidRPr="00D03D51">
              <w:rPr>
                <w:rFonts w:asciiTheme="minorHAnsi" w:hAnsiTheme="minorHAnsi"/>
                <w:b/>
                <w:szCs w:val="18"/>
              </w:rPr>
              <w:t>Total Gross Discounted Outstanding Claims Liabilities</w:t>
            </w:r>
          </w:p>
        </w:tc>
        <w:tc>
          <w:tcPr>
            <w:tcW w:w="852" w:type="dxa"/>
          </w:tcPr>
          <w:p w14:paraId="4695E9AC" w14:textId="77777777" w:rsidR="006846F9" w:rsidRPr="00D03D51" w:rsidRDefault="006846F9" w:rsidP="006846F9">
            <w:pPr>
              <w:pStyle w:val="VAText"/>
              <w:jc w:val="center"/>
              <w:rPr>
                <w:rFonts w:asciiTheme="minorHAnsi" w:hAnsiTheme="minorHAnsi"/>
                <w:szCs w:val="18"/>
              </w:rPr>
            </w:pPr>
            <w:r w:rsidRPr="00D03D51">
              <w:rPr>
                <w:rFonts w:asciiTheme="minorHAnsi" w:hAnsiTheme="minorHAnsi"/>
                <w:szCs w:val="18"/>
              </w:rPr>
              <w:t>1</w:t>
            </w:r>
            <w:r>
              <w:rPr>
                <w:rFonts w:asciiTheme="minorHAnsi" w:hAnsiTheme="minorHAnsi"/>
                <w:szCs w:val="18"/>
              </w:rPr>
              <w:t>5</w:t>
            </w:r>
            <w:r w:rsidRPr="00D03D51">
              <w:rPr>
                <w:rFonts w:asciiTheme="minorHAnsi" w:hAnsiTheme="minorHAnsi"/>
                <w:szCs w:val="18"/>
              </w:rPr>
              <w:t>(d)</w:t>
            </w:r>
          </w:p>
        </w:tc>
        <w:tc>
          <w:tcPr>
            <w:tcW w:w="1417" w:type="dxa"/>
            <w:tcBorders>
              <w:top w:val="single" w:sz="4" w:space="0" w:color="auto"/>
              <w:bottom w:val="single" w:sz="4" w:space="0" w:color="auto"/>
            </w:tcBorders>
          </w:tcPr>
          <w:p w14:paraId="003242EE" w14:textId="77777777" w:rsidR="006846F9" w:rsidRPr="007B7F5B" w:rsidRDefault="006846F9" w:rsidP="006846F9">
            <w:pPr>
              <w:pStyle w:val="VAText"/>
              <w:spacing w:before="40" w:after="40"/>
              <w:jc w:val="right"/>
              <w:rPr>
                <w:rFonts w:asciiTheme="minorHAnsi" w:hAnsiTheme="minorHAnsi"/>
                <w:b/>
                <w:szCs w:val="18"/>
              </w:rPr>
            </w:pPr>
            <w:r w:rsidRPr="007B7F5B">
              <w:rPr>
                <w:rFonts w:asciiTheme="minorHAnsi" w:hAnsiTheme="minorHAnsi"/>
                <w:b/>
                <w:color w:val="000000" w:themeColor="text1"/>
                <w:szCs w:val="18"/>
              </w:rPr>
              <w:t>420,095</w:t>
            </w:r>
          </w:p>
        </w:tc>
        <w:tc>
          <w:tcPr>
            <w:tcW w:w="567" w:type="dxa"/>
            <w:tcBorders>
              <w:top w:val="single" w:sz="4" w:space="0" w:color="auto"/>
              <w:bottom w:val="single" w:sz="4" w:space="0" w:color="auto"/>
            </w:tcBorders>
          </w:tcPr>
          <w:p w14:paraId="233E56F7" w14:textId="77777777" w:rsidR="006846F9" w:rsidRPr="00D03D51" w:rsidRDefault="006846F9" w:rsidP="006846F9">
            <w:pPr>
              <w:pStyle w:val="VAText"/>
              <w:jc w:val="right"/>
              <w:rPr>
                <w:rFonts w:asciiTheme="minorHAnsi" w:hAnsiTheme="minorHAnsi"/>
                <w:b/>
                <w:szCs w:val="18"/>
              </w:rPr>
            </w:pPr>
          </w:p>
        </w:tc>
        <w:tc>
          <w:tcPr>
            <w:tcW w:w="1418" w:type="dxa"/>
            <w:tcBorders>
              <w:top w:val="single" w:sz="4" w:space="0" w:color="auto"/>
              <w:bottom w:val="single" w:sz="4" w:space="0" w:color="auto"/>
            </w:tcBorders>
          </w:tcPr>
          <w:p w14:paraId="299B058B"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383,925</w:t>
            </w:r>
          </w:p>
        </w:tc>
      </w:tr>
      <w:tr w:rsidR="006846F9" w:rsidRPr="00D03D51" w14:paraId="67BB04B8" w14:textId="77777777" w:rsidTr="006846F9">
        <w:trPr>
          <w:cantSplit/>
        </w:trPr>
        <w:tc>
          <w:tcPr>
            <w:tcW w:w="5387" w:type="dxa"/>
          </w:tcPr>
          <w:p w14:paraId="4D3047D2" w14:textId="77777777" w:rsidR="006846F9" w:rsidRPr="00D03D51" w:rsidRDefault="006846F9" w:rsidP="006846F9">
            <w:pPr>
              <w:pStyle w:val="VAText"/>
              <w:rPr>
                <w:rFonts w:asciiTheme="minorHAnsi" w:hAnsiTheme="minorHAnsi"/>
                <w:szCs w:val="18"/>
              </w:rPr>
            </w:pPr>
          </w:p>
        </w:tc>
        <w:tc>
          <w:tcPr>
            <w:tcW w:w="852" w:type="dxa"/>
          </w:tcPr>
          <w:p w14:paraId="504024D8" w14:textId="77777777" w:rsidR="006846F9" w:rsidRPr="00D03D51" w:rsidRDefault="006846F9" w:rsidP="006846F9">
            <w:pPr>
              <w:pStyle w:val="VAText"/>
              <w:jc w:val="center"/>
              <w:rPr>
                <w:rFonts w:asciiTheme="minorHAnsi" w:hAnsiTheme="minorHAnsi"/>
                <w:szCs w:val="18"/>
              </w:rPr>
            </w:pPr>
          </w:p>
        </w:tc>
        <w:tc>
          <w:tcPr>
            <w:tcW w:w="1417" w:type="dxa"/>
            <w:tcBorders>
              <w:top w:val="single" w:sz="4" w:space="0" w:color="auto"/>
            </w:tcBorders>
          </w:tcPr>
          <w:p w14:paraId="47D25F57" w14:textId="77777777" w:rsidR="006846F9" w:rsidRPr="007B7F5B" w:rsidRDefault="006846F9" w:rsidP="006846F9">
            <w:pPr>
              <w:pStyle w:val="VAText"/>
              <w:spacing w:before="40" w:after="40"/>
              <w:jc w:val="right"/>
              <w:rPr>
                <w:rFonts w:asciiTheme="minorHAnsi" w:hAnsiTheme="minorHAnsi"/>
                <w:b/>
                <w:szCs w:val="18"/>
              </w:rPr>
            </w:pPr>
          </w:p>
        </w:tc>
        <w:tc>
          <w:tcPr>
            <w:tcW w:w="567" w:type="dxa"/>
            <w:tcBorders>
              <w:top w:val="single" w:sz="4" w:space="0" w:color="auto"/>
            </w:tcBorders>
          </w:tcPr>
          <w:p w14:paraId="6CA06385" w14:textId="77777777" w:rsidR="006846F9" w:rsidRPr="00D03D51" w:rsidRDefault="006846F9" w:rsidP="006846F9">
            <w:pPr>
              <w:pStyle w:val="VAText"/>
              <w:jc w:val="right"/>
              <w:rPr>
                <w:rFonts w:asciiTheme="minorHAnsi" w:hAnsiTheme="minorHAnsi"/>
                <w:szCs w:val="18"/>
              </w:rPr>
            </w:pPr>
          </w:p>
        </w:tc>
        <w:tc>
          <w:tcPr>
            <w:tcW w:w="1418" w:type="dxa"/>
            <w:tcBorders>
              <w:top w:val="single" w:sz="4" w:space="0" w:color="auto"/>
            </w:tcBorders>
          </w:tcPr>
          <w:p w14:paraId="6016DA21" w14:textId="77777777" w:rsidR="006846F9" w:rsidRPr="00D03D51" w:rsidRDefault="006846F9" w:rsidP="006846F9">
            <w:pPr>
              <w:pStyle w:val="VAText"/>
              <w:spacing w:before="40" w:after="40"/>
              <w:jc w:val="right"/>
              <w:rPr>
                <w:rFonts w:asciiTheme="minorHAnsi" w:hAnsiTheme="minorHAnsi"/>
                <w:bCs/>
                <w:szCs w:val="18"/>
              </w:rPr>
            </w:pPr>
          </w:p>
        </w:tc>
      </w:tr>
      <w:tr w:rsidR="006846F9" w:rsidRPr="00D03D51" w14:paraId="45EB204F" w14:textId="77777777" w:rsidTr="006846F9">
        <w:trPr>
          <w:cantSplit/>
        </w:trPr>
        <w:tc>
          <w:tcPr>
            <w:tcW w:w="5387" w:type="dxa"/>
          </w:tcPr>
          <w:p w14:paraId="0CB0F3CB" w14:textId="77777777" w:rsidR="006846F9" w:rsidRPr="00F338D4" w:rsidRDefault="006846F9" w:rsidP="006846F9">
            <w:pPr>
              <w:pStyle w:val="VAText"/>
              <w:rPr>
                <w:rFonts w:asciiTheme="minorHAnsi" w:hAnsiTheme="minorHAnsi"/>
                <w:b/>
                <w:bCs/>
                <w:szCs w:val="18"/>
              </w:rPr>
            </w:pPr>
            <w:r w:rsidRPr="00F338D4">
              <w:rPr>
                <w:rFonts w:asciiTheme="minorHAnsi" w:hAnsiTheme="minorHAnsi"/>
                <w:b/>
                <w:bCs/>
                <w:szCs w:val="18"/>
              </w:rPr>
              <w:t>Current</w:t>
            </w:r>
          </w:p>
        </w:tc>
        <w:tc>
          <w:tcPr>
            <w:tcW w:w="852" w:type="dxa"/>
          </w:tcPr>
          <w:p w14:paraId="7B856A44" w14:textId="77777777" w:rsidR="006846F9" w:rsidRPr="00D03D51" w:rsidRDefault="006846F9" w:rsidP="006846F9">
            <w:pPr>
              <w:pStyle w:val="VAText"/>
              <w:jc w:val="center"/>
              <w:rPr>
                <w:rFonts w:asciiTheme="minorHAnsi" w:hAnsiTheme="minorHAnsi"/>
                <w:szCs w:val="18"/>
              </w:rPr>
            </w:pPr>
          </w:p>
        </w:tc>
        <w:tc>
          <w:tcPr>
            <w:tcW w:w="1417" w:type="dxa"/>
          </w:tcPr>
          <w:p w14:paraId="484AA365"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85,559</w:t>
            </w:r>
          </w:p>
        </w:tc>
        <w:tc>
          <w:tcPr>
            <w:tcW w:w="567" w:type="dxa"/>
          </w:tcPr>
          <w:p w14:paraId="726B3AB9" w14:textId="77777777" w:rsidR="006846F9" w:rsidRPr="00D03D51" w:rsidRDefault="006846F9" w:rsidP="006846F9">
            <w:pPr>
              <w:pStyle w:val="VAText"/>
              <w:jc w:val="right"/>
              <w:rPr>
                <w:rFonts w:asciiTheme="minorHAnsi" w:hAnsiTheme="minorHAnsi"/>
                <w:szCs w:val="18"/>
              </w:rPr>
            </w:pPr>
          </w:p>
        </w:tc>
        <w:tc>
          <w:tcPr>
            <w:tcW w:w="1418" w:type="dxa"/>
          </w:tcPr>
          <w:p w14:paraId="16B8ADAA"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75,669</w:t>
            </w:r>
          </w:p>
        </w:tc>
      </w:tr>
      <w:tr w:rsidR="006846F9" w:rsidRPr="00D03D51" w14:paraId="523899DB" w14:textId="77777777" w:rsidTr="006846F9">
        <w:trPr>
          <w:cantSplit/>
        </w:trPr>
        <w:tc>
          <w:tcPr>
            <w:tcW w:w="5387" w:type="dxa"/>
          </w:tcPr>
          <w:p w14:paraId="68435076"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Current – BWI</w:t>
            </w:r>
          </w:p>
        </w:tc>
        <w:tc>
          <w:tcPr>
            <w:tcW w:w="852" w:type="dxa"/>
          </w:tcPr>
          <w:p w14:paraId="7972AFEE" w14:textId="77777777" w:rsidR="006846F9" w:rsidRPr="00D03D51" w:rsidRDefault="006846F9" w:rsidP="006846F9">
            <w:pPr>
              <w:pStyle w:val="VAText"/>
              <w:jc w:val="center"/>
              <w:rPr>
                <w:rFonts w:asciiTheme="minorHAnsi" w:hAnsiTheme="minorHAnsi"/>
                <w:szCs w:val="18"/>
              </w:rPr>
            </w:pPr>
            <w:r w:rsidRPr="00D03D51">
              <w:rPr>
                <w:rFonts w:asciiTheme="minorHAnsi" w:hAnsiTheme="minorHAnsi"/>
                <w:szCs w:val="18"/>
              </w:rPr>
              <w:t>2</w:t>
            </w:r>
            <w:r>
              <w:rPr>
                <w:rFonts w:asciiTheme="minorHAnsi" w:hAnsiTheme="minorHAnsi"/>
                <w:szCs w:val="18"/>
              </w:rPr>
              <w:t>1</w:t>
            </w:r>
          </w:p>
        </w:tc>
        <w:tc>
          <w:tcPr>
            <w:tcW w:w="1417" w:type="dxa"/>
          </w:tcPr>
          <w:p w14:paraId="3FD44156"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1,540</w:t>
            </w:r>
          </w:p>
        </w:tc>
        <w:tc>
          <w:tcPr>
            <w:tcW w:w="567" w:type="dxa"/>
          </w:tcPr>
          <w:p w14:paraId="4CDB4E18" w14:textId="77777777" w:rsidR="006846F9" w:rsidRPr="00D03D51" w:rsidRDefault="006846F9" w:rsidP="006846F9">
            <w:pPr>
              <w:pStyle w:val="VAText"/>
              <w:jc w:val="right"/>
              <w:rPr>
                <w:rFonts w:asciiTheme="minorHAnsi" w:hAnsiTheme="minorHAnsi"/>
                <w:szCs w:val="18"/>
              </w:rPr>
            </w:pPr>
          </w:p>
        </w:tc>
        <w:tc>
          <w:tcPr>
            <w:tcW w:w="1418" w:type="dxa"/>
          </w:tcPr>
          <w:p w14:paraId="144FBDFF"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754</w:t>
            </w:r>
          </w:p>
        </w:tc>
      </w:tr>
      <w:tr w:rsidR="006846F9" w:rsidRPr="00D03D51" w14:paraId="7A3D83FA" w14:textId="77777777" w:rsidTr="006846F9">
        <w:trPr>
          <w:cantSplit/>
        </w:trPr>
        <w:tc>
          <w:tcPr>
            <w:tcW w:w="5387" w:type="dxa"/>
          </w:tcPr>
          <w:p w14:paraId="60734591"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Current – PSA</w:t>
            </w:r>
          </w:p>
        </w:tc>
        <w:tc>
          <w:tcPr>
            <w:tcW w:w="852" w:type="dxa"/>
          </w:tcPr>
          <w:p w14:paraId="4140B1CE" w14:textId="77777777" w:rsidR="006846F9" w:rsidRPr="00D03D51" w:rsidRDefault="006846F9" w:rsidP="006846F9">
            <w:pPr>
              <w:pStyle w:val="VAText"/>
              <w:jc w:val="center"/>
              <w:rPr>
                <w:rFonts w:asciiTheme="minorHAnsi" w:hAnsiTheme="minorHAnsi"/>
                <w:szCs w:val="18"/>
              </w:rPr>
            </w:pPr>
            <w:r>
              <w:rPr>
                <w:rFonts w:asciiTheme="minorHAnsi" w:hAnsiTheme="minorHAnsi"/>
                <w:szCs w:val="18"/>
              </w:rPr>
              <w:t>22</w:t>
            </w:r>
          </w:p>
        </w:tc>
        <w:tc>
          <w:tcPr>
            <w:tcW w:w="1417" w:type="dxa"/>
            <w:tcBorders>
              <w:bottom w:val="single" w:sz="2" w:space="0" w:color="auto"/>
            </w:tcBorders>
          </w:tcPr>
          <w:p w14:paraId="69F1F56A"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33</w:t>
            </w:r>
          </w:p>
        </w:tc>
        <w:tc>
          <w:tcPr>
            <w:tcW w:w="567" w:type="dxa"/>
            <w:tcBorders>
              <w:bottom w:val="single" w:sz="2" w:space="0" w:color="auto"/>
            </w:tcBorders>
          </w:tcPr>
          <w:p w14:paraId="0260CB96" w14:textId="77777777" w:rsidR="006846F9" w:rsidRPr="00D03D51" w:rsidRDefault="006846F9" w:rsidP="006846F9">
            <w:pPr>
              <w:pStyle w:val="VAText"/>
              <w:jc w:val="right"/>
              <w:rPr>
                <w:rFonts w:asciiTheme="minorHAnsi" w:hAnsiTheme="minorHAnsi"/>
                <w:szCs w:val="18"/>
              </w:rPr>
            </w:pPr>
          </w:p>
        </w:tc>
        <w:tc>
          <w:tcPr>
            <w:tcW w:w="1418" w:type="dxa"/>
            <w:tcBorders>
              <w:bottom w:val="single" w:sz="2" w:space="0" w:color="auto"/>
            </w:tcBorders>
          </w:tcPr>
          <w:p w14:paraId="566EF86E" w14:textId="77777777" w:rsidR="006846F9" w:rsidRPr="00D03D51" w:rsidRDefault="006846F9" w:rsidP="006846F9">
            <w:pPr>
              <w:pStyle w:val="VAText"/>
              <w:spacing w:before="40" w:after="40"/>
              <w:jc w:val="right"/>
              <w:rPr>
                <w:rFonts w:asciiTheme="minorHAnsi" w:hAnsiTheme="minorHAnsi"/>
                <w:bCs/>
                <w:szCs w:val="18"/>
              </w:rPr>
            </w:pPr>
            <w:r>
              <w:rPr>
                <w:rFonts w:asciiTheme="minorHAnsi" w:hAnsiTheme="minorHAnsi"/>
                <w:bCs/>
                <w:szCs w:val="18"/>
              </w:rPr>
              <w:t>-</w:t>
            </w:r>
          </w:p>
        </w:tc>
      </w:tr>
      <w:tr w:rsidR="006846F9" w:rsidRPr="00D03D51" w14:paraId="15CB92A2" w14:textId="77777777" w:rsidTr="006846F9">
        <w:trPr>
          <w:cantSplit/>
        </w:trPr>
        <w:tc>
          <w:tcPr>
            <w:tcW w:w="5387" w:type="dxa"/>
          </w:tcPr>
          <w:p w14:paraId="24FD13DE" w14:textId="77777777" w:rsidR="006846F9" w:rsidRPr="00D03D51" w:rsidRDefault="006846F9" w:rsidP="006846F9">
            <w:pPr>
              <w:pStyle w:val="VAText"/>
              <w:rPr>
                <w:rFonts w:asciiTheme="minorHAnsi" w:hAnsiTheme="minorHAnsi"/>
                <w:b/>
                <w:bCs/>
                <w:szCs w:val="18"/>
              </w:rPr>
            </w:pPr>
            <w:r w:rsidRPr="00D03D51">
              <w:rPr>
                <w:rFonts w:asciiTheme="minorHAnsi" w:hAnsiTheme="minorHAnsi"/>
                <w:b/>
                <w:bCs/>
                <w:szCs w:val="18"/>
              </w:rPr>
              <w:t xml:space="preserve">Total Current Liabilities </w:t>
            </w:r>
          </w:p>
        </w:tc>
        <w:tc>
          <w:tcPr>
            <w:tcW w:w="852" w:type="dxa"/>
          </w:tcPr>
          <w:p w14:paraId="1BF003D7" w14:textId="77777777" w:rsidR="006846F9" w:rsidRPr="00D03D51" w:rsidRDefault="006846F9" w:rsidP="006846F9">
            <w:pPr>
              <w:pStyle w:val="VAText"/>
              <w:jc w:val="center"/>
              <w:rPr>
                <w:rFonts w:asciiTheme="minorHAnsi" w:hAnsiTheme="minorHAnsi"/>
                <w:szCs w:val="18"/>
              </w:rPr>
            </w:pPr>
          </w:p>
        </w:tc>
        <w:tc>
          <w:tcPr>
            <w:tcW w:w="1417" w:type="dxa"/>
            <w:tcBorders>
              <w:top w:val="single" w:sz="2" w:space="0" w:color="auto"/>
              <w:bottom w:val="single" w:sz="2" w:space="0" w:color="auto"/>
            </w:tcBorders>
          </w:tcPr>
          <w:p w14:paraId="61D020ED" w14:textId="77777777" w:rsidR="006846F9" w:rsidRPr="007B7F5B" w:rsidRDefault="006846F9" w:rsidP="006846F9">
            <w:pPr>
              <w:pStyle w:val="VAText"/>
              <w:spacing w:before="40" w:after="40"/>
              <w:jc w:val="right"/>
              <w:rPr>
                <w:rFonts w:asciiTheme="minorHAnsi" w:hAnsiTheme="minorHAnsi"/>
                <w:b/>
                <w:szCs w:val="18"/>
              </w:rPr>
            </w:pPr>
            <w:r w:rsidRPr="007B7F5B">
              <w:rPr>
                <w:rFonts w:asciiTheme="minorHAnsi" w:hAnsiTheme="minorHAnsi"/>
                <w:b/>
                <w:color w:val="000000" w:themeColor="text1"/>
                <w:szCs w:val="18"/>
              </w:rPr>
              <w:t>87,132</w:t>
            </w:r>
          </w:p>
        </w:tc>
        <w:tc>
          <w:tcPr>
            <w:tcW w:w="567" w:type="dxa"/>
            <w:tcBorders>
              <w:top w:val="single" w:sz="2" w:space="0" w:color="auto"/>
              <w:bottom w:val="single" w:sz="2" w:space="0" w:color="auto"/>
            </w:tcBorders>
          </w:tcPr>
          <w:p w14:paraId="088C0B6D" w14:textId="77777777" w:rsidR="006846F9" w:rsidRPr="00D03D51" w:rsidRDefault="006846F9" w:rsidP="006846F9">
            <w:pPr>
              <w:pStyle w:val="VAText"/>
              <w:jc w:val="right"/>
              <w:rPr>
                <w:rFonts w:asciiTheme="minorHAnsi" w:hAnsiTheme="minorHAnsi"/>
                <w:b/>
                <w:szCs w:val="18"/>
              </w:rPr>
            </w:pPr>
          </w:p>
        </w:tc>
        <w:tc>
          <w:tcPr>
            <w:tcW w:w="1418" w:type="dxa"/>
            <w:tcBorders>
              <w:top w:val="single" w:sz="2" w:space="0" w:color="auto"/>
              <w:bottom w:val="single" w:sz="2" w:space="0" w:color="auto"/>
            </w:tcBorders>
          </w:tcPr>
          <w:p w14:paraId="7F9F1A94"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76,423</w:t>
            </w:r>
          </w:p>
        </w:tc>
      </w:tr>
      <w:tr w:rsidR="006846F9" w:rsidRPr="00D03D51" w14:paraId="2E858EB2" w14:textId="77777777" w:rsidTr="006846F9">
        <w:trPr>
          <w:cantSplit/>
        </w:trPr>
        <w:tc>
          <w:tcPr>
            <w:tcW w:w="5387" w:type="dxa"/>
          </w:tcPr>
          <w:p w14:paraId="3DC515DC" w14:textId="77777777" w:rsidR="006846F9" w:rsidRPr="00F338D4" w:rsidRDefault="006846F9" w:rsidP="006846F9">
            <w:pPr>
              <w:pStyle w:val="VAText"/>
              <w:rPr>
                <w:rFonts w:asciiTheme="minorHAnsi" w:hAnsiTheme="minorHAnsi"/>
                <w:b/>
                <w:bCs/>
                <w:szCs w:val="18"/>
              </w:rPr>
            </w:pPr>
            <w:r w:rsidRPr="00F338D4">
              <w:rPr>
                <w:rFonts w:asciiTheme="minorHAnsi" w:hAnsiTheme="minorHAnsi"/>
                <w:b/>
                <w:bCs/>
                <w:szCs w:val="18"/>
              </w:rPr>
              <w:t>Non-Current</w:t>
            </w:r>
          </w:p>
        </w:tc>
        <w:tc>
          <w:tcPr>
            <w:tcW w:w="852" w:type="dxa"/>
          </w:tcPr>
          <w:p w14:paraId="4CE47DED" w14:textId="77777777" w:rsidR="006846F9" w:rsidRPr="00D03D51" w:rsidRDefault="006846F9" w:rsidP="006846F9">
            <w:pPr>
              <w:pStyle w:val="VAText"/>
              <w:jc w:val="center"/>
              <w:rPr>
                <w:rFonts w:asciiTheme="minorHAnsi" w:hAnsiTheme="minorHAnsi"/>
                <w:szCs w:val="18"/>
              </w:rPr>
            </w:pPr>
          </w:p>
        </w:tc>
        <w:tc>
          <w:tcPr>
            <w:tcW w:w="1417" w:type="dxa"/>
            <w:tcBorders>
              <w:top w:val="single" w:sz="2" w:space="0" w:color="auto"/>
            </w:tcBorders>
          </w:tcPr>
          <w:p w14:paraId="74BFC13D"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328,023</w:t>
            </w:r>
          </w:p>
        </w:tc>
        <w:tc>
          <w:tcPr>
            <w:tcW w:w="567" w:type="dxa"/>
            <w:tcBorders>
              <w:top w:val="single" w:sz="2" w:space="0" w:color="auto"/>
            </w:tcBorders>
          </w:tcPr>
          <w:p w14:paraId="7B6540AF" w14:textId="77777777" w:rsidR="006846F9" w:rsidRPr="00D03D51" w:rsidRDefault="006846F9" w:rsidP="006846F9">
            <w:pPr>
              <w:pStyle w:val="VAText"/>
              <w:jc w:val="right"/>
              <w:rPr>
                <w:rFonts w:asciiTheme="minorHAnsi" w:hAnsiTheme="minorHAnsi"/>
                <w:szCs w:val="18"/>
              </w:rPr>
            </w:pPr>
          </w:p>
        </w:tc>
        <w:tc>
          <w:tcPr>
            <w:tcW w:w="1418" w:type="dxa"/>
            <w:tcBorders>
              <w:top w:val="single" w:sz="2" w:space="0" w:color="auto"/>
            </w:tcBorders>
          </w:tcPr>
          <w:p w14:paraId="766F7FC5"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307,045</w:t>
            </w:r>
          </w:p>
        </w:tc>
      </w:tr>
      <w:tr w:rsidR="006846F9" w:rsidRPr="00D03D51" w14:paraId="728AA0A3" w14:textId="77777777" w:rsidTr="006846F9">
        <w:trPr>
          <w:cantSplit/>
        </w:trPr>
        <w:tc>
          <w:tcPr>
            <w:tcW w:w="5387" w:type="dxa"/>
          </w:tcPr>
          <w:p w14:paraId="54C00C51"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Non- Current – BWI</w:t>
            </w:r>
          </w:p>
        </w:tc>
        <w:tc>
          <w:tcPr>
            <w:tcW w:w="852" w:type="dxa"/>
          </w:tcPr>
          <w:p w14:paraId="66A56E78" w14:textId="77777777" w:rsidR="006846F9" w:rsidRPr="00D03D51" w:rsidRDefault="006846F9" w:rsidP="006846F9">
            <w:pPr>
              <w:pStyle w:val="VAText"/>
              <w:jc w:val="center"/>
              <w:rPr>
                <w:rFonts w:asciiTheme="minorHAnsi" w:hAnsiTheme="minorHAnsi"/>
                <w:szCs w:val="18"/>
              </w:rPr>
            </w:pPr>
            <w:r w:rsidRPr="00D03D51">
              <w:rPr>
                <w:rFonts w:asciiTheme="minorHAnsi" w:hAnsiTheme="minorHAnsi"/>
                <w:szCs w:val="18"/>
              </w:rPr>
              <w:t>2</w:t>
            </w:r>
            <w:r>
              <w:rPr>
                <w:rFonts w:asciiTheme="minorHAnsi" w:hAnsiTheme="minorHAnsi"/>
                <w:szCs w:val="18"/>
              </w:rPr>
              <w:t>1</w:t>
            </w:r>
          </w:p>
        </w:tc>
        <w:tc>
          <w:tcPr>
            <w:tcW w:w="1417" w:type="dxa"/>
          </w:tcPr>
          <w:p w14:paraId="738BD2C6"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1,609</w:t>
            </w:r>
          </w:p>
        </w:tc>
        <w:tc>
          <w:tcPr>
            <w:tcW w:w="567" w:type="dxa"/>
            <w:shd w:val="clear" w:color="auto" w:fill="auto"/>
          </w:tcPr>
          <w:p w14:paraId="5621E652" w14:textId="77777777" w:rsidR="006846F9" w:rsidRPr="00D03D51" w:rsidRDefault="006846F9" w:rsidP="006846F9">
            <w:pPr>
              <w:pStyle w:val="VAText"/>
              <w:jc w:val="right"/>
              <w:rPr>
                <w:rFonts w:asciiTheme="minorHAnsi" w:hAnsiTheme="minorHAnsi"/>
                <w:szCs w:val="18"/>
              </w:rPr>
            </w:pPr>
          </w:p>
        </w:tc>
        <w:tc>
          <w:tcPr>
            <w:tcW w:w="1418" w:type="dxa"/>
            <w:shd w:val="clear" w:color="auto" w:fill="auto"/>
          </w:tcPr>
          <w:p w14:paraId="6D8DC34F" w14:textId="77777777" w:rsidR="006846F9" w:rsidRPr="00D03D51" w:rsidRDefault="006846F9" w:rsidP="006846F9">
            <w:pPr>
              <w:pStyle w:val="VAText"/>
              <w:spacing w:before="40" w:after="40"/>
              <w:jc w:val="right"/>
              <w:rPr>
                <w:rFonts w:asciiTheme="minorHAnsi" w:hAnsiTheme="minorHAnsi"/>
                <w:bCs/>
                <w:szCs w:val="18"/>
              </w:rPr>
            </w:pPr>
            <w:r w:rsidRPr="00D03D51">
              <w:rPr>
                <w:rFonts w:asciiTheme="minorHAnsi" w:hAnsiTheme="minorHAnsi"/>
                <w:bCs/>
                <w:szCs w:val="18"/>
              </w:rPr>
              <w:t>457</w:t>
            </w:r>
          </w:p>
        </w:tc>
      </w:tr>
      <w:tr w:rsidR="006846F9" w:rsidRPr="00D03D51" w14:paraId="73C135A5" w14:textId="77777777" w:rsidTr="006846F9">
        <w:trPr>
          <w:cantSplit/>
        </w:trPr>
        <w:tc>
          <w:tcPr>
            <w:tcW w:w="5387" w:type="dxa"/>
          </w:tcPr>
          <w:p w14:paraId="4B417FA1" w14:textId="77777777" w:rsidR="006846F9" w:rsidRPr="00D03D51" w:rsidRDefault="006846F9" w:rsidP="006846F9">
            <w:pPr>
              <w:pStyle w:val="VAText"/>
              <w:rPr>
                <w:rFonts w:asciiTheme="minorHAnsi" w:hAnsiTheme="minorHAnsi"/>
                <w:szCs w:val="18"/>
              </w:rPr>
            </w:pPr>
            <w:r w:rsidRPr="00D03D51">
              <w:rPr>
                <w:rFonts w:asciiTheme="minorHAnsi" w:hAnsiTheme="minorHAnsi"/>
                <w:szCs w:val="18"/>
              </w:rPr>
              <w:t>Non- Current – PSA</w:t>
            </w:r>
          </w:p>
        </w:tc>
        <w:tc>
          <w:tcPr>
            <w:tcW w:w="852" w:type="dxa"/>
          </w:tcPr>
          <w:p w14:paraId="2ACA2B6A" w14:textId="77777777" w:rsidR="006846F9" w:rsidRPr="00D03D51" w:rsidRDefault="006846F9" w:rsidP="006846F9">
            <w:pPr>
              <w:pStyle w:val="VAText"/>
              <w:jc w:val="center"/>
              <w:rPr>
                <w:rFonts w:asciiTheme="minorHAnsi" w:hAnsiTheme="minorHAnsi"/>
                <w:szCs w:val="18"/>
              </w:rPr>
            </w:pPr>
            <w:r>
              <w:rPr>
                <w:rFonts w:asciiTheme="minorHAnsi" w:hAnsiTheme="minorHAnsi"/>
                <w:szCs w:val="18"/>
              </w:rPr>
              <w:t>22</w:t>
            </w:r>
          </w:p>
        </w:tc>
        <w:tc>
          <w:tcPr>
            <w:tcW w:w="1417" w:type="dxa"/>
            <w:tcBorders>
              <w:bottom w:val="single" w:sz="4" w:space="0" w:color="auto"/>
            </w:tcBorders>
          </w:tcPr>
          <w:p w14:paraId="28F058E0" w14:textId="77777777" w:rsidR="006846F9" w:rsidRPr="007B7F5B" w:rsidRDefault="006846F9" w:rsidP="006846F9">
            <w:pPr>
              <w:pStyle w:val="VAText"/>
              <w:spacing w:before="40" w:after="40"/>
              <w:jc w:val="right"/>
              <w:rPr>
                <w:rFonts w:asciiTheme="minorHAnsi" w:hAnsiTheme="minorHAnsi"/>
                <w:bCs/>
                <w:szCs w:val="18"/>
              </w:rPr>
            </w:pPr>
            <w:r w:rsidRPr="007B7F5B">
              <w:rPr>
                <w:rFonts w:asciiTheme="minorHAnsi" w:hAnsiTheme="minorHAnsi"/>
                <w:bCs/>
                <w:color w:val="000000" w:themeColor="text1"/>
                <w:szCs w:val="18"/>
              </w:rPr>
              <w:t>3,331</w:t>
            </w:r>
          </w:p>
        </w:tc>
        <w:tc>
          <w:tcPr>
            <w:tcW w:w="567" w:type="dxa"/>
            <w:tcBorders>
              <w:bottom w:val="single" w:sz="4" w:space="0" w:color="auto"/>
            </w:tcBorders>
          </w:tcPr>
          <w:p w14:paraId="278E5B46" w14:textId="77777777" w:rsidR="006846F9" w:rsidRPr="00D03D51" w:rsidRDefault="006846F9" w:rsidP="006846F9">
            <w:pPr>
              <w:pStyle w:val="VAText"/>
              <w:jc w:val="right"/>
              <w:rPr>
                <w:rFonts w:asciiTheme="minorHAnsi" w:hAnsiTheme="minorHAnsi"/>
                <w:szCs w:val="18"/>
              </w:rPr>
            </w:pPr>
          </w:p>
        </w:tc>
        <w:tc>
          <w:tcPr>
            <w:tcW w:w="1418" w:type="dxa"/>
            <w:tcBorders>
              <w:bottom w:val="single" w:sz="4" w:space="0" w:color="auto"/>
            </w:tcBorders>
          </w:tcPr>
          <w:p w14:paraId="1B50545D" w14:textId="77777777" w:rsidR="006846F9" w:rsidRPr="00D03D51" w:rsidRDefault="006846F9" w:rsidP="006846F9">
            <w:pPr>
              <w:pStyle w:val="VAText"/>
              <w:spacing w:before="40" w:after="40"/>
              <w:jc w:val="right"/>
              <w:rPr>
                <w:rFonts w:asciiTheme="minorHAnsi" w:hAnsiTheme="minorHAnsi"/>
                <w:bCs/>
                <w:szCs w:val="18"/>
              </w:rPr>
            </w:pPr>
            <w:r>
              <w:rPr>
                <w:rFonts w:asciiTheme="minorHAnsi" w:hAnsiTheme="minorHAnsi"/>
                <w:bCs/>
                <w:szCs w:val="18"/>
              </w:rPr>
              <w:t>-</w:t>
            </w:r>
          </w:p>
        </w:tc>
      </w:tr>
      <w:tr w:rsidR="006846F9" w:rsidRPr="00D03D51" w14:paraId="1039FA22" w14:textId="77777777" w:rsidTr="006846F9">
        <w:trPr>
          <w:cantSplit/>
        </w:trPr>
        <w:tc>
          <w:tcPr>
            <w:tcW w:w="5387" w:type="dxa"/>
          </w:tcPr>
          <w:p w14:paraId="5633EE2E" w14:textId="77777777" w:rsidR="006846F9" w:rsidRPr="00D03D51" w:rsidRDefault="006846F9" w:rsidP="006846F9">
            <w:pPr>
              <w:pStyle w:val="VAText"/>
              <w:rPr>
                <w:rFonts w:asciiTheme="minorHAnsi" w:hAnsiTheme="minorHAnsi"/>
                <w:szCs w:val="18"/>
              </w:rPr>
            </w:pPr>
            <w:r w:rsidRPr="00D03D51">
              <w:rPr>
                <w:rFonts w:asciiTheme="minorHAnsi" w:hAnsiTheme="minorHAnsi"/>
                <w:b/>
                <w:bCs/>
                <w:szCs w:val="18"/>
              </w:rPr>
              <w:t>Total Non-Current Liabilities</w:t>
            </w:r>
          </w:p>
        </w:tc>
        <w:tc>
          <w:tcPr>
            <w:tcW w:w="852" w:type="dxa"/>
          </w:tcPr>
          <w:p w14:paraId="214542A4" w14:textId="77777777" w:rsidR="006846F9" w:rsidRPr="00D03D51" w:rsidRDefault="006846F9" w:rsidP="006846F9">
            <w:pPr>
              <w:pStyle w:val="VAText"/>
              <w:jc w:val="center"/>
              <w:rPr>
                <w:rFonts w:asciiTheme="minorHAnsi" w:hAnsiTheme="minorHAnsi"/>
                <w:szCs w:val="18"/>
              </w:rPr>
            </w:pPr>
          </w:p>
        </w:tc>
        <w:tc>
          <w:tcPr>
            <w:tcW w:w="1417" w:type="dxa"/>
            <w:tcBorders>
              <w:bottom w:val="single" w:sz="4" w:space="0" w:color="auto"/>
            </w:tcBorders>
          </w:tcPr>
          <w:p w14:paraId="791A3E94" w14:textId="77777777" w:rsidR="006846F9" w:rsidRPr="007B7F5B" w:rsidRDefault="006846F9" w:rsidP="006846F9">
            <w:pPr>
              <w:pStyle w:val="VAText"/>
              <w:spacing w:before="40" w:after="40"/>
              <w:jc w:val="right"/>
              <w:rPr>
                <w:rFonts w:asciiTheme="minorHAnsi" w:hAnsiTheme="minorHAnsi"/>
                <w:b/>
                <w:szCs w:val="18"/>
              </w:rPr>
            </w:pPr>
            <w:r w:rsidRPr="007B7F5B">
              <w:rPr>
                <w:rFonts w:asciiTheme="minorHAnsi" w:hAnsiTheme="minorHAnsi"/>
                <w:b/>
                <w:color w:val="000000" w:themeColor="text1"/>
                <w:szCs w:val="18"/>
              </w:rPr>
              <w:t>332,963</w:t>
            </w:r>
          </w:p>
        </w:tc>
        <w:tc>
          <w:tcPr>
            <w:tcW w:w="567" w:type="dxa"/>
            <w:tcBorders>
              <w:bottom w:val="single" w:sz="4" w:space="0" w:color="auto"/>
            </w:tcBorders>
          </w:tcPr>
          <w:p w14:paraId="7EDFAC06" w14:textId="77777777" w:rsidR="006846F9" w:rsidRPr="00D03D51" w:rsidRDefault="006846F9" w:rsidP="006846F9">
            <w:pPr>
              <w:pStyle w:val="VAText"/>
              <w:jc w:val="right"/>
              <w:rPr>
                <w:rFonts w:asciiTheme="minorHAnsi" w:hAnsiTheme="minorHAnsi"/>
                <w:b/>
                <w:szCs w:val="18"/>
              </w:rPr>
            </w:pPr>
          </w:p>
        </w:tc>
        <w:tc>
          <w:tcPr>
            <w:tcW w:w="1418" w:type="dxa"/>
            <w:tcBorders>
              <w:bottom w:val="single" w:sz="4" w:space="0" w:color="auto"/>
            </w:tcBorders>
          </w:tcPr>
          <w:p w14:paraId="65D7508C"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307,502</w:t>
            </w:r>
          </w:p>
        </w:tc>
      </w:tr>
      <w:tr w:rsidR="006846F9" w:rsidRPr="00D03D51" w14:paraId="417C59C6" w14:textId="77777777" w:rsidTr="00797341">
        <w:trPr>
          <w:cantSplit/>
        </w:trPr>
        <w:tc>
          <w:tcPr>
            <w:tcW w:w="5387" w:type="dxa"/>
            <w:tcBorders>
              <w:bottom w:val="single" w:sz="12" w:space="0" w:color="492581" w:themeColor="accent1"/>
            </w:tcBorders>
          </w:tcPr>
          <w:p w14:paraId="1B3D93B7" w14:textId="77777777" w:rsidR="006846F9" w:rsidRPr="00D03D51" w:rsidRDefault="006846F9" w:rsidP="006846F9">
            <w:pPr>
              <w:pStyle w:val="VAText"/>
              <w:rPr>
                <w:rFonts w:asciiTheme="minorHAnsi" w:hAnsiTheme="minorHAnsi"/>
                <w:szCs w:val="18"/>
              </w:rPr>
            </w:pPr>
            <w:r w:rsidRPr="00D03D51">
              <w:rPr>
                <w:rFonts w:asciiTheme="minorHAnsi" w:hAnsiTheme="minorHAnsi"/>
                <w:b/>
                <w:szCs w:val="18"/>
              </w:rPr>
              <w:t>Total Gross Discounted Outstanding Claims Liabilities</w:t>
            </w:r>
          </w:p>
        </w:tc>
        <w:tc>
          <w:tcPr>
            <w:tcW w:w="852" w:type="dxa"/>
            <w:tcBorders>
              <w:bottom w:val="single" w:sz="12" w:space="0" w:color="492581" w:themeColor="accent1"/>
            </w:tcBorders>
          </w:tcPr>
          <w:p w14:paraId="24589126" w14:textId="77777777" w:rsidR="006846F9" w:rsidRPr="00D03D51" w:rsidRDefault="006846F9" w:rsidP="006846F9">
            <w:pPr>
              <w:pStyle w:val="VAText"/>
              <w:jc w:val="center"/>
              <w:rPr>
                <w:rFonts w:asciiTheme="minorHAnsi" w:hAnsiTheme="minorHAnsi"/>
                <w:szCs w:val="18"/>
              </w:rPr>
            </w:pPr>
            <w:r w:rsidRPr="00D03D51">
              <w:rPr>
                <w:rFonts w:asciiTheme="minorHAnsi" w:hAnsiTheme="minorHAnsi"/>
                <w:szCs w:val="18"/>
              </w:rPr>
              <w:t>1</w:t>
            </w:r>
            <w:r>
              <w:rPr>
                <w:rFonts w:asciiTheme="minorHAnsi" w:hAnsiTheme="minorHAnsi"/>
                <w:szCs w:val="18"/>
              </w:rPr>
              <w:t>5</w:t>
            </w:r>
            <w:r w:rsidRPr="00D03D51">
              <w:rPr>
                <w:rFonts w:asciiTheme="minorHAnsi" w:hAnsiTheme="minorHAnsi"/>
                <w:szCs w:val="18"/>
              </w:rPr>
              <w:t>(d)</w:t>
            </w:r>
          </w:p>
        </w:tc>
        <w:tc>
          <w:tcPr>
            <w:tcW w:w="1417" w:type="dxa"/>
            <w:tcBorders>
              <w:top w:val="single" w:sz="4" w:space="0" w:color="auto"/>
              <w:bottom w:val="single" w:sz="12" w:space="0" w:color="492581" w:themeColor="accent1"/>
            </w:tcBorders>
          </w:tcPr>
          <w:p w14:paraId="74C52516" w14:textId="77777777" w:rsidR="006846F9" w:rsidRPr="007B7F5B" w:rsidRDefault="006846F9" w:rsidP="006846F9">
            <w:pPr>
              <w:pStyle w:val="VAText"/>
              <w:spacing w:before="40" w:after="40"/>
              <w:jc w:val="right"/>
              <w:rPr>
                <w:rFonts w:asciiTheme="minorHAnsi" w:hAnsiTheme="minorHAnsi"/>
                <w:b/>
                <w:szCs w:val="18"/>
              </w:rPr>
            </w:pPr>
            <w:r w:rsidRPr="007B7F5B">
              <w:rPr>
                <w:rFonts w:asciiTheme="minorHAnsi" w:hAnsiTheme="minorHAnsi"/>
                <w:b/>
                <w:color w:val="000000" w:themeColor="text1"/>
                <w:szCs w:val="18"/>
              </w:rPr>
              <w:t>420,095</w:t>
            </w:r>
          </w:p>
        </w:tc>
        <w:tc>
          <w:tcPr>
            <w:tcW w:w="567" w:type="dxa"/>
            <w:tcBorders>
              <w:top w:val="single" w:sz="4" w:space="0" w:color="auto"/>
              <w:bottom w:val="single" w:sz="12" w:space="0" w:color="492581" w:themeColor="accent1"/>
            </w:tcBorders>
          </w:tcPr>
          <w:p w14:paraId="4A2CA55E" w14:textId="77777777" w:rsidR="006846F9" w:rsidRPr="00D03D51" w:rsidRDefault="006846F9" w:rsidP="006846F9">
            <w:pPr>
              <w:pStyle w:val="VAText"/>
              <w:jc w:val="right"/>
              <w:rPr>
                <w:rFonts w:asciiTheme="minorHAnsi" w:hAnsiTheme="minorHAnsi"/>
                <w:szCs w:val="18"/>
              </w:rPr>
            </w:pPr>
          </w:p>
        </w:tc>
        <w:tc>
          <w:tcPr>
            <w:tcW w:w="1418" w:type="dxa"/>
            <w:tcBorders>
              <w:top w:val="single" w:sz="4" w:space="0" w:color="auto"/>
              <w:bottom w:val="single" w:sz="12" w:space="0" w:color="492581" w:themeColor="accent1"/>
            </w:tcBorders>
          </w:tcPr>
          <w:p w14:paraId="2DD0E20A" w14:textId="77777777" w:rsidR="006846F9" w:rsidRPr="00D03D51" w:rsidRDefault="006846F9" w:rsidP="006846F9">
            <w:pPr>
              <w:pStyle w:val="VAText"/>
              <w:spacing w:before="40" w:after="40"/>
              <w:jc w:val="right"/>
              <w:rPr>
                <w:rFonts w:asciiTheme="minorHAnsi" w:hAnsiTheme="minorHAnsi"/>
                <w:b/>
                <w:szCs w:val="18"/>
              </w:rPr>
            </w:pPr>
            <w:r w:rsidRPr="00D03D51">
              <w:rPr>
                <w:rFonts w:asciiTheme="minorHAnsi" w:hAnsiTheme="minorHAnsi"/>
                <w:b/>
                <w:szCs w:val="18"/>
              </w:rPr>
              <w:t>383,925</w:t>
            </w:r>
          </w:p>
        </w:tc>
      </w:tr>
    </w:tbl>
    <w:p w14:paraId="5D6E37E8" w14:textId="2F4A4092" w:rsidR="004332D2" w:rsidRDefault="004332D2">
      <w:pPr>
        <w:spacing w:after="0" w:line="240" w:lineRule="auto"/>
        <w:rPr>
          <w:rFonts w:ascii="Calibri" w:eastAsia="Calibri" w:hAnsi="Calibri" w:cs="Source Sans Pro Light"/>
          <w:color w:val="000000"/>
          <w:sz w:val="22"/>
          <w:szCs w:val="22"/>
        </w:rPr>
      </w:pPr>
    </w:p>
    <w:p w14:paraId="227A2391" w14:textId="77777777" w:rsidR="00B12369" w:rsidRPr="00D03D51" w:rsidRDefault="00B12369" w:rsidP="00ED5B3A">
      <w:pPr>
        <w:pStyle w:val="Pa11"/>
        <w:spacing w:before="40" w:after="100" w:line="240" w:lineRule="auto"/>
        <w:rPr>
          <w:rFonts w:asciiTheme="minorHAnsi" w:hAnsiTheme="minorHAnsi" w:cs="Montserrat Semi Bold"/>
          <w:b/>
          <w:sz w:val="22"/>
          <w:szCs w:val="22"/>
        </w:rPr>
      </w:pPr>
      <w:r w:rsidRPr="00D03D51">
        <w:rPr>
          <w:rFonts w:asciiTheme="minorHAnsi" w:hAnsiTheme="minorHAnsi" w:cs="Montserrat Semi Bold"/>
          <w:b/>
          <w:sz w:val="22"/>
          <w:szCs w:val="22"/>
        </w:rPr>
        <w:t xml:space="preserve">(a) Risk Margin </w:t>
      </w:r>
    </w:p>
    <w:p w14:paraId="42B32E98" w14:textId="77777777" w:rsidR="00B12369" w:rsidRPr="00D03D51" w:rsidRDefault="00B12369" w:rsidP="00ED5B3A">
      <w:pPr>
        <w:pStyle w:val="Pa6"/>
        <w:spacing w:before="40" w:after="100"/>
        <w:rPr>
          <w:rFonts w:asciiTheme="minorHAnsi" w:hAnsiTheme="minorHAnsi" w:cs="Source Sans Pro"/>
          <w:b/>
          <w:sz w:val="22"/>
          <w:szCs w:val="22"/>
        </w:rPr>
      </w:pPr>
      <w:r w:rsidRPr="00D03D51">
        <w:rPr>
          <w:rFonts w:asciiTheme="minorHAnsi" w:hAnsiTheme="minorHAnsi" w:cs="Source Sans Pro"/>
          <w:b/>
          <w:sz w:val="22"/>
          <w:szCs w:val="22"/>
        </w:rPr>
        <w:t>The process of determining risk margin</w:t>
      </w:r>
    </w:p>
    <w:p w14:paraId="6F0F618C" w14:textId="77777777" w:rsidR="00B12369" w:rsidRPr="00797341" w:rsidRDefault="00B12369" w:rsidP="00797341">
      <w:pPr>
        <w:pStyle w:val="Pa6"/>
        <w:spacing w:after="140"/>
        <w:rPr>
          <w:rFonts w:asciiTheme="minorHAnsi" w:hAnsiTheme="minorHAnsi" w:cs="Source Sans Pro Light"/>
          <w:color w:val="000000"/>
          <w:sz w:val="22"/>
          <w:szCs w:val="22"/>
        </w:rPr>
      </w:pPr>
      <w:r w:rsidRPr="00797341">
        <w:rPr>
          <w:rFonts w:asciiTheme="minorHAnsi" w:hAnsiTheme="minorHAnsi" w:cs="Source Sans Pro Light"/>
          <w:color w:val="000000"/>
          <w:sz w:val="22"/>
          <w:szCs w:val="22"/>
        </w:rPr>
        <w:t xml:space="preserve">The overall risk margin was determined allowing for the relative uncertainty of the outstanding claims estimate for each class.  Assumptions regarding the uncertainty were made for each class considering potential variability in the actuarial models and assumptions, the quality of underlying data used in the models, the general insurance environment, and the assumptions made in other government schemes. </w:t>
      </w:r>
    </w:p>
    <w:p w14:paraId="69D8E37E" w14:textId="77777777" w:rsidR="00B12369" w:rsidRPr="00797341" w:rsidRDefault="00B12369" w:rsidP="00797341">
      <w:pPr>
        <w:pStyle w:val="Pa6"/>
        <w:spacing w:after="140"/>
        <w:rPr>
          <w:rFonts w:asciiTheme="minorHAnsi" w:hAnsiTheme="minorHAnsi" w:cs="Source Sans Pro Light"/>
          <w:color w:val="000000"/>
          <w:sz w:val="22"/>
          <w:szCs w:val="22"/>
        </w:rPr>
      </w:pPr>
      <w:r w:rsidRPr="00797341">
        <w:rPr>
          <w:rFonts w:asciiTheme="minorHAnsi" w:hAnsiTheme="minorHAnsi" w:cs="Source Sans Pro Light"/>
          <w:color w:val="000000"/>
          <w:sz w:val="22"/>
          <w:szCs w:val="22"/>
        </w:rPr>
        <w:t>The assumptions were applied to the net central estimates for each class and then aggregated, with no explicit allowance made for diversification, to arrive at an overall provision which is intended to have a</w:t>
      </w:r>
      <w:r w:rsidR="00ED5B3A" w:rsidRPr="00797341">
        <w:rPr>
          <w:rFonts w:asciiTheme="minorHAnsi" w:hAnsiTheme="minorHAnsi" w:cs="Source Sans Pro Light"/>
          <w:color w:val="000000"/>
          <w:sz w:val="22"/>
          <w:szCs w:val="22"/>
        </w:rPr>
        <w:br/>
        <w:t xml:space="preserve">75 per cent probability of adequacy. This means that the outstanding claims liability has a 75 </w:t>
      </w:r>
      <w:r w:rsidRPr="00797341">
        <w:rPr>
          <w:rFonts w:asciiTheme="minorHAnsi" w:hAnsiTheme="minorHAnsi" w:cs="Source Sans Pro Light"/>
          <w:color w:val="000000"/>
          <w:sz w:val="22"/>
          <w:szCs w:val="22"/>
        </w:rPr>
        <w:t>per cent chance of being sufficient to reflect all possible future claims. A 75 per cent level of sufficiency is the minimum required by the Australian Prudential Regulatory Authority (APRA) for APRA regulated insurers.  </w:t>
      </w:r>
    </w:p>
    <w:p w14:paraId="3F595201" w14:textId="77777777" w:rsidR="00797341" w:rsidRDefault="00797341">
      <w:pPr>
        <w:spacing w:after="0" w:line="240" w:lineRule="auto"/>
        <w:rPr>
          <w:rFonts w:cs="Montserrat Semi Bold"/>
          <w:b/>
          <w:bCs/>
          <w:color w:val="000000"/>
          <w:sz w:val="30"/>
          <w:szCs w:val="30"/>
        </w:rPr>
      </w:pPr>
      <w:r>
        <w:rPr>
          <w:rFonts w:cs="Montserrat Semi Bold"/>
          <w:b/>
          <w:bCs/>
          <w:color w:val="000000"/>
          <w:sz w:val="30"/>
          <w:szCs w:val="30"/>
        </w:rPr>
        <w:br w:type="page"/>
      </w:r>
    </w:p>
    <w:p w14:paraId="666D8D6B" w14:textId="667F5E80" w:rsidR="00C074ED" w:rsidRPr="002E131B" w:rsidRDefault="0083799C" w:rsidP="002E131B">
      <w:pPr>
        <w:pStyle w:val="Pa4"/>
        <w:spacing w:after="137" w:line="240" w:lineRule="auto"/>
        <w:outlineLvl w:val="0"/>
        <w:rPr>
          <w:rFonts w:asciiTheme="minorHAnsi" w:hAnsiTheme="minorHAnsi" w:cs="Montserrat Semi Bold"/>
          <w:b/>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25170C">
        <w:rPr>
          <w:rFonts w:asciiTheme="minorHAnsi" w:hAnsiTheme="minorHAnsi" w:cs="Montserrat Semi Bold"/>
          <w:b/>
          <w:bCs/>
          <w:color w:val="000000"/>
          <w:sz w:val="30"/>
          <w:szCs w:val="30"/>
        </w:rPr>
        <w:t>. OUTSTANDING CLAIMS - CONTINUED</w:t>
      </w:r>
    </w:p>
    <w:p w14:paraId="71077C86" w14:textId="67334CF4" w:rsidR="004E4A91" w:rsidRPr="00D03D51" w:rsidRDefault="004E4A91" w:rsidP="004E4A91">
      <w:pPr>
        <w:pStyle w:val="Pa11"/>
        <w:spacing w:before="40" w:after="100" w:line="240" w:lineRule="auto"/>
        <w:rPr>
          <w:rFonts w:asciiTheme="minorHAnsi" w:hAnsiTheme="minorHAnsi" w:cs="Montserrat Semi Bold"/>
          <w:b/>
          <w:sz w:val="22"/>
          <w:szCs w:val="22"/>
        </w:rPr>
      </w:pPr>
      <w:r w:rsidRPr="00D03D51">
        <w:rPr>
          <w:rFonts w:asciiTheme="minorHAnsi" w:hAnsiTheme="minorHAnsi" w:cs="Montserrat Semi Bold"/>
          <w:b/>
          <w:sz w:val="22"/>
          <w:szCs w:val="22"/>
        </w:rPr>
        <w:t xml:space="preserve">(a) Risk Margin </w:t>
      </w:r>
      <w:r>
        <w:rPr>
          <w:rFonts w:asciiTheme="minorHAnsi" w:hAnsiTheme="minorHAnsi" w:cs="Montserrat Semi Bold"/>
          <w:b/>
          <w:sz w:val="22"/>
          <w:szCs w:val="22"/>
        </w:rPr>
        <w:t>- continued</w:t>
      </w:r>
    </w:p>
    <w:p w14:paraId="6EA6B98B" w14:textId="77777777" w:rsidR="00B12369" w:rsidRPr="00B12369" w:rsidRDefault="00B12369" w:rsidP="00B12369">
      <w:pPr>
        <w:autoSpaceDE w:val="0"/>
        <w:autoSpaceDN w:val="0"/>
        <w:adjustRightInd w:val="0"/>
        <w:spacing w:before="40" w:after="100" w:line="211" w:lineRule="atLeast"/>
        <w:rPr>
          <w:rFonts w:ascii="Calibri" w:eastAsia="Calibri" w:hAnsi="Calibri" w:cs="Source Sans Pro"/>
          <w:b/>
          <w:bCs/>
          <w:sz w:val="22"/>
          <w:szCs w:val="22"/>
        </w:rPr>
      </w:pPr>
      <w:r w:rsidRPr="00B12369">
        <w:rPr>
          <w:rFonts w:ascii="Calibri" w:eastAsia="Calibri" w:hAnsi="Calibri" w:cs="Source Sans Pro"/>
          <w:b/>
          <w:bCs/>
          <w:sz w:val="22"/>
          <w:szCs w:val="22"/>
        </w:rPr>
        <w:t>Risk margins applied</w:t>
      </w:r>
    </w:p>
    <w:tbl>
      <w:tblPr>
        <w:tblW w:w="0" w:type="auto"/>
        <w:tblInd w:w="-142"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792202" w:rsidRPr="00D03D51" w14:paraId="2EFE2F17" w14:textId="77777777" w:rsidTr="008E1C1E">
        <w:trPr>
          <w:trHeight w:val="141"/>
        </w:trPr>
        <w:tc>
          <w:tcPr>
            <w:tcW w:w="6771" w:type="dxa"/>
            <w:tcBorders>
              <w:top w:val="single" w:sz="12" w:space="0" w:color="492581" w:themeColor="accent1"/>
              <w:bottom w:val="nil"/>
            </w:tcBorders>
          </w:tcPr>
          <w:p w14:paraId="664E0708"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b/>
                <w:bCs/>
                <w:sz w:val="18"/>
                <w:szCs w:val="18"/>
              </w:rPr>
              <w:t xml:space="preserve">Class </w:t>
            </w:r>
          </w:p>
        </w:tc>
        <w:tc>
          <w:tcPr>
            <w:tcW w:w="2835" w:type="dxa"/>
            <w:gridSpan w:val="2"/>
            <w:tcBorders>
              <w:top w:val="single" w:sz="12" w:space="0" w:color="492581" w:themeColor="accent1"/>
              <w:bottom w:val="nil"/>
            </w:tcBorders>
          </w:tcPr>
          <w:p w14:paraId="5A70A887" w14:textId="77777777" w:rsidR="00792202" w:rsidRPr="00D03D51" w:rsidRDefault="00792202">
            <w:pPr>
              <w:autoSpaceDE w:val="0"/>
              <w:autoSpaceDN w:val="0"/>
              <w:adjustRightInd w:val="0"/>
              <w:spacing w:before="20" w:after="20" w:line="240" w:lineRule="auto"/>
              <w:jc w:val="right"/>
              <w:rPr>
                <w:rFonts w:cstheme="minorHAnsi"/>
                <w:sz w:val="18"/>
                <w:szCs w:val="18"/>
              </w:rPr>
            </w:pPr>
            <w:r w:rsidRPr="00D03D51">
              <w:rPr>
                <w:rFonts w:cstheme="minorHAnsi"/>
                <w:b/>
                <w:bCs/>
                <w:sz w:val="18"/>
                <w:szCs w:val="18"/>
              </w:rPr>
              <w:t>Adopted Risk Margin</w:t>
            </w:r>
          </w:p>
        </w:tc>
      </w:tr>
      <w:tr w:rsidR="00792202" w:rsidRPr="00D03D51" w14:paraId="43553FF2" w14:textId="77777777" w:rsidTr="008E1C1E">
        <w:trPr>
          <w:trHeight w:val="499"/>
        </w:trPr>
        <w:tc>
          <w:tcPr>
            <w:tcW w:w="6771" w:type="dxa"/>
            <w:tcBorders>
              <w:top w:val="nil"/>
              <w:bottom w:val="single" w:sz="12" w:space="0" w:color="492581" w:themeColor="accent1"/>
            </w:tcBorders>
          </w:tcPr>
          <w:p w14:paraId="68615C58" w14:textId="77777777" w:rsidR="00792202" w:rsidRPr="00D03D51" w:rsidRDefault="00792202">
            <w:pPr>
              <w:autoSpaceDE w:val="0"/>
              <w:autoSpaceDN w:val="0"/>
              <w:adjustRightInd w:val="0"/>
              <w:spacing w:before="20" w:after="20" w:line="240" w:lineRule="auto"/>
              <w:jc w:val="right"/>
              <w:rPr>
                <w:rFonts w:cstheme="minorHAnsi"/>
                <w:sz w:val="18"/>
                <w:szCs w:val="18"/>
              </w:rPr>
            </w:pPr>
          </w:p>
        </w:tc>
        <w:tc>
          <w:tcPr>
            <w:tcW w:w="1417" w:type="dxa"/>
            <w:tcBorders>
              <w:top w:val="nil"/>
              <w:bottom w:val="single" w:sz="12" w:space="0" w:color="492581" w:themeColor="accent1"/>
            </w:tcBorders>
          </w:tcPr>
          <w:p w14:paraId="7A2097BF" w14:textId="77777777" w:rsidR="00792202" w:rsidRPr="00D03D51" w:rsidRDefault="00792202">
            <w:pPr>
              <w:autoSpaceDE w:val="0"/>
              <w:autoSpaceDN w:val="0"/>
              <w:adjustRightInd w:val="0"/>
              <w:spacing w:before="20" w:after="20" w:line="240" w:lineRule="auto"/>
              <w:jc w:val="right"/>
              <w:rPr>
                <w:rFonts w:cstheme="minorHAnsi"/>
                <w:sz w:val="18"/>
                <w:szCs w:val="18"/>
              </w:rPr>
            </w:pPr>
            <w:r w:rsidRPr="00D03D51">
              <w:rPr>
                <w:rFonts w:cstheme="minorHAnsi"/>
                <w:b/>
                <w:bCs/>
                <w:sz w:val="18"/>
                <w:szCs w:val="18"/>
              </w:rPr>
              <w:t>2024</w:t>
            </w:r>
            <w:r w:rsidRPr="00D03D51">
              <w:rPr>
                <w:rFonts w:cstheme="minorHAnsi"/>
                <w:b/>
                <w:bCs/>
                <w:sz w:val="18"/>
                <w:szCs w:val="18"/>
              </w:rPr>
              <w:br/>
              <w:t>(%)</w:t>
            </w:r>
          </w:p>
        </w:tc>
        <w:tc>
          <w:tcPr>
            <w:tcW w:w="1418" w:type="dxa"/>
            <w:tcBorders>
              <w:top w:val="nil"/>
              <w:bottom w:val="single" w:sz="12" w:space="0" w:color="492581" w:themeColor="accent1"/>
            </w:tcBorders>
          </w:tcPr>
          <w:p w14:paraId="4F6A7D49" w14:textId="77777777" w:rsidR="00792202" w:rsidRPr="00D03D51" w:rsidRDefault="00792202">
            <w:pPr>
              <w:autoSpaceDE w:val="0"/>
              <w:autoSpaceDN w:val="0"/>
              <w:adjustRightInd w:val="0"/>
              <w:spacing w:before="20" w:after="20" w:line="240" w:lineRule="auto"/>
              <w:jc w:val="right"/>
              <w:rPr>
                <w:rFonts w:cstheme="minorHAnsi"/>
                <w:b/>
                <w:bCs/>
                <w:sz w:val="18"/>
                <w:szCs w:val="18"/>
              </w:rPr>
            </w:pPr>
            <w:r w:rsidRPr="00D03D51">
              <w:rPr>
                <w:rFonts w:cstheme="minorHAnsi"/>
                <w:b/>
                <w:bCs/>
                <w:sz w:val="18"/>
                <w:szCs w:val="18"/>
              </w:rPr>
              <w:t>2023</w:t>
            </w:r>
            <w:r w:rsidRPr="00D03D51">
              <w:rPr>
                <w:rFonts w:cstheme="minorHAnsi"/>
                <w:b/>
                <w:bCs/>
                <w:sz w:val="18"/>
                <w:szCs w:val="18"/>
              </w:rPr>
              <w:br/>
              <w:t xml:space="preserve">(%) </w:t>
            </w:r>
          </w:p>
        </w:tc>
      </w:tr>
      <w:tr w:rsidR="00792202" w:rsidRPr="00D03D51" w14:paraId="739A96CC" w14:textId="77777777" w:rsidTr="008E1C1E">
        <w:trPr>
          <w:trHeight w:val="118"/>
        </w:trPr>
        <w:tc>
          <w:tcPr>
            <w:tcW w:w="6771" w:type="dxa"/>
            <w:tcBorders>
              <w:top w:val="single" w:sz="12" w:space="0" w:color="492581" w:themeColor="accent1"/>
            </w:tcBorders>
            <w:vAlign w:val="center"/>
          </w:tcPr>
          <w:p w14:paraId="38830C5E"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Directors and Officers </w:t>
            </w:r>
          </w:p>
        </w:tc>
        <w:tc>
          <w:tcPr>
            <w:tcW w:w="1417" w:type="dxa"/>
            <w:tcBorders>
              <w:top w:val="single" w:sz="12" w:space="0" w:color="492581" w:themeColor="accent1"/>
            </w:tcBorders>
            <w:vAlign w:val="center"/>
          </w:tcPr>
          <w:p w14:paraId="167E49BE"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18</w:t>
            </w:r>
          </w:p>
        </w:tc>
        <w:tc>
          <w:tcPr>
            <w:tcW w:w="1418" w:type="dxa"/>
            <w:tcBorders>
              <w:top w:val="single" w:sz="12" w:space="0" w:color="492581" w:themeColor="accent1"/>
            </w:tcBorders>
            <w:vAlign w:val="center"/>
          </w:tcPr>
          <w:p w14:paraId="05DFBE77"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18</w:t>
            </w:r>
          </w:p>
        </w:tc>
      </w:tr>
      <w:tr w:rsidR="00792202" w:rsidRPr="00D03D51" w14:paraId="0275531B" w14:textId="77777777">
        <w:trPr>
          <w:trHeight w:val="118"/>
        </w:trPr>
        <w:tc>
          <w:tcPr>
            <w:tcW w:w="6771" w:type="dxa"/>
            <w:vAlign w:val="center"/>
          </w:tcPr>
          <w:p w14:paraId="0C97F976"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Financial Crime </w:t>
            </w:r>
          </w:p>
        </w:tc>
        <w:tc>
          <w:tcPr>
            <w:tcW w:w="1417" w:type="dxa"/>
            <w:vAlign w:val="center"/>
          </w:tcPr>
          <w:p w14:paraId="3D49E654"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30</w:t>
            </w:r>
          </w:p>
        </w:tc>
        <w:tc>
          <w:tcPr>
            <w:tcW w:w="1418" w:type="dxa"/>
            <w:vAlign w:val="center"/>
          </w:tcPr>
          <w:p w14:paraId="571602C6"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30</w:t>
            </w:r>
          </w:p>
        </w:tc>
      </w:tr>
      <w:tr w:rsidR="00792202" w:rsidRPr="00D03D51" w14:paraId="53612707" w14:textId="77777777">
        <w:trPr>
          <w:trHeight w:val="118"/>
        </w:trPr>
        <w:tc>
          <w:tcPr>
            <w:tcW w:w="6771" w:type="dxa"/>
            <w:vAlign w:val="center"/>
          </w:tcPr>
          <w:p w14:paraId="6A01D8DF"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Medical Malpractice </w:t>
            </w:r>
          </w:p>
        </w:tc>
        <w:tc>
          <w:tcPr>
            <w:tcW w:w="1417" w:type="dxa"/>
            <w:vAlign w:val="center"/>
          </w:tcPr>
          <w:p w14:paraId="63E9C757"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15</w:t>
            </w:r>
          </w:p>
        </w:tc>
        <w:tc>
          <w:tcPr>
            <w:tcW w:w="1418" w:type="dxa"/>
            <w:vAlign w:val="center"/>
          </w:tcPr>
          <w:p w14:paraId="1A914DC4"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15</w:t>
            </w:r>
          </w:p>
        </w:tc>
      </w:tr>
      <w:tr w:rsidR="00792202" w:rsidRPr="00D03D51" w14:paraId="4E54EB6F" w14:textId="77777777">
        <w:trPr>
          <w:trHeight w:val="118"/>
        </w:trPr>
        <w:tc>
          <w:tcPr>
            <w:tcW w:w="6771" w:type="dxa"/>
            <w:vAlign w:val="center"/>
          </w:tcPr>
          <w:p w14:paraId="512314AE"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Professional Indemnity </w:t>
            </w:r>
          </w:p>
        </w:tc>
        <w:tc>
          <w:tcPr>
            <w:tcW w:w="1417" w:type="dxa"/>
            <w:vAlign w:val="center"/>
          </w:tcPr>
          <w:p w14:paraId="49DD2895"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18</w:t>
            </w:r>
          </w:p>
        </w:tc>
        <w:tc>
          <w:tcPr>
            <w:tcW w:w="1418" w:type="dxa"/>
            <w:vAlign w:val="center"/>
          </w:tcPr>
          <w:p w14:paraId="446AC002"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18</w:t>
            </w:r>
          </w:p>
        </w:tc>
      </w:tr>
      <w:tr w:rsidR="00792202" w:rsidRPr="00D03D51" w14:paraId="1DDF9110" w14:textId="77777777">
        <w:trPr>
          <w:trHeight w:val="118"/>
        </w:trPr>
        <w:tc>
          <w:tcPr>
            <w:tcW w:w="6771" w:type="dxa"/>
            <w:vAlign w:val="center"/>
          </w:tcPr>
          <w:p w14:paraId="2AD8F1F1"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Property and Motor </w:t>
            </w:r>
          </w:p>
        </w:tc>
        <w:tc>
          <w:tcPr>
            <w:tcW w:w="1417" w:type="dxa"/>
            <w:tcBorders>
              <w:bottom w:val="nil"/>
            </w:tcBorders>
            <w:vAlign w:val="center"/>
          </w:tcPr>
          <w:p w14:paraId="5FC6849D"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23</w:t>
            </w:r>
          </w:p>
        </w:tc>
        <w:tc>
          <w:tcPr>
            <w:tcW w:w="1418" w:type="dxa"/>
            <w:tcBorders>
              <w:bottom w:val="nil"/>
            </w:tcBorders>
            <w:vAlign w:val="center"/>
          </w:tcPr>
          <w:p w14:paraId="5DDA619C"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23</w:t>
            </w:r>
          </w:p>
        </w:tc>
      </w:tr>
      <w:tr w:rsidR="00792202" w:rsidRPr="00D03D51" w14:paraId="3AF9767A" w14:textId="77777777">
        <w:trPr>
          <w:trHeight w:val="118"/>
        </w:trPr>
        <w:tc>
          <w:tcPr>
            <w:tcW w:w="6771" w:type="dxa"/>
            <w:tcBorders>
              <w:bottom w:val="nil"/>
            </w:tcBorders>
            <w:vAlign w:val="center"/>
          </w:tcPr>
          <w:p w14:paraId="24CCE22A"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 xml:space="preserve">Public Liability </w:t>
            </w:r>
          </w:p>
        </w:tc>
        <w:tc>
          <w:tcPr>
            <w:tcW w:w="1417" w:type="dxa"/>
            <w:tcBorders>
              <w:top w:val="nil"/>
              <w:left w:val="nil"/>
              <w:bottom w:val="nil"/>
              <w:right w:val="nil"/>
            </w:tcBorders>
            <w:vAlign w:val="center"/>
          </w:tcPr>
          <w:p w14:paraId="630D2672"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17</w:t>
            </w:r>
          </w:p>
        </w:tc>
        <w:tc>
          <w:tcPr>
            <w:tcW w:w="1418" w:type="dxa"/>
            <w:tcBorders>
              <w:top w:val="nil"/>
              <w:bottom w:val="nil"/>
            </w:tcBorders>
            <w:vAlign w:val="center"/>
          </w:tcPr>
          <w:p w14:paraId="0A88BE4E"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15</w:t>
            </w:r>
          </w:p>
        </w:tc>
      </w:tr>
      <w:tr w:rsidR="00792202" w:rsidRPr="00D03D51" w14:paraId="21B48EDF" w14:textId="77777777">
        <w:trPr>
          <w:trHeight w:val="118"/>
        </w:trPr>
        <w:tc>
          <w:tcPr>
            <w:tcW w:w="6771" w:type="dxa"/>
            <w:tcBorders>
              <w:top w:val="nil"/>
              <w:left w:val="nil"/>
              <w:bottom w:val="nil"/>
            </w:tcBorders>
            <w:vAlign w:val="center"/>
          </w:tcPr>
          <w:p w14:paraId="0F42EC62" w14:textId="77777777" w:rsidR="00792202" w:rsidRPr="00D03D51" w:rsidRDefault="00792202">
            <w:pPr>
              <w:autoSpaceDE w:val="0"/>
              <w:autoSpaceDN w:val="0"/>
              <w:adjustRightInd w:val="0"/>
              <w:spacing w:before="20" w:after="20" w:line="240" w:lineRule="auto"/>
              <w:rPr>
                <w:rFonts w:cstheme="minorHAnsi"/>
                <w:sz w:val="18"/>
                <w:szCs w:val="18"/>
              </w:rPr>
            </w:pPr>
            <w:r w:rsidRPr="00D03D51">
              <w:rPr>
                <w:rFonts w:cstheme="minorHAnsi"/>
                <w:sz w:val="18"/>
                <w:szCs w:val="18"/>
              </w:rPr>
              <w:t>Residential Builders Warranty</w:t>
            </w:r>
          </w:p>
        </w:tc>
        <w:tc>
          <w:tcPr>
            <w:tcW w:w="1417" w:type="dxa"/>
            <w:tcBorders>
              <w:top w:val="nil"/>
              <w:left w:val="nil"/>
              <w:bottom w:val="nil"/>
              <w:right w:val="nil"/>
            </w:tcBorders>
            <w:vAlign w:val="center"/>
          </w:tcPr>
          <w:p w14:paraId="157318B6"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30</w:t>
            </w:r>
          </w:p>
        </w:tc>
        <w:tc>
          <w:tcPr>
            <w:tcW w:w="1418" w:type="dxa"/>
            <w:tcBorders>
              <w:top w:val="nil"/>
              <w:bottom w:val="nil"/>
              <w:right w:val="nil"/>
            </w:tcBorders>
            <w:vAlign w:val="center"/>
          </w:tcPr>
          <w:p w14:paraId="7B87BEED"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Cs/>
                <w:sz w:val="18"/>
                <w:szCs w:val="18"/>
              </w:rPr>
              <w:t>30</w:t>
            </w:r>
          </w:p>
        </w:tc>
      </w:tr>
      <w:tr w:rsidR="00792202" w:rsidRPr="00D03D51" w14:paraId="04D18413" w14:textId="77777777" w:rsidTr="008E1C1E">
        <w:trPr>
          <w:trHeight w:val="118"/>
        </w:trPr>
        <w:tc>
          <w:tcPr>
            <w:tcW w:w="6771" w:type="dxa"/>
            <w:tcBorders>
              <w:top w:val="nil"/>
              <w:bottom w:val="single" w:sz="12" w:space="0" w:color="492581" w:themeColor="accent1"/>
            </w:tcBorders>
            <w:vAlign w:val="center"/>
          </w:tcPr>
          <w:p w14:paraId="26D9D5C2" w14:textId="77777777" w:rsidR="00792202" w:rsidRPr="00D03D51" w:rsidRDefault="00792202">
            <w:pPr>
              <w:autoSpaceDE w:val="0"/>
              <w:autoSpaceDN w:val="0"/>
              <w:adjustRightInd w:val="0"/>
              <w:spacing w:before="20" w:after="20" w:line="240" w:lineRule="auto"/>
              <w:rPr>
                <w:rFonts w:cstheme="minorHAnsi"/>
                <w:sz w:val="18"/>
                <w:szCs w:val="18"/>
              </w:rPr>
            </w:pPr>
            <w:r w:rsidRPr="00A312DA">
              <w:rPr>
                <w:rFonts w:cstheme="minorHAnsi"/>
                <w:sz w:val="18"/>
                <w:szCs w:val="18"/>
              </w:rPr>
              <w:t>Physical and Sexual Abuse Indemnity Scheme</w:t>
            </w:r>
          </w:p>
        </w:tc>
        <w:tc>
          <w:tcPr>
            <w:tcW w:w="1417" w:type="dxa"/>
            <w:tcBorders>
              <w:top w:val="nil"/>
              <w:left w:val="nil"/>
              <w:bottom w:val="single" w:sz="12" w:space="0" w:color="492581" w:themeColor="accent1"/>
              <w:right w:val="nil"/>
            </w:tcBorders>
            <w:vAlign w:val="center"/>
          </w:tcPr>
          <w:p w14:paraId="0DEA37AA" w14:textId="77777777" w:rsidR="00792202" w:rsidRPr="00F63F28" w:rsidRDefault="00792202">
            <w:pPr>
              <w:autoSpaceDE w:val="0"/>
              <w:autoSpaceDN w:val="0"/>
              <w:adjustRightInd w:val="0"/>
              <w:spacing w:before="20" w:after="20" w:line="240" w:lineRule="auto"/>
              <w:jc w:val="right"/>
              <w:rPr>
                <w:rFonts w:cstheme="minorHAnsi"/>
                <w:bCs/>
                <w:sz w:val="18"/>
                <w:szCs w:val="18"/>
              </w:rPr>
            </w:pPr>
            <w:r w:rsidRPr="00F63F28">
              <w:rPr>
                <w:rFonts w:cstheme="minorHAnsi"/>
                <w:bCs/>
                <w:color w:val="000000" w:themeColor="text1"/>
                <w:sz w:val="18"/>
                <w:szCs w:val="18"/>
              </w:rPr>
              <w:t>40</w:t>
            </w:r>
          </w:p>
        </w:tc>
        <w:tc>
          <w:tcPr>
            <w:tcW w:w="1418" w:type="dxa"/>
            <w:tcBorders>
              <w:top w:val="nil"/>
              <w:bottom w:val="single" w:sz="12" w:space="0" w:color="492581" w:themeColor="accent1"/>
            </w:tcBorders>
            <w:vAlign w:val="center"/>
          </w:tcPr>
          <w:p w14:paraId="6D663378" w14:textId="77777777" w:rsidR="00792202" w:rsidRPr="00D03D51" w:rsidRDefault="00792202">
            <w:pPr>
              <w:autoSpaceDE w:val="0"/>
              <w:autoSpaceDN w:val="0"/>
              <w:adjustRightInd w:val="0"/>
              <w:spacing w:before="20" w:after="20" w:line="240" w:lineRule="auto"/>
              <w:jc w:val="right"/>
              <w:rPr>
                <w:rFonts w:cstheme="minorHAnsi"/>
                <w:bCs/>
                <w:sz w:val="18"/>
                <w:szCs w:val="18"/>
              </w:rPr>
            </w:pPr>
            <w:r>
              <w:rPr>
                <w:rFonts w:cstheme="minorHAnsi"/>
                <w:bCs/>
                <w:sz w:val="18"/>
                <w:szCs w:val="18"/>
              </w:rPr>
              <w:t>-</w:t>
            </w:r>
          </w:p>
        </w:tc>
      </w:tr>
      <w:tr w:rsidR="00792202" w:rsidRPr="00D03D51" w14:paraId="2B343843" w14:textId="77777777" w:rsidTr="008E1C1E">
        <w:trPr>
          <w:trHeight w:val="118"/>
        </w:trPr>
        <w:tc>
          <w:tcPr>
            <w:tcW w:w="6771" w:type="dxa"/>
            <w:tcBorders>
              <w:top w:val="single" w:sz="12" w:space="0" w:color="492581" w:themeColor="accent1"/>
              <w:bottom w:val="single" w:sz="12" w:space="0" w:color="492581" w:themeColor="accent1"/>
            </w:tcBorders>
            <w:vAlign w:val="center"/>
          </w:tcPr>
          <w:p w14:paraId="74C47B94" w14:textId="77777777" w:rsidR="00792202" w:rsidRPr="007D0D1F" w:rsidRDefault="00792202">
            <w:pPr>
              <w:autoSpaceDE w:val="0"/>
              <w:autoSpaceDN w:val="0"/>
              <w:adjustRightInd w:val="0"/>
              <w:spacing w:before="20" w:after="20" w:line="240" w:lineRule="auto"/>
              <w:rPr>
                <w:rFonts w:cstheme="minorHAnsi"/>
                <w:b/>
                <w:bCs/>
                <w:sz w:val="18"/>
                <w:szCs w:val="18"/>
              </w:rPr>
            </w:pPr>
            <w:r w:rsidRPr="007D0D1F">
              <w:rPr>
                <w:rFonts w:cstheme="minorHAnsi"/>
                <w:b/>
                <w:bCs/>
                <w:sz w:val="18"/>
                <w:szCs w:val="18"/>
              </w:rPr>
              <w:t xml:space="preserve">Overall margin (weighted average) </w:t>
            </w:r>
            <w:r w:rsidRPr="007D0D1F">
              <w:rPr>
                <w:rFonts w:cstheme="minorHAnsi"/>
                <w:b/>
                <w:bCs/>
                <w:sz w:val="18"/>
                <w:szCs w:val="18"/>
                <w:vertAlign w:val="superscript"/>
              </w:rPr>
              <w:t>1</w:t>
            </w:r>
            <w:r w:rsidRPr="007D0D1F">
              <w:rPr>
                <w:rFonts w:cstheme="minorHAnsi"/>
                <w:b/>
                <w:bCs/>
                <w:sz w:val="18"/>
                <w:szCs w:val="18"/>
              </w:rPr>
              <w:t xml:space="preserve"> </w:t>
            </w:r>
          </w:p>
        </w:tc>
        <w:tc>
          <w:tcPr>
            <w:tcW w:w="1417" w:type="dxa"/>
            <w:tcBorders>
              <w:top w:val="single" w:sz="12" w:space="0" w:color="492581" w:themeColor="accent1"/>
              <w:bottom w:val="single" w:sz="12" w:space="0" w:color="492581" w:themeColor="accent1"/>
            </w:tcBorders>
            <w:vAlign w:val="center"/>
          </w:tcPr>
          <w:p w14:paraId="30C5E330" w14:textId="77777777" w:rsidR="00792202" w:rsidRPr="00F63F28" w:rsidRDefault="00792202">
            <w:pPr>
              <w:autoSpaceDE w:val="0"/>
              <w:autoSpaceDN w:val="0"/>
              <w:adjustRightInd w:val="0"/>
              <w:spacing w:before="20" w:after="20" w:line="240" w:lineRule="auto"/>
              <w:jc w:val="right"/>
              <w:rPr>
                <w:rFonts w:cstheme="minorHAnsi"/>
                <w:b/>
                <w:sz w:val="18"/>
                <w:szCs w:val="18"/>
              </w:rPr>
            </w:pPr>
            <w:r w:rsidRPr="00F63F28">
              <w:rPr>
                <w:rFonts w:cstheme="minorHAnsi"/>
                <w:b/>
                <w:color w:val="000000" w:themeColor="text1"/>
                <w:sz w:val="18"/>
                <w:szCs w:val="18"/>
              </w:rPr>
              <w:t>16.3</w:t>
            </w:r>
          </w:p>
        </w:tc>
        <w:tc>
          <w:tcPr>
            <w:tcW w:w="1418" w:type="dxa"/>
            <w:tcBorders>
              <w:top w:val="single" w:sz="12" w:space="0" w:color="492581" w:themeColor="accent1"/>
              <w:bottom w:val="single" w:sz="12" w:space="0" w:color="492581" w:themeColor="accent1"/>
            </w:tcBorders>
            <w:vAlign w:val="center"/>
          </w:tcPr>
          <w:p w14:paraId="32A97D2F" w14:textId="77777777" w:rsidR="00792202" w:rsidRPr="00D03D51" w:rsidRDefault="00792202">
            <w:pPr>
              <w:autoSpaceDE w:val="0"/>
              <w:autoSpaceDN w:val="0"/>
              <w:adjustRightInd w:val="0"/>
              <w:spacing w:before="20" w:after="20" w:line="240" w:lineRule="auto"/>
              <w:jc w:val="right"/>
              <w:rPr>
                <w:rFonts w:cstheme="minorHAnsi"/>
                <w:bCs/>
                <w:sz w:val="18"/>
                <w:szCs w:val="18"/>
              </w:rPr>
            </w:pPr>
            <w:r w:rsidRPr="00D03D51">
              <w:rPr>
                <w:rFonts w:cstheme="minorHAnsi"/>
                <w:b/>
                <w:sz w:val="18"/>
                <w:szCs w:val="18"/>
              </w:rPr>
              <w:t>16.1</w:t>
            </w:r>
          </w:p>
        </w:tc>
      </w:tr>
      <w:tr w:rsidR="00792202" w:rsidRPr="00E736CA" w14:paraId="1583F134" w14:textId="77777777" w:rsidTr="008E1C1E">
        <w:trPr>
          <w:trHeight w:val="842"/>
        </w:trPr>
        <w:tc>
          <w:tcPr>
            <w:tcW w:w="9606" w:type="dxa"/>
            <w:gridSpan w:val="3"/>
            <w:tcBorders>
              <w:top w:val="single" w:sz="12" w:space="0" w:color="492581" w:themeColor="accent1"/>
              <w:bottom w:val="single" w:sz="12" w:space="0" w:color="492581" w:themeColor="accent1"/>
            </w:tcBorders>
            <w:vAlign w:val="center"/>
          </w:tcPr>
          <w:p w14:paraId="0D5F210F" w14:textId="77777777" w:rsidR="00792202" w:rsidRPr="00E736CA" w:rsidRDefault="00792202">
            <w:pPr>
              <w:autoSpaceDE w:val="0"/>
              <w:autoSpaceDN w:val="0"/>
              <w:adjustRightInd w:val="0"/>
              <w:spacing w:before="120" w:after="120" w:line="240" w:lineRule="auto"/>
              <w:rPr>
                <w:rFonts w:cstheme="minorHAnsi"/>
                <w:sz w:val="17"/>
                <w:szCs w:val="17"/>
              </w:rPr>
            </w:pPr>
            <w:r w:rsidRPr="00E736CA">
              <w:rPr>
                <w:rFonts w:cstheme="minorHAnsi"/>
                <w:i/>
                <w:iCs/>
                <w:sz w:val="17"/>
                <w:szCs w:val="17"/>
                <w:vertAlign w:val="superscript"/>
              </w:rPr>
              <w:t>1</w:t>
            </w:r>
            <w:r w:rsidRPr="00E736CA">
              <w:rPr>
                <w:rFonts w:cstheme="minorHAnsi"/>
                <w:i/>
                <w:iCs/>
                <w:sz w:val="17"/>
                <w:szCs w:val="17"/>
              </w:rPr>
              <w:t xml:space="preserve"> The weighted average is based on the size of the net central estimate of the liability. That is, even if the adopted risk margin for each insurance class doesn’t change, the weighted average may still change due to movements in the underlying liabilities for each insurance class.</w:t>
            </w:r>
          </w:p>
        </w:tc>
      </w:tr>
    </w:tbl>
    <w:p w14:paraId="12096501" w14:textId="77777777" w:rsidR="00314489" w:rsidRDefault="00314489" w:rsidP="005F1512">
      <w:pPr>
        <w:autoSpaceDE w:val="0"/>
        <w:autoSpaceDN w:val="0"/>
        <w:adjustRightInd w:val="0"/>
        <w:spacing w:before="40" w:after="100" w:line="240" w:lineRule="auto"/>
        <w:rPr>
          <w:rFonts w:ascii="Calibri" w:eastAsia="Calibri" w:hAnsi="Calibri" w:cs="Montserrat Semi Bold"/>
          <w:b/>
          <w:bCs/>
          <w:sz w:val="22"/>
          <w:szCs w:val="22"/>
        </w:rPr>
      </w:pPr>
    </w:p>
    <w:p w14:paraId="01318547" w14:textId="77777777" w:rsidR="006D1670" w:rsidRPr="009730D4" w:rsidRDefault="006D1670" w:rsidP="009730D4">
      <w:pPr>
        <w:autoSpaceDE w:val="0"/>
        <w:autoSpaceDN w:val="0"/>
        <w:adjustRightInd w:val="0"/>
        <w:spacing w:before="40" w:after="100" w:line="240" w:lineRule="auto"/>
        <w:rPr>
          <w:rFonts w:ascii="Calibri" w:eastAsia="Calibri" w:hAnsi="Calibri" w:cs="Montserrat Semi Bold"/>
          <w:b/>
          <w:sz w:val="22"/>
          <w:szCs w:val="22"/>
        </w:rPr>
      </w:pPr>
      <w:r w:rsidRPr="009730D4">
        <w:rPr>
          <w:rFonts w:ascii="Calibri" w:eastAsia="Calibri" w:hAnsi="Calibri" w:cs="Montserrat Semi Bold"/>
          <w:b/>
          <w:sz w:val="22"/>
          <w:szCs w:val="22"/>
        </w:rPr>
        <w:t>(b) Inflation and Discount Rates</w:t>
      </w:r>
    </w:p>
    <w:p w14:paraId="63D29349" w14:textId="77777777" w:rsidR="006D1670" w:rsidRPr="008E1C1E" w:rsidRDefault="006D1670" w:rsidP="008E1C1E">
      <w:pPr>
        <w:pStyle w:val="Pa6"/>
        <w:spacing w:after="140"/>
        <w:rPr>
          <w:rFonts w:asciiTheme="minorHAnsi" w:hAnsiTheme="minorHAnsi" w:cs="Source Sans Pro Light"/>
          <w:color w:val="000000"/>
          <w:sz w:val="22"/>
          <w:szCs w:val="22"/>
        </w:rPr>
      </w:pPr>
      <w:r w:rsidRPr="008E1C1E">
        <w:rPr>
          <w:rFonts w:asciiTheme="minorHAnsi" w:hAnsiTheme="minorHAnsi" w:cs="Source Sans Pro Light"/>
          <w:color w:val="000000"/>
          <w:sz w:val="22"/>
          <w:szCs w:val="22"/>
        </w:rPr>
        <w:t>The following average inflation (normal and superimposed) rates and discount rates were used in the measurement of outstanding claims.</w:t>
      </w:r>
    </w:p>
    <w:p w14:paraId="206954F4" w14:textId="77777777" w:rsidR="006D1670" w:rsidRPr="008E1C1E" w:rsidRDefault="006D1670" w:rsidP="008E1C1E">
      <w:pPr>
        <w:pStyle w:val="Pa6"/>
        <w:spacing w:after="140"/>
        <w:rPr>
          <w:rFonts w:asciiTheme="minorHAnsi" w:hAnsiTheme="minorHAnsi" w:cs="Source Sans Pro Light"/>
          <w:color w:val="000000"/>
          <w:sz w:val="22"/>
          <w:szCs w:val="22"/>
        </w:rPr>
      </w:pPr>
      <w:r w:rsidRPr="008E1C1E">
        <w:rPr>
          <w:rFonts w:asciiTheme="minorHAnsi" w:hAnsiTheme="minorHAnsi" w:cs="Source Sans Pro Light"/>
          <w:color w:val="000000"/>
          <w:sz w:val="22"/>
          <w:szCs w:val="22"/>
        </w:rPr>
        <w:t>For the succeeding and subsequent year, inflation assumptions are set with reference to economic forecasts (short-term inflation assumptions). The long-term assumption is set using methodology which assumes a constant gap of adopted future inflation to the long-term discount rates and will increase or decrease as discount rates increase and decrease.</w:t>
      </w:r>
    </w:p>
    <w:tbl>
      <w:tblPr>
        <w:tblW w:w="9640" w:type="dxa"/>
        <w:tblInd w:w="-142" w:type="dxa"/>
        <w:tblBorders>
          <w:top w:val="nil"/>
          <w:left w:val="nil"/>
          <w:bottom w:val="nil"/>
          <w:right w:val="nil"/>
        </w:tblBorders>
        <w:tblLayout w:type="fixed"/>
        <w:tblLook w:val="0000" w:firstRow="0" w:lastRow="0" w:firstColumn="0" w:lastColumn="0" w:noHBand="0" w:noVBand="0"/>
      </w:tblPr>
      <w:tblGrid>
        <w:gridCol w:w="6669"/>
        <w:gridCol w:w="1398"/>
        <w:gridCol w:w="1539"/>
        <w:gridCol w:w="34"/>
      </w:tblGrid>
      <w:tr w:rsidR="006D1670" w:rsidRPr="009730D4" w14:paraId="279D2A1B" w14:textId="77777777" w:rsidTr="004E74BE">
        <w:trPr>
          <w:gridAfter w:val="1"/>
          <w:wAfter w:w="34" w:type="dxa"/>
          <w:trHeight w:val="499"/>
        </w:trPr>
        <w:tc>
          <w:tcPr>
            <w:tcW w:w="6669" w:type="dxa"/>
            <w:tcBorders>
              <w:top w:val="single" w:sz="12" w:space="0" w:color="492581" w:themeColor="accent1"/>
              <w:bottom w:val="single" w:sz="12" w:space="0" w:color="492581" w:themeColor="accent1"/>
            </w:tcBorders>
          </w:tcPr>
          <w:p w14:paraId="03ECD622" w14:textId="77777777" w:rsidR="006D1670" w:rsidRPr="009730D4" w:rsidRDefault="006D1670">
            <w:pPr>
              <w:autoSpaceDE w:val="0"/>
              <w:autoSpaceDN w:val="0"/>
              <w:adjustRightInd w:val="0"/>
              <w:spacing w:before="20" w:after="20" w:line="240" w:lineRule="auto"/>
              <w:jc w:val="right"/>
              <w:rPr>
                <w:rFonts w:ascii="Calibri" w:eastAsia="Calibri" w:hAnsi="Calibri" w:cs="Calibri"/>
                <w:sz w:val="18"/>
                <w:szCs w:val="18"/>
              </w:rPr>
            </w:pPr>
          </w:p>
        </w:tc>
        <w:tc>
          <w:tcPr>
            <w:tcW w:w="1398" w:type="dxa"/>
            <w:tcBorders>
              <w:top w:val="single" w:sz="12" w:space="0" w:color="492581" w:themeColor="accent1"/>
              <w:bottom w:val="single" w:sz="12" w:space="0" w:color="492581" w:themeColor="accent1"/>
            </w:tcBorders>
          </w:tcPr>
          <w:p w14:paraId="2FDF8063" w14:textId="77777777" w:rsidR="006D1670" w:rsidRPr="009730D4" w:rsidRDefault="006D1670">
            <w:pPr>
              <w:autoSpaceDE w:val="0"/>
              <w:autoSpaceDN w:val="0"/>
              <w:adjustRightInd w:val="0"/>
              <w:spacing w:before="20" w:after="20" w:line="240" w:lineRule="auto"/>
              <w:jc w:val="right"/>
              <w:rPr>
                <w:rFonts w:ascii="Calibri" w:eastAsia="Calibri" w:hAnsi="Calibri" w:cs="Calibri"/>
                <w:sz w:val="18"/>
                <w:szCs w:val="18"/>
              </w:rPr>
            </w:pPr>
            <w:r w:rsidRPr="009730D4">
              <w:rPr>
                <w:rFonts w:ascii="Calibri" w:eastAsia="Calibri" w:hAnsi="Calibri" w:cs="Calibri"/>
                <w:b/>
                <w:sz w:val="18"/>
                <w:szCs w:val="18"/>
              </w:rPr>
              <w:t>2024</w:t>
            </w:r>
            <w:r w:rsidRPr="009730D4">
              <w:rPr>
                <w:rFonts w:ascii="Calibri" w:eastAsia="Calibri" w:hAnsi="Calibri" w:cs="Calibri"/>
                <w:b/>
                <w:sz w:val="18"/>
                <w:szCs w:val="18"/>
              </w:rPr>
              <w:br/>
              <w:t>(%)</w:t>
            </w:r>
          </w:p>
        </w:tc>
        <w:tc>
          <w:tcPr>
            <w:tcW w:w="1539" w:type="dxa"/>
            <w:tcBorders>
              <w:top w:val="single" w:sz="12" w:space="0" w:color="492581" w:themeColor="accent1"/>
              <w:bottom w:val="single" w:sz="12" w:space="0" w:color="492581" w:themeColor="accent1"/>
            </w:tcBorders>
          </w:tcPr>
          <w:p w14:paraId="2C4D2BFC" w14:textId="77777777" w:rsidR="006D1670" w:rsidRPr="009730D4" w:rsidRDefault="006D1670">
            <w:pPr>
              <w:autoSpaceDE w:val="0"/>
              <w:autoSpaceDN w:val="0"/>
              <w:adjustRightInd w:val="0"/>
              <w:spacing w:before="20" w:after="20" w:line="240" w:lineRule="auto"/>
              <w:jc w:val="right"/>
              <w:rPr>
                <w:rFonts w:ascii="Calibri" w:eastAsia="Calibri" w:hAnsi="Calibri" w:cs="Calibri"/>
                <w:b/>
                <w:sz w:val="18"/>
                <w:szCs w:val="18"/>
              </w:rPr>
            </w:pPr>
            <w:r w:rsidRPr="009730D4">
              <w:rPr>
                <w:rFonts w:ascii="Calibri" w:eastAsia="Calibri" w:hAnsi="Calibri" w:cs="Calibri"/>
                <w:b/>
                <w:sz w:val="18"/>
                <w:szCs w:val="18"/>
              </w:rPr>
              <w:t>2023</w:t>
            </w:r>
            <w:r w:rsidRPr="009730D4">
              <w:rPr>
                <w:rFonts w:ascii="Calibri" w:eastAsia="Calibri" w:hAnsi="Calibri" w:cs="Calibri"/>
                <w:b/>
                <w:sz w:val="18"/>
                <w:szCs w:val="18"/>
              </w:rPr>
              <w:br/>
              <w:t xml:space="preserve">(%) </w:t>
            </w:r>
          </w:p>
        </w:tc>
      </w:tr>
      <w:tr w:rsidR="006D1670" w:rsidRPr="009730D4" w14:paraId="679E2048" w14:textId="77777777" w:rsidTr="004E74BE">
        <w:trPr>
          <w:gridAfter w:val="1"/>
          <w:wAfter w:w="34" w:type="dxa"/>
          <w:trHeight w:val="118"/>
        </w:trPr>
        <w:tc>
          <w:tcPr>
            <w:tcW w:w="9606" w:type="dxa"/>
            <w:gridSpan w:val="3"/>
            <w:tcBorders>
              <w:top w:val="single" w:sz="12" w:space="0" w:color="492581" w:themeColor="accent1"/>
            </w:tcBorders>
          </w:tcPr>
          <w:p w14:paraId="53651331"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b/>
                <w:sz w:val="18"/>
                <w:szCs w:val="18"/>
              </w:rPr>
              <w:t xml:space="preserve">For the succeeding year </w:t>
            </w:r>
          </w:p>
        </w:tc>
      </w:tr>
      <w:tr w:rsidR="006D1670" w:rsidRPr="009730D4" w14:paraId="3EE63860" w14:textId="77777777" w:rsidTr="004E74BE">
        <w:trPr>
          <w:gridAfter w:val="1"/>
          <w:wAfter w:w="34" w:type="dxa"/>
          <w:trHeight w:val="118"/>
        </w:trPr>
        <w:tc>
          <w:tcPr>
            <w:tcW w:w="6669" w:type="dxa"/>
          </w:tcPr>
          <w:p w14:paraId="3849500F"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Inflation rate</w:t>
            </w:r>
            <w:r w:rsidRPr="009730D4">
              <w:rPr>
                <w:rFonts w:ascii="Calibri" w:eastAsia="Calibri" w:hAnsi="Calibri" w:cs="Calibri"/>
                <w:sz w:val="18"/>
                <w:szCs w:val="18"/>
                <w:vertAlign w:val="superscript"/>
              </w:rPr>
              <w:t>1</w:t>
            </w:r>
          </w:p>
        </w:tc>
        <w:tc>
          <w:tcPr>
            <w:tcW w:w="1398" w:type="dxa"/>
          </w:tcPr>
          <w:p w14:paraId="6F912A7C"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3.62</w:t>
            </w:r>
          </w:p>
        </w:tc>
        <w:tc>
          <w:tcPr>
            <w:tcW w:w="1539" w:type="dxa"/>
          </w:tcPr>
          <w:p w14:paraId="2F17CB7D"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3.63</w:t>
            </w:r>
          </w:p>
        </w:tc>
      </w:tr>
      <w:tr w:rsidR="006D1670" w:rsidRPr="009730D4" w14:paraId="2C8BE1AF" w14:textId="77777777" w:rsidTr="004E74BE">
        <w:trPr>
          <w:gridAfter w:val="1"/>
          <w:wAfter w:w="34" w:type="dxa"/>
          <w:trHeight w:val="118"/>
        </w:trPr>
        <w:tc>
          <w:tcPr>
            <w:tcW w:w="6669" w:type="dxa"/>
          </w:tcPr>
          <w:p w14:paraId="210D9D09"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Discount rate</w:t>
            </w:r>
            <w:r w:rsidRPr="009730D4">
              <w:rPr>
                <w:rFonts w:ascii="Calibri" w:eastAsia="Calibri" w:hAnsi="Calibri" w:cs="Calibri"/>
                <w:sz w:val="18"/>
                <w:szCs w:val="18"/>
                <w:vertAlign w:val="superscript"/>
              </w:rPr>
              <w:t>2</w:t>
            </w:r>
          </w:p>
        </w:tc>
        <w:tc>
          <w:tcPr>
            <w:tcW w:w="1398" w:type="dxa"/>
          </w:tcPr>
          <w:p w14:paraId="224E13CD"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4.42</w:t>
            </w:r>
          </w:p>
        </w:tc>
        <w:tc>
          <w:tcPr>
            <w:tcW w:w="1539" w:type="dxa"/>
          </w:tcPr>
          <w:p w14:paraId="285A556C"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4.42</w:t>
            </w:r>
          </w:p>
        </w:tc>
      </w:tr>
      <w:tr w:rsidR="006D1670" w:rsidRPr="009730D4" w14:paraId="5FDE0909" w14:textId="77777777" w:rsidTr="004E74BE">
        <w:trPr>
          <w:gridAfter w:val="1"/>
          <w:wAfter w:w="34" w:type="dxa"/>
          <w:trHeight w:val="118"/>
        </w:trPr>
        <w:tc>
          <w:tcPr>
            <w:tcW w:w="9606" w:type="dxa"/>
            <w:gridSpan w:val="3"/>
          </w:tcPr>
          <w:p w14:paraId="0D5DBB10" w14:textId="77777777" w:rsidR="006D1670" w:rsidRPr="009730D4" w:rsidRDefault="006D1670">
            <w:pPr>
              <w:autoSpaceDE w:val="0"/>
              <w:autoSpaceDN w:val="0"/>
              <w:adjustRightInd w:val="0"/>
              <w:spacing w:before="20" w:after="20" w:line="181" w:lineRule="atLeast"/>
              <w:rPr>
                <w:rFonts w:ascii="Calibri" w:eastAsia="Calibri" w:hAnsi="Calibri" w:cs="Calibri"/>
                <w:b/>
                <w:sz w:val="18"/>
                <w:szCs w:val="18"/>
              </w:rPr>
            </w:pPr>
            <w:r w:rsidRPr="009730D4">
              <w:rPr>
                <w:rFonts w:ascii="Calibri" w:eastAsia="Calibri" w:hAnsi="Calibri" w:cs="Calibri"/>
                <w:b/>
                <w:sz w:val="18"/>
                <w:szCs w:val="18"/>
              </w:rPr>
              <w:t xml:space="preserve">For the subsequent year </w:t>
            </w:r>
          </w:p>
        </w:tc>
      </w:tr>
      <w:tr w:rsidR="006D1670" w:rsidRPr="009730D4" w14:paraId="1A7742F4" w14:textId="77777777" w:rsidTr="004E74BE">
        <w:trPr>
          <w:gridAfter w:val="1"/>
          <w:wAfter w:w="34" w:type="dxa"/>
          <w:trHeight w:val="118"/>
        </w:trPr>
        <w:tc>
          <w:tcPr>
            <w:tcW w:w="6669" w:type="dxa"/>
            <w:tcBorders>
              <w:bottom w:val="nil"/>
            </w:tcBorders>
          </w:tcPr>
          <w:p w14:paraId="640D8F42"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Inflation rate</w:t>
            </w:r>
            <w:r w:rsidRPr="009730D4">
              <w:rPr>
                <w:rFonts w:ascii="Calibri" w:eastAsia="Calibri" w:hAnsi="Calibri" w:cs="Calibri"/>
                <w:sz w:val="18"/>
                <w:szCs w:val="18"/>
                <w:vertAlign w:val="superscript"/>
              </w:rPr>
              <w:t>1</w:t>
            </w:r>
          </w:p>
        </w:tc>
        <w:tc>
          <w:tcPr>
            <w:tcW w:w="1398" w:type="dxa"/>
            <w:tcBorders>
              <w:bottom w:val="nil"/>
            </w:tcBorders>
          </w:tcPr>
          <w:p w14:paraId="773DD3E1"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3.25</w:t>
            </w:r>
          </w:p>
        </w:tc>
        <w:tc>
          <w:tcPr>
            <w:tcW w:w="1539" w:type="dxa"/>
            <w:tcBorders>
              <w:bottom w:val="nil"/>
            </w:tcBorders>
          </w:tcPr>
          <w:p w14:paraId="19F65713"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3.50</w:t>
            </w:r>
          </w:p>
        </w:tc>
      </w:tr>
      <w:tr w:rsidR="006D1670" w:rsidRPr="009730D4" w14:paraId="684BF38C" w14:textId="77777777" w:rsidTr="004E74BE">
        <w:trPr>
          <w:gridAfter w:val="1"/>
          <w:wAfter w:w="34" w:type="dxa"/>
          <w:trHeight w:val="118"/>
        </w:trPr>
        <w:tc>
          <w:tcPr>
            <w:tcW w:w="6669" w:type="dxa"/>
            <w:tcBorders>
              <w:top w:val="nil"/>
              <w:left w:val="nil"/>
              <w:bottom w:val="nil"/>
            </w:tcBorders>
          </w:tcPr>
          <w:p w14:paraId="6C505651"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Discount rate</w:t>
            </w:r>
            <w:r w:rsidRPr="009730D4">
              <w:rPr>
                <w:rFonts w:ascii="Calibri" w:eastAsia="Calibri" w:hAnsi="Calibri" w:cs="Calibri"/>
                <w:sz w:val="18"/>
                <w:szCs w:val="18"/>
                <w:vertAlign w:val="superscript"/>
              </w:rPr>
              <w:t>2</w:t>
            </w:r>
            <w:r w:rsidRPr="009730D4">
              <w:rPr>
                <w:rFonts w:ascii="Calibri" w:eastAsia="Calibri" w:hAnsi="Calibri" w:cs="Calibri"/>
                <w:sz w:val="18"/>
                <w:szCs w:val="18"/>
              </w:rPr>
              <w:t xml:space="preserve"> </w:t>
            </w:r>
          </w:p>
        </w:tc>
        <w:tc>
          <w:tcPr>
            <w:tcW w:w="1398" w:type="dxa"/>
            <w:tcBorders>
              <w:top w:val="nil"/>
              <w:bottom w:val="nil"/>
            </w:tcBorders>
          </w:tcPr>
          <w:p w14:paraId="610C4CCC"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3.97</w:t>
            </w:r>
          </w:p>
        </w:tc>
        <w:tc>
          <w:tcPr>
            <w:tcW w:w="1539" w:type="dxa"/>
            <w:tcBorders>
              <w:top w:val="nil"/>
              <w:bottom w:val="nil"/>
              <w:right w:val="nil"/>
            </w:tcBorders>
          </w:tcPr>
          <w:p w14:paraId="2FEB1330"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4.03</w:t>
            </w:r>
          </w:p>
        </w:tc>
      </w:tr>
      <w:tr w:rsidR="006D1670" w:rsidRPr="009730D4" w14:paraId="43FA39C3" w14:textId="77777777" w:rsidTr="004E74BE">
        <w:trPr>
          <w:gridAfter w:val="1"/>
          <w:wAfter w:w="34" w:type="dxa"/>
          <w:trHeight w:val="118"/>
        </w:trPr>
        <w:tc>
          <w:tcPr>
            <w:tcW w:w="9606" w:type="dxa"/>
            <w:gridSpan w:val="3"/>
            <w:tcBorders>
              <w:top w:val="nil"/>
              <w:left w:val="nil"/>
              <w:bottom w:val="nil"/>
              <w:right w:val="nil"/>
            </w:tcBorders>
          </w:tcPr>
          <w:p w14:paraId="44CB3D44"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b/>
                <w:sz w:val="18"/>
                <w:szCs w:val="18"/>
              </w:rPr>
              <w:t xml:space="preserve">For long-term assumptions </w:t>
            </w:r>
          </w:p>
        </w:tc>
      </w:tr>
      <w:tr w:rsidR="006D1670" w:rsidRPr="009730D4" w14:paraId="2F5B23CE" w14:textId="77777777" w:rsidTr="004E74BE">
        <w:trPr>
          <w:gridAfter w:val="1"/>
          <w:wAfter w:w="34" w:type="dxa"/>
          <w:trHeight w:val="118"/>
        </w:trPr>
        <w:tc>
          <w:tcPr>
            <w:tcW w:w="6669" w:type="dxa"/>
            <w:tcBorders>
              <w:top w:val="nil"/>
              <w:bottom w:val="nil"/>
            </w:tcBorders>
          </w:tcPr>
          <w:p w14:paraId="7186C26E"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Inflation rate</w:t>
            </w:r>
            <w:r w:rsidRPr="009730D4">
              <w:rPr>
                <w:rFonts w:ascii="Calibri" w:eastAsia="Calibri" w:hAnsi="Calibri" w:cs="Calibri"/>
                <w:sz w:val="18"/>
                <w:szCs w:val="18"/>
                <w:vertAlign w:val="superscript"/>
              </w:rPr>
              <w:t>1</w:t>
            </w:r>
          </w:p>
        </w:tc>
        <w:tc>
          <w:tcPr>
            <w:tcW w:w="1398" w:type="dxa"/>
            <w:tcBorders>
              <w:top w:val="nil"/>
              <w:bottom w:val="nil"/>
            </w:tcBorders>
          </w:tcPr>
          <w:p w14:paraId="59DDF8EF"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4.16</w:t>
            </w:r>
          </w:p>
        </w:tc>
        <w:tc>
          <w:tcPr>
            <w:tcW w:w="1539" w:type="dxa"/>
            <w:tcBorders>
              <w:top w:val="nil"/>
              <w:bottom w:val="nil"/>
            </w:tcBorders>
          </w:tcPr>
          <w:p w14:paraId="33A3D625"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3.76</w:t>
            </w:r>
          </w:p>
        </w:tc>
      </w:tr>
      <w:tr w:rsidR="006D1670" w:rsidRPr="009730D4" w14:paraId="7053F80F" w14:textId="77777777" w:rsidTr="004E74BE">
        <w:trPr>
          <w:gridAfter w:val="1"/>
          <w:wAfter w:w="34" w:type="dxa"/>
          <w:trHeight w:val="118"/>
        </w:trPr>
        <w:tc>
          <w:tcPr>
            <w:tcW w:w="6669" w:type="dxa"/>
            <w:tcBorders>
              <w:top w:val="nil"/>
              <w:left w:val="nil"/>
              <w:bottom w:val="single" w:sz="12" w:space="0" w:color="492581" w:themeColor="accent1"/>
            </w:tcBorders>
          </w:tcPr>
          <w:p w14:paraId="567971EC" w14:textId="77777777" w:rsidR="006D1670" w:rsidRPr="009730D4" w:rsidRDefault="006D1670">
            <w:pPr>
              <w:autoSpaceDE w:val="0"/>
              <w:autoSpaceDN w:val="0"/>
              <w:adjustRightInd w:val="0"/>
              <w:spacing w:before="20" w:after="20" w:line="181" w:lineRule="atLeast"/>
              <w:rPr>
                <w:rFonts w:ascii="Calibri" w:eastAsia="Calibri" w:hAnsi="Calibri" w:cs="Calibri"/>
                <w:sz w:val="18"/>
                <w:szCs w:val="18"/>
              </w:rPr>
            </w:pPr>
            <w:r w:rsidRPr="009730D4">
              <w:rPr>
                <w:rFonts w:ascii="Calibri" w:eastAsia="Calibri" w:hAnsi="Calibri" w:cs="Calibri"/>
                <w:sz w:val="18"/>
                <w:szCs w:val="18"/>
              </w:rPr>
              <w:t>Discount rate</w:t>
            </w:r>
            <w:r w:rsidRPr="009730D4">
              <w:rPr>
                <w:rFonts w:ascii="Calibri" w:eastAsia="Calibri" w:hAnsi="Calibri" w:cs="Calibri"/>
                <w:sz w:val="18"/>
                <w:szCs w:val="18"/>
                <w:vertAlign w:val="superscript"/>
              </w:rPr>
              <w:t>2</w:t>
            </w:r>
          </w:p>
        </w:tc>
        <w:tc>
          <w:tcPr>
            <w:tcW w:w="1398" w:type="dxa"/>
            <w:tcBorders>
              <w:top w:val="nil"/>
              <w:bottom w:val="single" w:sz="12" w:space="0" w:color="492581" w:themeColor="accent1"/>
            </w:tcBorders>
          </w:tcPr>
          <w:p w14:paraId="0C144DA5"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5.06</w:t>
            </w:r>
          </w:p>
        </w:tc>
        <w:tc>
          <w:tcPr>
            <w:tcW w:w="1539" w:type="dxa"/>
            <w:tcBorders>
              <w:top w:val="nil"/>
              <w:bottom w:val="single" w:sz="12" w:space="0" w:color="492581" w:themeColor="accent1"/>
              <w:right w:val="nil"/>
            </w:tcBorders>
          </w:tcPr>
          <w:p w14:paraId="01F35D6E" w14:textId="77777777" w:rsidR="006D1670" w:rsidRPr="009730D4" w:rsidRDefault="006D1670">
            <w:pPr>
              <w:autoSpaceDE w:val="0"/>
              <w:autoSpaceDN w:val="0"/>
              <w:adjustRightInd w:val="0"/>
              <w:spacing w:before="20" w:after="20" w:line="181" w:lineRule="atLeast"/>
              <w:jc w:val="right"/>
              <w:rPr>
                <w:rFonts w:ascii="Calibri" w:eastAsia="Calibri" w:hAnsi="Calibri" w:cs="Calibri"/>
                <w:sz w:val="18"/>
                <w:szCs w:val="18"/>
              </w:rPr>
            </w:pPr>
            <w:r w:rsidRPr="009730D4">
              <w:rPr>
                <w:rFonts w:ascii="Calibri" w:eastAsia="Calibri" w:hAnsi="Calibri" w:cs="Calibri"/>
                <w:sz w:val="18"/>
                <w:szCs w:val="18"/>
              </w:rPr>
              <w:t>4.66</w:t>
            </w:r>
          </w:p>
        </w:tc>
      </w:tr>
      <w:tr w:rsidR="008E1C1E" w:rsidRPr="00E736CA" w14:paraId="3890A8B4" w14:textId="77777777" w:rsidTr="004E74BE">
        <w:trPr>
          <w:trHeight w:val="118"/>
        </w:trPr>
        <w:tc>
          <w:tcPr>
            <w:tcW w:w="9640" w:type="dxa"/>
            <w:gridSpan w:val="4"/>
            <w:tcBorders>
              <w:top w:val="single" w:sz="12" w:space="0" w:color="492581" w:themeColor="accent1"/>
              <w:left w:val="nil"/>
              <w:bottom w:val="single" w:sz="12" w:space="0" w:color="492581" w:themeColor="accent1"/>
            </w:tcBorders>
          </w:tcPr>
          <w:p w14:paraId="09421D2E" w14:textId="77777777" w:rsidR="005D5361" w:rsidRPr="005D5361" w:rsidRDefault="005D5361" w:rsidP="004E74BE">
            <w:pPr>
              <w:autoSpaceDE w:val="0"/>
              <w:autoSpaceDN w:val="0"/>
              <w:adjustRightInd w:val="0"/>
              <w:spacing w:before="60" w:after="60" w:line="181" w:lineRule="atLeast"/>
              <w:rPr>
                <w:rFonts w:ascii="Calibri" w:eastAsia="Calibri" w:hAnsi="Calibri" w:cs="Calibri"/>
                <w:i/>
                <w:sz w:val="17"/>
                <w:szCs w:val="17"/>
              </w:rPr>
            </w:pPr>
            <w:r w:rsidRPr="005D5361">
              <w:rPr>
                <w:rFonts w:ascii="Calibri" w:eastAsia="Calibri" w:hAnsi="Calibri" w:cs="Calibri"/>
                <w:i/>
                <w:sz w:val="17"/>
                <w:szCs w:val="17"/>
                <w:vertAlign w:val="superscript"/>
              </w:rPr>
              <w:t>1</w:t>
            </w:r>
            <w:r w:rsidRPr="005D5361">
              <w:rPr>
                <w:rFonts w:ascii="Calibri" w:eastAsia="Calibri" w:hAnsi="Calibri" w:cs="Calibri"/>
                <w:i/>
                <w:sz w:val="17"/>
                <w:szCs w:val="17"/>
              </w:rPr>
              <w:t xml:space="preserve">Inflation rates are determined after consideration of forecasts from </w:t>
            </w:r>
            <w:proofErr w:type="gramStart"/>
            <w:r w:rsidRPr="005D5361">
              <w:rPr>
                <w:rFonts w:ascii="Calibri" w:eastAsia="Calibri" w:hAnsi="Calibri" w:cs="Calibri"/>
                <w:i/>
                <w:sz w:val="17"/>
                <w:szCs w:val="17"/>
              </w:rPr>
              <w:t>a number of</w:t>
            </w:r>
            <w:proofErr w:type="gramEnd"/>
            <w:r w:rsidRPr="005D5361">
              <w:rPr>
                <w:rFonts w:ascii="Calibri" w:eastAsia="Calibri" w:hAnsi="Calibri" w:cs="Calibri"/>
                <w:i/>
                <w:sz w:val="17"/>
                <w:szCs w:val="17"/>
              </w:rPr>
              <w:t xml:space="preserve"> economists and organisations as well as the mix of insurance classes and broader trends within similar insurance schemes.</w:t>
            </w:r>
          </w:p>
          <w:p w14:paraId="1AE75ABC" w14:textId="48662C6D" w:rsidR="008E1C1E" w:rsidRPr="00E736CA" w:rsidRDefault="005D5361" w:rsidP="004E74BE">
            <w:pPr>
              <w:autoSpaceDE w:val="0"/>
              <w:autoSpaceDN w:val="0"/>
              <w:adjustRightInd w:val="0"/>
              <w:spacing w:before="60" w:after="60" w:line="181" w:lineRule="atLeast"/>
              <w:rPr>
                <w:rFonts w:ascii="Calibri" w:eastAsia="Calibri" w:hAnsi="Calibri" w:cs="Calibri"/>
                <w:sz w:val="17"/>
                <w:szCs w:val="17"/>
              </w:rPr>
            </w:pPr>
            <w:r w:rsidRPr="00E736CA">
              <w:rPr>
                <w:rFonts w:ascii="Calibri" w:eastAsia="Calibri" w:hAnsi="Calibri" w:cs="Calibri"/>
                <w:i/>
                <w:sz w:val="17"/>
                <w:szCs w:val="17"/>
                <w:vertAlign w:val="superscript"/>
              </w:rPr>
              <w:t>2</w:t>
            </w:r>
            <w:r w:rsidRPr="00E736CA">
              <w:rPr>
                <w:rFonts w:ascii="Calibri" w:eastAsia="Calibri" w:hAnsi="Calibri" w:cs="Calibri"/>
                <w:i/>
                <w:sz w:val="17"/>
                <w:szCs w:val="17"/>
              </w:rPr>
              <w:t>Discount rates are determined in accordance with AASB 1023 which requires the determination of a central estimate of the present value of the expected future payments for claims.  It requires the application of “risk free” rates, which are generally accepted as rates derived from market values on Commonwealth Government Bonds.</w:t>
            </w:r>
          </w:p>
        </w:tc>
      </w:tr>
    </w:tbl>
    <w:p w14:paraId="15F6A080" w14:textId="77777777" w:rsidR="00B46CC1" w:rsidRDefault="00B46CC1" w:rsidP="004D653A">
      <w:pPr>
        <w:pStyle w:val="Pa4"/>
        <w:spacing w:before="100" w:after="137"/>
        <w:rPr>
          <w:rFonts w:asciiTheme="minorHAnsi" w:hAnsiTheme="minorHAnsi" w:cs="Montserrat Semi Bold"/>
          <w:b/>
          <w:bCs/>
          <w:color w:val="000000"/>
          <w:sz w:val="30"/>
          <w:szCs w:val="30"/>
        </w:rPr>
      </w:pPr>
    </w:p>
    <w:p w14:paraId="650778F2" w14:textId="77777777" w:rsidR="00B46CC1" w:rsidRDefault="00B46CC1">
      <w:pPr>
        <w:spacing w:after="0" w:line="240" w:lineRule="auto"/>
        <w:rPr>
          <w:rFonts w:cs="Montserrat Semi Bold"/>
          <w:b/>
          <w:bCs/>
          <w:color w:val="000000"/>
          <w:sz w:val="30"/>
          <w:szCs w:val="30"/>
        </w:rPr>
      </w:pPr>
      <w:r>
        <w:rPr>
          <w:rFonts w:cs="Montserrat Semi Bold"/>
          <w:b/>
          <w:bCs/>
          <w:color w:val="000000"/>
          <w:sz w:val="30"/>
          <w:szCs w:val="30"/>
        </w:rPr>
        <w:br w:type="page"/>
      </w:r>
    </w:p>
    <w:p w14:paraId="217791A5" w14:textId="3178093F" w:rsidR="004D653A" w:rsidRPr="004D653A" w:rsidRDefault="004D653A" w:rsidP="004D653A">
      <w:pPr>
        <w:pStyle w:val="Pa4"/>
        <w:spacing w:before="100" w:after="137"/>
        <w:rPr>
          <w:rFonts w:asciiTheme="minorHAnsi" w:hAnsiTheme="minorHAnsi" w:cs="Montserrat Semi Bold"/>
          <w:b/>
          <w:bCs/>
          <w:color w:val="000000"/>
          <w:sz w:val="30"/>
          <w:szCs w:val="30"/>
        </w:rPr>
      </w:pPr>
      <w:r w:rsidRPr="00D03D51">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D03D51">
        <w:rPr>
          <w:rFonts w:asciiTheme="minorHAnsi" w:hAnsiTheme="minorHAnsi" w:cs="Montserrat Semi Bold"/>
          <w:b/>
          <w:bCs/>
          <w:color w:val="000000"/>
          <w:sz w:val="30"/>
          <w:szCs w:val="30"/>
        </w:rPr>
        <w:t>. OUTSTANDING CLAIMS - CONTINUED</w:t>
      </w:r>
    </w:p>
    <w:p w14:paraId="6C326212" w14:textId="56414818" w:rsidR="00C3455D" w:rsidRPr="009730D4" w:rsidRDefault="00C3455D" w:rsidP="00C3455D">
      <w:pPr>
        <w:autoSpaceDE w:val="0"/>
        <w:autoSpaceDN w:val="0"/>
        <w:adjustRightInd w:val="0"/>
        <w:spacing w:before="40" w:after="100" w:line="240" w:lineRule="auto"/>
        <w:rPr>
          <w:rFonts w:ascii="Calibri" w:eastAsia="Calibri" w:hAnsi="Calibri" w:cs="Montserrat Semi Bold"/>
          <w:b/>
          <w:bCs/>
          <w:sz w:val="22"/>
          <w:szCs w:val="22"/>
        </w:rPr>
      </w:pPr>
      <w:r w:rsidRPr="009730D4">
        <w:rPr>
          <w:rFonts w:ascii="Calibri" w:eastAsia="Calibri" w:hAnsi="Calibri" w:cs="Montserrat Semi Bold"/>
          <w:b/>
          <w:bCs/>
          <w:sz w:val="22"/>
          <w:szCs w:val="22"/>
        </w:rPr>
        <w:t>(c) Term to Settlement</w:t>
      </w:r>
    </w:p>
    <w:p w14:paraId="06D6167F" w14:textId="75D752D1" w:rsidR="00C3455D" w:rsidRPr="00B46CC1" w:rsidRDefault="00C3455D" w:rsidP="00B46CC1">
      <w:pPr>
        <w:pStyle w:val="Pa6"/>
        <w:spacing w:after="140"/>
        <w:rPr>
          <w:rFonts w:asciiTheme="minorHAnsi" w:hAnsiTheme="minorHAnsi" w:cs="Source Sans Pro Light"/>
          <w:color w:val="000000"/>
          <w:sz w:val="22"/>
          <w:szCs w:val="22"/>
        </w:rPr>
      </w:pPr>
      <w:r w:rsidRPr="00B46CC1">
        <w:rPr>
          <w:rFonts w:asciiTheme="minorHAnsi" w:hAnsiTheme="minorHAnsi" w:cs="Source Sans Pro Light"/>
          <w:color w:val="000000"/>
          <w:sz w:val="22"/>
          <w:szCs w:val="22"/>
        </w:rPr>
        <w:t>The weighted average expected term to settlement of the outstanding claims from the valuation date is estimated to be 3.72 years in 2024 (3.53 years in 2023). The weighted average expected term to settlement has been based on industry averages and has been adjusted to reflect the specific classes of insurance offered by the Authority.</w:t>
      </w:r>
    </w:p>
    <w:p w14:paraId="1167677E" w14:textId="77777777" w:rsidR="00D42AB6" w:rsidRPr="006D6B38" w:rsidRDefault="00D42AB6" w:rsidP="00D42AB6">
      <w:pPr>
        <w:pStyle w:val="Pa4"/>
        <w:spacing w:before="100" w:after="137"/>
        <w:rPr>
          <w:rFonts w:asciiTheme="minorHAnsi" w:hAnsiTheme="minorHAnsi" w:cs="Source Sans Pro Light"/>
          <w:b/>
          <w:bCs/>
          <w:sz w:val="22"/>
          <w:szCs w:val="22"/>
        </w:rPr>
      </w:pPr>
      <w:r w:rsidRPr="006D6B38">
        <w:rPr>
          <w:rFonts w:asciiTheme="minorHAnsi" w:hAnsiTheme="minorHAnsi" w:cs="Source Sans Pro Light"/>
          <w:b/>
          <w:bCs/>
          <w:sz w:val="22"/>
          <w:szCs w:val="22"/>
        </w:rPr>
        <w:t>(d) Reconciliation of Movement in Discounted Outstanding Claims Liability</w:t>
      </w:r>
    </w:p>
    <w:p w14:paraId="2F97AF22" w14:textId="0D8B86F4" w:rsidR="00246BEE" w:rsidRDefault="00B34E60" w:rsidP="00B46CC1">
      <w:pPr>
        <w:pStyle w:val="Pa6"/>
        <w:spacing w:after="140"/>
        <w:rPr>
          <w:rFonts w:asciiTheme="minorHAnsi" w:hAnsiTheme="minorHAnsi" w:cs="Source Sans Pro Light"/>
          <w:color w:val="000000"/>
          <w:sz w:val="22"/>
          <w:szCs w:val="22"/>
        </w:rPr>
      </w:pPr>
      <w:r w:rsidRPr="00B46CC1">
        <w:rPr>
          <w:rFonts w:asciiTheme="minorHAnsi" w:hAnsiTheme="minorHAnsi" w:cs="Source Sans Pro Light"/>
          <w:color w:val="000000"/>
          <w:sz w:val="22"/>
          <w:szCs w:val="22"/>
        </w:rPr>
        <w:t>The table below compares the estimates as at 30 June 2024 for Gross Outstanding Claims at 30</w:t>
      </w:r>
      <w:r w:rsidR="00DC0C23">
        <w:rPr>
          <w:rFonts w:asciiTheme="minorHAnsi" w:hAnsiTheme="minorHAnsi" w:cs="Source Sans Pro Light"/>
          <w:color w:val="000000"/>
          <w:sz w:val="22"/>
          <w:szCs w:val="22"/>
        </w:rPr>
        <w:t> </w:t>
      </w:r>
      <w:r w:rsidRPr="00B46CC1">
        <w:rPr>
          <w:rFonts w:asciiTheme="minorHAnsi" w:hAnsiTheme="minorHAnsi" w:cs="Source Sans Pro Light"/>
          <w:color w:val="000000"/>
          <w:sz w:val="22"/>
          <w:szCs w:val="22"/>
        </w:rPr>
        <w:t>June</w:t>
      </w:r>
      <w:r w:rsidR="00DC0C23">
        <w:rPr>
          <w:rFonts w:asciiTheme="minorHAnsi" w:hAnsiTheme="minorHAnsi" w:cs="Source Sans Pro Light"/>
          <w:color w:val="000000"/>
          <w:sz w:val="22"/>
          <w:szCs w:val="22"/>
        </w:rPr>
        <w:t> </w:t>
      </w:r>
      <w:r w:rsidRPr="00B46CC1">
        <w:rPr>
          <w:rFonts w:asciiTheme="minorHAnsi" w:hAnsiTheme="minorHAnsi" w:cs="Source Sans Pro Light"/>
          <w:color w:val="000000"/>
          <w:sz w:val="22"/>
          <w:szCs w:val="22"/>
        </w:rPr>
        <w:t>2024</w:t>
      </w:r>
      <w:r w:rsidR="00A72851" w:rsidRPr="00B46CC1">
        <w:rPr>
          <w:rFonts w:asciiTheme="minorHAnsi" w:hAnsiTheme="minorHAnsi" w:cs="Source Sans Pro Light"/>
          <w:color w:val="000000"/>
          <w:sz w:val="22"/>
          <w:szCs w:val="22"/>
        </w:rPr>
        <w:t xml:space="preserve"> </w:t>
      </w:r>
      <w:r w:rsidRPr="00B46CC1">
        <w:rPr>
          <w:rFonts w:asciiTheme="minorHAnsi" w:hAnsiTheme="minorHAnsi" w:cs="Source Sans Pro Light"/>
          <w:color w:val="000000"/>
          <w:sz w:val="22"/>
          <w:szCs w:val="22"/>
        </w:rPr>
        <w:t>(30 June 2024 basis) compared with those projected from the 30 June 2023 valuation and Expected Gross Outstanding Claims at 30 June 2024 (30 June 2023 basis)</w:t>
      </w:r>
      <w:r w:rsidR="00DC0C23">
        <w:rPr>
          <w:rFonts w:asciiTheme="minorHAnsi" w:hAnsiTheme="minorHAnsi" w:cs="Source Sans Pro Light"/>
          <w:color w:val="000000"/>
          <w:sz w:val="22"/>
          <w:szCs w:val="22"/>
        </w:rPr>
        <w:t>.</w:t>
      </w:r>
    </w:p>
    <w:p w14:paraId="653B14DE" w14:textId="77777777" w:rsidR="00990DBA" w:rsidRPr="00990DBA" w:rsidRDefault="00990DBA" w:rsidP="00990DBA">
      <w:pPr>
        <w:pStyle w:val="Revision"/>
        <w:rPr>
          <w:lang w:eastAsia="en-AU"/>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6912"/>
        <w:gridCol w:w="1418"/>
        <w:gridCol w:w="1417"/>
      </w:tblGrid>
      <w:tr w:rsidR="00DC0C23" w:rsidRPr="00342DC3" w14:paraId="763B1A53" w14:textId="77777777" w:rsidTr="00DC0C23">
        <w:trPr>
          <w:trHeight w:val="138"/>
        </w:trPr>
        <w:tc>
          <w:tcPr>
            <w:tcW w:w="6912" w:type="dxa"/>
            <w:tcBorders>
              <w:top w:val="single" w:sz="12" w:space="0" w:color="492581" w:themeColor="accent1"/>
              <w:bottom w:val="single" w:sz="12" w:space="0" w:color="492581" w:themeColor="accent1"/>
            </w:tcBorders>
          </w:tcPr>
          <w:p w14:paraId="72875374" w14:textId="77777777" w:rsidR="00DC0C23" w:rsidRPr="00342DC3" w:rsidRDefault="00DC0C23">
            <w:pPr>
              <w:autoSpaceDE w:val="0"/>
              <w:autoSpaceDN w:val="0"/>
              <w:adjustRightInd w:val="0"/>
              <w:spacing w:before="50" w:after="50" w:line="211" w:lineRule="atLeast"/>
              <w:rPr>
                <w:rFonts w:ascii="Calibri" w:eastAsia="Calibri" w:hAnsi="Calibri" w:cs="Calibri"/>
                <w:color w:val="000000"/>
                <w:sz w:val="18"/>
                <w:szCs w:val="18"/>
              </w:rPr>
            </w:pPr>
            <w:r w:rsidRPr="00342DC3">
              <w:rPr>
                <w:rFonts w:ascii="Calibri" w:eastAsia="Calibri" w:hAnsi="Calibri" w:cs="Calibri"/>
                <w:b/>
                <w:bCs/>
                <w:i/>
                <w:iCs/>
                <w:color w:val="000000"/>
                <w:sz w:val="18"/>
                <w:szCs w:val="18"/>
              </w:rPr>
              <w:t>Change in Basis - In the 12 months from 30 June 2023 to 30 June 2024</w:t>
            </w:r>
          </w:p>
        </w:tc>
        <w:tc>
          <w:tcPr>
            <w:tcW w:w="1418" w:type="dxa"/>
            <w:tcBorders>
              <w:top w:val="single" w:sz="12" w:space="0" w:color="492581" w:themeColor="accent1"/>
              <w:bottom w:val="single" w:sz="12" w:space="0" w:color="492581" w:themeColor="accent1"/>
            </w:tcBorders>
          </w:tcPr>
          <w:p w14:paraId="4C9973C3" w14:textId="77777777" w:rsidR="00DC0C23" w:rsidRPr="00342DC3" w:rsidRDefault="00DC0C23">
            <w:pPr>
              <w:autoSpaceDE w:val="0"/>
              <w:autoSpaceDN w:val="0"/>
              <w:adjustRightInd w:val="0"/>
              <w:spacing w:before="50" w:after="50" w:line="211" w:lineRule="atLeast"/>
              <w:jc w:val="right"/>
              <w:rPr>
                <w:rFonts w:ascii="Calibri" w:eastAsia="Calibri" w:hAnsi="Calibri" w:cs="Calibri"/>
                <w:b/>
                <w:bCs/>
                <w:color w:val="000000"/>
                <w:sz w:val="18"/>
                <w:szCs w:val="18"/>
              </w:rPr>
            </w:pPr>
            <w:r w:rsidRPr="00342DC3">
              <w:rPr>
                <w:rFonts w:ascii="Calibri" w:eastAsia="Calibri" w:hAnsi="Calibri" w:cs="Calibri"/>
                <w:b/>
                <w:bCs/>
                <w:color w:val="000000"/>
                <w:sz w:val="18"/>
                <w:szCs w:val="18"/>
              </w:rPr>
              <w:t>$'000</w:t>
            </w:r>
          </w:p>
        </w:tc>
        <w:tc>
          <w:tcPr>
            <w:tcW w:w="1417" w:type="dxa"/>
            <w:tcBorders>
              <w:top w:val="single" w:sz="12" w:space="0" w:color="492581" w:themeColor="accent1"/>
              <w:bottom w:val="single" w:sz="12" w:space="0" w:color="492581" w:themeColor="accent1"/>
            </w:tcBorders>
          </w:tcPr>
          <w:p w14:paraId="35FAEBF6" w14:textId="77777777" w:rsidR="00DC0C23" w:rsidRPr="00342DC3" w:rsidRDefault="00DC0C23">
            <w:pPr>
              <w:autoSpaceDE w:val="0"/>
              <w:autoSpaceDN w:val="0"/>
              <w:adjustRightInd w:val="0"/>
              <w:spacing w:before="50" w:after="50" w:line="211" w:lineRule="atLeast"/>
              <w:jc w:val="right"/>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$'000 </w:t>
            </w:r>
          </w:p>
        </w:tc>
      </w:tr>
      <w:tr w:rsidR="00DC0C23" w:rsidRPr="00342DC3" w14:paraId="20757228" w14:textId="77777777" w:rsidTr="00DC0C23">
        <w:trPr>
          <w:trHeight w:val="118"/>
        </w:trPr>
        <w:tc>
          <w:tcPr>
            <w:tcW w:w="6912" w:type="dxa"/>
            <w:tcBorders>
              <w:top w:val="single" w:sz="12" w:space="0" w:color="492581" w:themeColor="accent1"/>
            </w:tcBorders>
            <w:shd w:val="clear" w:color="auto" w:fill="auto"/>
            <w:vAlign w:val="center"/>
          </w:tcPr>
          <w:p w14:paraId="546DD9D0"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Gross Central Estimate at 30 June 2023 (30 June 2023 basis) </w:t>
            </w:r>
            <w:r w:rsidRPr="00342DC3">
              <w:rPr>
                <w:rFonts w:ascii="Calibri" w:eastAsia="Calibri" w:hAnsi="Calibri" w:cs="Calibri"/>
                <w:b/>
                <w:bCs/>
                <w:color w:val="000000"/>
                <w:sz w:val="18"/>
                <w:szCs w:val="18"/>
                <w:vertAlign w:val="superscript"/>
              </w:rPr>
              <w:t xml:space="preserve">a </w:t>
            </w:r>
          </w:p>
        </w:tc>
        <w:tc>
          <w:tcPr>
            <w:tcW w:w="1418" w:type="dxa"/>
            <w:tcBorders>
              <w:top w:val="single" w:sz="12" w:space="0" w:color="492581" w:themeColor="accent1"/>
            </w:tcBorders>
            <w:shd w:val="clear" w:color="auto" w:fill="auto"/>
          </w:tcPr>
          <w:p w14:paraId="1549DD8D"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12" w:space="0" w:color="492581" w:themeColor="accent1"/>
            </w:tcBorders>
            <w:shd w:val="clear" w:color="auto" w:fill="auto"/>
          </w:tcPr>
          <w:p w14:paraId="4DC52DA8"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r w:rsidRPr="00342DC3">
              <w:rPr>
                <w:rFonts w:ascii="Calibri" w:eastAsia="Calibri" w:hAnsi="Calibri" w:cs="Calibri"/>
                <w:b/>
                <w:bCs/>
                <w:color w:val="000000"/>
                <w:sz w:val="18"/>
                <w:szCs w:val="18"/>
              </w:rPr>
              <w:t>305,671</w:t>
            </w:r>
          </w:p>
        </w:tc>
      </w:tr>
      <w:tr w:rsidR="00DC0C23" w:rsidRPr="00342DC3" w14:paraId="7E6792CA" w14:textId="77777777">
        <w:trPr>
          <w:trHeight w:val="110"/>
        </w:trPr>
        <w:tc>
          <w:tcPr>
            <w:tcW w:w="6912" w:type="dxa"/>
            <w:shd w:val="clear" w:color="auto" w:fill="auto"/>
            <w:vAlign w:val="center"/>
          </w:tcPr>
          <w:p w14:paraId="54A92021"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Expense margin at 30 June 2023 </w:t>
            </w:r>
          </w:p>
        </w:tc>
        <w:tc>
          <w:tcPr>
            <w:tcW w:w="1418" w:type="dxa"/>
            <w:shd w:val="clear" w:color="auto" w:fill="auto"/>
          </w:tcPr>
          <w:p w14:paraId="77426348"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nil"/>
            </w:tcBorders>
            <w:shd w:val="clear" w:color="auto" w:fill="auto"/>
          </w:tcPr>
          <w:p w14:paraId="48E7C46E"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30,541</w:t>
            </w:r>
          </w:p>
        </w:tc>
      </w:tr>
      <w:tr w:rsidR="00DC0C23" w:rsidRPr="00342DC3" w14:paraId="4B5F121F" w14:textId="77777777">
        <w:trPr>
          <w:trHeight w:val="110"/>
        </w:trPr>
        <w:tc>
          <w:tcPr>
            <w:tcW w:w="6912" w:type="dxa"/>
            <w:shd w:val="clear" w:color="auto" w:fill="auto"/>
            <w:vAlign w:val="center"/>
          </w:tcPr>
          <w:p w14:paraId="66773FA0"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Risk Margin at 30 June 2023 </w:t>
            </w:r>
          </w:p>
        </w:tc>
        <w:tc>
          <w:tcPr>
            <w:tcW w:w="1418" w:type="dxa"/>
            <w:shd w:val="clear" w:color="auto" w:fill="auto"/>
          </w:tcPr>
          <w:p w14:paraId="07D0BADD"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nil"/>
              <w:bottom w:val="single" w:sz="4" w:space="0" w:color="auto"/>
            </w:tcBorders>
            <w:shd w:val="clear" w:color="auto" w:fill="auto"/>
          </w:tcPr>
          <w:p w14:paraId="6D9D6CAD"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47,713</w:t>
            </w:r>
          </w:p>
        </w:tc>
      </w:tr>
      <w:tr w:rsidR="00DC0C23" w:rsidRPr="00342DC3" w14:paraId="69B3EE99" w14:textId="77777777">
        <w:trPr>
          <w:trHeight w:val="118"/>
        </w:trPr>
        <w:tc>
          <w:tcPr>
            <w:tcW w:w="6912" w:type="dxa"/>
            <w:shd w:val="clear" w:color="auto" w:fill="auto"/>
            <w:vAlign w:val="center"/>
          </w:tcPr>
          <w:p w14:paraId="1947110C"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Gross Outstanding Claims at 30 June 2023 (30 June 2023 basis) </w:t>
            </w:r>
            <w:r w:rsidRPr="00342DC3">
              <w:rPr>
                <w:rFonts w:ascii="Calibri" w:eastAsia="Calibri" w:hAnsi="Calibri" w:cs="Calibri"/>
                <w:b/>
                <w:bCs/>
                <w:color w:val="000000"/>
                <w:sz w:val="18"/>
                <w:szCs w:val="18"/>
                <w:vertAlign w:val="superscript"/>
              </w:rPr>
              <w:t>a</w:t>
            </w:r>
            <w:r w:rsidRPr="00342DC3">
              <w:rPr>
                <w:rFonts w:ascii="Calibri" w:eastAsia="Calibri" w:hAnsi="Calibri" w:cs="Calibri"/>
                <w:b/>
                <w:bCs/>
                <w:color w:val="000000"/>
                <w:sz w:val="18"/>
                <w:szCs w:val="18"/>
              </w:rPr>
              <w:t xml:space="preserve"> </w:t>
            </w:r>
          </w:p>
        </w:tc>
        <w:tc>
          <w:tcPr>
            <w:tcW w:w="1418" w:type="dxa"/>
            <w:shd w:val="clear" w:color="auto" w:fill="auto"/>
          </w:tcPr>
          <w:p w14:paraId="5665AE68"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tcBorders>
            <w:shd w:val="clear" w:color="auto" w:fill="auto"/>
          </w:tcPr>
          <w:p w14:paraId="15E0BCB3"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r w:rsidRPr="00342DC3">
              <w:rPr>
                <w:rFonts w:ascii="Calibri" w:eastAsia="Calibri" w:hAnsi="Calibri" w:cs="Calibri"/>
                <w:b/>
                <w:bCs/>
                <w:color w:val="000000"/>
                <w:sz w:val="18"/>
                <w:szCs w:val="18"/>
              </w:rPr>
              <w:t>383,925</w:t>
            </w:r>
          </w:p>
        </w:tc>
      </w:tr>
      <w:tr w:rsidR="00DC0C23" w:rsidRPr="00342DC3" w14:paraId="24108C64" w14:textId="77777777">
        <w:trPr>
          <w:trHeight w:val="110"/>
        </w:trPr>
        <w:tc>
          <w:tcPr>
            <w:tcW w:w="6912" w:type="dxa"/>
            <w:shd w:val="clear" w:color="auto" w:fill="auto"/>
            <w:vAlign w:val="center"/>
          </w:tcPr>
          <w:p w14:paraId="36D5600A"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New Incurred Period </w:t>
            </w:r>
          </w:p>
        </w:tc>
        <w:tc>
          <w:tcPr>
            <w:tcW w:w="1418" w:type="dxa"/>
            <w:shd w:val="clear" w:color="auto" w:fill="auto"/>
          </w:tcPr>
          <w:p w14:paraId="32D22E29"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44419C28"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65,722</w:t>
            </w:r>
          </w:p>
        </w:tc>
      </w:tr>
      <w:tr w:rsidR="00DC0C23" w:rsidRPr="00342DC3" w14:paraId="1FAC9DBE" w14:textId="77777777">
        <w:trPr>
          <w:trHeight w:val="110"/>
        </w:trPr>
        <w:tc>
          <w:tcPr>
            <w:tcW w:w="6912" w:type="dxa"/>
            <w:shd w:val="clear" w:color="auto" w:fill="auto"/>
            <w:vAlign w:val="center"/>
          </w:tcPr>
          <w:p w14:paraId="29E69459"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Expected payments to 30 June 2024</w:t>
            </w:r>
            <w:r w:rsidRPr="00342DC3" w:rsidDel="003E22A0">
              <w:rPr>
                <w:rFonts w:ascii="Calibri" w:eastAsia="Calibri" w:hAnsi="Calibri" w:cs="Calibri"/>
                <w:color w:val="000000"/>
                <w:sz w:val="18"/>
                <w:szCs w:val="18"/>
              </w:rPr>
              <w:t xml:space="preserve"> </w:t>
            </w:r>
            <w:r w:rsidRPr="00342DC3">
              <w:rPr>
                <w:rFonts w:ascii="Calibri" w:eastAsia="Calibri" w:hAnsi="Calibri" w:cs="Calibri"/>
                <w:color w:val="000000"/>
                <w:sz w:val="18"/>
                <w:szCs w:val="18"/>
              </w:rPr>
              <w:t xml:space="preserve">(Inflated and Undiscounted values) </w:t>
            </w:r>
          </w:p>
        </w:tc>
        <w:tc>
          <w:tcPr>
            <w:tcW w:w="1418" w:type="dxa"/>
            <w:shd w:val="clear" w:color="auto" w:fill="auto"/>
          </w:tcPr>
          <w:p w14:paraId="0DD5E0C5"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611C8F26"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(64,949)</w:t>
            </w:r>
          </w:p>
        </w:tc>
      </w:tr>
      <w:tr w:rsidR="00DC0C23" w:rsidRPr="00342DC3" w14:paraId="40F9388A" w14:textId="77777777">
        <w:trPr>
          <w:trHeight w:val="110"/>
        </w:trPr>
        <w:tc>
          <w:tcPr>
            <w:tcW w:w="6912" w:type="dxa"/>
            <w:shd w:val="clear" w:color="auto" w:fill="auto"/>
            <w:vAlign w:val="center"/>
          </w:tcPr>
          <w:p w14:paraId="3C2C3BF2"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Expected interest to 30 June 2024 </w:t>
            </w:r>
          </w:p>
        </w:tc>
        <w:tc>
          <w:tcPr>
            <w:tcW w:w="1418" w:type="dxa"/>
            <w:shd w:val="clear" w:color="auto" w:fill="auto"/>
          </w:tcPr>
          <w:p w14:paraId="0804760E"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2E31A0F9"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12,070</w:t>
            </w:r>
          </w:p>
        </w:tc>
      </w:tr>
      <w:tr w:rsidR="00DC0C23" w:rsidRPr="00342DC3" w14:paraId="6557284A" w14:textId="77777777">
        <w:trPr>
          <w:trHeight w:val="110"/>
        </w:trPr>
        <w:tc>
          <w:tcPr>
            <w:tcW w:w="6912" w:type="dxa"/>
            <w:shd w:val="clear" w:color="auto" w:fill="auto"/>
            <w:vAlign w:val="center"/>
          </w:tcPr>
          <w:p w14:paraId="33FAD5EF"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Expected change in Expense Margin </w:t>
            </w:r>
          </w:p>
        </w:tc>
        <w:tc>
          <w:tcPr>
            <w:tcW w:w="1418" w:type="dxa"/>
            <w:shd w:val="clear" w:color="auto" w:fill="auto"/>
          </w:tcPr>
          <w:p w14:paraId="38EDF676"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1C14CF08"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1,242</w:t>
            </w:r>
          </w:p>
        </w:tc>
      </w:tr>
      <w:tr w:rsidR="00DC0C23" w:rsidRPr="00342DC3" w14:paraId="1BEDE023" w14:textId="77777777">
        <w:trPr>
          <w:trHeight w:val="110"/>
        </w:trPr>
        <w:tc>
          <w:tcPr>
            <w:tcW w:w="6912" w:type="dxa"/>
            <w:tcBorders>
              <w:bottom w:val="single" w:sz="4" w:space="0" w:color="auto"/>
            </w:tcBorders>
            <w:shd w:val="clear" w:color="auto" w:fill="auto"/>
            <w:vAlign w:val="center"/>
          </w:tcPr>
          <w:p w14:paraId="5BB19C89"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Expected change in Risk Margin </w:t>
            </w:r>
          </w:p>
        </w:tc>
        <w:tc>
          <w:tcPr>
            <w:tcW w:w="1418" w:type="dxa"/>
            <w:tcBorders>
              <w:bottom w:val="single" w:sz="4" w:space="0" w:color="auto"/>
            </w:tcBorders>
            <w:shd w:val="clear" w:color="auto" w:fill="auto"/>
          </w:tcPr>
          <w:p w14:paraId="47CF2510"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single" w:sz="4" w:space="0" w:color="auto"/>
            </w:tcBorders>
            <w:shd w:val="clear" w:color="auto" w:fill="auto"/>
          </w:tcPr>
          <w:p w14:paraId="70CDA2DD" w14:textId="77777777" w:rsidR="00DC0C23" w:rsidRPr="00342DC3" w:rsidRDefault="00DC0C2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3,745</w:t>
            </w:r>
          </w:p>
        </w:tc>
      </w:tr>
      <w:tr w:rsidR="00DC0C23" w:rsidRPr="00342DC3" w14:paraId="4F1DAD3B" w14:textId="77777777">
        <w:trPr>
          <w:trHeight w:val="118"/>
        </w:trPr>
        <w:tc>
          <w:tcPr>
            <w:tcW w:w="6912" w:type="dxa"/>
            <w:tcBorders>
              <w:top w:val="single" w:sz="4" w:space="0" w:color="auto"/>
              <w:bottom w:val="single" w:sz="4" w:space="0" w:color="auto"/>
            </w:tcBorders>
            <w:shd w:val="clear" w:color="auto" w:fill="auto"/>
            <w:vAlign w:val="center"/>
          </w:tcPr>
          <w:p w14:paraId="0FBC6F44" w14:textId="77777777" w:rsidR="00DC0C23" w:rsidRPr="00342DC3" w:rsidRDefault="00DC0C2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Expected Gross Outstanding Claims at 30 June 2024 (30 June 2023 basis) </w:t>
            </w:r>
          </w:p>
        </w:tc>
        <w:tc>
          <w:tcPr>
            <w:tcW w:w="1418" w:type="dxa"/>
            <w:tcBorders>
              <w:top w:val="single" w:sz="4" w:space="0" w:color="auto"/>
              <w:bottom w:val="single" w:sz="4" w:space="0" w:color="auto"/>
            </w:tcBorders>
            <w:shd w:val="clear" w:color="auto" w:fill="auto"/>
          </w:tcPr>
          <w:p w14:paraId="4B05414B"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bottom w:val="single" w:sz="4" w:space="0" w:color="auto"/>
            </w:tcBorders>
            <w:shd w:val="clear" w:color="auto" w:fill="auto"/>
          </w:tcPr>
          <w:p w14:paraId="23A6BFED"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r w:rsidRPr="00342DC3">
              <w:rPr>
                <w:rFonts w:ascii="Calibri" w:eastAsia="Calibri" w:hAnsi="Calibri" w:cs="Calibri"/>
                <w:b/>
                <w:bCs/>
                <w:color w:val="000000"/>
                <w:sz w:val="18"/>
                <w:szCs w:val="18"/>
              </w:rPr>
              <w:t>401,755</w:t>
            </w:r>
          </w:p>
        </w:tc>
      </w:tr>
    </w:tbl>
    <w:p w14:paraId="64839389" w14:textId="77777777" w:rsidR="00F71676" w:rsidRDefault="00F71676" w:rsidP="004D653A">
      <w:pPr>
        <w:pStyle w:val="Pa4"/>
        <w:spacing w:before="100" w:after="137"/>
        <w:rPr>
          <w:rFonts w:asciiTheme="minorHAnsi" w:hAnsiTheme="minorHAnsi" w:cs="Montserrat Semi Bold"/>
          <w:b/>
          <w:bCs/>
          <w:color w:val="000000"/>
          <w:sz w:val="30"/>
          <w:szCs w:val="30"/>
        </w:rPr>
      </w:pPr>
    </w:p>
    <w:p w14:paraId="28DB7F30" w14:textId="77777777" w:rsidR="00F71676" w:rsidRDefault="00F71676">
      <w:pPr>
        <w:spacing w:after="0" w:line="240" w:lineRule="auto"/>
        <w:rPr>
          <w:rFonts w:cs="Montserrat Semi Bold"/>
          <w:b/>
          <w:bCs/>
          <w:color w:val="000000"/>
          <w:sz w:val="30"/>
          <w:szCs w:val="30"/>
        </w:rPr>
      </w:pPr>
      <w:r>
        <w:rPr>
          <w:rFonts w:cs="Montserrat Semi Bold"/>
          <w:b/>
          <w:bCs/>
          <w:color w:val="000000"/>
          <w:sz w:val="30"/>
          <w:szCs w:val="30"/>
        </w:rPr>
        <w:br w:type="page"/>
      </w:r>
    </w:p>
    <w:p w14:paraId="27D1247B" w14:textId="104F12F0" w:rsidR="004D653A" w:rsidRDefault="004D653A" w:rsidP="004D653A">
      <w:pPr>
        <w:pStyle w:val="Pa4"/>
        <w:spacing w:before="100" w:after="137"/>
        <w:rPr>
          <w:rFonts w:asciiTheme="minorHAnsi" w:hAnsiTheme="minorHAnsi" w:cs="Montserrat Semi Bold"/>
          <w:b/>
          <w:bCs/>
          <w:color w:val="000000"/>
          <w:sz w:val="30"/>
          <w:szCs w:val="30"/>
        </w:rPr>
      </w:pPr>
      <w:r w:rsidRPr="00D03D51">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D03D51">
        <w:rPr>
          <w:rFonts w:asciiTheme="minorHAnsi" w:hAnsiTheme="minorHAnsi" w:cs="Montserrat Semi Bold"/>
          <w:b/>
          <w:bCs/>
          <w:color w:val="000000"/>
          <w:sz w:val="30"/>
          <w:szCs w:val="30"/>
        </w:rPr>
        <w:t xml:space="preserve">. OUTSTANDING CLAIMS </w:t>
      </w:r>
      <w:r w:rsidR="00772388">
        <w:rPr>
          <w:rFonts w:asciiTheme="minorHAnsi" w:hAnsiTheme="minorHAnsi" w:cs="Montserrat Semi Bold"/>
          <w:b/>
          <w:bCs/>
          <w:color w:val="000000"/>
          <w:sz w:val="30"/>
          <w:szCs w:val="30"/>
        </w:rPr>
        <w:t>–</w:t>
      </w:r>
      <w:r w:rsidRPr="00D03D51">
        <w:rPr>
          <w:rFonts w:asciiTheme="minorHAnsi" w:hAnsiTheme="minorHAnsi" w:cs="Montserrat Semi Bold"/>
          <w:b/>
          <w:bCs/>
          <w:color w:val="000000"/>
          <w:sz w:val="30"/>
          <w:szCs w:val="30"/>
        </w:rPr>
        <w:t xml:space="preserve"> CONTINUED</w:t>
      </w:r>
    </w:p>
    <w:p w14:paraId="44964273" w14:textId="4CB6C21E" w:rsidR="00772388" w:rsidRPr="006D6B38" w:rsidRDefault="00772388" w:rsidP="00772388">
      <w:pPr>
        <w:pStyle w:val="Pa4"/>
        <w:spacing w:before="100" w:after="137"/>
        <w:rPr>
          <w:rFonts w:asciiTheme="minorHAnsi" w:hAnsiTheme="minorHAnsi" w:cs="Source Sans Pro Light"/>
          <w:b/>
          <w:bCs/>
          <w:sz w:val="22"/>
          <w:szCs w:val="22"/>
        </w:rPr>
      </w:pPr>
      <w:r w:rsidRPr="006D6B38">
        <w:rPr>
          <w:rFonts w:asciiTheme="minorHAnsi" w:hAnsiTheme="minorHAnsi" w:cs="Source Sans Pro Light"/>
          <w:b/>
          <w:bCs/>
          <w:sz w:val="22"/>
          <w:szCs w:val="22"/>
        </w:rPr>
        <w:t>(d) Reconciliation of Movement in Discounted Outstanding Claims Liability</w:t>
      </w:r>
      <w:r>
        <w:rPr>
          <w:rFonts w:asciiTheme="minorHAnsi" w:hAnsiTheme="minorHAnsi" w:cs="Source Sans Pro Light"/>
          <w:b/>
          <w:bCs/>
          <w:sz w:val="22"/>
          <w:szCs w:val="22"/>
        </w:rPr>
        <w:t xml:space="preserve"> - continued</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6912"/>
        <w:gridCol w:w="1418"/>
        <w:gridCol w:w="1417"/>
      </w:tblGrid>
      <w:tr w:rsidR="00342DC3" w:rsidRPr="00342DC3" w14:paraId="0FD519A3" w14:textId="77777777" w:rsidTr="00184FA8">
        <w:trPr>
          <w:trHeight w:val="138"/>
        </w:trPr>
        <w:tc>
          <w:tcPr>
            <w:tcW w:w="6912" w:type="dxa"/>
            <w:tcBorders>
              <w:top w:val="single" w:sz="12" w:space="0" w:color="492581" w:themeColor="accent1"/>
              <w:bottom w:val="single" w:sz="12" w:space="0" w:color="492581" w:themeColor="accent1"/>
            </w:tcBorders>
          </w:tcPr>
          <w:p w14:paraId="3C63FDD7" w14:textId="247B9BE1" w:rsidR="00342DC3" w:rsidRPr="00342DC3" w:rsidRDefault="00342DC3" w:rsidP="00342DC3">
            <w:pPr>
              <w:autoSpaceDE w:val="0"/>
              <w:autoSpaceDN w:val="0"/>
              <w:adjustRightInd w:val="0"/>
              <w:spacing w:before="50" w:after="50" w:line="211" w:lineRule="atLeast"/>
              <w:rPr>
                <w:rFonts w:ascii="Calibri" w:eastAsia="Calibri" w:hAnsi="Calibri" w:cs="Calibri"/>
                <w:color w:val="000000"/>
                <w:sz w:val="18"/>
                <w:szCs w:val="18"/>
              </w:rPr>
            </w:pPr>
            <w:r w:rsidRPr="00342DC3">
              <w:rPr>
                <w:rFonts w:ascii="Calibri" w:eastAsia="Calibri" w:hAnsi="Calibri" w:cs="Calibri"/>
                <w:b/>
                <w:bCs/>
                <w:i/>
                <w:iCs/>
                <w:color w:val="000000"/>
                <w:sz w:val="18"/>
                <w:szCs w:val="18"/>
              </w:rPr>
              <w:t>Change in Basis - In the 12 months from 30 June 2023 to 30 June 2024</w:t>
            </w:r>
            <w:r w:rsidR="00184FA8">
              <w:rPr>
                <w:rFonts w:ascii="Calibri" w:eastAsia="Calibri" w:hAnsi="Calibri" w:cs="Calibri"/>
                <w:b/>
                <w:bCs/>
                <w:i/>
                <w:iCs/>
                <w:color w:val="000000"/>
                <w:sz w:val="18"/>
                <w:szCs w:val="18"/>
              </w:rPr>
              <w:t xml:space="preserve"> - </w:t>
            </w:r>
            <w:r w:rsidR="008F3C2C">
              <w:rPr>
                <w:rFonts w:ascii="Calibri" w:eastAsia="Calibri" w:hAnsi="Calibri" w:cs="Calibri"/>
                <w:b/>
                <w:bCs/>
                <w:i/>
                <w:iCs/>
                <w:color w:val="000000"/>
                <w:sz w:val="18"/>
                <w:szCs w:val="18"/>
              </w:rPr>
              <w:t>c</w:t>
            </w:r>
            <w:r w:rsidR="00184FA8">
              <w:rPr>
                <w:rFonts w:ascii="Calibri" w:eastAsia="Calibri" w:hAnsi="Calibri" w:cs="Calibri"/>
                <w:b/>
                <w:bCs/>
                <w:i/>
                <w:iCs/>
                <w:color w:val="000000"/>
                <w:sz w:val="18"/>
                <w:szCs w:val="18"/>
              </w:rPr>
              <w:t>ontinued</w:t>
            </w:r>
          </w:p>
        </w:tc>
        <w:tc>
          <w:tcPr>
            <w:tcW w:w="1418" w:type="dxa"/>
            <w:tcBorders>
              <w:top w:val="single" w:sz="12" w:space="0" w:color="492581" w:themeColor="accent1"/>
              <w:bottom w:val="single" w:sz="12" w:space="0" w:color="492581" w:themeColor="accent1"/>
            </w:tcBorders>
          </w:tcPr>
          <w:p w14:paraId="630DFE8A" w14:textId="77777777" w:rsidR="00342DC3" w:rsidRPr="00342DC3" w:rsidRDefault="00342DC3" w:rsidP="00342DC3">
            <w:pPr>
              <w:autoSpaceDE w:val="0"/>
              <w:autoSpaceDN w:val="0"/>
              <w:adjustRightInd w:val="0"/>
              <w:spacing w:before="50" w:after="50" w:line="211" w:lineRule="atLeast"/>
              <w:jc w:val="right"/>
              <w:rPr>
                <w:rFonts w:ascii="Calibri" w:eastAsia="Calibri" w:hAnsi="Calibri" w:cs="Calibri"/>
                <w:b/>
                <w:bCs/>
                <w:color w:val="000000"/>
                <w:sz w:val="18"/>
                <w:szCs w:val="18"/>
              </w:rPr>
            </w:pPr>
            <w:r w:rsidRPr="00342DC3">
              <w:rPr>
                <w:rFonts w:ascii="Calibri" w:eastAsia="Calibri" w:hAnsi="Calibri" w:cs="Calibri"/>
                <w:b/>
                <w:bCs/>
                <w:color w:val="000000"/>
                <w:sz w:val="18"/>
                <w:szCs w:val="18"/>
              </w:rPr>
              <w:t>$'000</w:t>
            </w:r>
          </w:p>
        </w:tc>
        <w:tc>
          <w:tcPr>
            <w:tcW w:w="1417" w:type="dxa"/>
            <w:tcBorders>
              <w:top w:val="single" w:sz="12" w:space="0" w:color="492581" w:themeColor="accent1"/>
              <w:bottom w:val="single" w:sz="12" w:space="0" w:color="492581" w:themeColor="accent1"/>
            </w:tcBorders>
          </w:tcPr>
          <w:p w14:paraId="2AEAE161" w14:textId="77777777" w:rsidR="00342DC3" w:rsidRPr="00342DC3" w:rsidRDefault="00342DC3" w:rsidP="00342DC3">
            <w:pPr>
              <w:autoSpaceDE w:val="0"/>
              <w:autoSpaceDN w:val="0"/>
              <w:adjustRightInd w:val="0"/>
              <w:spacing w:before="50" w:after="50" w:line="211" w:lineRule="atLeast"/>
              <w:jc w:val="right"/>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$'000 </w:t>
            </w:r>
          </w:p>
        </w:tc>
      </w:tr>
      <w:tr w:rsidR="00342DC3" w:rsidRPr="00342DC3" w14:paraId="7F9637D7" w14:textId="77777777" w:rsidTr="00184FA8">
        <w:trPr>
          <w:trHeight w:val="110"/>
        </w:trPr>
        <w:tc>
          <w:tcPr>
            <w:tcW w:w="6912" w:type="dxa"/>
            <w:tcBorders>
              <w:top w:val="single" w:sz="12" w:space="0" w:color="492581" w:themeColor="accent1"/>
            </w:tcBorders>
            <w:shd w:val="clear" w:color="auto" w:fill="auto"/>
            <w:vAlign w:val="center"/>
          </w:tcPr>
          <w:p w14:paraId="207F6285"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(Actual less Expected) inflation </w:t>
            </w:r>
            <w:r w:rsidRPr="00342DC3">
              <w:rPr>
                <w:rFonts w:ascii="Calibri" w:eastAsia="Calibri" w:hAnsi="Calibri" w:cs="Calibri"/>
                <w:color w:val="000000"/>
                <w:sz w:val="18"/>
                <w:szCs w:val="18"/>
                <w:vertAlign w:val="superscript"/>
              </w:rPr>
              <w:t>b</w:t>
            </w:r>
            <w:r w:rsidRPr="00342DC3">
              <w:rPr>
                <w:rFonts w:ascii="Calibri" w:eastAsia="Calibri" w:hAnsi="Calibri" w:cs="Calibri"/>
                <w:color w:val="000000"/>
                <w:sz w:val="18"/>
                <w:szCs w:val="18"/>
              </w:rPr>
              <w:t xml:space="preserve"> </w:t>
            </w:r>
          </w:p>
        </w:tc>
        <w:tc>
          <w:tcPr>
            <w:tcW w:w="1418" w:type="dxa"/>
            <w:tcBorders>
              <w:top w:val="single" w:sz="12" w:space="0" w:color="492581" w:themeColor="accent1"/>
            </w:tcBorders>
            <w:shd w:val="clear" w:color="auto" w:fill="auto"/>
          </w:tcPr>
          <w:p w14:paraId="51F34190"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single" w:sz="12" w:space="0" w:color="492581" w:themeColor="accent1"/>
            </w:tcBorders>
            <w:shd w:val="clear" w:color="auto" w:fill="auto"/>
          </w:tcPr>
          <w:p w14:paraId="7C270275"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9,567</w:t>
            </w:r>
          </w:p>
        </w:tc>
      </w:tr>
      <w:tr w:rsidR="00342DC3" w:rsidRPr="00342DC3" w14:paraId="1BBCA543" w14:textId="77777777">
        <w:trPr>
          <w:trHeight w:val="110"/>
        </w:trPr>
        <w:tc>
          <w:tcPr>
            <w:tcW w:w="6912" w:type="dxa"/>
            <w:shd w:val="clear" w:color="auto" w:fill="auto"/>
            <w:vAlign w:val="center"/>
          </w:tcPr>
          <w:p w14:paraId="40E91E54"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Change in future discount rate assumptions </w:t>
            </w:r>
          </w:p>
        </w:tc>
        <w:tc>
          <w:tcPr>
            <w:tcW w:w="1418" w:type="dxa"/>
            <w:shd w:val="clear" w:color="auto" w:fill="auto"/>
          </w:tcPr>
          <w:p w14:paraId="4A3D53A8"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2DBF3763"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(2,936)</w:t>
            </w:r>
          </w:p>
        </w:tc>
      </w:tr>
      <w:tr w:rsidR="00342DC3" w:rsidRPr="00342DC3" w14:paraId="545661B9" w14:textId="77777777">
        <w:trPr>
          <w:trHeight w:val="110"/>
        </w:trPr>
        <w:tc>
          <w:tcPr>
            <w:tcW w:w="6912" w:type="dxa"/>
            <w:shd w:val="clear" w:color="auto" w:fill="auto"/>
            <w:vAlign w:val="center"/>
          </w:tcPr>
          <w:p w14:paraId="2F1CBC14"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Change in future inflation assumptions </w:t>
            </w:r>
          </w:p>
        </w:tc>
        <w:tc>
          <w:tcPr>
            <w:tcW w:w="1418" w:type="dxa"/>
            <w:shd w:val="clear" w:color="auto" w:fill="auto"/>
          </w:tcPr>
          <w:p w14:paraId="7C6822B4"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4208529E"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(1,781)</w:t>
            </w:r>
          </w:p>
        </w:tc>
      </w:tr>
      <w:tr w:rsidR="00342DC3" w:rsidRPr="00342DC3" w14:paraId="65D541AD" w14:textId="77777777">
        <w:trPr>
          <w:trHeight w:val="110"/>
        </w:trPr>
        <w:tc>
          <w:tcPr>
            <w:tcW w:w="6912" w:type="dxa"/>
            <w:shd w:val="clear" w:color="auto" w:fill="auto"/>
            <w:vAlign w:val="center"/>
          </w:tcPr>
          <w:p w14:paraId="10EFC662"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(Expected less Actual) payments </w:t>
            </w:r>
            <w:r w:rsidRPr="00342DC3">
              <w:rPr>
                <w:rFonts w:ascii="Calibri" w:eastAsia="Calibri" w:hAnsi="Calibri" w:cs="Calibri"/>
                <w:color w:val="000000"/>
                <w:sz w:val="18"/>
                <w:szCs w:val="18"/>
                <w:vertAlign w:val="superscript"/>
              </w:rPr>
              <w:t xml:space="preserve">c </w:t>
            </w:r>
          </w:p>
        </w:tc>
        <w:tc>
          <w:tcPr>
            <w:tcW w:w="1418" w:type="dxa"/>
            <w:shd w:val="clear" w:color="auto" w:fill="auto"/>
          </w:tcPr>
          <w:p w14:paraId="599A5EB7"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12306667"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(3,333)</w:t>
            </w:r>
          </w:p>
        </w:tc>
      </w:tr>
      <w:tr w:rsidR="00342DC3" w:rsidRPr="00342DC3" w14:paraId="5DE9CF4F" w14:textId="77777777">
        <w:trPr>
          <w:trHeight w:val="110"/>
        </w:trPr>
        <w:tc>
          <w:tcPr>
            <w:tcW w:w="6912" w:type="dxa"/>
            <w:shd w:val="clear" w:color="auto" w:fill="auto"/>
            <w:vAlign w:val="center"/>
          </w:tcPr>
          <w:p w14:paraId="414575E5"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Directors and Officers </w:t>
            </w:r>
          </w:p>
        </w:tc>
        <w:tc>
          <w:tcPr>
            <w:tcW w:w="1418" w:type="dxa"/>
            <w:shd w:val="clear" w:color="auto" w:fill="auto"/>
          </w:tcPr>
          <w:p w14:paraId="20C8A92F"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35</w:t>
            </w:r>
          </w:p>
        </w:tc>
        <w:tc>
          <w:tcPr>
            <w:tcW w:w="1417" w:type="dxa"/>
            <w:shd w:val="clear" w:color="auto" w:fill="auto"/>
          </w:tcPr>
          <w:p w14:paraId="4D0F457E"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6648AF07" w14:textId="77777777">
        <w:trPr>
          <w:trHeight w:val="110"/>
        </w:trPr>
        <w:tc>
          <w:tcPr>
            <w:tcW w:w="6912" w:type="dxa"/>
            <w:shd w:val="clear" w:color="auto" w:fill="auto"/>
            <w:vAlign w:val="center"/>
          </w:tcPr>
          <w:p w14:paraId="6DC2F00C"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Financial Crime </w:t>
            </w:r>
          </w:p>
        </w:tc>
        <w:tc>
          <w:tcPr>
            <w:tcW w:w="1418" w:type="dxa"/>
            <w:shd w:val="clear" w:color="auto" w:fill="auto"/>
          </w:tcPr>
          <w:p w14:paraId="6A800134"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81</w:t>
            </w:r>
          </w:p>
        </w:tc>
        <w:tc>
          <w:tcPr>
            <w:tcW w:w="1417" w:type="dxa"/>
            <w:shd w:val="clear" w:color="auto" w:fill="auto"/>
          </w:tcPr>
          <w:p w14:paraId="4BBB2A0A"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1DC47ECB" w14:textId="77777777">
        <w:trPr>
          <w:trHeight w:val="110"/>
        </w:trPr>
        <w:tc>
          <w:tcPr>
            <w:tcW w:w="6912" w:type="dxa"/>
            <w:shd w:val="clear" w:color="auto" w:fill="auto"/>
            <w:vAlign w:val="center"/>
          </w:tcPr>
          <w:p w14:paraId="0D6F80E1"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Medical Malpractice </w:t>
            </w:r>
          </w:p>
        </w:tc>
        <w:tc>
          <w:tcPr>
            <w:tcW w:w="1418" w:type="dxa"/>
            <w:shd w:val="clear" w:color="auto" w:fill="auto"/>
          </w:tcPr>
          <w:p w14:paraId="09AFE958"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1,225</w:t>
            </w:r>
          </w:p>
        </w:tc>
        <w:tc>
          <w:tcPr>
            <w:tcW w:w="1417" w:type="dxa"/>
            <w:shd w:val="clear" w:color="auto" w:fill="auto"/>
          </w:tcPr>
          <w:p w14:paraId="3C9791E3"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0FA9ECC2" w14:textId="77777777">
        <w:trPr>
          <w:trHeight w:val="110"/>
        </w:trPr>
        <w:tc>
          <w:tcPr>
            <w:tcW w:w="6912" w:type="dxa"/>
            <w:shd w:val="clear" w:color="auto" w:fill="auto"/>
            <w:vAlign w:val="center"/>
          </w:tcPr>
          <w:p w14:paraId="1640F69C"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Professional Indemnity </w:t>
            </w:r>
          </w:p>
        </w:tc>
        <w:tc>
          <w:tcPr>
            <w:tcW w:w="1418" w:type="dxa"/>
            <w:shd w:val="clear" w:color="auto" w:fill="auto"/>
          </w:tcPr>
          <w:p w14:paraId="55416F60"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(715)</w:t>
            </w:r>
          </w:p>
        </w:tc>
        <w:tc>
          <w:tcPr>
            <w:tcW w:w="1417" w:type="dxa"/>
            <w:shd w:val="clear" w:color="auto" w:fill="auto"/>
          </w:tcPr>
          <w:p w14:paraId="4A5A9243"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77B4483E" w14:textId="77777777">
        <w:trPr>
          <w:trHeight w:val="110"/>
        </w:trPr>
        <w:tc>
          <w:tcPr>
            <w:tcW w:w="6912" w:type="dxa"/>
            <w:shd w:val="clear" w:color="auto" w:fill="auto"/>
            <w:vAlign w:val="center"/>
          </w:tcPr>
          <w:p w14:paraId="04EC8ED8"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Property and Motor </w:t>
            </w:r>
          </w:p>
        </w:tc>
        <w:tc>
          <w:tcPr>
            <w:tcW w:w="1418" w:type="dxa"/>
            <w:shd w:val="clear" w:color="auto" w:fill="auto"/>
          </w:tcPr>
          <w:p w14:paraId="0230A913"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(3,373)</w:t>
            </w:r>
          </w:p>
        </w:tc>
        <w:tc>
          <w:tcPr>
            <w:tcW w:w="1417" w:type="dxa"/>
            <w:shd w:val="clear" w:color="auto" w:fill="auto"/>
          </w:tcPr>
          <w:p w14:paraId="1FD2DEA6"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5ACFF59A" w14:textId="77777777">
        <w:trPr>
          <w:trHeight w:val="110"/>
        </w:trPr>
        <w:tc>
          <w:tcPr>
            <w:tcW w:w="6912" w:type="dxa"/>
            <w:shd w:val="clear" w:color="auto" w:fill="auto"/>
            <w:vAlign w:val="center"/>
          </w:tcPr>
          <w:p w14:paraId="5A445D5F"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i/>
                <w:iCs/>
                <w:color w:val="000000"/>
                <w:sz w:val="18"/>
                <w:szCs w:val="18"/>
              </w:rPr>
            </w:pPr>
            <w:r w:rsidRPr="00342DC3">
              <w:rPr>
                <w:rFonts w:ascii="Calibri" w:eastAsia="Calibri" w:hAnsi="Calibri" w:cs="Calibri"/>
                <w:i/>
                <w:iCs/>
                <w:color w:val="000000"/>
                <w:sz w:val="18"/>
                <w:szCs w:val="18"/>
              </w:rPr>
              <w:t xml:space="preserve">Public Liability </w:t>
            </w:r>
          </w:p>
          <w:p w14:paraId="0BBEE041"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Residential Builders Warranty</w:t>
            </w:r>
          </w:p>
        </w:tc>
        <w:tc>
          <w:tcPr>
            <w:tcW w:w="1418" w:type="dxa"/>
            <w:shd w:val="clear" w:color="auto" w:fill="auto"/>
          </w:tcPr>
          <w:p w14:paraId="34ADCFD1"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color w:val="000000"/>
                <w:sz w:val="18"/>
                <w:szCs w:val="18"/>
              </w:rPr>
            </w:pPr>
            <w:r w:rsidRPr="00342DC3">
              <w:rPr>
                <w:rFonts w:ascii="Calibri" w:eastAsia="Calibri" w:hAnsi="Calibri" w:cs="Calibri"/>
                <w:color w:val="000000"/>
                <w:sz w:val="18"/>
                <w:szCs w:val="18"/>
              </w:rPr>
              <w:t>(102)</w:t>
            </w:r>
          </w:p>
          <w:p w14:paraId="0B0A533B"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(483)</w:t>
            </w:r>
          </w:p>
        </w:tc>
        <w:tc>
          <w:tcPr>
            <w:tcW w:w="1417" w:type="dxa"/>
            <w:shd w:val="clear" w:color="auto" w:fill="auto"/>
          </w:tcPr>
          <w:p w14:paraId="2627AACB"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0E30D18C" w14:textId="77777777">
        <w:trPr>
          <w:trHeight w:val="110"/>
        </w:trPr>
        <w:tc>
          <w:tcPr>
            <w:tcW w:w="6912" w:type="dxa"/>
            <w:shd w:val="clear" w:color="auto" w:fill="auto"/>
            <w:vAlign w:val="center"/>
          </w:tcPr>
          <w:p w14:paraId="770DF633"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Change in experience and actuarial assumptions </w:t>
            </w:r>
          </w:p>
        </w:tc>
        <w:tc>
          <w:tcPr>
            <w:tcW w:w="1418" w:type="dxa"/>
            <w:shd w:val="clear" w:color="auto" w:fill="auto"/>
          </w:tcPr>
          <w:p w14:paraId="6DAAF9E3"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shd w:val="clear" w:color="auto" w:fill="auto"/>
          </w:tcPr>
          <w:p w14:paraId="534160F1"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13,668</w:t>
            </w:r>
          </w:p>
        </w:tc>
      </w:tr>
      <w:tr w:rsidR="00342DC3" w:rsidRPr="00342DC3" w14:paraId="565BDB8F" w14:textId="77777777">
        <w:trPr>
          <w:trHeight w:val="110"/>
        </w:trPr>
        <w:tc>
          <w:tcPr>
            <w:tcW w:w="6912" w:type="dxa"/>
            <w:shd w:val="clear" w:color="auto" w:fill="auto"/>
            <w:vAlign w:val="center"/>
          </w:tcPr>
          <w:p w14:paraId="01E3B317"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Directors and Officers </w:t>
            </w:r>
          </w:p>
        </w:tc>
        <w:tc>
          <w:tcPr>
            <w:tcW w:w="1418" w:type="dxa"/>
            <w:shd w:val="clear" w:color="auto" w:fill="auto"/>
          </w:tcPr>
          <w:p w14:paraId="175A3AEC"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(131)</w:t>
            </w:r>
          </w:p>
        </w:tc>
        <w:tc>
          <w:tcPr>
            <w:tcW w:w="1417" w:type="dxa"/>
            <w:shd w:val="clear" w:color="auto" w:fill="auto"/>
          </w:tcPr>
          <w:p w14:paraId="7B9320BD"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14D6DC5E" w14:textId="77777777">
        <w:trPr>
          <w:trHeight w:val="110"/>
        </w:trPr>
        <w:tc>
          <w:tcPr>
            <w:tcW w:w="6912" w:type="dxa"/>
            <w:shd w:val="clear" w:color="auto" w:fill="auto"/>
            <w:vAlign w:val="center"/>
          </w:tcPr>
          <w:p w14:paraId="1D02E22E"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Financial Crime </w:t>
            </w:r>
          </w:p>
        </w:tc>
        <w:tc>
          <w:tcPr>
            <w:tcW w:w="1418" w:type="dxa"/>
            <w:shd w:val="clear" w:color="auto" w:fill="auto"/>
          </w:tcPr>
          <w:p w14:paraId="12ABC166"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(352)</w:t>
            </w:r>
          </w:p>
        </w:tc>
        <w:tc>
          <w:tcPr>
            <w:tcW w:w="1417" w:type="dxa"/>
            <w:shd w:val="clear" w:color="auto" w:fill="auto"/>
          </w:tcPr>
          <w:p w14:paraId="622732DB"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6BC2CE49" w14:textId="77777777">
        <w:trPr>
          <w:trHeight w:val="110"/>
        </w:trPr>
        <w:tc>
          <w:tcPr>
            <w:tcW w:w="6912" w:type="dxa"/>
            <w:shd w:val="clear" w:color="auto" w:fill="auto"/>
            <w:vAlign w:val="center"/>
          </w:tcPr>
          <w:p w14:paraId="11D0CFB4"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Medical Malpractice </w:t>
            </w:r>
          </w:p>
        </w:tc>
        <w:tc>
          <w:tcPr>
            <w:tcW w:w="1418" w:type="dxa"/>
            <w:shd w:val="clear" w:color="auto" w:fill="auto"/>
          </w:tcPr>
          <w:p w14:paraId="12BCDFCB"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2,441</w:t>
            </w:r>
          </w:p>
        </w:tc>
        <w:tc>
          <w:tcPr>
            <w:tcW w:w="1417" w:type="dxa"/>
            <w:shd w:val="clear" w:color="auto" w:fill="auto"/>
          </w:tcPr>
          <w:p w14:paraId="72E23972"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1FB0EEAA" w14:textId="77777777">
        <w:trPr>
          <w:trHeight w:val="110"/>
        </w:trPr>
        <w:tc>
          <w:tcPr>
            <w:tcW w:w="6912" w:type="dxa"/>
            <w:shd w:val="clear" w:color="auto" w:fill="auto"/>
            <w:vAlign w:val="center"/>
          </w:tcPr>
          <w:p w14:paraId="2B70BABC"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Professional Indemnity </w:t>
            </w:r>
          </w:p>
        </w:tc>
        <w:tc>
          <w:tcPr>
            <w:tcW w:w="1418" w:type="dxa"/>
            <w:shd w:val="clear" w:color="auto" w:fill="auto"/>
          </w:tcPr>
          <w:p w14:paraId="1EB88DA6"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844</w:t>
            </w:r>
          </w:p>
        </w:tc>
        <w:tc>
          <w:tcPr>
            <w:tcW w:w="1417" w:type="dxa"/>
            <w:shd w:val="clear" w:color="auto" w:fill="auto"/>
          </w:tcPr>
          <w:p w14:paraId="291EDA7E"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464C3E0A" w14:textId="77777777">
        <w:trPr>
          <w:trHeight w:val="110"/>
        </w:trPr>
        <w:tc>
          <w:tcPr>
            <w:tcW w:w="6912" w:type="dxa"/>
            <w:shd w:val="clear" w:color="auto" w:fill="auto"/>
            <w:vAlign w:val="center"/>
          </w:tcPr>
          <w:p w14:paraId="61C0AFE5"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Property and Motor </w:t>
            </w:r>
          </w:p>
        </w:tc>
        <w:tc>
          <w:tcPr>
            <w:tcW w:w="1418" w:type="dxa"/>
            <w:shd w:val="clear" w:color="auto" w:fill="auto"/>
          </w:tcPr>
          <w:p w14:paraId="3828D09D"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3,459</w:t>
            </w:r>
          </w:p>
        </w:tc>
        <w:tc>
          <w:tcPr>
            <w:tcW w:w="1417" w:type="dxa"/>
            <w:shd w:val="clear" w:color="auto" w:fill="auto"/>
          </w:tcPr>
          <w:p w14:paraId="10D7EA82"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18791D35" w14:textId="77777777">
        <w:trPr>
          <w:trHeight w:val="110"/>
        </w:trPr>
        <w:tc>
          <w:tcPr>
            <w:tcW w:w="6912" w:type="dxa"/>
            <w:shd w:val="clear" w:color="auto" w:fill="auto"/>
            <w:vAlign w:val="center"/>
          </w:tcPr>
          <w:p w14:paraId="75F4E40A"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color w:val="000000"/>
                <w:sz w:val="18"/>
                <w:szCs w:val="18"/>
              </w:rPr>
            </w:pPr>
            <w:r w:rsidRPr="00342DC3">
              <w:rPr>
                <w:rFonts w:ascii="Calibri" w:eastAsia="Calibri" w:hAnsi="Calibri" w:cs="Calibri"/>
                <w:i/>
                <w:iCs/>
                <w:color w:val="000000"/>
                <w:sz w:val="18"/>
                <w:szCs w:val="18"/>
              </w:rPr>
              <w:t xml:space="preserve">Public Liability </w:t>
            </w:r>
          </w:p>
        </w:tc>
        <w:tc>
          <w:tcPr>
            <w:tcW w:w="1418" w:type="dxa"/>
            <w:shd w:val="clear" w:color="auto" w:fill="auto"/>
          </w:tcPr>
          <w:p w14:paraId="4EDD4EBD"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6,931</w:t>
            </w:r>
          </w:p>
        </w:tc>
        <w:tc>
          <w:tcPr>
            <w:tcW w:w="1417" w:type="dxa"/>
            <w:shd w:val="clear" w:color="auto" w:fill="auto"/>
          </w:tcPr>
          <w:p w14:paraId="1B229349"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609F508C" w14:textId="77777777">
        <w:trPr>
          <w:trHeight w:val="110"/>
        </w:trPr>
        <w:tc>
          <w:tcPr>
            <w:tcW w:w="6912" w:type="dxa"/>
            <w:shd w:val="clear" w:color="auto" w:fill="auto"/>
            <w:vAlign w:val="center"/>
          </w:tcPr>
          <w:p w14:paraId="79622AE1" w14:textId="77777777" w:rsidR="00342DC3" w:rsidRPr="00342DC3" w:rsidRDefault="00342DC3" w:rsidP="00342DC3">
            <w:pPr>
              <w:autoSpaceDE w:val="0"/>
              <w:autoSpaceDN w:val="0"/>
              <w:adjustRightInd w:val="0"/>
              <w:spacing w:before="50" w:after="20" w:line="240" w:lineRule="auto"/>
              <w:ind w:left="357"/>
              <w:rPr>
                <w:rFonts w:ascii="Calibri" w:eastAsia="Calibri" w:hAnsi="Calibri" w:cs="Calibri"/>
                <w:i/>
                <w:iCs/>
                <w:color w:val="000000"/>
                <w:sz w:val="18"/>
                <w:szCs w:val="18"/>
              </w:rPr>
            </w:pPr>
            <w:r w:rsidRPr="00342DC3">
              <w:rPr>
                <w:rFonts w:ascii="Calibri" w:eastAsia="Calibri" w:hAnsi="Calibri" w:cs="Calibri"/>
                <w:i/>
                <w:iCs/>
                <w:color w:val="000000"/>
                <w:sz w:val="18"/>
                <w:szCs w:val="18"/>
              </w:rPr>
              <w:t>Residential Builders Warranty</w:t>
            </w:r>
          </w:p>
        </w:tc>
        <w:tc>
          <w:tcPr>
            <w:tcW w:w="1418" w:type="dxa"/>
            <w:shd w:val="clear" w:color="auto" w:fill="auto"/>
          </w:tcPr>
          <w:p w14:paraId="4613F585"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477</w:t>
            </w:r>
          </w:p>
        </w:tc>
        <w:tc>
          <w:tcPr>
            <w:tcW w:w="1417" w:type="dxa"/>
            <w:shd w:val="clear" w:color="auto" w:fill="auto"/>
          </w:tcPr>
          <w:p w14:paraId="06BECBDB" w14:textId="77777777" w:rsidR="00342DC3" w:rsidRPr="00342DC3" w:rsidRDefault="00342DC3" w:rsidP="00342DC3">
            <w:pPr>
              <w:autoSpaceDE w:val="0"/>
              <w:autoSpaceDN w:val="0"/>
              <w:adjustRightInd w:val="0"/>
              <w:spacing w:before="50" w:after="20" w:line="240" w:lineRule="auto"/>
              <w:jc w:val="right"/>
              <w:rPr>
                <w:rFonts w:ascii="Calibri" w:eastAsia="Calibri" w:hAnsi="Calibri" w:cs="Calibri"/>
                <w:sz w:val="18"/>
                <w:szCs w:val="18"/>
              </w:rPr>
            </w:pPr>
          </w:p>
        </w:tc>
      </w:tr>
      <w:tr w:rsidR="00342DC3" w:rsidRPr="00342DC3" w14:paraId="4746F7AB" w14:textId="77777777">
        <w:trPr>
          <w:trHeight w:val="110"/>
        </w:trPr>
        <w:tc>
          <w:tcPr>
            <w:tcW w:w="6912" w:type="dxa"/>
            <w:shd w:val="clear" w:color="auto" w:fill="auto"/>
            <w:vAlign w:val="center"/>
          </w:tcPr>
          <w:p w14:paraId="5AE1E958"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Physical &amp; Sexual Abuse Indemnity Scheme</w:t>
            </w:r>
          </w:p>
        </w:tc>
        <w:tc>
          <w:tcPr>
            <w:tcW w:w="1418" w:type="dxa"/>
            <w:shd w:val="clear" w:color="auto" w:fill="auto"/>
          </w:tcPr>
          <w:p w14:paraId="27C1B0AF"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nil"/>
            </w:tcBorders>
            <w:shd w:val="clear" w:color="auto" w:fill="auto"/>
          </w:tcPr>
          <w:p w14:paraId="4CA3E9A3"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2,289</w:t>
            </w:r>
          </w:p>
        </w:tc>
      </w:tr>
      <w:tr w:rsidR="00342DC3" w:rsidRPr="00342DC3" w14:paraId="36570E53" w14:textId="77777777">
        <w:trPr>
          <w:trHeight w:val="110"/>
        </w:trPr>
        <w:tc>
          <w:tcPr>
            <w:tcW w:w="6912" w:type="dxa"/>
            <w:shd w:val="clear" w:color="auto" w:fill="auto"/>
            <w:vAlign w:val="center"/>
          </w:tcPr>
          <w:p w14:paraId="089832B7"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Change in Expense margin at 30 June 2024</w:t>
            </w:r>
          </w:p>
        </w:tc>
        <w:tc>
          <w:tcPr>
            <w:tcW w:w="1418" w:type="dxa"/>
            <w:shd w:val="clear" w:color="auto" w:fill="auto"/>
          </w:tcPr>
          <w:p w14:paraId="51DE56EB"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bottom w:val="nil"/>
            </w:tcBorders>
            <w:shd w:val="clear" w:color="auto" w:fill="auto"/>
          </w:tcPr>
          <w:p w14:paraId="59B9574D"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r w:rsidRPr="00342DC3">
              <w:rPr>
                <w:rFonts w:ascii="Calibri" w:eastAsia="Calibri" w:hAnsi="Calibri" w:cs="Calibri"/>
                <w:color w:val="000000"/>
                <w:sz w:val="18"/>
                <w:szCs w:val="18"/>
              </w:rPr>
              <w:t>1,645</w:t>
            </w:r>
          </w:p>
        </w:tc>
      </w:tr>
      <w:tr w:rsidR="00342DC3" w:rsidRPr="00342DC3" w14:paraId="1BEE2BE5" w14:textId="77777777">
        <w:trPr>
          <w:trHeight w:val="110"/>
        </w:trPr>
        <w:tc>
          <w:tcPr>
            <w:tcW w:w="6912" w:type="dxa"/>
            <w:shd w:val="clear" w:color="auto" w:fill="auto"/>
            <w:vAlign w:val="center"/>
          </w:tcPr>
          <w:p w14:paraId="44CD4877"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Change in Risk margin at 30 June 2024 </w:t>
            </w:r>
          </w:p>
        </w:tc>
        <w:tc>
          <w:tcPr>
            <w:tcW w:w="1418" w:type="dxa"/>
            <w:shd w:val="clear" w:color="auto" w:fill="auto"/>
          </w:tcPr>
          <w:p w14:paraId="1261CD8F"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sz w:val="18"/>
                <w:szCs w:val="18"/>
              </w:rPr>
            </w:pPr>
          </w:p>
        </w:tc>
        <w:tc>
          <w:tcPr>
            <w:tcW w:w="1417" w:type="dxa"/>
            <w:tcBorders>
              <w:top w:val="nil"/>
              <w:bottom w:val="single" w:sz="4" w:space="0" w:color="auto"/>
            </w:tcBorders>
            <w:shd w:val="clear" w:color="auto" w:fill="auto"/>
          </w:tcPr>
          <w:p w14:paraId="4D178FA3"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b/>
                <w:bCs/>
                <w:sz w:val="18"/>
                <w:szCs w:val="18"/>
              </w:rPr>
            </w:pPr>
            <w:r w:rsidRPr="00342DC3">
              <w:rPr>
                <w:rFonts w:ascii="Calibri" w:eastAsia="Calibri" w:hAnsi="Calibri" w:cs="Calibri"/>
                <w:color w:val="000000"/>
                <w:sz w:val="18"/>
                <w:szCs w:val="18"/>
              </w:rPr>
              <w:t>(799)</w:t>
            </w:r>
          </w:p>
        </w:tc>
      </w:tr>
      <w:tr w:rsidR="00342DC3" w:rsidRPr="00342DC3" w14:paraId="7B2E5562" w14:textId="77777777">
        <w:trPr>
          <w:trHeight w:val="118"/>
        </w:trPr>
        <w:tc>
          <w:tcPr>
            <w:tcW w:w="6912" w:type="dxa"/>
            <w:tcBorders>
              <w:bottom w:val="single" w:sz="4" w:space="0" w:color="auto"/>
            </w:tcBorders>
            <w:shd w:val="clear" w:color="auto" w:fill="auto"/>
            <w:vAlign w:val="center"/>
          </w:tcPr>
          <w:p w14:paraId="1B16B534" w14:textId="77777777" w:rsidR="00342DC3" w:rsidRPr="00342DC3" w:rsidRDefault="00342DC3" w:rsidP="00342DC3">
            <w:pPr>
              <w:autoSpaceDE w:val="0"/>
              <w:autoSpaceDN w:val="0"/>
              <w:adjustRightInd w:val="0"/>
              <w:spacing w:before="50" w:after="50" w:line="240" w:lineRule="auto"/>
              <w:rPr>
                <w:rFonts w:ascii="Calibri" w:eastAsia="Calibri" w:hAnsi="Calibri" w:cs="Calibri"/>
                <w:color w:val="000000"/>
                <w:sz w:val="18"/>
                <w:szCs w:val="18"/>
              </w:rPr>
            </w:pPr>
            <w:r w:rsidRPr="00342DC3">
              <w:rPr>
                <w:rFonts w:ascii="Calibri" w:eastAsia="Calibri" w:hAnsi="Calibri" w:cs="Calibri"/>
                <w:color w:val="000000"/>
                <w:sz w:val="18"/>
                <w:szCs w:val="18"/>
              </w:rPr>
              <w:t xml:space="preserve">Overall change in basis </w:t>
            </w:r>
          </w:p>
        </w:tc>
        <w:tc>
          <w:tcPr>
            <w:tcW w:w="1418" w:type="dxa"/>
            <w:tcBorders>
              <w:bottom w:val="single" w:sz="4" w:space="0" w:color="auto"/>
            </w:tcBorders>
            <w:shd w:val="clear" w:color="auto" w:fill="auto"/>
          </w:tcPr>
          <w:p w14:paraId="51324A88"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bottom w:val="single" w:sz="4" w:space="0" w:color="auto"/>
            </w:tcBorders>
            <w:shd w:val="clear" w:color="auto" w:fill="auto"/>
          </w:tcPr>
          <w:p w14:paraId="1162178E"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b/>
                <w:bCs/>
                <w:sz w:val="18"/>
                <w:szCs w:val="18"/>
              </w:rPr>
            </w:pPr>
            <w:r w:rsidRPr="00342DC3">
              <w:rPr>
                <w:rFonts w:ascii="Calibri" w:eastAsia="Calibri" w:hAnsi="Calibri" w:cs="Calibri"/>
                <w:b/>
                <w:bCs/>
                <w:color w:val="000000"/>
                <w:sz w:val="18"/>
                <w:szCs w:val="18"/>
              </w:rPr>
              <w:t>18,340</w:t>
            </w:r>
          </w:p>
        </w:tc>
      </w:tr>
      <w:tr w:rsidR="00342DC3" w:rsidRPr="00342DC3" w14:paraId="5267D954" w14:textId="77777777" w:rsidTr="00184FA8">
        <w:trPr>
          <w:trHeight w:val="118"/>
        </w:trPr>
        <w:tc>
          <w:tcPr>
            <w:tcW w:w="6912" w:type="dxa"/>
            <w:tcBorders>
              <w:bottom w:val="single" w:sz="12" w:space="0" w:color="492581" w:themeColor="accent1"/>
            </w:tcBorders>
            <w:shd w:val="clear" w:color="auto" w:fill="auto"/>
            <w:vAlign w:val="center"/>
          </w:tcPr>
          <w:p w14:paraId="3B8E96A6" w14:textId="77777777" w:rsidR="00342DC3" w:rsidRPr="00342DC3" w:rsidRDefault="00342DC3" w:rsidP="00342DC3">
            <w:pPr>
              <w:autoSpaceDE w:val="0"/>
              <w:autoSpaceDN w:val="0"/>
              <w:adjustRightInd w:val="0"/>
              <w:spacing w:before="50" w:after="50" w:line="240" w:lineRule="auto"/>
              <w:rPr>
                <w:rFonts w:ascii="Calibri" w:eastAsia="Calibri" w:hAnsi="Calibri" w:cs="Calibri"/>
                <w:b/>
                <w:bCs/>
                <w:color w:val="000000"/>
                <w:sz w:val="18"/>
                <w:szCs w:val="18"/>
              </w:rPr>
            </w:pPr>
            <w:r w:rsidRPr="00342DC3">
              <w:rPr>
                <w:rFonts w:ascii="Calibri" w:eastAsia="Calibri" w:hAnsi="Calibri" w:cs="Calibri"/>
                <w:b/>
                <w:bCs/>
                <w:color w:val="000000"/>
                <w:sz w:val="18"/>
                <w:szCs w:val="18"/>
              </w:rPr>
              <w:t>Gross Outstanding Claims at 30 June 2024 (30 June 2024 basis)</w:t>
            </w:r>
          </w:p>
        </w:tc>
        <w:tc>
          <w:tcPr>
            <w:tcW w:w="1418" w:type="dxa"/>
            <w:tcBorders>
              <w:bottom w:val="single" w:sz="12" w:space="0" w:color="492581" w:themeColor="accent1"/>
            </w:tcBorders>
            <w:shd w:val="clear" w:color="auto" w:fill="auto"/>
          </w:tcPr>
          <w:p w14:paraId="6836367E"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b/>
                <w:bCs/>
                <w:sz w:val="18"/>
                <w:szCs w:val="18"/>
              </w:rPr>
            </w:pPr>
          </w:p>
        </w:tc>
        <w:tc>
          <w:tcPr>
            <w:tcW w:w="1417" w:type="dxa"/>
            <w:tcBorders>
              <w:top w:val="single" w:sz="4" w:space="0" w:color="auto"/>
              <w:bottom w:val="single" w:sz="12" w:space="0" w:color="492581" w:themeColor="accent1"/>
            </w:tcBorders>
            <w:shd w:val="clear" w:color="auto" w:fill="auto"/>
          </w:tcPr>
          <w:p w14:paraId="02D577F6" w14:textId="77777777" w:rsidR="00342DC3" w:rsidRPr="00342DC3" w:rsidRDefault="00342DC3" w:rsidP="00342DC3">
            <w:pPr>
              <w:autoSpaceDE w:val="0"/>
              <w:autoSpaceDN w:val="0"/>
              <w:adjustRightInd w:val="0"/>
              <w:spacing w:before="50" w:after="50" w:line="240" w:lineRule="auto"/>
              <w:jc w:val="right"/>
              <w:rPr>
                <w:rFonts w:ascii="Calibri" w:eastAsia="Calibri" w:hAnsi="Calibri" w:cs="Calibri"/>
                <w:b/>
                <w:bCs/>
                <w:color w:val="000000"/>
                <w:sz w:val="18"/>
                <w:szCs w:val="18"/>
              </w:rPr>
            </w:pPr>
            <w:r w:rsidRPr="00342DC3">
              <w:rPr>
                <w:rFonts w:ascii="Calibri" w:eastAsia="Calibri" w:hAnsi="Calibri" w:cs="Calibri"/>
                <w:b/>
                <w:bCs/>
                <w:color w:val="000000"/>
                <w:sz w:val="18"/>
                <w:szCs w:val="18"/>
              </w:rPr>
              <w:t>420,095</w:t>
            </w:r>
          </w:p>
        </w:tc>
      </w:tr>
      <w:tr w:rsidR="00342DC3" w:rsidRPr="00E736CA" w14:paraId="389E0CE6" w14:textId="77777777" w:rsidTr="00184FA8">
        <w:trPr>
          <w:trHeight w:val="931"/>
        </w:trPr>
        <w:tc>
          <w:tcPr>
            <w:tcW w:w="9747" w:type="dxa"/>
            <w:gridSpan w:val="3"/>
            <w:tcBorders>
              <w:top w:val="single" w:sz="12" w:space="0" w:color="492581" w:themeColor="accent1"/>
              <w:bottom w:val="single" w:sz="12" w:space="0" w:color="492581" w:themeColor="accent1"/>
            </w:tcBorders>
            <w:vAlign w:val="center"/>
          </w:tcPr>
          <w:p w14:paraId="750957DD" w14:textId="77777777" w:rsidR="00342DC3" w:rsidRPr="00E736CA" w:rsidRDefault="00342DC3" w:rsidP="00342DC3">
            <w:pPr>
              <w:autoSpaceDE w:val="0"/>
              <w:autoSpaceDN w:val="0"/>
              <w:adjustRightInd w:val="0"/>
              <w:spacing w:before="120" w:after="0" w:line="181" w:lineRule="atLeast"/>
              <w:rPr>
                <w:rFonts w:ascii="Calibri" w:eastAsia="Calibri" w:hAnsi="Calibri" w:cs="Calibri"/>
                <w:color w:val="000000"/>
                <w:sz w:val="17"/>
                <w:szCs w:val="17"/>
              </w:rPr>
            </w:pPr>
            <w:r w:rsidRPr="00E736CA">
              <w:rPr>
                <w:rFonts w:ascii="Calibri" w:eastAsia="Calibri" w:hAnsi="Calibri" w:cs="Calibri"/>
                <w:i/>
                <w:iCs/>
                <w:color w:val="000000"/>
                <w:sz w:val="17"/>
                <w:szCs w:val="17"/>
              </w:rPr>
              <w:t xml:space="preserve">ᵃ gross central estimates are inflated and discounted excluding expenses </w:t>
            </w:r>
          </w:p>
          <w:p w14:paraId="027C9CCB" w14:textId="77777777" w:rsidR="00342DC3" w:rsidRPr="00E736CA" w:rsidRDefault="00342DC3" w:rsidP="00342DC3">
            <w:pPr>
              <w:autoSpaceDE w:val="0"/>
              <w:autoSpaceDN w:val="0"/>
              <w:adjustRightInd w:val="0"/>
              <w:spacing w:after="0" w:line="181" w:lineRule="atLeast"/>
              <w:rPr>
                <w:rFonts w:ascii="Calibri" w:eastAsia="Calibri" w:hAnsi="Calibri" w:cs="Calibri"/>
                <w:color w:val="000000"/>
                <w:sz w:val="17"/>
                <w:szCs w:val="17"/>
              </w:rPr>
            </w:pPr>
            <w:r w:rsidRPr="00E736CA">
              <w:rPr>
                <w:rFonts w:ascii="Calibri" w:eastAsia="Calibri" w:hAnsi="Calibri" w:cs="Calibri"/>
                <w:i/>
                <w:iCs/>
                <w:color w:val="000000"/>
                <w:sz w:val="17"/>
                <w:szCs w:val="17"/>
              </w:rPr>
              <w:t xml:space="preserve">ᵇ includes both past and future inflation </w:t>
            </w:r>
          </w:p>
          <w:p w14:paraId="0197D39E" w14:textId="77777777" w:rsidR="00342DC3" w:rsidRPr="00E736CA" w:rsidRDefault="00342DC3" w:rsidP="00342DC3">
            <w:pPr>
              <w:autoSpaceDE w:val="0"/>
              <w:autoSpaceDN w:val="0"/>
              <w:adjustRightInd w:val="0"/>
              <w:spacing w:after="120" w:line="240" w:lineRule="auto"/>
              <w:rPr>
                <w:rFonts w:ascii="Calibri" w:eastAsia="Calibri" w:hAnsi="Calibri" w:cs="Calibri"/>
                <w:b/>
                <w:bCs/>
                <w:color w:val="000000"/>
                <w:sz w:val="17"/>
                <w:szCs w:val="17"/>
              </w:rPr>
            </w:pPr>
            <w:r w:rsidRPr="00E736CA">
              <w:rPr>
                <w:rFonts w:ascii="Calibri" w:eastAsia="Calibri" w:hAnsi="Calibri" w:cs="Calibri"/>
                <w:i/>
                <w:iCs/>
                <w:color w:val="000000"/>
                <w:sz w:val="17"/>
                <w:szCs w:val="17"/>
              </w:rPr>
              <w:t>ᶜ a negative number indicates actual payments were more than expected during the insurance year</w:t>
            </w:r>
          </w:p>
        </w:tc>
      </w:tr>
    </w:tbl>
    <w:p w14:paraId="302EF971" w14:textId="77777777" w:rsidR="000A2FF6" w:rsidRDefault="000A2FF6" w:rsidP="00BA69B0">
      <w:pPr>
        <w:pStyle w:val="Pa4"/>
        <w:spacing w:before="100" w:after="137"/>
        <w:rPr>
          <w:rFonts w:asciiTheme="minorHAnsi" w:hAnsiTheme="minorHAnsi" w:cs="Montserrat Semi Bold"/>
          <w:b/>
          <w:bCs/>
          <w:color w:val="000000"/>
          <w:sz w:val="30"/>
          <w:szCs w:val="30"/>
        </w:rPr>
      </w:pPr>
    </w:p>
    <w:p w14:paraId="26E08E1C" w14:textId="77777777" w:rsidR="000A2FF6" w:rsidRDefault="000A2FF6">
      <w:pPr>
        <w:spacing w:after="0" w:line="240" w:lineRule="auto"/>
        <w:rPr>
          <w:rFonts w:cs="Montserrat Semi Bold"/>
          <w:b/>
          <w:bCs/>
          <w:color w:val="000000"/>
          <w:sz w:val="30"/>
          <w:szCs w:val="30"/>
        </w:rPr>
      </w:pPr>
      <w:r>
        <w:rPr>
          <w:rFonts w:cs="Montserrat Semi Bold"/>
          <w:b/>
          <w:bCs/>
          <w:color w:val="000000"/>
          <w:sz w:val="30"/>
          <w:szCs w:val="30"/>
        </w:rPr>
        <w:br w:type="page"/>
      </w:r>
    </w:p>
    <w:p w14:paraId="5D63CD30" w14:textId="1524265E" w:rsidR="00BA69B0" w:rsidRPr="0081673E" w:rsidRDefault="00BA69B0" w:rsidP="00BA69B0">
      <w:pPr>
        <w:pStyle w:val="Pa4"/>
        <w:spacing w:before="100" w:after="137"/>
        <w:rPr>
          <w:rFonts w:asciiTheme="minorHAnsi" w:hAnsiTheme="minorHAnsi" w:cs="Montserrat Semi Bold"/>
          <w:b/>
          <w:bCs/>
          <w:color w:val="000000"/>
          <w:sz w:val="30"/>
          <w:szCs w:val="30"/>
        </w:rPr>
      </w:pPr>
      <w:r w:rsidRPr="00D03D51">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5</w:t>
      </w:r>
      <w:r w:rsidRPr="00D03D51">
        <w:rPr>
          <w:rFonts w:asciiTheme="minorHAnsi" w:hAnsiTheme="minorHAnsi" w:cs="Montserrat Semi Bold"/>
          <w:b/>
          <w:bCs/>
          <w:color w:val="000000"/>
          <w:sz w:val="30"/>
          <w:szCs w:val="30"/>
        </w:rPr>
        <w:t>. OUTSTANDING CLAIMS - CONTINUED</w:t>
      </w:r>
    </w:p>
    <w:p w14:paraId="132CEEB0" w14:textId="77777777" w:rsidR="00BC4E28" w:rsidRPr="00BC4E28" w:rsidRDefault="00BC4E28" w:rsidP="00BC4E28">
      <w:pPr>
        <w:autoSpaceDE w:val="0"/>
        <w:autoSpaceDN w:val="0"/>
        <w:adjustRightInd w:val="0"/>
        <w:spacing w:before="40" w:after="100" w:line="240" w:lineRule="auto"/>
        <w:rPr>
          <w:rFonts w:ascii="Calibri" w:eastAsia="Calibri" w:hAnsi="Calibri" w:cs="Montserrat Semi Bold"/>
          <w:b/>
          <w:bCs/>
          <w:color w:val="000000"/>
          <w:sz w:val="22"/>
          <w:szCs w:val="22"/>
        </w:rPr>
      </w:pPr>
      <w:r w:rsidRPr="00BC4E28">
        <w:rPr>
          <w:rFonts w:ascii="Calibri" w:eastAsia="Calibri" w:hAnsi="Calibri" w:cs="Montserrat Semi Bold"/>
          <w:b/>
          <w:bCs/>
          <w:color w:val="000000"/>
          <w:sz w:val="22"/>
          <w:szCs w:val="22"/>
        </w:rPr>
        <w:t>(d) Reconciliation of Movement in Discounted Outstanding Claims Liability - continued</w:t>
      </w:r>
    </w:p>
    <w:p w14:paraId="3DCD855E" w14:textId="77777777" w:rsidR="00BC4E28" w:rsidRPr="003214C1" w:rsidRDefault="00BC4E28" w:rsidP="003214C1">
      <w:pPr>
        <w:rPr>
          <w:snapToGrid w:val="0"/>
          <w:sz w:val="22"/>
          <w:szCs w:val="22"/>
          <w:lang w:val="en-GB"/>
        </w:rPr>
      </w:pPr>
      <w:r w:rsidRPr="003214C1">
        <w:rPr>
          <w:snapToGrid w:val="0"/>
          <w:sz w:val="22"/>
          <w:szCs w:val="22"/>
          <w:lang w:val="en-GB"/>
        </w:rPr>
        <w:t xml:space="preserve">The expected gross central estimate of $401.76 million compares to the actual gross central estimate of $420.10 million, indicating a total strengthening of $18.34 million. This strengthening may </w:t>
      </w:r>
      <w:proofErr w:type="gramStart"/>
      <w:r w:rsidRPr="003214C1">
        <w:rPr>
          <w:snapToGrid w:val="0"/>
          <w:sz w:val="22"/>
          <w:szCs w:val="22"/>
          <w:lang w:val="en-GB"/>
        </w:rPr>
        <w:t>be broken</w:t>
      </w:r>
      <w:proofErr w:type="gramEnd"/>
      <w:r w:rsidRPr="003214C1">
        <w:rPr>
          <w:snapToGrid w:val="0"/>
          <w:sz w:val="22"/>
          <w:szCs w:val="22"/>
          <w:lang w:val="en-GB"/>
        </w:rPr>
        <w:t xml:space="preserve"> down into the main components: </w:t>
      </w:r>
    </w:p>
    <w:p w14:paraId="1082402B" w14:textId="77777777" w:rsidR="00BC4E28" w:rsidRPr="00EF6970" w:rsidRDefault="00BC4E28" w:rsidP="00A36E9A">
      <w:pPr>
        <w:pStyle w:val="ListParagraph"/>
        <w:numPr>
          <w:ilvl w:val="0"/>
          <w:numId w:val="34"/>
        </w:numPr>
        <w:ind w:left="284" w:hanging="284"/>
        <w:rPr>
          <w:sz w:val="22"/>
          <w:szCs w:val="22"/>
          <w:lang w:val="en-GB"/>
        </w:rPr>
      </w:pPr>
      <w:r w:rsidRPr="00EF6970">
        <w:rPr>
          <w:sz w:val="22"/>
          <w:szCs w:val="22"/>
          <w:lang w:val="en-GB"/>
        </w:rPr>
        <w:t xml:space="preserve">A </w:t>
      </w:r>
      <w:r w:rsidRPr="00EF6970">
        <w:rPr>
          <w:snapToGrid w:val="0"/>
          <w:sz w:val="22"/>
          <w:szCs w:val="22"/>
          <w:lang w:val="en-GB"/>
        </w:rPr>
        <w:t>strengthening</w:t>
      </w:r>
      <w:r w:rsidRPr="00EF6970">
        <w:rPr>
          <w:sz w:val="22"/>
          <w:szCs w:val="22"/>
          <w:lang w:val="en-GB"/>
        </w:rPr>
        <w:t xml:space="preserve"> of $</w:t>
      </w:r>
      <w:r w:rsidRPr="00EF6970">
        <w:rPr>
          <w:snapToGrid w:val="0"/>
          <w:sz w:val="22"/>
          <w:szCs w:val="22"/>
          <w:lang w:val="en-GB"/>
        </w:rPr>
        <w:t>9.6</w:t>
      </w:r>
      <w:r w:rsidRPr="00EF6970">
        <w:rPr>
          <w:sz w:val="22"/>
          <w:szCs w:val="22"/>
          <w:lang w:val="en-GB"/>
        </w:rPr>
        <w:t xml:space="preserve">m due to actual inflation being </w:t>
      </w:r>
      <w:r w:rsidRPr="00EF6970">
        <w:rPr>
          <w:snapToGrid w:val="0"/>
          <w:sz w:val="22"/>
          <w:szCs w:val="22"/>
          <w:lang w:val="en-GB"/>
        </w:rPr>
        <w:t xml:space="preserve">greater </w:t>
      </w:r>
      <w:r w:rsidRPr="00EF6970">
        <w:rPr>
          <w:sz w:val="22"/>
          <w:szCs w:val="22"/>
          <w:lang w:val="en-GB"/>
        </w:rPr>
        <w:t>than expected over the 12 months.</w:t>
      </w:r>
    </w:p>
    <w:p w14:paraId="6FE45D01" w14:textId="77777777" w:rsidR="00BC4E28" w:rsidRPr="00EF6970" w:rsidRDefault="00BC4E28" w:rsidP="00A36E9A">
      <w:pPr>
        <w:pStyle w:val="ListParagraph"/>
        <w:numPr>
          <w:ilvl w:val="0"/>
          <w:numId w:val="34"/>
        </w:numPr>
        <w:ind w:left="284" w:hanging="284"/>
        <w:rPr>
          <w:sz w:val="22"/>
          <w:szCs w:val="22"/>
          <w:lang w:val="en-GB"/>
        </w:rPr>
      </w:pPr>
      <w:r w:rsidRPr="00EF6970">
        <w:rPr>
          <w:sz w:val="22"/>
          <w:szCs w:val="22"/>
          <w:lang w:val="en-GB"/>
        </w:rPr>
        <w:t>A release of $</w:t>
      </w:r>
      <w:r w:rsidRPr="00EF6970">
        <w:rPr>
          <w:snapToGrid w:val="0"/>
          <w:sz w:val="22"/>
          <w:szCs w:val="22"/>
          <w:lang w:val="en-GB"/>
        </w:rPr>
        <w:t>2.94</w:t>
      </w:r>
      <w:r w:rsidRPr="00EF6970">
        <w:rPr>
          <w:sz w:val="22"/>
          <w:szCs w:val="22"/>
          <w:lang w:val="en-GB"/>
        </w:rPr>
        <w:t xml:space="preserve">m due to changes in future discounting and the yield curve. </w:t>
      </w:r>
      <w:proofErr w:type="gramStart"/>
      <w:r w:rsidRPr="00EF6970">
        <w:rPr>
          <w:sz w:val="22"/>
          <w:szCs w:val="22"/>
          <w:lang w:val="en-GB"/>
        </w:rPr>
        <w:t>All else being equal, an</w:t>
      </w:r>
      <w:proofErr w:type="gramEnd"/>
      <w:r w:rsidRPr="00EF6970">
        <w:rPr>
          <w:sz w:val="22"/>
          <w:szCs w:val="22"/>
          <w:lang w:val="en-GB"/>
        </w:rPr>
        <w:t xml:space="preserve"> increase in future discount rates decreases the outstanding claims liability.</w:t>
      </w:r>
    </w:p>
    <w:p w14:paraId="26D0CFB9" w14:textId="77777777" w:rsidR="00BC4E28" w:rsidRPr="00EF6970" w:rsidRDefault="00BC4E28" w:rsidP="00A36E9A">
      <w:pPr>
        <w:pStyle w:val="ListParagraph"/>
        <w:numPr>
          <w:ilvl w:val="0"/>
          <w:numId w:val="34"/>
        </w:numPr>
        <w:ind w:left="284" w:hanging="284"/>
        <w:rPr>
          <w:sz w:val="22"/>
          <w:szCs w:val="22"/>
          <w:lang w:val="en-GB"/>
        </w:rPr>
      </w:pPr>
      <w:r w:rsidRPr="00EF6970">
        <w:rPr>
          <w:sz w:val="22"/>
          <w:szCs w:val="22"/>
          <w:lang w:val="en-GB"/>
        </w:rPr>
        <w:t xml:space="preserve">A </w:t>
      </w:r>
      <w:r w:rsidRPr="00EF6970">
        <w:rPr>
          <w:snapToGrid w:val="0"/>
          <w:sz w:val="22"/>
          <w:szCs w:val="22"/>
          <w:lang w:val="en-GB"/>
        </w:rPr>
        <w:t>release</w:t>
      </w:r>
      <w:r w:rsidRPr="00EF6970">
        <w:rPr>
          <w:sz w:val="22"/>
          <w:szCs w:val="22"/>
          <w:lang w:val="en-GB"/>
        </w:rPr>
        <w:t xml:space="preserve"> of $</w:t>
      </w:r>
      <w:r w:rsidRPr="00EF6970">
        <w:rPr>
          <w:snapToGrid w:val="0"/>
          <w:sz w:val="22"/>
          <w:szCs w:val="22"/>
          <w:lang w:val="en-GB"/>
        </w:rPr>
        <w:t>1.78</w:t>
      </w:r>
      <w:r w:rsidRPr="00EF6970">
        <w:rPr>
          <w:sz w:val="22"/>
          <w:szCs w:val="22"/>
          <w:lang w:val="en-GB"/>
        </w:rPr>
        <w:t xml:space="preserve">m from increase in future inflation assumptions since 30 June </w:t>
      </w:r>
      <w:r w:rsidRPr="00EF6970">
        <w:rPr>
          <w:snapToGrid w:val="0"/>
          <w:sz w:val="22"/>
          <w:szCs w:val="22"/>
          <w:lang w:val="en-GB"/>
        </w:rPr>
        <w:t>2023</w:t>
      </w:r>
      <w:r w:rsidRPr="00EF6970">
        <w:rPr>
          <w:sz w:val="22"/>
          <w:szCs w:val="22"/>
          <w:lang w:val="en-GB"/>
        </w:rPr>
        <w:t>, reflecting the decrease in short to medium term inflation forecasts.</w:t>
      </w:r>
    </w:p>
    <w:p w14:paraId="33BDB676" w14:textId="0FE7A1A8" w:rsidR="00BC4E28" w:rsidRPr="00EF6970" w:rsidRDefault="00BC4E28" w:rsidP="00A36E9A">
      <w:pPr>
        <w:pStyle w:val="ListParagraph"/>
        <w:numPr>
          <w:ilvl w:val="0"/>
          <w:numId w:val="34"/>
        </w:numPr>
        <w:ind w:left="284" w:hanging="284"/>
        <w:rPr>
          <w:sz w:val="22"/>
          <w:szCs w:val="22"/>
          <w:lang w:val="en-GB"/>
        </w:rPr>
      </w:pPr>
      <w:r w:rsidRPr="00EF6970">
        <w:rPr>
          <w:sz w:val="22"/>
          <w:szCs w:val="22"/>
          <w:lang w:val="en-GB"/>
        </w:rPr>
        <w:t>A release of $</w:t>
      </w:r>
      <w:r w:rsidRPr="00EF6970">
        <w:rPr>
          <w:snapToGrid w:val="0"/>
          <w:sz w:val="22"/>
          <w:szCs w:val="22"/>
          <w:lang w:val="en-GB"/>
        </w:rPr>
        <w:t>3.33</w:t>
      </w:r>
      <w:r w:rsidRPr="00EF6970">
        <w:rPr>
          <w:sz w:val="22"/>
          <w:szCs w:val="22"/>
          <w:lang w:val="en-GB"/>
        </w:rPr>
        <w:t>m due to</w:t>
      </w:r>
      <w:r w:rsidRPr="00EF6970" w:rsidDel="003A16E6">
        <w:rPr>
          <w:sz w:val="22"/>
          <w:szCs w:val="22"/>
          <w:lang w:val="en-GB"/>
        </w:rPr>
        <w:t xml:space="preserve"> </w:t>
      </w:r>
      <w:r w:rsidRPr="00EF6970">
        <w:rPr>
          <w:sz w:val="22"/>
          <w:szCs w:val="22"/>
          <w:lang w:val="en-GB"/>
        </w:rPr>
        <w:t>greater than expected payments made in the 12 months to 30</w:t>
      </w:r>
      <w:r w:rsidR="0012733C">
        <w:rPr>
          <w:sz w:val="22"/>
          <w:szCs w:val="22"/>
          <w:lang w:val="en-GB"/>
        </w:rPr>
        <w:t> </w:t>
      </w:r>
      <w:r w:rsidRPr="00EF6970">
        <w:rPr>
          <w:sz w:val="22"/>
          <w:szCs w:val="22"/>
          <w:lang w:val="en-GB"/>
        </w:rPr>
        <w:t>June</w:t>
      </w:r>
      <w:r w:rsidR="0012733C">
        <w:rPr>
          <w:sz w:val="22"/>
          <w:szCs w:val="22"/>
          <w:lang w:val="en-GB"/>
        </w:rPr>
        <w:t> </w:t>
      </w:r>
      <w:r w:rsidRPr="00EF6970">
        <w:rPr>
          <w:snapToGrid w:val="0"/>
          <w:sz w:val="22"/>
          <w:szCs w:val="22"/>
          <w:lang w:val="en-GB"/>
        </w:rPr>
        <w:t>2024</w:t>
      </w:r>
      <w:r w:rsidRPr="00EF6970">
        <w:rPr>
          <w:sz w:val="22"/>
          <w:szCs w:val="22"/>
          <w:lang w:val="en-GB"/>
        </w:rPr>
        <w:t>. Approximately $</w:t>
      </w:r>
      <w:r w:rsidRPr="00EF6970">
        <w:rPr>
          <w:snapToGrid w:val="0"/>
          <w:sz w:val="22"/>
          <w:szCs w:val="22"/>
          <w:lang w:val="en-GB"/>
        </w:rPr>
        <w:t>4.19</w:t>
      </w:r>
      <w:r w:rsidRPr="00EF6970">
        <w:rPr>
          <w:sz w:val="22"/>
          <w:szCs w:val="22"/>
          <w:lang w:val="en-GB"/>
        </w:rPr>
        <w:t xml:space="preserve">m more than expected payments </w:t>
      </w:r>
      <w:proofErr w:type="gramStart"/>
      <w:r w:rsidRPr="00EF6970">
        <w:rPr>
          <w:sz w:val="22"/>
          <w:szCs w:val="22"/>
          <w:lang w:val="en-GB"/>
        </w:rPr>
        <w:t>were made</w:t>
      </w:r>
      <w:proofErr w:type="gramEnd"/>
      <w:r w:rsidRPr="00EF6970">
        <w:rPr>
          <w:sz w:val="22"/>
          <w:szCs w:val="22"/>
          <w:lang w:val="en-GB"/>
        </w:rPr>
        <w:t xml:space="preserve"> for </w:t>
      </w:r>
      <w:r w:rsidRPr="00EF6970">
        <w:rPr>
          <w:snapToGrid w:val="0"/>
          <w:sz w:val="22"/>
          <w:szCs w:val="22"/>
          <w:lang w:val="en-GB"/>
        </w:rPr>
        <w:t xml:space="preserve">Professional Indemnity, Public Liability and Property &amp; Motor </w:t>
      </w:r>
      <w:r w:rsidRPr="00EF6970">
        <w:rPr>
          <w:sz w:val="22"/>
          <w:szCs w:val="22"/>
          <w:lang w:val="en-GB"/>
        </w:rPr>
        <w:t xml:space="preserve">classes. This </w:t>
      </w:r>
      <w:proofErr w:type="gramStart"/>
      <w:r w:rsidRPr="00EF6970">
        <w:rPr>
          <w:sz w:val="22"/>
          <w:szCs w:val="22"/>
          <w:lang w:val="en-GB"/>
        </w:rPr>
        <w:t>was partially offset</w:t>
      </w:r>
      <w:proofErr w:type="gramEnd"/>
      <w:r w:rsidRPr="00EF6970">
        <w:rPr>
          <w:sz w:val="22"/>
          <w:szCs w:val="22"/>
          <w:lang w:val="en-GB"/>
        </w:rPr>
        <w:t xml:space="preserve"> by $</w:t>
      </w:r>
      <w:r w:rsidRPr="00EF6970">
        <w:rPr>
          <w:snapToGrid w:val="0"/>
          <w:sz w:val="22"/>
          <w:szCs w:val="22"/>
          <w:lang w:val="en-GB"/>
        </w:rPr>
        <w:t>1.23</w:t>
      </w:r>
      <w:r w:rsidRPr="00EF6970">
        <w:rPr>
          <w:sz w:val="22"/>
          <w:szCs w:val="22"/>
          <w:lang w:val="en-GB"/>
        </w:rPr>
        <w:t xml:space="preserve">m lower than expected payments made for the </w:t>
      </w:r>
      <w:r w:rsidRPr="00EF6970">
        <w:rPr>
          <w:snapToGrid w:val="0"/>
          <w:sz w:val="22"/>
          <w:szCs w:val="22"/>
          <w:lang w:val="en-GB"/>
        </w:rPr>
        <w:t>Medical Malpractice</w:t>
      </w:r>
      <w:r w:rsidRPr="00EF6970">
        <w:rPr>
          <w:sz w:val="22"/>
          <w:szCs w:val="22"/>
          <w:lang w:val="en-GB"/>
        </w:rPr>
        <w:t xml:space="preserve"> portfolio. All else equal, the decrease implies a bringing forward of payments, and therefore reducing the liability.</w:t>
      </w:r>
    </w:p>
    <w:p w14:paraId="100DA6EF" w14:textId="77777777" w:rsidR="00BC4E28" w:rsidRPr="00EF6970" w:rsidRDefault="00BC4E28" w:rsidP="00A36E9A">
      <w:pPr>
        <w:pStyle w:val="ListParagraph"/>
        <w:numPr>
          <w:ilvl w:val="0"/>
          <w:numId w:val="34"/>
        </w:numPr>
        <w:ind w:left="284" w:hanging="284"/>
        <w:rPr>
          <w:snapToGrid w:val="0"/>
          <w:sz w:val="22"/>
          <w:szCs w:val="22"/>
          <w:lang w:val="en-GB"/>
        </w:rPr>
      </w:pPr>
      <w:r w:rsidRPr="00EF6970">
        <w:rPr>
          <w:snapToGrid w:val="0"/>
          <w:sz w:val="22"/>
          <w:szCs w:val="22"/>
          <w:lang w:val="en-GB"/>
        </w:rPr>
        <w:t>An increase of $13.67m in actuarial assumptions. By class, these were:</w:t>
      </w:r>
    </w:p>
    <w:p w14:paraId="76C9DF09"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$0.131m release in the Directors and Officers insurance class.</w:t>
      </w:r>
    </w:p>
    <w:p w14:paraId="397E4FA9"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$0.352m</w:t>
      </w:r>
      <w:r w:rsidRPr="00EF6970" w:rsidDel="000967FF">
        <w:rPr>
          <w:snapToGrid w:val="0"/>
          <w:sz w:val="22"/>
          <w:szCs w:val="22"/>
          <w:lang w:val="en-GB"/>
        </w:rPr>
        <w:t xml:space="preserve"> </w:t>
      </w:r>
      <w:r w:rsidRPr="00EF6970">
        <w:rPr>
          <w:snapToGrid w:val="0"/>
          <w:sz w:val="22"/>
          <w:szCs w:val="22"/>
          <w:lang w:val="en-GB"/>
        </w:rPr>
        <w:t>decrease in the Financial Crime insurance class</w:t>
      </w:r>
      <w:r w:rsidRPr="00EF6970" w:rsidDel="00120116">
        <w:rPr>
          <w:snapToGrid w:val="0"/>
          <w:sz w:val="22"/>
          <w:szCs w:val="22"/>
          <w:lang w:val="en-GB"/>
        </w:rPr>
        <w:t xml:space="preserve"> due to </w:t>
      </w:r>
      <w:r w:rsidRPr="00EF6970">
        <w:rPr>
          <w:snapToGrid w:val="0"/>
          <w:sz w:val="22"/>
          <w:szCs w:val="22"/>
          <w:lang w:val="en-GB"/>
        </w:rPr>
        <w:t>no claim activity.</w:t>
      </w:r>
    </w:p>
    <w:p w14:paraId="3DC2D5BE" w14:textId="4E6B9739"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 xml:space="preserve">A $2.441m strengthening in the Medical Malpractice insurance class broadly attributable to an increase in case estimates of $9m from a claim from the 2020 insurance year, partially offset by the lower large </w:t>
      </w:r>
      <w:r w:rsidR="0089423D" w:rsidRPr="0089423D">
        <w:rPr>
          <w:snapToGrid w:val="0"/>
          <w:sz w:val="22"/>
          <w:szCs w:val="22"/>
          <w:vertAlign w:val="superscript"/>
          <w:lang w:val="en-GB"/>
        </w:rPr>
        <w:t>a</w:t>
      </w:r>
      <w:r w:rsidR="0089423D">
        <w:rPr>
          <w:snapToGrid w:val="0"/>
          <w:sz w:val="22"/>
          <w:szCs w:val="22"/>
          <w:lang w:val="en-GB"/>
        </w:rPr>
        <w:t xml:space="preserve"> </w:t>
      </w:r>
      <w:r w:rsidRPr="00EF6970">
        <w:rPr>
          <w:snapToGrid w:val="0"/>
          <w:sz w:val="22"/>
          <w:szCs w:val="22"/>
          <w:lang w:val="en-GB"/>
        </w:rPr>
        <w:t xml:space="preserve">claims reporting and development in other insurance years. </w:t>
      </w:r>
    </w:p>
    <w:p w14:paraId="768EC192"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$0.844m increase in the Professional Indemnity insurance class</w:t>
      </w:r>
      <w:r w:rsidRPr="00EF6970" w:rsidDel="00B30A77">
        <w:rPr>
          <w:snapToGrid w:val="0"/>
          <w:sz w:val="22"/>
          <w:szCs w:val="22"/>
          <w:lang w:val="en-GB"/>
        </w:rPr>
        <w:t xml:space="preserve"> </w:t>
      </w:r>
      <w:r w:rsidRPr="00EF6970">
        <w:rPr>
          <w:snapToGrid w:val="0"/>
          <w:sz w:val="22"/>
          <w:szCs w:val="22"/>
          <w:lang w:val="en-GB"/>
        </w:rPr>
        <w:t xml:space="preserve">due to increases in the assumed number of large claims, </w:t>
      </w:r>
      <w:proofErr w:type="gramStart"/>
      <w:r w:rsidRPr="00EF6970">
        <w:rPr>
          <w:snapToGrid w:val="0"/>
          <w:sz w:val="22"/>
          <w:szCs w:val="22"/>
          <w:lang w:val="en-GB"/>
        </w:rPr>
        <w:t>as a result of</w:t>
      </w:r>
      <w:proofErr w:type="gramEnd"/>
      <w:r w:rsidRPr="00EF6970">
        <w:rPr>
          <w:snapToGrid w:val="0"/>
          <w:sz w:val="22"/>
          <w:szCs w:val="22"/>
          <w:lang w:val="en-GB"/>
        </w:rPr>
        <w:t xml:space="preserve"> an observed increase in the frequency of large claims reporting. Also contributing to the increase in central estimate for the Professional Indemnity class was an increase in case estimates on large claims. </w:t>
      </w:r>
    </w:p>
    <w:p w14:paraId="5DA4FF4A"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$3.459m</w:t>
      </w:r>
      <w:r w:rsidRPr="00EF6970" w:rsidDel="00394E81">
        <w:rPr>
          <w:snapToGrid w:val="0"/>
          <w:sz w:val="22"/>
          <w:szCs w:val="22"/>
          <w:lang w:val="en-GB"/>
        </w:rPr>
        <w:t xml:space="preserve"> </w:t>
      </w:r>
      <w:r w:rsidRPr="00EF6970">
        <w:rPr>
          <w:snapToGrid w:val="0"/>
          <w:sz w:val="22"/>
          <w:szCs w:val="22"/>
          <w:lang w:val="en-GB"/>
        </w:rPr>
        <w:t>strengthening in the Property and Motor insurance class driven by increases the development in case estimates on previously reported large claims.</w:t>
      </w:r>
    </w:p>
    <w:p w14:paraId="1DE2A076"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$6.931m increase in the Public Liability insurance class driven by an increase in the allowance for sexual assault claims for older years, and new large claims from the 2002 and 2014 which had upwards revisions in estimated cost.</w:t>
      </w:r>
    </w:p>
    <w:p w14:paraId="1A329BE5" w14:textId="77777777" w:rsidR="00BC4E28" w:rsidRPr="00EF6970" w:rsidRDefault="00BC4E28" w:rsidP="00A36E9A">
      <w:pPr>
        <w:pStyle w:val="ListParagraph"/>
        <w:numPr>
          <w:ilvl w:val="2"/>
          <w:numId w:val="46"/>
        </w:numPr>
        <w:ind w:left="567" w:hanging="283"/>
        <w:rPr>
          <w:snapToGrid w:val="0"/>
          <w:sz w:val="22"/>
          <w:szCs w:val="22"/>
          <w:lang w:val="en-GB"/>
        </w:rPr>
      </w:pPr>
      <w:r w:rsidRPr="00EF6970">
        <w:rPr>
          <w:snapToGrid w:val="0"/>
          <w:sz w:val="22"/>
          <w:szCs w:val="22"/>
          <w:lang w:val="en-GB"/>
        </w:rPr>
        <w:t>A $0.477m increase in Residential Builder Warranty due to new builder insolvencies.</w:t>
      </w:r>
    </w:p>
    <w:p w14:paraId="22936F8B" w14:textId="77777777" w:rsidR="00BC4E28" w:rsidRPr="00EF6970" w:rsidRDefault="00BC4E28" w:rsidP="00A36E9A">
      <w:pPr>
        <w:pStyle w:val="ListParagraph"/>
        <w:numPr>
          <w:ilvl w:val="0"/>
          <w:numId w:val="34"/>
        </w:numPr>
        <w:ind w:left="284" w:hanging="284"/>
        <w:rPr>
          <w:snapToGrid w:val="0"/>
          <w:sz w:val="22"/>
          <w:szCs w:val="22"/>
          <w:lang w:val="en-GB"/>
        </w:rPr>
      </w:pPr>
      <w:r w:rsidRPr="00EF6970">
        <w:rPr>
          <w:snapToGrid w:val="0"/>
          <w:sz w:val="22"/>
          <w:szCs w:val="22"/>
          <w:lang w:val="en-GB"/>
        </w:rPr>
        <w:t>An increase of $2.29m in the new Physical &amp; Sexual Abuse Indemnity Scheme.</w:t>
      </w:r>
    </w:p>
    <w:p w14:paraId="0D2AE8B0" w14:textId="77777777" w:rsidR="00BC4E28" w:rsidRPr="00BC4E28" w:rsidRDefault="00BC4E28" w:rsidP="00BC4E28">
      <w:pPr>
        <w:spacing w:after="160" w:line="259" w:lineRule="auto"/>
        <w:rPr>
          <w:rFonts w:ascii="Calibri" w:eastAsia="Calibri" w:hAnsi="Calibri" w:cs="Source Sans Pro Light"/>
        </w:rPr>
      </w:pPr>
      <w:r w:rsidRPr="00BC4E28">
        <w:rPr>
          <w:rFonts w:ascii="Calibri" w:eastAsia="Calibri" w:hAnsi="Calibri" w:cs="Source Sans Pro Light"/>
          <w:i/>
          <w:sz w:val="18"/>
          <w:szCs w:val="18"/>
          <w:vertAlign w:val="superscript"/>
        </w:rPr>
        <w:t xml:space="preserve">a </w:t>
      </w:r>
      <w:r w:rsidRPr="00BC4E28">
        <w:rPr>
          <w:rFonts w:ascii="Calibri" w:eastAsia="Calibri" w:hAnsi="Calibri" w:cs="Source Sans Pro Light"/>
          <w:i/>
          <w:sz w:val="18"/>
          <w:szCs w:val="18"/>
        </w:rPr>
        <w:t>A large claim is defined as a claim which has a total cost of $1 million or greater</w:t>
      </w:r>
      <w:r w:rsidRPr="00BC4E28">
        <w:rPr>
          <w:rFonts w:ascii="Calibri" w:eastAsia="Calibri" w:hAnsi="Calibri" w:cs="Source Sans Pro Light"/>
        </w:rPr>
        <w:t>.</w:t>
      </w:r>
    </w:p>
    <w:p w14:paraId="075C81AF" w14:textId="77777777" w:rsidR="004B0EEA" w:rsidRDefault="004B0EEA">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331A8922" w14:textId="069F071A" w:rsidR="00672CF0" w:rsidRPr="00413697" w:rsidRDefault="004E3E13" w:rsidP="00A36E9A">
      <w:pPr>
        <w:numPr>
          <w:ilvl w:val="0"/>
          <w:numId w:val="35"/>
        </w:numPr>
        <w:kinsoku w:val="0"/>
        <w:overflowPunct w:val="0"/>
        <w:autoSpaceDE w:val="0"/>
        <w:autoSpaceDN w:val="0"/>
        <w:adjustRightInd w:val="0"/>
        <w:snapToGrid w:val="0"/>
        <w:spacing w:after="140" w:line="281" w:lineRule="auto"/>
        <w:jc w:val="both"/>
        <w:rPr>
          <w:rFonts w:ascii="Calibri" w:eastAsia="Times New Roman" w:hAnsi="Calibri" w:cs="Calibri"/>
          <w:snapToGrid w:val="0"/>
          <w:color w:val="000000"/>
          <w:sz w:val="22"/>
          <w:szCs w:val="22"/>
          <w:lang w:val="en-GB"/>
        </w:rPr>
      </w:pPr>
      <w:r w:rsidRPr="004E3E13">
        <w:rPr>
          <w:rFonts w:ascii="Calibri" w:eastAsia="Calibri" w:hAnsi="Calibri" w:cs="Montserrat Semi Bold"/>
          <w:b/>
          <w:bCs/>
          <w:color w:val="000000"/>
          <w:sz w:val="30"/>
          <w:szCs w:val="30"/>
        </w:rPr>
        <w:lastRenderedPageBreak/>
        <w:t xml:space="preserve">NOTE </w:t>
      </w:r>
      <w:r w:rsidR="00672CF0" w:rsidRPr="00413697">
        <w:rPr>
          <w:rFonts w:ascii="Calibri" w:eastAsia="Calibri" w:hAnsi="Calibri" w:cs="Montserrat Semi Bold"/>
          <w:b/>
          <w:bCs/>
          <w:color w:val="000000"/>
          <w:sz w:val="30"/>
          <w:szCs w:val="30"/>
        </w:rPr>
        <w:t>1</w:t>
      </w:r>
      <w:r w:rsidR="00413697">
        <w:rPr>
          <w:rFonts w:ascii="Calibri" w:eastAsia="Calibri" w:hAnsi="Calibri" w:cs="Montserrat Semi Bold"/>
          <w:b/>
          <w:bCs/>
          <w:color w:val="000000"/>
          <w:sz w:val="30"/>
          <w:szCs w:val="30"/>
        </w:rPr>
        <w:t>6</w:t>
      </w:r>
      <w:r w:rsidR="00672CF0" w:rsidRPr="00413697">
        <w:rPr>
          <w:rFonts w:ascii="Calibri" w:eastAsia="Calibri" w:hAnsi="Calibri" w:cs="Montserrat Semi Bold"/>
          <w:b/>
          <w:bCs/>
          <w:color w:val="000000"/>
          <w:sz w:val="30"/>
          <w:szCs w:val="30"/>
        </w:rPr>
        <w:t>.</w:t>
      </w:r>
      <w:r w:rsidR="00672CF0" w:rsidRPr="00672CF0">
        <w:rPr>
          <w:rFonts w:ascii="Calibri" w:eastAsia="Calibri" w:hAnsi="Calibri" w:cs="Montserrat Semi Bold"/>
          <w:b/>
          <w:bCs/>
          <w:color w:val="000000"/>
          <w:sz w:val="30"/>
          <w:szCs w:val="30"/>
        </w:rPr>
        <w:t xml:space="preserve"> EMPLOYEE BENEFITS</w:t>
      </w:r>
    </w:p>
    <w:p w14:paraId="55B62F28" w14:textId="77777777" w:rsidR="008E7C5D" w:rsidRPr="0003592A" w:rsidRDefault="008E7C5D" w:rsidP="0003592A">
      <w:pPr>
        <w:spacing w:before="40" w:after="100"/>
        <w:rPr>
          <w:rFonts w:cs="Source Sans Pro Light"/>
          <w:b/>
          <w:color w:val="000000"/>
          <w:sz w:val="22"/>
          <w:szCs w:val="22"/>
        </w:rPr>
      </w:pPr>
      <w:r w:rsidRPr="0003592A">
        <w:rPr>
          <w:rFonts w:cs="Source Sans Pro Light"/>
          <w:b/>
          <w:color w:val="000000"/>
          <w:sz w:val="22"/>
          <w:szCs w:val="22"/>
        </w:rPr>
        <w:t>Description and Material Accounting Policies Relating to Employee Benefits Liabilities</w:t>
      </w:r>
    </w:p>
    <w:p w14:paraId="493BE8AC" w14:textId="77777777" w:rsidR="008E7C5D" w:rsidRPr="0003592A" w:rsidRDefault="008E7C5D" w:rsidP="0003592A">
      <w:pPr>
        <w:spacing w:before="40" w:after="100"/>
        <w:rPr>
          <w:rFonts w:cs="Source Sans Pro Light"/>
          <w:i/>
          <w:color w:val="000000"/>
          <w:sz w:val="22"/>
          <w:szCs w:val="22"/>
        </w:rPr>
      </w:pPr>
      <w:r w:rsidRPr="0003592A">
        <w:rPr>
          <w:rFonts w:cs="Source Sans Pro Light"/>
          <w:i/>
          <w:color w:val="000000"/>
          <w:sz w:val="22"/>
          <w:szCs w:val="22"/>
        </w:rPr>
        <w:t xml:space="preserve">Accrued Wages and Salaries </w:t>
      </w:r>
    </w:p>
    <w:p w14:paraId="1A59F1D8"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 xml:space="preserve">Accrued Salaries and relevant superannuation expenses are measured at the amount that remains unpaid to employees at the end of the reporting period. </w:t>
      </w:r>
    </w:p>
    <w:p w14:paraId="079F9967" w14:textId="77777777" w:rsidR="008E7C5D" w:rsidRPr="0003592A" w:rsidRDefault="008E7C5D" w:rsidP="0003592A">
      <w:pPr>
        <w:spacing w:before="40" w:after="100"/>
        <w:rPr>
          <w:rFonts w:cs="Source Sans Pro Light"/>
          <w:i/>
          <w:color w:val="000000"/>
          <w:sz w:val="22"/>
          <w:szCs w:val="22"/>
        </w:rPr>
      </w:pPr>
      <w:r w:rsidRPr="0003592A">
        <w:rPr>
          <w:rFonts w:cs="Source Sans Pro Light"/>
          <w:i/>
          <w:color w:val="000000"/>
          <w:sz w:val="22"/>
          <w:szCs w:val="22"/>
        </w:rPr>
        <w:t>Annual and Long Service Leave</w:t>
      </w:r>
    </w:p>
    <w:p w14:paraId="10CCC529"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 xml:space="preserve">Annual and long service leave, including applicable on-costs, that are not expected to be wholly settled before twelve months after the end of the reporting period when the employees render the related service, are measured at the present value. 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p w14:paraId="1AB466FA"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Annual leave liabilities have been estimated on the assumption they will be wholly settled within three years. This financial year the rate used to estimate the present value of future:</w:t>
      </w:r>
    </w:p>
    <w:p w14:paraId="15DF3753" w14:textId="77777777" w:rsidR="008E7C5D" w:rsidRPr="0003592A" w:rsidRDefault="008E7C5D" w:rsidP="008F7D90">
      <w:pPr>
        <w:spacing w:after="140"/>
        <w:ind w:left="284" w:hanging="284"/>
        <w:contextualSpacing/>
        <w:rPr>
          <w:rFonts w:cs="Source Sans Pro Light"/>
          <w:color w:val="000000"/>
          <w:sz w:val="22"/>
          <w:szCs w:val="22"/>
        </w:rPr>
      </w:pPr>
      <w:r w:rsidRPr="0003592A">
        <w:rPr>
          <w:rFonts w:cs="Source Sans Pro Light"/>
          <w:color w:val="000000"/>
          <w:sz w:val="22"/>
          <w:szCs w:val="22"/>
        </w:rPr>
        <w:t>•</w:t>
      </w:r>
      <w:r w:rsidRPr="0003592A">
        <w:rPr>
          <w:rFonts w:cs="Source Sans Pro Light"/>
          <w:color w:val="000000"/>
          <w:sz w:val="22"/>
          <w:szCs w:val="22"/>
        </w:rPr>
        <w:tab/>
        <w:t>annual leave payment is 98.2% (98.2% in the previous financial year); and</w:t>
      </w:r>
    </w:p>
    <w:p w14:paraId="2F5A2EF7" w14:textId="77777777" w:rsidR="008E7C5D" w:rsidRPr="0003592A" w:rsidRDefault="008E7C5D" w:rsidP="008F7D90">
      <w:pPr>
        <w:spacing w:after="140"/>
        <w:ind w:left="284" w:hanging="284"/>
        <w:contextualSpacing/>
        <w:rPr>
          <w:rFonts w:cs="Source Sans Pro Light"/>
          <w:color w:val="000000"/>
          <w:sz w:val="22"/>
          <w:szCs w:val="22"/>
        </w:rPr>
      </w:pPr>
      <w:r w:rsidRPr="0003592A">
        <w:rPr>
          <w:rFonts w:cs="Source Sans Pro Light"/>
          <w:color w:val="000000"/>
          <w:sz w:val="22"/>
          <w:szCs w:val="22"/>
        </w:rPr>
        <w:t>•</w:t>
      </w:r>
      <w:r w:rsidRPr="0003592A">
        <w:rPr>
          <w:rFonts w:cs="Source Sans Pro Light"/>
          <w:color w:val="000000"/>
          <w:sz w:val="22"/>
          <w:szCs w:val="22"/>
        </w:rPr>
        <w:tab/>
        <w:t>payment for long service leave is 91.2% (93.0% in the previous financial year).</w:t>
      </w:r>
    </w:p>
    <w:p w14:paraId="31C87BF8" w14:textId="77777777" w:rsidR="008E7C5D" w:rsidRPr="0003592A" w:rsidRDefault="008E7C5D" w:rsidP="0003592A">
      <w:pPr>
        <w:spacing w:after="140"/>
        <w:ind w:left="425"/>
        <w:contextualSpacing/>
        <w:rPr>
          <w:rFonts w:cs="Source Sans Pro Light"/>
          <w:color w:val="000000"/>
          <w:sz w:val="22"/>
          <w:szCs w:val="22"/>
        </w:rPr>
      </w:pPr>
    </w:p>
    <w:p w14:paraId="7348A272"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 xml:space="preserve">The long service leave liability is estimated with reference to the minimum period of qualifying service. For employees with less than the required minimum period of 7 years of qualifying service, the probability that employees will reach the required minimum period has been </w:t>
      </w:r>
      <w:proofErr w:type="gramStart"/>
      <w:r w:rsidRPr="0003592A">
        <w:rPr>
          <w:rFonts w:cs="Source Sans Pro Light"/>
          <w:color w:val="000000"/>
          <w:sz w:val="22"/>
          <w:szCs w:val="22"/>
        </w:rPr>
        <w:t>taken into account</w:t>
      </w:r>
      <w:proofErr w:type="gramEnd"/>
      <w:r w:rsidRPr="0003592A">
        <w:rPr>
          <w:rFonts w:cs="Source Sans Pro Light"/>
          <w:color w:val="000000"/>
          <w:sz w:val="22"/>
          <w:szCs w:val="22"/>
        </w:rPr>
        <w:t xml:space="preserve"> in estimating the provision for long service leave and applicable on-costs.</w:t>
      </w:r>
    </w:p>
    <w:p w14:paraId="448CE8F3"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 xml:space="preserve">On-costs only become payable if the employee takes annual and long service leave while in-service. The probability that employees will take annual and long service leave while in-service has been </w:t>
      </w:r>
      <w:proofErr w:type="gramStart"/>
      <w:r w:rsidRPr="0003592A">
        <w:rPr>
          <w:rFonts w:cs="Source Sans Pro Light"/>
          <w:color w:val="000000"/>
          <w:sz w:val="22"/>
          <w:szCs w:val="22"/>
        </w:rPr>
        <w:t>taken into account</w:t>
      </w:r>
      <w:proofErr w:type="gramEnd"/>
      <w:r w:rsidRPr="0003592A">
        <w:rPr>
          <w:rFonts w:cs="Source Sans Pro Light"/>
          <w:color w:val="000000"/>
          <w:sz w:val="22"/>
          <w:szCs w:val="22"/>
        </w:rPr>
        <w:t xml:space="preserve"> in estimating the liability for on-costs.</w:t>
      </w:r>
    </w:p>
    <w:p w14:paraId="6CD17DBA" w14:textId="77777777" w:rsidR="008E7C5D" w:rsidRPr="0003592A" w:rsidRDefault="008E7C5D" w:rsidP="0003592A">
      <w:pPr>
        <w:rPr>
          <w:rFonts w:cs="Source Sans Pro Light"/>
          <w:color w:val="000000"/>
          <w:sz w:val="22"/>
          <w:szCs w:val="22"/>
        </w:rPr>
      </w:pPr>
      <w:r w:rsidRPr="0003592A">
        <w:rPr>
          <w:rFonts w:cs="Source Sans Pro Light"/>
          <w:color w:val="000000"/>
          <w:sz w:val="22"/>
          <w:szCs w:val="22"/>
        </w:rPr>
        <w:t xml:space="preserve">Significant judgements have been applied in estimating the annual and long service leave liabilities, given that Authority uses the Whole-of-Government present value, </w:t>
      </w:r>
      <w:proofErr w:type="gramStart"/>
      <w:r w:rsidRPr="0003592A">
        <w:rPr>
          <w:rFonts w:cs="Source Sans Pro Light"/>
          <w:color w:val="000000"/>
          <w:sz w:val="22"/>
          <w:szCs w:val="22"/>
        </w:rPr>
        <w:t>probability</w:t>
      </w:r>
      <w:proofErr w:type="gramEnd"/>
      <w:r w:rsidRPr="0003592A">
        <w:rPr>
          <w:rFonts w:cs="Source Sans Pro Light"/>
          <w:color w:val="000000"/>
          <w:sz w:val="22"/>
          <w:szCs w:val="22"/>
        </w:rPr>
        <w:t xml:space="preserve"> and on-cost factors. These factors are issued by ACT Treasury and apply to all ACT Government Agencies. ACT Treasury organises an actuarial review to be undertaken every three years by the Australian Government Actuary to estimate each of these factors. The latest assessment was undertaken in December 2021, with the next review expected to be undertaken by late 2024.</w:t>
      </w:r>
    </w:p>
    <w:p w14:paraId="4BD8BB33" w14:textId="4D9C0BA6" w:rsidR="00FC402E" w:rsidRDefault="008E7C5D" w:rsidP="0003592A">
      <w:pPr>
        <w:rPr>
          <w:rFonts w:cs="Source Sans Pro Light"/>
          <w:color w:val="000000"/>
          <w:sz w:val="22"/>
          <w:szCs w:val="22"/>
        </w:rPr>
      </w:pPr>
      <w:r w:rsidRPr="0003592A">
        <w:rPr>
          <w:rFonts w:cs="Source Sans Pro Light"/>
          <w:color w:val="000000"/>
          <w:sz w:val="22"/>
          <w:szCs w:val="22"/>
        </w:rPr>
        <w:t xml:space="preserve">Annual leave and long service leave liabilities are classified as current liabilities in the Balance Sheet where there are no unconditional rights to defer the settlement of the liability for at least 12 months. </w:t>
      </w:r>
      <w:r w:rsidR="0003592A" w:rsidRPr="0003592A">
        <w:rPr>
          <w:rFonts w:cs="Source Sans Pro Light"/>
          <w:color w:val="000000"/>
          <w:sz w:val="22"/>
          <w:szCs w:val="22"/>
        </w:rPr>
        <w:t xml:space="preserve">Conditional long service leave liabilities are classified as non-current because the agency has an </w:t>
      </w:r>
    </w:p>
    <w:p w14:paraId="7677C3DC" w14:textId="77777777" w:rsidR="00FC402E" w:rsidRDefault="00FC402E">
      <w:pPr>
        <w:spacing w:after="0" w:line="240" w:lineRule="auto"/>
        <w:rPr>
          <w:rFonts w:cs="Source Sans Pro Light"/>
          <w:color w:val="000000"/>
          <w:sz w:val="22"/>
          <w:szCs w:val="22"/>
        </w:rPr>
      </w:pPr>
      <w:r>
        <w:rPr>
          <w:rFonts w:cs="Source Sans Pro Light"/>
          <w:color w:val="000000"/>
          <w:sz w:val="22"/>
          <w:szCs w:val="22"/>
        </w:rPr>
        <w:br w:type="page"/>
      </w:r>
    </w:p>
    <w:p w14:paraId="55D2BCA1" w14:textId="12465CB8" w:rsidR="0042142E" w:rsidRPr="0042142E" w:rsidRDefault="0042142E" w:rsidP="00A36E9A">
      <w:pPr>
        <w:numPr>
          <w:ilvl w:val="0"/>
          <w:numId w:val="35"/>
        </w:numPr>
        <w:kinsoku w:val="0"/>
        <w:overflowPunct w:val="0"/>
        <w:autoSpaceDE w:val="0"/>
        <w:autoSpaceDN w:val="0"/>
        <w:adjustRightInd w:val="0"/>
        <w:snapToGrid w:val="0"/>
        <w:spacing w:after="140" w:line="281" w:lineRule="auto"/>
        <w:jc w:val="both"/>
        <w:rPr>
          <w:rFonts w:ascii="Calibri" w:eastAsia="Times New Roman" w:hAnsi="Calibri" w:cs="Calibri"/>
          <w:snapToGrid w:val="0"/>
          <w:color w:val="000000"/>
          <w:sz w:val="22"/>
          <w:szCs w:val="22"/>
          <w:lang w:val="en-GB"/>
        </w:rPr>
      </w:pPr>
      <w:r w:rsidRPr="00413697">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6</w:t>
      </w:r>
      <w:r w:rsidRPr="00413697">
        <w:rPr>
          <w:rFonts w:ascii="Calibri" w:eastAsia="Calibri" w:hAnsi="Calibri" w:cs="Montserrat Semi Bold"/>
          <w:b/>
          <w:bCs/>
          <w:color w:val="000000"/>
          <w:sz w:val="30"/>
          <w:szCs w:val="30"/>
        </w:rPr>
        <w:t>. EMPLOYEE BENEFITS</w:t>
      </w:r>
      <w:r w:rsidR="004178BC">
        <w:rPr>
          <w:rFonts w:ascii="Calibri" w:eastAsia="Calibri" w:hAnsi="Calibri" w:cs="Montserrat Semi Bold"/>
          <w:b/>
          <w:bCs/>
          <w:color w:val="000000"/>
          <w:sz w:val="30"/>
          <w:szCs w:val="30"/>
        </w:rPr>
        <w:t xml:space="preserve"> - CONTINUED</w:t>
      </w:r>
    </w:p>
    <w:p w14:paraId="3BD14567" w14:textId="6DEDC606" w:rsidR="008E7C5D" w:rsidRPr="0003592A" w:rsidRDefault="008E7C5D" w:rsidP="0003592A">
      <w:pPr>
        <w:rPr>
          <w:rFonts w:cs="Source Sans Pro Light"/>
          <w:color w:val="000000"/>
          <w:sz w:val="22"/>
          <w:szCs w:val="22"/>
        </w:rPr>
      </w:pPr>
      <w:r w:rsidRPr="0003592A">
        <w:rPr>
          <w:rFonts w:cs="Source Sans Pro Light"/>
          <w:color w:val="000000"/>
          <w:sz w:val="22"/>
          <w:szCs w:val="22"/>
        </w:rPr>
        <w:t>unconditional right to defer the settlement of the liability until the employee has completed the requisite years of service.</w:t>
      </w:r>
    </w:p>
    <w:p w14:paraId="66604B92" w14:textId="77777777" w:rsidR="008E7C5D" w:rsidRPr="0003592A" w:rsidRDefault="008E7C5D" w:rsidP="0003592A">
      <w:pPr>
        <w:spacing w:before="40" w:after="100"/>
        <w:rPr>
          <w:rFonts w:cs="Source Sans Pro Light"/>
          <w:b/>
          <w:color w:val="000000"/>
          <w:sz w:val="22"/>
          <w:szCs w:val="22"/>
        </w:rPr>
      </w:pPr>
      <w:r w:rsidRPr="0003592A">
        <w:rPr>
          <w:rFonts w:cs="Source Sans Pro Light"/>
          <w:b/>
          <w:color w:val="000000"/>
          <w:sz w:val="22"/>
          <w:szCs w:val="22"/>
        </w:rPr>
        <w:t>Superannuation Liability</w:t>
      </w:r>
    </w:p>
    <w:p w14:paraId="2AC75126" w14:textId="77777777" w:rsidR="008E7C5D" w:rsidRDefault="008E7C5D" w:rsidP="00DE4785">
      <w:pPr>
        <w:rPr>
          <w:rFonts w:cs="Source Sans Pro Light"/>
          <w:color w:val="000000"/>
          <w:sz w:val="22"/>
          <w:szCs w:val="22"/>
        </w:rPr>
      </w:pPr>
      <w:r w:rsidRPr="0003592A">
        <w:rPr>
          <w:rFonts w:cs="Source Sans Pro Light"/>
          <w:color w:val="000000"/>
          <w:sz w:val="22"/>
          <w:szCs w:val="22"/>
        </w:rPr>
        <w:t>The employer superannuation benefits payable to the Authority’s employees, who are members of the defined benefit CSS or PSS Schemes, are recognised in the financial statements of the</w:t>
      </w:r>
      <w:r>
        <w:rPr>
          <w:rFonts w:cs="Source Sans Pro Light"/>
          <w:color w:val="000000"/>
          <w:sz w:val="22"/>
          <w:szCs w:val="22"/>
        </w:rPr>
        <w:t xml:space="preserve"> </w:t>
      </w:r>
      <w:r w:rsidRPr="0003592A">
        <w:rPr>
          <w:rFonts w:cs="Source Sans Pro Light"/>
          <w:color w:val="000000"/>
          <w:sz w:val="22"/>
          <w:szCs w:val="22"/>
        </w:rPr>
        <w:t>Superannuation Provision Account.</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B41E9A" w:rsidRPr="00B41E9A" w14:paraId="5A71652E" w14:textId="77777777" w:rsidTr="0085239E">
        <w:trPr>
          <w:cantSplit/>
        </w:trPr>
        <w:tc>
          <w:tcPr>
            <w:tcW w:w="5529" w:type="dxa"/>
            <w:tcBorders>
              <w:top w:val="single" w:sz="12" w:space="0" w:color="492581" w:themeColor="accent1"/>
              <w:bottom w:val="single" w:sz="12" w:space="0" w:color="492581" w:themeColor="accent1"/>
            </w:tcBorders>
          </w:tcPr>
          <w:p w14:paraId="28518C20" w14:textId="77777777" w:rsidR="00B41E9A" w:rsidRPr="00B41E9A" w:rsidRDefault="00B41E9A" w:rsidP="00B41E9A">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5B79666A" w14:textId="77777777" w:rsidR="00B41E9A" w:rsidRPr="00B41E9A" w:rsidRDefault="00B41E9A" w:rsidP="00B41E9A">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bottom w:val="single" w:sz="12" w:space="0" w:color="492581" w:themeColor="accent1"/>
            </w:tcBorders>
          </w:tcPr>
          <w:p w14:paraId="5B5AD296"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2024</w:t>
            </w:r>
          </w:p>
          <w:p w14:paraId="464DBBC7"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2F29A1BA" w14:textId="77777777" w:rsidR="00B41E9A" w:rsidRPr="00B41E9A" w:rsidRDefault="00B41E9A" w:rsidP="00B41E9A">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6B2E2DA4"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2023</w:t>
            </w:r>
          </w:p>
          <w:p w14:paraId="6599DAF2" w14:textId="77777777" w:rsidR="00B41E9A" w:rsidRPr="00B41E9A" w:rsidRDefault="00B41E9A" w:rsidP="00B41E9A">
            <w:pPr>
              <w:spacing w:before="40" w:after="40" w:line="240" w:lineRule="auto"/>
              <w:jc w:val="right"/>
              <w:rPr>
                <w:rFonts w:ascii="Calibri" w:eastAsia="Times New Roman" w:hAnsi="Calibri" w:cs="Times New Roman"/>
                <w:sz w:val="18"/>
                <w:szCs w:val="18"/>
              </w:rPr>
            </w:pPr>
            <w:r w:rsidRPr="00B41E9A">
              <w:rPr>
                <w:rFonts w:ascii="Calibri" w:eastAsia="Times New Roman" w:hAnsi="Calibri" w:cs="Times New Roman"/>
                <w:b/>
                <w:sz w:val="18"/>
                <w:szCs w:val="18"/>
              </w:rPr>
              <w:t>$’000</w:t>
            </w:r>
          </w:p>
        </w:tc>
      </w:tr>
      <w:tr w:rsidR="00B41E9A" w:rsidRPr="00B41E9A" w14:paraId="2AB1220D" w14:textId="77777777" w:rsidTr="00852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4B438BCC" w14:textId="77777777" w:rsidR="00B41E9A" w:rsidRPr="00B41E9A" w:rsidRDefault="00B41E9A" w:rsidP="00B41E9A">
            <w:pPr>
              <w:spacing w:before="40" w:after="40" w:line="240" w:lineRule="auto"/>
              <w:rPr>
                <w:rFonts w:ascii="Calibri" w:eastAsia="Times New Roman" w:hAnsi="Calibri" w:cs="Times New Roman"/>
                <w:b/>
                <w:sz w:val="18"/>
                <w:szCs w:val="18"/>
              </w:rPr>
            </w:pPr>
            <w:r w:rsidRPr="00B41E9A">
              <w:rPr>
                <w:rFonts w:ascii="Calibri" w:eastAsia="Times New Roman" w:hAnsi="Calibri" w:cs="Times New Roman"/>
                <w:b/>
                <w:sz w:val="18"/>
                <w:szCs w:val="18"/>
              </w:rPr>
              <w:t>Current Employee Benefits</w:t>
            </w:r>
          </w:p>
        </w:tc>
        <w:tc>
          <w:tcPr>
            <w:tcW w:w="709" w:type="dxa"/>
            <w:tcBorders>
              <w:top w:val="single" w:sz="12" w:space="0" w:color="492581" w:themeColor="accent1"/>
              <w:left w:val="nil"/>
              <w:bottom w:val="nil"/>
              <w:right w:val="nil"/>
            </w:tcBorders>
          </w:tcPr>
          <w:p w14:paraId="7956F523" w14:textId="77777777" w:rsidR="00B41E9A" w:rsidRPr="00B41E9A" w:rsidRDefault="00B41E9A" w:rsidP="00B41E9A">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18072C5D" w14:textId="77777777" w:rsidR="00B41E9A" w:rsidRPr="00B41E9A" w:rsidRDefault="00B41E9A" w:rsidP="00B41E9A">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663DADF2"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674705A9" w14:textId="77777777" w:rsidR="00B41E9A" w:rsidRPr="00B41E9A" w:rsidRDefault="00B41E9A" w:rsidP="00B41E9A">
            <w:pPr>
              <w:tabs>
                <w:tab w:val="decimal" w:pos="539"/>
              </w:tabs>
              <w:spacing w:before="40" w:after="40" w:line="240" w:lineRule="auto"/>
              <w:jc w:val="right"/>
              <w:rPr>
                <w:rFonts w:ascii="Calibri" w:eastAsia="Times New Roman" w:hAnsi="Calibri" w:cs="Times New Roman"/>
                <w:sz w:val="18"/>
                <w:szCs w:val="18"/>
              </w:rPr>
            </w:pPr>
          </w:p>
        </w:tc>
      </w:tr>
      <w:tr w:rsidR="00B41E9A" w:rsidRPr="00B41E9A" w14:paraId="5B9A45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87417A6" w14:textId="77777777" w:rsidR="00B41E9A" w:rsidRPr="00B41E9A" w:rsidRDefault="00B41E9A" w:rsidP="00B41E9A">
            <w:pPr>
              <w:spacing w:before="40" w:after="40" w:line="240" w:lineRule="auto"/>
              <w:rPr>
                <w:rFonts w:ascii="Calibri" w:eastAsia="Times New Roman" w:hAnsi="Calibri" w:cs="Times New Roman"/>
                <w:sz w:val="18"/>
                <w:szCs w:val="18"/>
                <w:highlight w:val="yellow"/>
              </w:rPr>
            </w:pPr>
            <w:r w:rsidRPr="00B41E9A">
              <w:rPr>
                <w:rFonts w:ascii="Calibri" w:eastAsia="Times New Roman" w:hAnsi="Calibri" w:cs="Times New Roman"/>
                <w:sz w:val="18"/>
                <w:szCs w:val="18"/>
              </w:rPr>
              <w:t>Annual Leave</w:t>
            </w:r>
          </w:p>
        </w:tc>
        <w:tc>
          <w:tcPr>
            <w:tcW w:w="709" w:type="dxa"/>
            <w:tcBorders>
              <w:top w:val="nil"/>
              <w:left w:val="nil"/>
              <w:bottom w:val="nil"/>
              <w:right w:val="nil"/>
            </w:tcBorders>
          </w:tcPr>
          <w:p w14:paraId="48BC2DB8"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7632D3B1"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440</w:t>
            </w:r>
          </w:p>
        </w:tc>
        <w:tc>
          <w:tcPr>
            <w:tcW w:w="567" w:type="dxa"/>
            <w:tcBorders>
              <w:top w:val="nil"/>
              <w:left w:val="nil"/>
              <w:bottom w:val="nil"/>
              <w:right w:val="nil"/>
            </w:tcBorders>
          </w:tcPr>
          <w:p w14:paraId="16F02411" w14:textId="77777777" w:rsidR="00B41E9A" w:rsidRPr="00B41E9A" w:rsidRDefault="00B41E9A" w:rsidP="00B41E9A">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15A44FE8"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421</w:t>
            </w:r>
          </w:p>
        </w:tc>
      </w:tr>
      <w:tr w:rsidR="00B41E9A" w:rsidRPr="00B41E9A" w14:paraId="3FABC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874D776" w14:textId="77777777" w:rsidR="00B41E9A" w:rsidRPr="00B41E9A" w:rsidRDefault="00B41E9A" w:rsidP="00B41E9A">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sz w:val="18"/>
                <w:szCs w:val="18"/>
              </w:rPr>
              <w:t>Long Service Leave</w:t>
            </w:r>
          </w:p>
        </w:tc>
        <w:tc>
          <w:tcPr>
            <w:tcW w:w="709" w:type="dxa"/>
            <w:tcBorders>
              <w:top w:val="nil"/>
              <w:left w:val="nil"/>
              <w:bottom w:val="nil"/>
              <w:right w:val="nil"/>
            </w:tcBorders>
          </w:tcPr>
          <w:p w14:paraId="457AABB9"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E1ABA97"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450</w:t>
            </w:r>
          </w:p>
        </w:tc>
        <w:tc>
          <w:tcPr>
            <w:tcW w:w="567" w:type="dxa"/>
            <w:tcBorders>
              <w:top w:val="nil"/>
              <w:left w:val="nil"/>
              <w:bottom w:val="nil"/>
              <w:right w:val="nil"/>
            </w:tcBorders>
          </w:tcPr>
          <w:p w14:paraId="3274F94A"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4C8C5BD5"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388</w:t>
            </w:r>
          </w:p>
        </w:tc>
      </w:tr>
      <w:tr w:rsidR="00B41E9A" w:rsidRPr="00B41E9A" w14:paraId="3E4372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CE26690" w14:textId="77777777" w:rsidR="00B41E9A" w:rsidRPr="00B41E9A" w:rsidRDefault="00B41E9A" w:rsidP="00B41E9A">
            <w:pPr>
              <w:spacing w:before="40" w:after="40" w:line="240" w:lineRule="auto"/>
              <w:rPr>
                <w:rFonts w:ascii="Calibri" w:eastAsia="Times New Roman" w:hAnsi="Calibri" w:cs="Times New Roman"/>
                <w:sz w:val="18"/>
                <w:szCs w:val="18"/>
                <w:vertAlign w:val="superscript"/>
              </w:rPr>
            </w:pPr>
            <w:r w:rsidRPr="00B41E9A">
              <w:rPr>
                <w:rFonts w:ascii="Calibri" w:eastAsia="Times New Roman" w:hAnsi="Calibri" w:cs="Times New Roman"/>
                <w:sz w:val="18"/>
                <w:szCs w:val="18"/>
              </w:rPr>
              <w:t xml:space="preserve">Accrued Employee Expenses </w:t>
            </w:r>
            <w:r w:rsidRPr="00B41E9A">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4856573"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1C91BD07"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134</w:t>
            </w:r>
          </w:p>
        </w:tc>
        <w:tc>
          <w:tcPr>
            <w:tcW w:w="567" w:type="dxa"/>
            <w:tcBorders>
              <w:top w:val="nil"/>
              <w:left w:val="nil"/>
              <w:bottom w:val="single" w:sz="2" w:space="0" w:color="auto"/>
              <w:right w:val="nil"/>
            </w:tcBorders>
          </w:tcPr>
          <w:p w14:paraId="1E0D7DA0"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2" w:space="0" w:color="auto"/>
              <w:right w:val="nil"/>
            </w:tcBorders>
          </w:tcPr>
          <w:p w14:paraId="069932ED"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244</w:t>
            </w:r>
          </w:p>
        </w:tc>
      </w:tr>
      <w:tr w:rsidR="00B41E9A" w:rsidRPr="00B41E9A" w14:paraId="6E9DE2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52"/>
        </w:trPr>
        <w:tc>
          <w:tcPr>
            <w:tcW w:w="5529" w:type="dxa"/>
            <w:tcBorders>
              <w:top w:val="nil"/>
              <w:left w:val="nil"/>
              <w:bottom w:val="nil"/>
              <w:right w:val="nil"/>
            </w:tcBorders>
          </w:tcPr>
          <w:p w14:paraId="3C955876" w14:textId="77777777" w:rsidR="00B41E9A" w:rsidRPr="00B41E9A" w:rsidRDefault="00B41E9A" w:rsidP="00B41E9A">
            <w:pPr>
              <w:spacing w:before="40" w:after="40" w:line="240" w:lineRule="auto"/>
              <w:rPr>
                <w:rFonts w:ascii="Calibri" w:eastAsia="Times New Roman" w:hAnsi="Calibri" w:cs="Times New Roman"/>
                <w:sz w:val="18"/>
                <w:szCs w:val="18"/>
                <w:vertAlign w:val="superscript"/>
              </w:rPr>
            </w:pPr>
            <w:r w:rsidRPr="00B41E9A">
              <w:rPr>
                <w:rFonts w:ascii="Calibri" w:eastAsia="Times New Roman" w:hAnsi="Calibri" w:cs="Times New Roman"/>
                <w:b/>
                <w:sz w:val="18"/>
                <w:szCs w:val="18"/>
              </w:rPr>
              <w:t>Total Current Employee Benefits</w:t>
            </w:r>
          </w:p>
        </w:tc>
        <w:tc>
          <w:tcPr>
            <w:tcW w:w="709" w:type="dxa"/>
            <w:tcBorders>
              <w:top w:val="nil"/>
              <w:left w:val="nil"/>
              <w:bottom w:val="nil"/>
              <w:right w:val="nil"/>
            </w:tcBorders>
          </w:tcPr>
          <w:p w14:paraId="486F6941"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7525B9E7"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1,023</w:t>
            </w:r>
          </w:p>
        </w:tc>
        <w:tc>
          <w:tcPr>
            <w:tcW w:w="567" w:type="dxa"/>
            <w:tcBorders>
              <w:top w:val="single" w:sz="2" w:space="0" w:color="auto"/>
              <w:left w:val="nil"/>
              <w:bottom w:val="single" w:sz="2" w:space="0" w:color="auto"/>
              <w:right w:val="nil"/>
            </w:tcBorders>
          </w:tcPr>
          <w:p w14:paraId="4359C436"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single" w:sz="2" w:space="0" w:color="auto"/>
              <w:right w:val="nil"/>
            </w:tcBorders>
          </w:tcPr>
          <w:p w14:paraId="65C917AB"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1,053</w:t>
            </w:r>
          </w:p>
        </w:tc>
      </w:tr>
      <w:tr w:rsidR="00B41E9A" w:rsidRPr="00B41E9A" w14:paraId="50DBE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A193ADB" w14:textId="77777777" w:rsidR="00B41E9A" w:rsidRPr="00B41E9A" w:rsidRDefault="00B41E9A" w:rsidP="00B41E9A">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b/>
                <w:sz w:val="18"/>
                <w:szCs w:val="18"/>
              </w:rPr>
              <w:t>Non-Current Employee Benefits</w:t>
            </w:r>
          </w:p>
        </w:tc>
        <w:tc>
          <w:tcPr>
            <w:tcW w:w="709" w:type="dxa"/>
            <w:tcBorders>
              <w:top w:val="nil"/>
              <w:left w:val="nil"/>
              <w:bottom w:val="nil"/>
              <w:right w:val="nil"/>
            </w:tcBorders>
          </w:tcPr>
          <w:p w14:paraId="74F3B9A6"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45260A31"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p>
        </w:tc>
        <w:tc>
          <w:tcPr>
            <w:tcW w:w="567" w:type="dxa"/>
            <w:tcBorders>
              <w:top w:val="nil"/>
              <w:left w:val="nil"/>
              <w:bottom w:val="nil"/>
              <w:right w:val="nil"/>
            </w:tcBorders>
          </w:tcPr>
          <w:p w14:paraId="5F61E16D"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4911F474"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p>
        </w:tc>
      </w:tr>
      <w:tr w:rsidR="00B41E9A" w:rsidRPr="00B41E9A" w14:paraId="67EC69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F74231D" w14:textId="77777777" w:rsidR="00B41E9A" w:rsidRPr="00B41E9A" w:rsidRDefault="00B41E9A" w:rsidP="00B41E9A">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sz w:val="18"/>
                <w:szCs w:val="18"/>
              </w:rPr>
              <w:t>Long Service Leave</w:t>
            </w:r>
          </w:p>
        </w:tc>
        <w:tc>
          <w:tcPr>
            <w:tcW w:w="709" w:type="dxa"/>
            <w:tcBorders>
              <w:top w:val="nil"/>
              <w:left w:val="nil"/>
              <w:bottom w:val="nil"/>
              <w:right w:val="nil"/>
            </w:tcBorders>
          </w:tcPr>
          <w:p w14:paraId="4573DF7C" w14:textId="77777777" w:rsidR="00B41E9A" w:rsidRPr="00B41E9A" w:rsidRDefault="00B41E9A" w:rsidP="00B41E9A">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9516A9F"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141</w:t>
            </w:r>
          </w:p>
        </w:tc>
        <w:tc>
          <w:tcPr>
            <w:tcW w:w="567" w:type="dxa"/>
            <w:tcBorders>
              <w:top w:val="nil"/>
              <w:left w:val="nil"/>
              <w:bottom w:val="nil"/>
              <w:right w:val="nil"/>
            </w:tcBorders>
          </w:tcPr>
          <w:p w14:paraId="13740FAF" w14:textId="77777777" w:rsidR="00B41E9A" w:rsidRPr="00B41E9A" w:rsidRDefault="00B41E9A" w:rsidP="00B41E9A">
            <w:pPr>
              <w:spacing w:before="40" w:after="40" w:line="240" w:lineRule="auto"/>
              <w:jc w:val="right"/>
              <w:rPr>
                <w:rFonts w:ascii="Calibri" w:eastAsia="Times New Roman" w:hAnsi="Calibri" w:cs="Times New Roman"/>
                <w:sz w:val="18"/>
                <w:szCs w:val="18"/>
                <w:highlight w:val="yellow"/>
              </w:rPr>
            </w:pPr>
          </w:p>
        </w:tc>
        <w:tc>
          <w:tcPr>
            <w:tcW w:w="1418" w:type="dxa"/>
            <w:tcBorders>
              <w:top w:val="nil"/>
              <w:left w:val="nil"/>
              <w:bottom w:val="nil"/>
              <w:right w:val="nil"/>
            </w:tcBorders>
          </w:tcPr>
          <w:p w14:paraId="668A6FB5" w14:textId="77777777" w:rsidR="00B41E9A" w:rsidRPr="00B41E9A" w:rsidRDefault="00B41E9A" w:rsidP="00B41E9A">
            <w:pPr>
              <w:spacing w:before="40" w:after="40" w:line="240" w:lineRule="auto"/>
              <w:jc w:val="right"/>
              <w:rPr>
                <w:rFonts w:ascii="Calibri" w:eastAsia="Times New Roman" w:hAnsi="Calibri" w:cs="Times New Roman"/>
                <w:bCs/>
                <w:sz w:val="18"/>
                <w:szCs w:val="18"/>
              </w:rPr>
            </w:pPr>
            <w:r w:rsidRPr="00B41E9A">
              <w:rPr>
                <w:rFonts w:ascii="Calibri" w:eastAsia="Times New Roman" w:hAnsi="Calibri" w:cs="Times New Roman"/>
                <w:bCs/>
                <w:sz w:val="18"/>
                <w:szCs w:val="18"/>
              </w:rPr>
              <w:t>132</w:t>
            </w:r>
          </w:p>
        </w:tc>
      </w:tr>
      <w:tr w:rsidR="00B41E9A" w:rsidRPr="00B41E9A" w14:paraId="5D868E9A" w14:textId="77777777" w:rsidTr="00852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7393033A" w14:textId="77777777" w:rsidR="00B41E9A" w:rsidRPr="00B41E9A" w:rsidRDefault="00B41E9A" w:rsidP="00B41E9A">
            <w:pPr>
              <w:spacing w:before="40" w:after="40" w:line="240" w:lineRule="auto"/>
              <w:rPr>
                <w:rFonts w:ascii="Calibri" w:eastAsia="Times New Roman" w:hAnsi="Calibri" w:cs="Times New Roman"/>
                <w:sz w:val="18"/>
                <w:szCs w:val="18"/>
                <w:vertAlign w:val="superscript"/>
              </w:rPr>
            </w:pPr>
            <w:r w:rsidRPr="00B41E9A">
              <w:rPr>
                <w:rFonts w:ascii="Calibri" w:eastAsia="Times New Roman" w:hAnsi="Calibri" w:cs="Times New Roman"/>
                <w:b/>
                <w:sz w:val="18"/>
                <w:szCs w:val="18"/>
              </w:rPr>
              <w:t>Total Non-Current Employee Benefits</w:t>
            </w:r>
          </w:p>
        </w:tc>
        <w:tc>
          <w:tcPr>
            <w:tcW w:w="709" w:type="dxa"/>
            <w:tcBorders>
              <w:top w:val="nil"/>
              <w:left w:val="nil"/>
              <w:bottom w:val="single" w:sz="12" w:space="0" w:color="492581" w:themeColor="accent1"/>
              <w:right w:val="nil"/>
            </w:tcBorders>
          </w:tcPr>
          <w:p w14:paraId="69EFBE3B" w14:textId="77777777" w:rsidR="00B41E9A" w:rsidRPr="00B41E9A" w:rsidRDefault="00B41E9A" w:rsidP="00B41E9A">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2D61C882"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141</w:t>
            </w:r>
          </w:p>
        </w:tc>
        <w:tc>
          <w:tcPr>
            <w:tcW w:w="567" w:type="dxa"/>
            <w:tcBorders>
              <w:top w:val="single" w:sz="4" w:space="0" w:color="auto"/>
              <w:left w:val="nil"/>
              <w:bottom w:val="single" w:sz="12" w:space="0" w:color="492581" w:themeColor="accent1"/>
              <w:right w:val="nil"/>
            </w:tcBorders>
          </w:tcPr>
          <w:p w14:paraId="1B55EC5C" w14:textId="77777777" w:rsidR="00B41E9A" w:rsidRPr="00B41E9A"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12" w:space="0" w:color="492581" w:themeColor="accent1"/>
              <w:right w:val="nil"/>
            </w:tcBorders>
          </w:tcPr>
          <w:p w14:paraId="4A5943B0" w14:textId="77777777" w:rsidR="00B41E9A" w:rsidRPr="00B41E9A" w:rsidRDefault="00B41E9A" w:rsidP="00B41E9A">
            <w:pPr>
              <w:spacing w:before="40" w:after="40" w:line="240" w:lineRule="auto"/>
              <w:jc w:val="right"/>
              <w:rPr>
                <w:rFonts w:ascii="Calibri" w:eastAsia="Times New Roman" w:hAnsi="Calibri" w:cs="Times New Roman"/>
                <w:b/>
                <w:sz w:val="18"/>
                <w:szCs w:val="18"/>
              </w:rPr>
            </w:pPr>
            <w:r w:rsidRPr="00B41E9A">
              <w:rPr>
                <w:rFonts w:ascii="Calibri" w:eastAsia="Times New Roman" w:hAnsi="Calibri" w:cs="Times New Roman"/>
                <w:b/>
                <w:sz w:val="18"/>
                <w:szCs w:val="18"/>
              </w:rPr>
              <w:t>132</w:t>
            </w:r>
          </w:p>
        </w:tc>
      </w:tr>
      <w:tr w:rsidR="00B41E9A" w:rsidRPr="00E736CA" w14:paraId="06DE254B" w14:textId="77777777" w:rsidTr="0085239E">
        <w:trPr>
          <w:cantSplit/>
        </w:trPr>
        <w:tc>
          <w:tcPr>
            <w:tcW w:w="9640" w:type="dxa"/>
            <w:gridSpan w:val="5"/>
            <w:tcBorders>
              <w:top w:val="single" w:sz="12" w:space="0" w:color="492581" w:themeColor="accent1"/>
              <w:bottom w:val="single" w:sz="12" w:space="0" w:color="492581" w:themeColor="accent1"/>
            </w:tcBorders>
            <w:vAlign w:val="bottom"/>
          </w:tcPr>
          <w:p w14:paraId="0E1997B8" w14:textId="77777777" w:rsidR="00B41E9A" w:rsidRPr="00E736CA" w:rsidRDefault="00B41E9A" w:rsidP="00B41E9A">
            <w:pPr>
              <w:autoSpaceDE w:val="0"/>
              <w:autoSpaceDN w:val="0"/>
              <w:adjustRightInd w:val="0"/>
              <w:spacing w:before="120" w:after="120" w:line="240" w:lineRule="auto"/>
              <w:rPr>
                <w:rFonts w:ascii="Calibri" w:eastAsia="Calibri" w:hAnsi="Calibri" w:cs="Montserrat Semi Bold"/>
                <w:i/>
                <w:iCs/>
                <w:sz w:val="17"/>
                <w:szCs w:val="17"/>
                <w:highlight w:val="yellow"/>
              </w:rPr>
            </w:pPr>
            <w:r w:rsidRPr="00E736CA">
              <w:rPr>
                <w:rFonts w:ascii="Calibri" w:eastAsia="Calibri" w:hAnsi="Calibri" w:cs="Montserrat Semi Bold"/>
                <w:i/>
                <w:iCs/>
                <w:sz w:val="17"/>
                <w:szCs w:val="17"/>
                <w:vertAlign w:val="superscript"/>
              </w:rPr>
              <w:t xml:space="preserve">a </w:t>
            </w:r>
            <w:r w:rsidRPr="00E736CA">
              <w:rPr>
                <w:rFonts w:ascii="Calibri" w:eastAsia="Calibri" w:hAnsi="Calibri" w:cs="Montserrat Semi Bold"/>
                <w:i/>
                <w:iCs/>
                <w:sz w:val="17"/>
                <w:szCs w:val="17"/>
              </w:rPr>
              <w:t>Accrued employee expenses</w:t>
            </w:r>
            <w:r w:rsidRPr="00E736CA">
              <w:rPr>
                <w:rFonts w:ascii="Calibri" w:eastAsia="Calibri" w:hAnsi="Calibri" w:cs="Montserrat Semi Bold"/>
                <w:i/>
                <w:iCs/>
                <w:sz w:val="17"/>
                <w:szCs w:val="17"/>
                <w:vertAlign w:val="superscript"/>
              </w:rPr>
              <w:t xml:space="preserve"> </w:t>
            </w:r>
            <w:r w:rsidRPr="00E736CA">
              <w:rPr>
                <w:rFonts w:ascii="Calibri" w:eastAsia="Calibri" w:hAnsi="Calibri" w:cs="Montserrat Semi Bold"/>
                <w:i/>
                <w:iCs/>
                <w:sz w:val="17"/>
                <w:szCs w:val="17"/>
              </w:rPr>
              <w:t xml:space="preserve">were higher in 2022-23 due to one-off back-dated salaries increase under the new enterprise agreement and cost of living injections.  </w:t>
            </w:r>
          </w:p>
        </w:tc>
      </w:tr>
    </w:tbl>
    <w:p w14:paraId="5F48FB01" w14:textId="77777777" w:rsidR="008E7C5D" w:rsidRDefault="008E7C5D" w:rsidP="004817FD">
      <w:pPr>
        <w:rPr>
          <w:rFonts w:cs="Source Sans Pro Light"/>
          <w:color w:val="000000"/>
          <w:sz w:val="22"/>
          <w:szCs w:val="22"/>
        </w:rPr>
      </w:pPr>
    </w:p>
    <w:p w14:paraId="27E185D7" w14:textId="564C6E53" w:rsidR="001F6A31" w:rsidRPr="004817FD" w:rsidRDefault="0099035D" w:rsidP="004817FD">
      <w:pPr>
        <w:rPr>
          <w:rFonts w:cs="Source Sans Pro Light"/>
          <w:color w:val="000000"/>
          <w:sz w:val="22"/>
          <w:szCs w:val="22"/>
        </w:rPr>
      </w:pPr>
      <w:r w:rsidRPr="0099035D">
        <w:rPr>
          <w:rFonts w:ascii="Calibri" w:eastAsia="Calibri" w:hAnsi="Calibri" w:cs="Montserrat Semi Bold"/>
          <w:b/>
          <w:bCs/>
          <w:color w:val="000000"/>
          <w:sz w:val="30"/>
          <w:szCs w:val="30"/>
        </w:rPr>
        <w:t xml:space="preserve">NOTE </w:t>
      </w:r>
      <w:r w:rsidR="001F6A31" w:rsidRPr="001F6A31">
        <w:rPr>
          <w:rFonts w:ascii="Calibri" w:eastAsia="Calibri" w:hAnsi="Calibri" w:cs="Montserrat Semi Bold"/>
          <w:b/>
          <w:bCs/>
          <w:color w:val="000000"/>
          <w:sz w:val="30"/>
          <w:szCs w:val="30"/>
        </w:rPr>
        <w:t>1</w:t>
      </w:r>
      <w:r w:rsidR="004817FD">
        <w:rPr>
          <w:rFonts w:ascii="Calibri" w:eastAsia="Calibri" w:hAnsi="Calibri" w:cs="Montserrat Semi Bold"/>
          <w:b/>
          <w:bCs/>
          <w:color w:val="000000"/>
          <w:sz w:val="30"/>
          <w:szCs w:val="30"/>
        </w:rPr>
        <w:t>7</w:t>
      </w:r>
      <w:bookmarkStart w:id="88" w:name="_Hlk141171238"/>
      <w:r w:rsidR="001F6A31" w:rsidRPr="001F6A31">
        <w:rPr>
          <w:rFonts w:ascii="Calibri" w:eastAsia="Calibri" w:hAnsi="Calibri" w:cs="Montserrat Semi Bold"/>
          <w:b/>
          <w:bCs/>
          <w:color w:val="000000"/>
          <w:sz w:val="30"/>
          <w:szCs w:val="30"/>
        </w:rPr>
        <w:t xml:space="preserve">. OTHER LIABILTIES </w:t>
      </w:r>
    </w:p>
    <w:bookmarkEnd w:id="88"/>
    <w:p w14:paraId="66AD41DC" w14:textId="77777777" w:rsidR="001F6A31" w:rsidRPr="003E5198" w:rsidRDefault="001F6A31" w:rsidP="00EC6C60">
      <w:pPr>
        <w:spacing w:before="40" w:after="100"/>
        <w:rPr>
          <w:rFonts w:cs="Source Sans Pro Light"/>
          <w:b/>
          <w:color w:val="000000"/>
          <w:sz w:val="22"/>
          <w:szCs w:val="22"/>
        </w:rPr>
      </w:pPr>
      <w:r w:rsidRPr="003E5198">
        <w:rPr>
          <w:rFonts w:cs="Source Sans Pro Light"/>
          <w:b/>
          <w:color w:val="000000"/>
          <w:sz w:val="22"/>
          <w:szCs w:val="22"/>
        </w:rPr>
        <w:t>Description and Material Accounting Policies Relating to Other Liabilities</w:t>
      </w:r>
    </w:p>
    <w:p w14:paraId="1FC489AA" w14:textId="77777777" w:rsidR="001F6A31" w:rsidRPr="003E5198" w:rsidRDefault="001F6A31" w:rsidP="00EC6C60">
      <w:pPr>
        <w:spacing w:before="40" w:after="100"/>
        <w:rPr>
          <w:rFonts w:cs="Source Sans Pro Light"/>
          <w:b/>
          <w:color w:val="000000"/>
          <w:sz w:val="22"/>
          <w:szCs w:val="22"/>
        </w:rPr>
      </w:pPr>
      <w:r w:rsidRPr="003E5198">
        <w:rPr>
          <w:rFonts w:cs="Source Sans Pro Light"/>
          <w:b/>
          <w:color w:val="000000"/>
          <w:sz w:val="22"/>
          <w:szCs w:val="22"/>
        </w:rPr>
        <w:t>Unearned Premium Liability - Builders Warranty Insurance</w:t>
      </w:r>
    </w:p>
    <w:p w14:paraId="51E1F215" w14:textId="77777777" w:rsidR="001F6A31" w:rsidRPr="009B263F" w:rsidRDefault="001F6A31" w:rsidP="009B263F">
      <w:pPr>
        <w:rPr>
          <w:sz w:val="22"/>
          <w:szCs w:val="22"/>
        </w:rPr>
      </w:pPr>
      <w:r w:rsidRPr="009B263F">
        <w:rPr>
          <w:sz w:val="22"/>
          <w:szCs w:val="22"/>
        </w:rPr>
        <w:t xml:space="preserve">Unearned Premium Liability - Builders Warranty Insurance (BWI) Scheme is the premium revenue that has not been recognised in the operating statement. Actuarial valuation for the outstanding claims liabilities for the BWI scheme as at 30 June </w:t>
      </w:r>
      <w:r w:rsidR="00EC6C60" w:rsidRPr="009B263F">
        <w:rPr>
          <w:sz w:val="22"/>
          <w:szCs w:val="22"/>
        </w:rPr>
        <w:t>2024</w:t>
      </w:r>
      <w:r w:rsidRPr="009B263F">
        <w:rPr>
          <w:sz w:val="22"/>
          <w:szCs w:val="22"/>
        </w:rPr>
        <w:t xml:space="preserve"> included an estimate of unearned premium liability based on the cost to meet the claims liabilities that may arise including future claims handling costs.</w:t>
      </w:r>
    </w:p>
    <w:p w14:paraId="5EAD6471" w14:textId="13E90D59" w:rsidR="00FD1729" w:rsidRDefault="00EC6C60" w:rsidP="009B263F">
      <w:pPr>
        <w:rPr>
          <w:rFonts w:cs="Source Sans Pro Light"/>
          <w:b/>
          <w:bCs/>
          <w:color w:val="000000"/>
          <w:sz w:val="22"/>
          <w:szCs w:val="22"/>
        </w:rPr>
      </w:pPr>
      <w:r w:rsidRPr="003E5198">
        <w:rPr>
          <w:rFonts w:cs="Source Sans Pro Light"/>
          <w:color w:val="000000"/>
          <w:sz w:val="22"/>
          <w:szCs w:val="22"/>
        </w:rPr>
        <w:t xml:space="preserve">A Liability Adequacy Test (LAT) was conducted as required by </w:t>
      </w:r>
      <w:r w:rsidRPr="003E5198">
        <w:rPr>
          <w:rFonts w:cs="Source Sans Pro Light"/>
          <w:i/>
          <w:iCs/>
          <w:color w:val="000000"/>
          <w:sz w:val="22"/>
          <w:szCs w:val="22"/>
        </w:rPr>
        <w:t xml:space="preserve">AASB 1023 General Insurance Contracts </w:t>
      </w:r>
      <w:r w:rsidRPr="003E5198">
        <w:rPr>
          <w:rFonts w:cs="Source Sans Pro Light"/>
          <w:color w:val="000000"/>
          <w:sz w:val="22"/>
          <w:szCs w:val="22"/>
        </w:rPr>
        <w:t>to assess</w:t>
      </w:r>
      <w:r w:rsidRPr="003E5198">
        <w:rPr>
          <w:rFonts w:cs="Source Sans Pro Light"/>
          <w:i/>
          <w:iCs/>
          <w:color w:val="000000"/>
          <w:sz w:val="22"/>
          <w:szCs w:val="22"/>
        </w:rPr>
        <w:t xml:space="preserve"> </w:t>
      </w:r>
      <w:r w:rsidRPr="003E5198">
        <w:rPr>
          <w:rFonts w:cs="Source Sans Pro Light"/>
          <w:color w:val="000000"/>
          <w:sz w:val="22"/>
          <w:szCs w:val="22"/>
        </w:rPr>
        <w:t>the adequacy of the unearned premium liability by considering current estimates of the present value of the expected future cash flows relating to future claims under current polices. The Authority passed the LAT conducted by an external actuary as at 30 June 2024 and there is no deficiency to be recognised in the operating statement for 2023-24.</w:t>
      </w:r>
    </w:p>
    <w:p w14:paraId="37B474B0" w14:textId="77777777" w:rsidR="002C02E3" w:rsidRDefault="002C02E3">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2893FAE2" w14:textId="52F90EAA" w:rsidR="00FD1729" w:rsidRPr="00FD1729" w:rsidRDefault="00FD1729" w:rsidP="00EC6C60">
      <w:pPr>
        <w:spacing w:before="40" w:after="100"/>
        <w:rPr>
          <w:rFonts w:ascii="Calibri" w:eastAsia="Calibri" w:hAnsi="Calibri" w:cs="Montserrat Semi Bold"/>
          <w:b/>
          <w:bCs/>
          <w:color w:val="000000"/>
          <w:sz w:val="30"/>
          <w:szCs w:val="30"/>
        </w:rPr>
      </w:pPr>
      <w:r w:rsidRPr="00E059C8">
        <w:rPr>
          <w:rFonts w:ascii="Calibri" w:eastAsia="Calibri" w:hAnsi="Calibri" w:cs="Montserrat Semi Bold"/>
          <w:b/>
          <w:bCs/>
          <w:color w:val="000000"/>
          <w:sz w:val="30"/>
          <w:szCs w:val="30"/>
        </w:rPr>
        <w:lastRenderedPageBreak/>
        <w:t>NOTE 1</w:t>
      </w:r>
      <w:r w:rsidR="00383FC2">
        <w:rPr>
          <w:rFonts w:ascii="Calibri" w:eastAsia="Calibri" w:hAnsi="Calibri" w:cs="Montserrat Semi Bold"/>
          <w:b/>
          <w:bCs/>
          <w:color w:val="000000"/>
          <w:sz w:val="30"/>
          <w:szCs w:val="30"/>
        </w:rPr>
        <w:t>7</w:t>
      </w:r>
      <w:r w:rsidRPr="00E059C8">
        <w:rPr>
          <w:rFonts w:ascii="Calibri" w:eastAsia="Calibri" w:hAnsi="Calibri" w:cs="Montserrat Semi Bold"/>
          <w:b/>
          <w:bCs/>
          <w:color w:val="000000"/>
          <w:sz w:val="30"/>
          <w:szCs w:val="30"/>
        </w:rPr>
        <w:t xml:space="preserve">. OTHER LIABILTIES </w:t>
      </w:r>
      <w:r>
        <w:rPr>
          <w:rFonts w:ascii="Calibri" w:eastAsia="Calibri" w:hAnsi="Calibri" w:cs="Montserrat Semi Bold"/>
          <w:b/>
          <w:bCs/>
          <w:color w:val="000000"/>
          <w:sz w:val="30"/>
          <w:szCs w:val="30"/>
        </w:rPr>
        <w:t>–</w:t>
      </w:r>
      <w:r w:rsidRPr="00E059C8">
        <w:rPr>
          <w:rFonts w:ascii="Calibri" w:eastAsia="Calibri" w:hAnsi="Calibri" w:cs="Montserrat Semi Bold"/>
          <w:b/>
          <w:bCs/>
          <w:color w:val="000000"/>
          <w:sz w:val="30"/>
          <w:szCs w:val="30"/>
        </w:rPr>
        <w:t xml:space="preserve"> CONTINUED</w:t>
      </w:r>
    </w:p>
    <w:p w14:paraId="279C36B9" w14:textId="77777777" w:rsidR="001F6A31" w:rsidRDefault="001F6A31" w:rsidP="00DB7B97">
      <w:pPr>
        <w:spacing w:before="40" w:after="100"/>
        <w:rPr>
          <w:rFonts w:cs="Source Sans Pro Light"/>
          <w:b/>
          <w:color w:val="000000"/>
        </w:rPr>
      </w:pPr>
      <w:r w:rsidRPr="00C85437">
        <w:rPr>
          <w:rFonts w:cs="Source Sans Pro Light"/>
          <w:b/>
          <w:color w:val="000000"/>
        </w:rPr>
        <w:t xml:space="preserve">Accrued Expenses </w:t>
      </w:r>
      <w:r>
        <w:rPr>
          <w:rFonts w:cs="Source Sans Pro Light"/>
          <w:b/>
          <w:color w:val="000000"/>
        </w:rPr>
        <w:t>–</w:t>
      </w:r>
      <w:r w:rsidRPr="00C85437">
        <w:rPr>
          <w:rFonts w:cs="Source Sans Pro Light"/>
          <w:b/>
          <w:color w:val="000000"/>
        </w:rPr>
        <w:t xml:space="preserve"> Builders Warranty Insurance</w:t>
      </w:r>
    </w:p>
    <w:p w14:paraId="304BB314" w14:textId="61FFA2E9" w:rsidR="00E059C8" w:rsidRPr="003064B9" w:rsidRDefault="001F6A31" w:rsidP="00DB7B97">
      <w:pPr>
        <w:rPr>
          <w:rFonts w:eastAsia="Times New Roman" w:cs="Times New Roman"/>
          <w:b/>
          <w:sz w:val="18"/>
          <w:szCs w:val="18"/>
        </w:rPr>
      </w:pPr>
      <w:r w:rsidRPr="004B3A02">
        <w:rPr>
          <w:rFonts w:cs="Source Sans Pro Light"/>
          <w:color w:val="000000"/>
          <w:sz w:val="22"/>
          <w:szCs w:val="22"/>
        </w:rPr>
        <w:t>Accrued Expenses for Builders Warranty Insurance (BWI) scheme is recognised as a liability for any outstanding BWI commission, reimbursement for claims expenses and claims management fee as at the end of reporting period.</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F318C6" w:rsidRPr="006A27ED" w14:paraId="1CC6A2D6" w14:textId="77777777" w:rsidTr="00E736CA">
        <w:trPr>
          <w:cantSplit/>
        </w:trPr>
        <w:tc>
          <w:tcPr>
            <w:tcW w:w="5529" w:type="dxa"/>
            <w:tcBorders>
              <w:top w:val="single" w:sz="12" w:space="0" w:color="492581" w:themeColor="accent1"/>
              <w:bottom w:val="single" w:sz="12" w:space="0" w:color="492581" w:themeColor="accent1"/>
            </w:tcBorders>
          </w:tcPr>
          <w:p w14:paraId="560D1636" w14:textId="77777777" w:rsidR="00F318C6" w:rsidRPr="00B60FD6" w:rsidRDefault="00F318C6">
            <w:pPr>
              <w:pStyle w:val="VAText"/>
              <w:spacing w:before="40" w:after="40"/>
              <w:rPr>
                <w:rFonts w:asciiTheme="minorHAnsi" w:hAnsiTheme="minorHAnsi"/>
                <w:b/>
                <w:szCs w:val="18"/>
              </w:rPr>
            </w:pPr>
          </w:p>
        </w:tc>
        <w:tc>
          <w:tcPr>
            <w:tcW w:w="709" w:type="dxa"/>
            <w:tcBorders>
              <w:top w:val="single" w:sz="12" w:space="0" w:color="492581" w:themeColor="accent1"/>
              <w:bottom w:val="single" w:sz="12" w:space="0" w:color="492581" w:themeColor="accent1"/>
            </w:tcBorders>
          </w:tcPr>
          <w:p w14:paraId="4F1A02F0" w14:textId="77777777" w:rsidR="00F318C6" w:rsidRPr="006A27ED" w:rsidRDefault="00F318C6">
            <w:pPr>
              <w:pStyle w:val="VAText"/>
              <w:spacing w:before="40" w:after="40"/>
              <w:jc w:val="center"/>
              <w:rPr>
                <w:rFonts w:asciiTheme="minorHAnsi" w:hAnsiTheme="minorHAnsi"/>
                <w:b/>
                <w:szCs w:val="18"/>
              </w:rPr>
            </w:pPr>
            <w:r>
              <w:rPr>
                <w:rFonts w:asciiTheme="minorHAnsi" w:hAnsiTheme="minorHAnsi"/>
                <w:b/>
                <w:szCs w:val="18"/>
              </w:rPr>
              <w:t>Note No.</w:t>
            </w:r>
          </w:p>
        </w:tc>
        <w:tc>
          <w:tcPr>
            <w:tcW w:w="1417" w:type="dxa"/>
            <w:tcBorders>
              <w:top w:val="single" w:sz="12" w:space="0" w:color="492581" w:themeColor="accent1"/>
              <w:bottom w:val="single" w:sz="12" w:space="0" w:color="492581" w:themeColor="accent1"/>
            </w:tcBorders>
          </w:tcPr>
          <w:p w14:paraId="33EF8B8D" w14:textId="77777777" w:rsidR="00F318C6" w:rsidRPr="006A27ED" w:rsidRDefault="00F318C6">
            <w:pPr>
              <w:pStyle w:val="VAText"/>
              <w:spacing w:before="40" w:after="40"/>
              <w:jc w:val="right"/>
              <w:rPr>
                <w:rFonts w:asciiTheme="minorHAnsi" w:hAnsiTheme="minorHAnsi"/>
                <w:b/>
                <w:szCs w:val="18"/>
              </w:rPr>
            </w:pPr>
            <w:r>
              <w:rPr>
                <w:rFonts w:asciiTheme="minorHAnsi" w:hAnsiTheme="minorHAnsi"/>
                <w:b/>
                <w:szCs w:val="18"/>
              </w:rPr>
              <w:t>2024</w:t>
            </w:r>
          </w:p>
          <w:p w14:paraId="07C97C50" w14:textId="77777777" w:rsidR="00F318C6" w:rsidRPr="006A27ED" w:rsidRDefault="00F318C6">
            <w:pPr>
              <w:pStyle w:val="VAText"/>
              <w:spacing w:before="40" w:after="40"/>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492581" w:themeColor="accent1"/>
              <w:bottom w:val="single" w:sz="12" w:space="0" w:color="492581" w:themeColor="accent1"/>
            </w:tcBorders>
          </w:tcPr>
          <w:p w14:paraId="57B2C59A" w14:textId="77777777" w:rsidR="00F318C6" w:rsidRPr="00B60FD6" w:rsidRDefault="00F318C6">
            <w:pPr>
              <w:pStyle w:val="VAText"/>
              <w:spacing w:before="40" w:after="40"/>
              <w:jc w:val="right"/>
              <w:rPr>
                <w:rFonts w:asciiTheme="minorHAnsi" w:hAnsiTheme="minorHAnsi"/>
                <w:szCs w:val="18"/>
                <w:highlight w:val="yellow"/>
              </w:rPr>
            </w:pPr>
          </w:p>
        </w:tc>
        <w:tc>
          <w:tcPr>
            <w:tcW w:w="1418" w:type="dxa"/>
            <w:tcBorders>
              <w:top w:val="single" w:sz="12" w:space="0" w:color="492581" w:themeColor="accent1"/>
              <w:bottom w:val="single" w:sz="12" w:space="0" w:color="492581" w:themeColor="accent1"/>
            </w:tcBorders>
          </w:tcPr>
          <w:p w14:paraId="00539C29" w14:textId="77777777" w:rsidR="00F318C6" w:rsidRPr="00CD5B89" w:rsidRDefault="00F318C6">
            <w:pPr>
              <w:pStyle w:val="VAText"/>
              <w:spacing w:before="40" w:after="40"/>
              <w:jc w:val="right"/>
              <w:rPr>
                <w:rFonts w:asciiTheme="minorHAnsi" w:hAnsiTheme="minorHAnsi"/>
                <w:b/>
                <w:szCs w:val="18"/>
              </w:rPr>
            </w:pPr>
            <w:r>
              <w:rPr>
                <w:rFonts w:asciiTheme="minorHAnsi" w:hAnsiTheme="minorHAnsi"/>
                <w:b/>
                <w:szCs w:val="18"/>
              </w:rPr>
              <w:t>2023</w:t>
            </w:r>
          </w:p>
          <w:p w14:paraId="229A83FF" w14:textId="77777777" w:rsidR="00F318C6" w:rsidRPr="00B60FD6" w:rsidRDefault="00F318C6">
            <w:pPr>
              <w:pStyle w:val="VAText"/>
              <w:spacing w:before="40" w:after="40"/>
              <w:jc w:val="right"/>
              <w:rPr>
                <w:rFonts w:asciiTheme="minorHAnsi" w:hAnsiTheme="minorHAnsi"/>
                <w:szCs w:val="18"/>
              </w:rPr>
            </w:pPr>
            <w:r w:rsidRPr="00CD5B89">
              <w:rPr>
                <w:rFonts w:asciiTheme="minorHAnsi" w:hAnsiTheme="minorHAnsi"/>
                <w:b/>
                <w:szCs w:val="18"/>
              </w:rPr>
              <w:t>$’000</w:t>
            </w:r>
          </w:p>
        </w:tc>
      </w:tr>
      <w:tr w:rsidR="00F318C6" w:rsidRPr="006A27ED" w14:paraId="1B5A279F" w14:textId="77777777" w:rsidTr="00E736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0B619B66" w14:textId="77777777" w:rsidR="00F318C6" w:rsidRPr="006A27ED" w:rsidRDefault="00F318C6">
            <w:pPr>
              <w:pStyle w:val="VAText"/>
              <w:spacing w:before="40" w:after="40"/>
              <w:rPr>
                <w:rFonts w:asciiTheme="minorHAnsi" w:hAnsiTheme="minorHAnsi"/>
                <w:b/>
                <w:szCs w:val="18"/>
              </w:rPr>
            </w:pPr>
            <w:r w:rsidRPr="00797D20">
              <w:rPr>
                <w:rFonts w:asciiTheme="minorHAnsi" w:hAnsiTheme="minorHAnsi"/>
                <w:b/>
                <w:szCs w:val="18"/>
              </w:rPr>
              <w:t>Current Other Liabilities</w:t>
            </w:r>
          </w:p>
        </w:tc>
        <w:tc>
          <w:tcPr>
            <w:tcW w:w="709" w:type="dxa"/>
            <w:tcBorders>
              <w:top w:val="single" w:sz="12" w:space="0" w:color="492581" w:themeColor="accent1"/>
              <w:left w:val="nil"/>
              <w:bottom w:val="nil"/>
              <w:right w:val="nil"/>
            </w:tcBorders>
          </w:tcPr>
          <w:p w14:paraId="3A935F9D" w14:textId="77777777" w:rsidR="00F318C6" w:rsidRPr="006A27ED" w:rsidRDefault="00F318C6">
            <w:pPr>
              <w:pStyle w:val="VAText"/>
              <w:spacing w:before="40" w:after="40"/>
              <w:jc w:val="center"/>
              <w:rPr>
                <w:rFonts w:asciiTheme="minorHAnsi" w:hAnsiTheme="minorHAnsi"/>
                <w:szCs w:val="18"/>
              </w:rPr>
            </w:pPr>
          </w:p>
        </w:tc>
        <w:tc>
          <w:tcPr>
            <w:tcW w:w="1417" w:type="dxa"/>
            <w:tcBorders>
              <w:top w:val="single" w:sz="12" w:space="0" w:color="492581" w:themeColor="accent1"/>
              <w:left w:val="nil"/>
              <w:bottom w:val="nil"/>
              <w:right w:val="nil"/>
            </w:tcBorders>
          </w:tcPr>
          <w:p w14:paraId="42C7CF6B" w14:textId="77777777" w:rsidR="00F318C6" w:rsidRPr="006A27ED" w:rsidRDefault="00F318C6">
            <w:pPr>
              <w:pStyle w:val="VAText"/>
              <w:tabs>
                <w:tab w:val="decimal" w:pos="539"/>
              </w:tabs>
              <w:spacing w:before="40" w:after="40"/>
              <w:jc w:val="right"/>
              <w:rPr>
                <w:rFonts w:asciiTheme="minorHAnsi" w:hAnsiTheme="minorHAnsi"/>
                <w:szCs w:val="18"/>
              </w:rPr>
            </w:pPr>
          </w:p>
        </w:tc>
        <w:tc>
          <w:tcPr>
            <w:tcW w:w="567" w:type="dxa"/>
            <w:tcBorders>
              <w:top w:val="single" w:sz="12" w:space="0" w:color="492581" w:themeColor="accent1"/>
              <w:left w:val="nil"/>
              <w:bottom w:val="nil"/>
              <w:right w:val="nil"/>
            </w:tcBorders>
          </w:tcPr>
          <w:p w14:paraId="066D1D5B" w14:textId="77777777" w:rsidR="00F318C6" w:rsidRPr="006A27ED" w:rsidRDefault="00F318C6">
            <w:pPr>
              <w:pStyle w:val="VAText"/>
              <w:spacing w:before="40" w:after="40"/>
              <w:jc w:val="right"/>
              <w:rPr>
                <w:rFonts w:asciiTheme="minorHAnsi" w:hAnsiTheme="minorHAnsi"/>
                <w:szCs w:val="18"/>
              </w:rPr>
            </w:pPr>
          </w:p>
        </w:tc>
        <w:tc>
          <w:tcPr>
            <w:tcW w:w="1418" w:type="dxa"/>
            <w:tcBorders>
              <w:top w:val="single" w:sz="12" w:space="0" w:color="492581" w:themeColor="accent1"/>
              <w:left w:val="nil"/>
              <w:bottom w:val="nil"/>
              <w:right w:val="nil"/>
            </w:tcBorders>
          </w:tcPr>
          <w:p w14:paraId="230BEB9A" w14:textId="77777777" w:rsidR="00F318C6" w:rsidRPr="00B77573" w:rsidRDefault="00F318C6">
            <w:pPr>
              <w:pStyle w:val="VAText"/>
              <w:tabs>
                <w:tab w:val="decimal" w:pos="539"/>
              </w:tabs>
              <w:spacing w:before="40" w:after="40"/>
              <w:jc w:val="right"/>
              <w:rPr>
                <w:rFonts w:asciiTheme="minorHAnsi" w:hAnsiTheme="minorHAnsi"/>
                <w:szCs w:val="18"/>
              </w:rPr>
            </w:pPr>
          </w:p>
        </w:tc>
      </w:tr>
      <w:tr w:rsidR="00F318C6" w:rsidRPr="006A27ED" w14:paraId="518CD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CAECCD6" w14:textId="77777777" w:rsidR="00F318C6" w:rsidRPr="008E055C" w:rsidRDefault="00F318C6">
            <w:pPr>
              <w:pStyle w:val="VAText"/>
              <w:spacing w:before="40" w:after="40"/>
              <w:rPr>
                <w:rFonts w:asciiTheme="minorHAnsi" w:hAnsiTheme="minorHAnsi"/>
                <w:szCs w:val="18"/>
                <w:highlight w:val="yellow"/>
              </w:rPr>
            </w:pPr>
            <w:r w:rsidRPr="00362DB1">
              <w:rPr>
                <w:rFonts w:asciiTheme="minorHAnsi" w:hAnsiTheme="minorHAnsi"/>
                <w:szCs w:val="18"/>
              </w:rPr>
              <w:t>Unearned Premium - Builders Warranty Insurance</w:t>
            </w:r>
          </w:p>
        </w:tc>
        <w:tc>
          <w:tcPr>
            <w:tcW w:w="709" w:type="dxa"/>
            <w:tcBorders>
              <w:top w:val="nil"/>
              <w:left w:val="nil"/>
              <w:bottom w:val="nil"/>
              <w:right w:val="nil"/>
            </w:tcBorders>
          </w:tcPr>
          <w:p w14:paraId="08F511ED" w14:textId="77777777" w:rsidR="00F318C6" w:rsidRPr="005A30B1" w:rsidRDefault="00F318C6">
            <w:pPr>
              <w:pStyle w:val="VAText"/>
              <w:spacing w:before="40" w:after="40"/>
              <w:jc w:val="center"/>
              <w:rPr>
                <w:rFonts w:asciiTheme="minorHAnsi" w:hAnsiTheme="minorHAnsi"/>
                <w:bCs/>
                <w:szCs w:val="18"/>
              </w:rPr>
            </w:pPr>
            <w:r>
              <w:rPr>
                <w:rFonts w:asciiTheme="minorHAnsi" w:hAnsiTheme="minorHAnsi"/>
                <w:bCs/>
                <w:szCs w:val="18"/>
              </w:rPr>
              <w:t>21</w:t>
            </w:r>
          </w:p>
        </w:tc>
        <w:tc>
          <w:tcPr>
            <w:tcW w:w="1417" w:type="dxa"/>
            <w:tcBorders>
              <w:top w:val="nil"/>
              <w:left w:val="nil"/>
              <w:bottom w:val="nil"/>
              <w:right w:val="nil"/>
            </w:tcBorders>
          </w:tcPr>
          <w:p w14:paraId="3CBD5F07" w14:textId="77777777" w:rsidR="00F318C6" w:rsidRPr="00BA00CC" w:rsidRDefault="00F318C6">
            <w:pPr>
              <w:pStyle w:val="VAText"/>
              <w:spacing w:before="40" w:after="40"/>
              <w:jc w:val="right"/>
              <w:rPr>
                <w:rFonts w:asciiTheme="minorHAnsi" w:hAnsiTheme="minorHAnsi"/>
                <w:bCs/>
                <w:szCs w:val="18"/>
              </w:rPr>
            </w:pPr>
            <w:r>
              <w:rPr>
                <w:rFonts w:asciiTheme="minorHAnsi" w:hAnsiTheme="minorHAnsi"/>
                <w:bCs/>
                <w:szCs w:val="18"/>
              </w:rPr>
              <w:t>1,328</w:t>
            </w:r>
          </w:p>
        </w:tc>
        <w:tc>
          <w:tcPr>
            <w:tcW w:w="567" w:type="dxa"/>
            <w:tcBorders>
              <w:top w:val="nil"/>
              <w:left w:val="nil"/>
              <w:bottom w:val="nil"/>
              <w:right w:val="nil"/>
            </w:tcBorders>
          </w:tcPr>
          <w:p w14:paraId="47F376A5" w14:textId="77777777" w:rsidR="00F318C6" w:rsidRPr="008E055C" w:rsidRDefault="00F318C6">
            <w:pPr>
              <w:pStyle w:val="VAText"/>
              <w:spacing w:before="40" w:after="40"/>
              <w:jc w:val="right"/>
              <w:rPr>
                <w:rFonts w:asciiTheme="minorHAnsi" w:hAnsiTheme="minorHAnsi"/>
                <w:szCs w:val="18"/>
                <w:highlight w:val="yellow"/>
              </w:rPr>
            </w:pPr>
          </w:p>
        </w:tc>
        <w:tc>
          <w:tcPr>
            <w:tcW w:w="1418" w:type="dxa"/>
            <w:tcBorders>
              <w:top w:val="nil"/>
              <w:left w:val="nil"/>
              <w:bottom w:val="nil"/>
              <w:right w:val="nil"/>
            </w:tcBorders>
          </w:tcPr>
          <w:p w14:paraId="621B6F62" w14:textId="77777777" w:rsidR="00F318C6" w:rsidRPr="004A189B" w:rsidRDefault="00F318C6">
            <w:pPr>
              <w:pStyle w:val="VAText"/>
              <w:spacing w:before="40" w:after="40"/>
              <w:jc w:val="right"/>
              <w:rPr>
                <w:rFonts w:asciiTheme="minorHAnsi" w:hAnsiTheme="minorHAnsi"/>
                <w:bCs/>
                <w:szCs w:val="18"/>
              </w:rPr>
            </w:pPr>
            <w:r>
              <w:rPr>
                <w:rFonts w:asciiTheme="minorHAnsi" w:hAnsiTheme="minorHAnsi"/>
                <w:bCs/>
                <w:szCs w:val="18"/>
              </w:rPr>
              <w:t>1,416</w:t>
            </w:r>
          </w:p>
        </w:tc>
      </w:tr>
      <w:tr w:rsidR="00F318C6" w:rsidRPr="006A27ED" w14:paraId="569E07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3CC4E68" w14:textId="77777777" w:rsidR="00F318C6" w:rsidRDefault="00F318C6">
            <w:pPr>
              <w:pStyle w:val="VAText"/>
              <w:spacing w:before="40" w:after="40"/>
              <w:rPr>
                <w:rFonts w:asciiTheme="minorHAnsi" w:hAnsiTheme="minorHAnsi"/>
                <w:szCs w:val="18"/>
              </w:rPr>
            </w:pPr>
            <w:r w:rsidRPr="00EE4C42">
              <w:rPr>
                <w:rFonts w:asciiTheme="minorHAnsi" w:hAnsiTheme="minorHAnsi"/>
                <w:szCs w:val="18"/>
              </w:rPr>
              <w:t>Accrued Expenses - Builders Warranty Insurance</w:t>
            </w:r>
            <w:r>
              <w:rPr>
                <w:rFonts w:asciiTheme="minorHAnsi" w:hAnsiTheme="minorHAnsi"/>
                <w:szCs w:val="18"/>
              </w:rPr>
              <w:t xml:space="preserve"> </w:t>
            </w:r>
            <w:r w:rsidRPr="00160471">
              <w:rPr>
                <w:rFonts w:asciiTheme="minorHAnsi" w:hAnsiTheme="minorHAnsi"/>
                <w:szCs w:val="18"/>
                <w:vertAlign w:val="superscript"/>
              </w:rPr>
              <w:t>a</w:t>
            </w:r>
          </w:p>
        </w:tc>
        <w:tc>
          <w:tcPr>
            <w:tcW w:w="709" w:type="dxa"/>
            <w:tcBorders>
              <w:top w:val="nil"/>
              <w:left w:val="nil"/>
              <w:bottom w:val="nil"/>
              <w:right w:val="nil"/>
            </w:tcBorders>
          </w:tcPr>
          <w:p w14:paraId="6FE8AE04" w14:textId="77777777" w:rsidR="00F318C6" w:rsidRPr="005A30B1" w:rsidRDefault="00F318C6">
            <w:pPr>
              <w:pStyle w:val="VAText"/>
              <w:spacing w:before="40" w:after="40"/>
              <w:jc w:val="center"/>
              <w:rPr>
                <w:rFonts w:asciiTheme="minorHAnsi" w:hAnsiTheme="minorHAnsi"/>
                <w:bCs/>
                <w:szCs w:val="18"/>
              </w:rPr>
            </w:pPr>
            <w:r>
              <w:rPr>
                <w:rFonts w:asciiTheme="minorHAnsi" w:hAnsiTheme="minorHAnsi"/>
                <w:bCs/>
                <w:szCs w:val="18"/>
              </w:rPr>
              <w:t>21</w:t>
            </w:r>
          </w:p>
        </w:tc>
        <w:tc>
          <w:tcPr>
            <w:tcW w:w="1417" w:type="dxa"/>
            <w:tcBorders>
              <w:top w:val="nil"/>
              <w:left w:val="nil"/>
              <w:bottom w:val="nil"/>
              <w:right w:val="nil"/>
            </w:tcBorders>
          </w:tcPr>
          <w:p w14:paraId="4C68BF2C" w14:textId="77777777" w:rsidR="00F318C6" w:rsidRPr="00BA00CC" w:rsidRDefault="00F318C6">
            <w:pPr>
              <w:pStyle w:val="VAText"/>
              <w:spacing w:before="40" w:after="40"/>
              <w:jc w:val="right"/>
              <w:rPr>
                <w:rFonts w:asciiTheme="minorHAnsi" w:hAnsiTheme="minorHAnsi"/>
                <w:bCs/>
                <w:szCs w:val="18"/>
              </w:rPr>
            </w:pPr>
            <w:r>
              <w:rPr>
                <w:rFonts w:asciiTheme="minorHAnsi" w:hAnsiTheme="minorHAnsi"/>
                <w:bCs/>
                <w:szCs w:val="18"/>
              </w:rPr>
              <w:t>224</w:t>
            </w:r>
          </w:p>
        </w:tc>
        <w:tc>
          <w:tcPr>
            <w:tcW w:w="567" w:type="dxa"/>
            <w:tcBorders>
              <w:top w:val="nil"/>
              <w:left w:val="nil"/>
              <w:bottom w:val="nil"/>
              <w:right w:val="nil"/>
            </w:tcBorders>
          </w:tcPr>
          <w:p w14:paraId="697ACE3A" w14:textId="77777777" w:rsidR="00F318C6" w:rsidRPr="006A27ED" w:rsidRDefault="00F318C6">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27467FB5" w14:textId="77777777" w:rsidR="00F318C6" w:rsidRPr="004A189B" w:rsidRDefault="00F318C6">
            <w:pPr>
              <w:pStyle w:val="VAText"/>
              <w:spacing w:before="40" w:after="40"/>
              <w:jc w:val="right"/>
              <w:rPr>
                <w:rFonts w:asciiTheme="minorHAnsi" w:hAnsiTheme="minorHAnsi"/>
                <w:bCs/>
                <w:szCs w:val="18"/>
              </w:rPr>
            </w:pPr>
            <w:r>
              <w:rPr>
                <w:rFonts w:asciiTheme="minorHAnsi" w:hAnsiTheme="minorHAnsi"/>
                <w:bCs/>
                <w:szCs w:val="18"/>
              </w:rPr>
              <w:t>414</w:t>
            </w:r>
          </w:p>
        </w:tc>
      </w:tr>
      <w:tr w:rsidR="00F318C6" w:rsidRPr="006A27ED" w14:paraId="1248A6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0785A9E2" w14:textId="77777777" w:rsidR="00F318C6" w:rsidRPr="006A27ED" w:rsidRDefault="00F318C6">
            <w:pPr>
              <w:pStyle w:val="VAText"/>
              <w:spacing w:before="40" w:after="40"/>
              <w:rPr>
                <w:rFonts w:asciiTheme="minorHAnsi" w:hAnsiTheme="minorHAnsi"/>
                <w:szCs w:val="18"/>
                <w:vertAlign w:val="superscript"/>
              </w:rPr>
            </w:pPr>
            <w:r w:rsidRPr="00EE4C42">
              <w:rPr>
                <w:rFonts w:asciiTheme="minorHAnsi" w:hAnsiTheme="minorHAnsi"/>
                <w:szCs w:val="18"/>
              </w:rPr>
              <w:t xml:space="preserve">Revenue Received in Advance </w:t>
            </w:r>
            <w:r>
              <w:rPr>
                <w:rFonts w:asciiTheme="minorHAnsi" w:hAnsiTheme="minorHAnsi"/>
                <w:szCs w:val="18"/>
              </w:rPr>
              <w:t>–</w:t>
            </w:r>
            <w:r w:rsidRPr="00EE4C42">
              <w:rPr>
                <w:rFonts w:asciiTheme="minorHAnsi" w:hAnsiTheme="minorHAnsi"/>
                <w:szCs w:val="18"/>
              </w:rPr>
              <w:t xml:space="preserve"> PSA</w:t>
            </w:r>
            <w:r>
              <w:rPr>
                <w:rFonts w:asciiTheme="minorHAnsi" w:hAnsiTheme="minorHAnsi"/>
                <w:szCs w:val="18"/>
              </w:rPr>
              <w:t xml:space="preserve"> </w:t>
            </w:r>
            <w:r w:rsidRPr="00E131FA">
              <w:rPr>
                <w:rFonts w:asciiTheme="minorHAnsi" w:hAnsiTheme="minorHAnsi"/>
                <w:szCs w:val="18"/>
                <w:vertAlign w:val="superscript"/>
              </w:rPr>
              <w:t>b</w:t>
            </w:r>
          </w:p>
        </w:tc>
        <w:tc>
          <w:tcPr>
            <w:tcW w:w="709" w:type="dxa"/>
            <w:tcBorders>
              <w:top w:val="nil"/>
              <w:left w:val="nil"/>
              <w:bottom w:val="nil"/>
              <w:right w:val="nil"/>
            </w:tcBorders>
          </w:tcPr>
          <w:p w14:paraId="2DD2EB7D" w14:textId="77777777" w:rsidR="00F318C6" w:rsidRPr="005A30B1" w:rsidRDefault="00F318C6">
            <w:pPr>
              <w:pStyle w:val="VAText"/>
              <w:spacing w:before="40" w:after="40"/>
              <w:jc w:val="center"/>
              <w:rPr>
                <w:rFonts w:asciiTheme="minorHAnsi" w:hAnsiTheme="minorHAnsi"/>
                <w:bCs/>
                <w:szCs w:val="18"/>
              </w:rPr>
            </w:pPr>
            <w:r>
              <w:rPr>
                <w:rFonts w:asciiTheme="minorHAnsi" w:hAnsiTheme="minorHAnsi"/>
                <w:bCs/>
                <w:szCs w:val="18"/>
              </w:rPr>
              <w:t>22</w:t>
            </w:r>
          </w:p>
        </w:tc>
        <w:tc>
          <w:tcPr>
            <w:tcW w:w="1417" w:type="dxa"/>
            <w:tcBorders>
              <w:top w:val="nil"/>
              <w:left w:val="nil"/>
              <w:bottom w:val="nil"/>
              <w:right w:val="nil"/>
            </w:tcBorders>
          </w:tcPr>
          <w:p w14:paraId="0FA0F095" w14:textId="77777777" w:rsidR="00F318C6" w:rsidRPr="00BA00CC" w:rsidRDefault="00F318C6">
            <w:pPr>
              <w:pStyle w:val="VAText"/>
              <w:spacing w:before="40" w:after="40"/>
              <w:jc w:val="right"/>
              <w:rPr>
                <w:rFonts w:asciiTheme="minorHAnsi" w:hAnsiTheme="minorHAnsi"/>
                <w:bCs/>
                <w:szCs w:val="18"/>
              </w:rPr>
            </w:pPr>
            <w:r>
              <w:rPr>
                <w:rFonts w:asciiTheme="minorHAnsi" w:hAnsiTheme="minorHAnsi"/>
                <w:bCs/>
                <w:szCs w:val="18"/>
              </w:rPr>
              <w:t>-</w:t>
            </w:r>
          </w:p>
        </w:tc>
        <w:tc>
          <w:tcPr>
            <w:tcW w:w="567" w:type="dxa"/>
            <w:tcBorders>
              <w:top w:val="nil"/>
              <w:left w:val="nil"/>
              <w:bottom w:val="nil"/>
              <w:right w:val="nil"/>
            </w:tcBorders>
          </w:tcPr>
          <w:p w14:paraId="2C3A3343" w14:textId="77777777" w:rsidR="00F318C6" w:rsidRPr="006A27ED" w:rsidRDefault="00F318C6">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FCD4E7B" w14:textId="77777777" w:rsidR="00F318C6" w:rsidRPr="004A189B" w:rsidRDefault="00F318C6">
            <w:pPr>
              <w:pStyle w:val="VAText"/>
              <w:spacing w:before="40" w:after="40"/>
              <w:jc w:val="right"/>
              <w:rPr>
                <w:rFonts w:asciiTheme="minorHAnsi" w:hAnsiTheme="minorHAnsi"/>
                <w:bCs/>
                <w:szCs w:val="18"/>
              </w:rPr>
            </w:pPr>
            <w:r>
              <w:rPr>
                <w:rFonts w:asciiTheme="minorHAnsi" w:hAnsiTheme="minorHAnsi"/>
                <w:bCs/>
                <w:szCs w:val="18"/>
              </w:rPr>
              <w:t>248</w:t>
            </w:r>
          </w:p>
        </w:tc>
      </w:tr>
      <w:tr w:rsidR="00F318C6" w:rsidRPr="006A27ED" w14:paraId="726974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08383DDF" w14:textId="77777777" w:rsidR="00F318C6" w:rsidRPr="00EE4C42" w:rsidRDefault="00F318C6">
            <w:pPr>
              <w:pStyle w:val="VAText"/>
              <w:spacing w:before="40" w:after="40"/>
              <w:rPr>
                <w:rFonts w:asciiTheme="minorHAnsi" w:hAnsiTheme="minorHAnsi"/>
                <w:szCs w:val="18"/>
              </w:rPr>
            </w:pPr>
            <w:r>
              <w:rPr>
                <w:rFonts w:asciiTheme="minorHAnsi" w:hAnsiTheme="minorHAnsi"/>
                <w:szCs w:val="18"/>
              </w:rPr>
              <w:t xml:space="preserve">Accrued Expenses – PSA </w:t>
            </w:r>
            <w:r w:rsidRPr="007D4B6B">
              <w:rPr>
                <w:rFonts w:asciiTheme="minorHAnsi" w:hAnsiTheme="minorHAnsi"/>
                <w:szCs w:val="18"/>
                <w:vertAlign w:val="superscript"/>
              </w:rPr>
              <w:t>c</w:t>
            </w:r>
          </w:p>
        </w:tc>
        <w:tc>
          <w:tcPr>
            <w:tcW w:w="709" w:type="dxa"/>
            <w:tcBorders>
              <w:top w:val="nil"/>
              <w:left w:val="nil"/>
              <w:bottom w:val="nil"/>
              <w:right w:val="nil"/>
            </w:tcBorders>
          </w:tcPr>
          <w:p w14:paraId="70AA45D6" w14:textId="77777777" w:rsidR="00F318C6" w:rsidRDefault="00F318C6">
            <w:pPr>
              <w:pStyle w:val="VAText"/>
              <w:spacing w:before="40" w:after="40"/>
              <w:jc w:val="center"/>
              <w:rPr>
                <w:rFonts w:asciiTheme="minorHAnsi" w:hAnsiTheme="minorHAnsi"/>
                <w:bCs/>
                <w:szCs w:val="18"/>
              </w:rPr>
            </w:pPr>
            <w:r>
              <w:rPr>
                <w:rFonts w:asciiTheme="minorHAnsi" w:hAnsiTheme="minorHAnsi"/>
                <w:bCs/>
                <w:szCs w:val="18"/>
              </w:rPr>
              <w:t>22</w:t>
            </w:r>
          </w:p>
        </w:tc>
        <w:tc>
          <w:tcPr>
            <w:tcW w:w="1417" w:type="dxa"/>
            <w:tcBorders>
              <w:top w:val="nil"/>
              <w:left w:val="nil"/>
              <w:bottom w:val="nil"/>
              <w:right w:val="nil"/>
            </w:tcBorders>
          </w:tcPr>
          <w:p w14:paraId="4F461AED" w14:textId="77777777" w:rsidR="00F318C6" w:rsidRPr="00BA00CC" w:rsidRDefault="00F318C6">
            <w:pPr>
              <w:pStyle w:val="VAText"/>
              <w:spacing w:before="40" w:after="40"/>
              <w:jc w:val="right"/>
              <w:rPr>
                <w:rFonts w:asciiTheme="minorHAnsi" w:hAnsiTheme="minorHAnsi"/>
                <w:bCs/>
                <w:szCs w:val="18"/>
              </w:rPr>
            </w:pPr>
            <w:r>
              <w:rPr>
                <w:rFonts w:asciiTheme="minorHAnsi" w:hAnsiTheme="minorHAnsi"/>
                <w:bCs/>
                <w:szCs w:val="18"/>
              </w:rPr>
              <w:t>77</w:t>
            </w:r>
          </w:p>
        </w:tc>
        <w:tc>
          <w:tcPr>
            <w:tcW w:w="567" w:type="dxa"/>
            <w:tcBorders>
              <w:top w:val="nil"/>
              <w:left w:val="nil"/>
              <w:bottom w:val="nil"/>
              <w:right w:val="nil"/>
            </w:tcBorders>
          </w:tcPr>
          <w:p w14:paraId="4F83DD6C" w14:textId="77777777" w:rsidR="00F318C6" w:rsidRPr="006A27ED" w:rsidRDefault="00F318C6">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10D26495" w14:textId="77777777" w:rsidR="00F318C6" w:rsidRDefault="00F318C6">
            <w:pPr>
              <w:pStyle w:val="VAText"/>
              <w:spacing w:before="40" w:after="40"/>
              <w:jc w:val="right"/>
              <w:rPr>
                <w:rFonts w:asciiTheme="minorHAnsi" w:hAnsiTheme="minorHAnsi"/>
                <w:bCs/>
                <w:szCs w:val="18"/>
              </w:rPr>
            </w:pPr>
            <w:r>
              <w:rPr>
                <w:rFonts w:asciiTheme="minorHAnsi" w:hAnsiTheme="minorHAnsi"/>
                <w:bCs/>
                <w:szCs w:val="18"/>
              </w:rPr>
              <w:t>-</w:t>
            </w:r>
          </w:p>
        </w:tc>
      </w:tr>
      <w:tr w:rsidR="00F318C6" w:rsidRPr="006A27ED" w14:paraId="23277D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2AC2FC9" w14:textId="77777777" w:rsidR="00F318C6" w:rsidRPr="00EE4C42" w:rsidRDefault="00F318C6">
            <w:pPr>
              <w:pStyle w:val="VAText"/>
              <w:spacing w:before="40" w:after="40"/>
              <w:rPr>
                <w:rFonts w:asciiTheme="minorHAnsi" w:hAnsiTheme="minorHAnsi"/>
                <w:szCs w:val="18"/>
              </w:rPr>
            </w:pPr>
            <w:r w:rsidRPr="00EE4C42">
              <w:rPr>
                <w:rFonts w:asciiTheme="minorHAnsi" w:hAnsiTheme="minorHAnsi"/>
                <w:szCs w:val="18"/>
              </w:rPr>
              <w:t>Other</w:t>
            </w:r>
          </w:p>
        </w:tc>
        <w:tc>
          <w:tcPr>
            <w:tcW w:w="709" w:type="dxa"/>
            <w:tcBorders>
              <w:top w:val="nil"/>
              <w:left w:val="nil"/>
              <w:bottom w:val="nil"/>
              <w:right w:val="nil"/>
            </w:tcBorders>
          </w:tcPr>
          <w:p w14:paraId="32B2100E" w14:textId="77777777" w:rsidR="00F318C6" w:rsidRPr="005A30B1" w:rsidRDefault="00F318C6">
            <w:pPr>
              <w:pStyle w:val="VAText"/>
              <w:spacing w:before="40" w:after="40"/>
              <w:jc w:val="center"/>
              <w:rPr>
                <w:rFonts w:asciiTheme="minorHAnsi" w:hAnsiTheme="minorHAnsi"/>
                <w:bCs/>
                <w:szCs w:val="18"/>
              </w:rPr>
            </w:pPr>
          </w:p>
        </w:tc>
        <w:tc>
          <w:tcPr>
            <w:tcW w:w="1417" w:type="dxa"/>
            <w:tcBorders>
              <w:top w:val="nil"/>
              <w:left w:val="nil"/>
              <w:bottom w:val="single" w:sz="2" w:space="0" w:color="auto"/>
              <w:right w:val="nil"/>
            </w:tcBorders>
          </w:tcPr>
          <w:p w14:paraId="741EC159" w14:textId="77777777" w:rsidR="00F318C6" w:rsidRDefault="00F318C6">
            <w:pPr>
              <w:pStyle w:val="VAText"/>
              <w:spacing w:before="40" w:after="40"/>
              <w:jc w:val="right"/>
              <w:rPr>
                <w:rFonts w:asciiTheme="minorHAnsi" w:hAnsiTheme="minorHAnsi"/>
                <w:bCs/>
                <w:szCs w:val="18"/>
              </w:rPr>
            </w:pPr>
            <w:r>
              <w:rPr>
                <w:rFonts w:asciiTheme="minorHAnsi" w:hAnsiTheme="minorHAnsi"/>
                <w:bCs/>
                <w:szCs w:val="18"/>
              </w:rPr>
              <w:t>42</w:t>
            </w:r>
          </w:p>
        </w:tc>
        <w:tc>
          <w:tcPr>
            <w:tcW w:w="567" w:type="dxa"/>
            <w:tcBorders>
              <w:top w:val="nil"/>
              <w:left w:val="nil"/>
              <w:bottom w:val="single" w:sz="2" w:space="0" w:color="auto"/>
              <w:right w:val="nil"/>
            </w:tcBorders>
          </w:tcPr>
          <w:p w14:paraId="5AEC727C" w14:textId="77777777" w:rsidR="00F318C6" w:rsidRPr="006A27ED" w:rsidRDefault="00F318C6">
            <w:pPr>
              <w:pStyle w:val="VAText"/>
              <w:spacing w:before="40" w:after="40"/>
              <w:jc w:val="right"/>
              <w:rPr>
                <w:rFonts w:asciiTheme="minorHAnsi" w:hAnsiTheme="minorHAnsi"/>
                <w:szCs w:val="18"/>
              </w:rPr>
            </w:pPr>
          </w:p>
        </w:tc>
        <w:tc>
          <w:tcPr>
            <w:tcW w:w="1418" w:type="dxa"/>
            <w:tcBorders>
              <w:top w:val="nil"/>
              <w:left w:val="nil"/>
              <w:bottom w:val="single" w:sz="2" w:space="0" w:color="auto"/>
              <w:right w:val="nil"/>
            </w:tcBorders>
          </w:tcPr>
          <w:p w14:paraId="3BF0E254" w14:textId="77777777" w:rsidR="00F318C6" w:rsidRDefault="00F318C6">
            <w:pPr>
              <w:pStyle w:val="VAText"/>
              <w:spacing w:before="40" w:after="40"/>
              <w:jc w:val="right"/>
              <w:rPr>
                <w:rFonts w:asciiTheme="minorHAnsi" w:hAnsiTheme="minorHAnsi"/>
                <w:bCs/>
                <w:szCs w:val="18"/>
              </w:rPr>
            </w:pPr>
            <w:r>
              <w:rPr>
                <w:rFonts w:asciiTheme="minorHAnsi" w:hAnsiTheme="minorHAnsi"/>
                <w:bCs/>
                <w:szCs w:val="18"/>
              </w:rPr>
              <w:t>45</w:t>
            </w:r>
          </w:p>
        </w:tc>
      </w:tr>
      <w:tr w:rsidR="00F318C6" w:rsidRPr="006A27ED" w14:paraId="55D72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D138C54" w14:textId="77777777" w:rsidR="00F318C6" w:rsidRPr="000F1F7B" w:rsidRDefault="00F318C6">
            <w:pPr>
              <w:pStyle w:val="VAText"/>
              <w:spacing w:before="40" w:after="40"/>
              <w:rPr>
                <w:rFonts w:asciiTheme="minorHAnsi" w:hAnsiTheme="minorHAnsi"/>
                <w:szCs w:val="18"/>
                <w:vertAlign w:val="superscript"/>
              </w:rPr>
            </w:pPr>
            <w:r w:rsidRPr="00797D20">
              <w:rPr>
                <w:rFonts w:asciiTheme="minorHAnsi" w:hAnsiTheme="minorHAnsi"/>
                <w:b/>
                <w:szCs w:val="18"/>
              </w:rPr>
              <w:t>Total Current Other Liabilities</w:t>
            </w:r>
          </w:p>
        </w:tc>
        <w:tc>
          <w:tcPr>
            <w:tcW w:w="709" w:type="dxa"/>
            <w:tcBorders>
              <w:top w:val="nil"/>
              <w:left w:val="nil"/>
              <w:bottom w:val="nil"/>
              <w:right w:val="nil"/>
            </w:tcBorders>
          </w:tcPr>
          <w:p w14:paraId="31FB4995" w14:textId="77777777" w:rsidR="00F318C6" w:rsidRPr="005A30B1" w:rsidRDefault="00F318C6">
            <w:pPr>
              <w:pStyle w:val="VAText"/>
              <w:spacing w:before="40" w:after="40"/>
              <w:jc w:val="center"/>
              <w:rPr>
                <w:rFonts w:asciiTheme="minorHAnsi" w:hAnsiTheme="minorHAnsi"/>
                <w:bCs/>
                <w:szCs w:val="18"/>
              </w:rPr>
            </w:pPr>
          </w:p>
        </w:tc>
        <w:tc>
          <w:tcPr>
            <w:tcW w:w="1417" w:type="dxa"/>
            <w:tcBorders>
              <w:top w:val="single" w:sz="2" w:space="0" w:color="auto"/>
              <w:left w:val="nil"/>
              <w:bottom w:val="single" w:sz="2" w:space="0" w:color="auto"/>
              <w:right w:val="nil"/>
            </w:tcBorders>
          </w:tcPr>
          <w:p w14:paraId="1042B585" w14:textId="77777777" w:rsidR="00F318C6" w:rsidRPr="00BA00CC" w:rsidRDefault="00F318C6">
            <w:pPr>
              <w:pStyle w:val="VAText"/>
              <w:spacing w:before="40" w:after="40"/>
              <w:jc w:val="right"/>
              <w:rPr>
                <w:rFonts w:asciiTheme="minorHAnsi" w:hAnsiTheme="minorHAnsi"/>
                <w:b/>
                <w:szCs w:val="18"/>
              </w:rPr>
            </w:pPr>
            <w:r>
              <w:rPr>
                <w:rFonts w:asciiTheme="minorHAnsi" w:hAnsiTheme="minorHAnsi"/>
                <w:b/>
                <w:szCs w:val="18"/>
              </w:rPr>
              <w:t>1,671</w:t>
            </w:r>
          </w:p>
        </w:tc>
        <w:tc>
          <w:tcPr>
            <w:tcW w:w="567" w:type="dxa"/>
            <w:tcBorders>
              <w:top w:val="single" w:sz="2" w:space="0" w:color="auto"/>
              <w:left w:val="nil"/>
              <w:bottom w:val="single" w:sz="2" w:space="0" w:color="auto"/>
              <w:right w:val="nil"/>
            </w:tcBorders>
          </w:tcPr>
          <w:p w14:paraId="6A3A615E" w14:textId="77777777" w:rsidR="00F318C6" w:rsidRPr="006A27ED" w:rsidRDefault="00F318C6">
            <w:pPr>
              <w:pStyle w:val="VAText"/>
              <w:spacing w:before="40" w:after="40"/>
              <w:jc w:val="right"/>
              <w:rPr>
                <w:rFonts w:asciiTheme="minorHAnsi" w:hAnsiTheme="minorHAnsi"/>
                <w:szCs w:val="18"/>
              </w:rPr>
            </w:pPr>
          </w:p>
        </w:tc>
        <w:tc>
          <w:tcPr>
            <w:tcW w:w="1418" w:type="dxa"/>
            <w:tcBorders>
              <w:top w:val="single" w:sz="2" w:space="0" w:color="auto"/>
              <w:left w:val="nil"/>
              <w:bottom w:val="single" w:sz="2" w:space="0" w:color="auto"/>
              <w:right w:val="nil"/>
            </w:tcBorders>
          </w:tcPr>
          <w:p w14:paraId="5CB639E0" w14:textId="77777777" w:rsidR="00F318C6" w:rsidRPr="004A189B" w:rsidRDefault="00F318C6">
            <w:pPr>
              <w:pStyle w:val="VAText"/>
              <w:spacing w:before="40" w:after="40"/>
              <w:jc w:val="right"/>
              <w:rPr>
                <w:rFonts w:asciiTheme="minorHAnsi" w:hAnsiTheme="minorHAnsi"/>
                <w:b/>
                <w:szCs w:val="18"/>
              </w:rPr>
            </w:pPr>
            <w:r>
              <w:rPr>
                <w:rFonts w:asciiTheme="minorHAnsi" w:hAnsiTheme="minorHAnsi"/>
                <w:b/>
                <w:szCs w:val="18"/>
              </w:rPr>
              <w:t>2,123</w:t>
            </w:r>
          </w:p>
        </w:tc>
      </w:tr>
      <w:tr w:rsidR="00F318C6" w:rsidRPr="006A27ED" w14:paraId="1ECC20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926CDB7" w14:textId="77777777" w:rsidR="00F318C6" w:rsidRPr="006A27ED" w:rsidRDefault="00F318C6">
            <w:pPr>
              <w:pStyle w:val="VAText"/>
              <w:spacing w:before="40" w:after="40"/>
              <w:rPr>
                <w:rFonts w:asciiTheme="minorHAnsi" w:hAnsiTheme="minorHAnsi"/>
                <w:szCs w:val="18"/>
              </w:rPr>
            </w:pPr>
            <w:r w:rsidRPr="008A09BB">
              <w:rPr>
                <w:rFonts w:asciiTheme="minorHAnsi" w:hAnsiTheme="minorHAnsi"/>
                <w:b/>
                <w:szCs w:val="18"/>
              </w:rPr>
              <w:t xml:space="preserve">Non-Current </w:t>
            </w:r>
            <w:r>
              <w:rPr>
                <w:rFonts w:asciiTheme="minorHAnsi" w:hAnsiTheme="minorHAnsi"/>
                <w:b/>
                <w:szCs w:val="18"/>
              </w:rPr>
              <w:t>Other Liabilities</w:t>
            </w:r>
          </w:p>
        </w:tc>
        <w:tc>
          <w:tcPr>
            <w:tcW w:w="709" w:type="dxa"/>
            <w:tcBorders>
              <w:top w:val="nil"/>
              <w:left w:val="nil"/>
              <w:bottom w:val="nil"/>
              <w:right w:val="nil"/>
            </w:tcBorders>
          </w:tcPr>
          <w:p w14:paraId="20AEA76B" w14:textId="77777777" w:rsidR="00F318C6" w:rsidRPr="005A30B1" w:rsidRDefault="00F318C6">
            <w:pPr>
              <w:pStyle w:val="VAText"/>
              <w:spacing w:before="40" w:after="40"/>
              <w:jc w:val="center"/>
              <w:rPr>
                <w:rFonts w:asciiTheme="minorHAnsi" w:hAnsiTheme="minorHAnsi"/>
                <w:bCs/>
                <w:szCs w:val="18"/>
              </w:rPr>
            </w:pPr>
          </w:p>
        </w:tc>
        <w:tc>
          <w:tcPr>
            <w:tcW w:w="1417" w:type="dxa"/>
            <w:tcBorders>
              <w:top w:val="nil"/>
              <w:left w:val="nil"/>
              <w:bottom w:val="nil"/>
              <w:right w:val="nil"/>
            </w:tcBorders>
          </w:tcPr>
          <w:p w14:paraId="675987B7" w14:textId="77777777" w:rsidR="00F318C6" w:rsidRPr="00BA00CC" w:rsidRDefault="00F318C6">
            <w:pPr>
              <w:pStyle w:val="VAText"/>
              <w:spacing w:before="40" w:after="40"/>
              <w:jc w:val="right"/>
              <w:rPr>
                <w:rFonts w:asciiTheme="minorHAnsi" w:hAnsiTheme="minorHAnsi"/>
                <w:b/>
                <w:szCs w:val="18"/>
              </w:rPr>
            </w:pPr>
          </w:p>
        </w:tc>
        <w:tc>
          <w:tcPr>
            <w:tcW w:w="567" w:type="dxa"/>
            <w:tcBorders>
              <w:top w:val="nil"/>
              <w:left w:val="nil"/>
              <w:bottom w:val="nil"/>
              <w:right w:val="nil"/>
            </w:tcBorders>
          </w:tcPr>
          <w:p w14:paraId="70B85B22" w14:textId="77777777" w:rsidR="00F318C6" w:rsidRPr="006A27ED" w:rsidRDefault="00F318C6">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6B8D1784" w14:textId="77777777" w:rsidR="00F318C6" w:rsidRPr="004A189B" w:rsidRDefault="00F318C6">
            <w:pPr>
              <w:pStyle w:val="VAText"/>
              <w:spacing w:before="40" w:after="40"/>
              <w:jc w:val="right"/>
              <w:rPr>
                <w:rFonts w:asciiTheme="minorHAnsi" w:hAnsiTheme="minorHAnsi"/>
                <w:bCs/>
                <w:szCs w:val="18"/>
              </w:rPr>
            </w:pPr>
          </w:p>
        </w:tc>
      </w:tr>
      <w:tr w:rsidR="00F318C6" w:rsidRPr="006A27ED" w14:paraId="4519B3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7F4CCB6" w14:textId="77777777" w:rsidR="00F318C6" w:rsidRPr="004A189B" w:rsidRDefault="00F318C6">
            <w:pPr>
              <w:pStyle w:val="VAText"/>
              <w:spacing w:before="40" w:after="40"/>
              <w:rPr>
                <w:rFonts w:asciiTheme="minorHAnsi" w:hAnsiTheme="minorHAnsi"/>
                <w:szCs w:val="18"/>
              </w:rPr>
            </w:pPr>
            <w:r w:rsidRPr="00362DB1">
              <w:rPr>
                <w:rFonts w:asciiTheme="minorHAnsi" w:hAnsiTheme="minorHAnsi"/>
                <w:szCs w:val="18"/>
              </w:rPr>
              <w:t>Unearned Premium Liability - Builders Warranty Insurance</w:t>
            </w:r>
          </w:p>
        </w:tc>
        <w:tc>
          <w:tcPr>
            <w:tcW w:w="709" w:type="dxa"/>
            <w:tcBorders>
              <w:top w:val="nil"/>
              <w:left w:val="nil"/>
              <w:bottom w:val="nil"/>
              <w:right w:val="nil"/>
            </w:tcBorders>
          </w:tcPr>
          <w:p w14:paraId="255E2FBF" w14:textId="77777777" w:rsidR="00F318C6" w:rsidRPr="005A30B1" w:rsidRDefault="00F318C6">
            <w:pPr>
              <w:pStyle w:val="VAText"/>
              <w:spacing w:before="40" w:after="40"/>
              <w:jc w:val="center"/>
              <w:rPr>
                <w:rFonts w:asciiTheme="minorHAnsi" w:hAnsiTheme="minorHAnsi"/>
                <w:bCs/>
                <w:szCs w:val="18"/>
              </w:rPr>
            </w:pPr>
            <w:r>
              <w:rPr>
                <w:rFonts w:asciiTheme="minorHAnsi" w:hAnsiTheme="minorHAnsi"/>
                <w:bCs/>
                <w:szCs w:val="18"/>
              </w:rPr>
              <w:t>21</w:t>
            </w:r>
          </w:p>
        </w:tc>
        <w:tc>
          <w:tcPr>
            <w:tcW w:w="1417" w:type="dxa"/>
            <w:tcBorders>
              <w:top w:val="nil"/>
              <w:left w:val="nil"/>
              <w:bottom w:val="nil"/>
              <w:right w:val="nil"/>
            </w:tcBorders>
          </w:tcPr>
          <w:p w14:paraId="295A6CC2" w14:textId="77777777" w:rsidR="00F318C6" w:rsidRPr="00BA00CC" w:rsidRDefault="00F318C6">
            <w:pPr>
              <w:pStyle w:val="VAText"/>
              <w:spacing w:before="40" w:after="40"/>
              <w:jc w:val="right"/>
              <w:rPr>
                <w:rFonts w:asciiTheme="minorHAnsi" w:hAnsiTheme="minorHAnsi"/>
                <w:bCs/>
                <w:szCs w:val="18"/>
              </w:rPr>
            </w:pPr>
            <w:r>
              <w:rPr>
                <w:rFonts w:asciiTheme="minorHAnsi" w:hAnsiTheme="minorHAnsi"/>
                <w:bCs/>
                <w:szCs w:val="18"/>
              </w:rPr>
              <w:t>3,342</w:t>
            </w:r>
          </w:p>
        </w:tc>
        <w:tc>
          <w:tcPr>
            <w:tcW w:w="567" w:type="dxa"/>
            <w:tcBorders>
              <w:top w:val="nil"/>
              <w:left w:val="nil"/>
              <w:bottom w:val="nil"/>
              <w:right w:val="nil"/>
            </w:tcBorders>
          </w:tcPr>
          <w:p w14:paraId="0D0B1510" w14:textId="77777777" w:rsidR="00F318C6" w:rsidRPr="008E055C" w:rsidRDefault="00F318C6">
            <w:pPr>
              <w:pStyle w:val="VAText"/>
              <w:spacing w:before="40" w:after="40"/>
              <w:jc w:val="right"/>
              <w:rPr>
                <w:rFonts w:asciiTheme="minorHAnsi" w:hAnsiTheme="minorHAnsi"/>
                <w:szCs w:val="18"/>
                <w:highlight w:val="yellow"/>
              </w:rPr>
            </w:pPr>
          </w:p>
        </w:tc>
        <w:tc>
          <w:tcPr>
            <w:tcW w:w="1418" w:type="dxa"/>
            <w:tcBorders>
              <w:top w:val="nil"/>
              <w:left w:val="nil"/>
              <w:bottom w:val="nil"/>
              <w:right w:val="nil"/>
            </w:tcBorders>
          </w:tcPr>
          <w:p w14:paraId="7D33BE55" w14:textId="77777777" w:rsidR="00F318C6" w:rsidRPr="004A189B" w:rsidRDefault="00F318C6">
            <w:pPr>
              <w:pStyle w:val="VAText"/>
              <w:spacing w:before="40" w:after="40"/>
              <w:jc w:val="right"/>
              <w:rPr>
                <w:rFonts w:asciiTheme="minorHAnsi" w:hAnsiTheme="minorHAnsi"/>
                <w:bCs/>
                <w:szCs w:val="18"/>
              </w:rPr>
            </w:pPr>
            <w:r>
              <w:rPr>
                <w:rFonts w:asciiTheme="minorHAnsi" w:hAnsiTheme="minorHAnsi"/>
                <w:bCs/>
                <w:szCs w:val="18"/>
              </w:rPr>
              <w:t>3,628</w:t>
            </w:r>
          </w:p>
        </w:tc>
      </w:tr>
      <w:tr w:rsidR="00F318C6" w:rsidRPr="00AE3B20" w14:paraId="69F9C565" w14:textId="77777777" w:rsidTr="00E736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060AC913" w14:textId="77777777" w:rsidR="00F318C6" w:rsidRPr="000F1F7B" w:rsidRDefault="00F318C6">
            <w:pPr>
              <w:pStyle w:val="VAText"/>
              <w:spacing w:before="40" w:after="40"/>
              <w:rPr>
                <w:rFonts w:asciiTheme="minorHAnsi" w:hAnsiTheme="minorHAnsi"/>
                <w:szCs w:val="18"/>
                <w:vertAlign w:val="superscript"/>
              </w:rPr>
            </w:pPr>
            <w:r w:rsidRPr="00362DB1">
              <w:rPr>
                <w:rFonts w:asciiTheme="minorHAnsi" w:hAnsiTheme="minorHAnsi"/>
                <w:b/>
                <w:szCs w:val="18"/>
              </w:rPr>
              <w:t>Total Non-Current Other Liabilities</w:t>
            </w:r>
          </w:p>
        </w:tc>
        <w:tc>
          <w:tcPr>
            <w:tcW w:w="709" w:type="dxa"/>
            <w:tcBorders>
              <w:top w:val="nil"/>
              <w:left w:val="nil"/>
              <w:bottom w:val="single" w:sz="12" w:space="0" w:color="492581" w:themeColor="accent1"/>
              <w:right w:val="nil"/>
            </w:tcBorders>
          </w:tcPr>
          <w:p w14:paraId="66D099FE" w14:textId="77777777" w:rsidR="00F318C6" w:rsidRPr="006A27ED" w:rsidRDefault="00F318C6">
            <w:pPr>
              <w:pStyle w:val="VAText"/>
              <w:spacing w:before="40" w:after="40"/>
              <w:jc w:val="center"/>
              <w:rPr>
                <w:rFonts w:asciiTheme="minorHAnsi" w:hAnsiTheme="minorHAnsi"/>
                <w:b/>
                <w:szCs w:val="18"/>
              </w:rPr>
            </w:pPr>
          </w:p>
        </w:tc>
        <w:tc>
          <w:tcPr>
            <w:tcW w:w="1417" w:type="dxa"/>
            <w:tcBorders>
              <w:top w:val="single" w:sz="4" w:space="0" w:color="auto"/>
              <w:left w:val="nil"/>
              <w:bottom w:val="single" w:sz="12" w:space="0" w:color="492581" w:themeColor="accent1"/>
              <w:right w:val="nil"/>
            </w:tcBorders>
          </w:tcPr>
          <w:p w14:paraId="6BB09909" w14:textId="77777777" w:rsidR="00F318C6" w:rsidRPr="00BA00CC" w:rsidRDefault="00F318C6">
            <w:pPr>
              <w:pStyle w:val="VAText"/>
              <w:spacing w:before="40" w:after="40"/>
              <w:jc w:val="right"/>
              <w:rPr>
                <w:rFonts w:asciiTheme="minorHAnsi" w:hAnsiTheme="minorHAnsi"/>
                <w:b/>
                <w:szCs w:val="18"/>
              </w:rPr>
            </w:pPr>
            <w:r>
              <w:rPr>
                <w:rFonts w:asciiTheme="minorHAnsi" w:hAnsiTheme="minorHAnsi"/>
                <w:b/>
                <w:szCs w:val="18"/>
              </w:rPr>
              <w:t>3,342</w:t>
            </w:r>
          </w:p>
        </w:tc>
        <w:tc>
          <w:tcPr>
            <w:tcW w:w="567" w:type="dxa"/>
            <w:tcBorders>
              <w:top w:val="single" w:sz="4" w:space="0" w:color="auto"/>
              <w:left w:val="nil"/>
              <w:bottom w:val="single" w:sz="12" w:space="0" w:color="492581" w:themeColor="accent1"/>
              <w:right w:val="nil"/>
            </w:tcBorders>
          </w:tcPr>
          <w:p w14:paraId="70EBE075" w14:textId="77777777" w:rsidR="00F318C6" w:rsidRPr="006A27ED" w:rsidRDefault="00F318C6">
            <w:pPr>
              <w:pStyle w:val="VAText"/>
              <w:spacing w:before="40" w:after="40"/>
              <w:jc w:val="right"/>
              <w:rPr>
                <w:rFonts w:asciiTheme="minorHAnsi" w:hAnsiTheme="minorHAnsi"/>
                <w:szCs w:val="18"/>
              </w:rPr>
            </w:pPr>
          </w:p>
        </w:tc>
        <w:tc>
          <w:tcPr>
            <w:tcW w:w="1418" w:type="dxa"/>
            <w:tcBorders>
              <w:top w:val="single" w:sz="4" w:space="0" w:color="auto"/>
              <w:left w:val="nil"/>
              <w:bottom w:val="single" w:sz="12" w:space="0" w:color="492581" w:themeColor="accent1"/>
              <w:right w:val="nil"/>
            </w:tcBorders>
          </w:tcPr>
          <w:p w14:paraId="240EE1D1" w14:textId="77777777" w:rsidR="00F318C6" w:rsidRPr="004A189B" w:rsidRDefault="00F318C6">
            <w:pPr>
              <w:pStyle w:val="VAText"/>
              <w:spacing w:before="40" w:after="40"/>
              <w:jc w:val="right"/>
              <w:rPr>
                <w:rFonts w:asciiTheme="minorHAnsi" w:hAnsiTheme="minorHAnsi"/>
                <w:b/>
                <w:szCs w:val="18"/>
              </w:rPr>
            </w:pPr>
            <w:r>
              <w:rPr>
                <w:rFonts w:asciiTheme="minorHAnsi" w:hAnsiTheme="minorHAnsi"/>
                <w:b/>
                <w:szCs w:val="18"/>
              </w:rPr>
              <w:t>3,628</w:t>
            </w:r>
          </w:p>
        </w:tc>
      </w:tr>
      <w:tr w:rsidR="00F318C6" w:rsidRPr="009F1D2B" w14:paraId="53F51C8C" w14:textId="77777777" w:rsidTr="00E736CA">
        <w:trPr>
          <w:cantSplit/>
        </w:trPr>
        <w:tc>
          <w:tcPr>
            <w:tcW w:w="9640" w:type="dxa"/>
            <w:gridSpan w:val="5"/>
            <w:tcBorders>
              <w:top w:val="single" w:sz="12" w:space="0" w:color="492581" w:themeColor="accent1"/>
              <w:bottom w:val="single" w:sz="12" w:space="0" w:color="492581" w:themeColor="accent1"/>
            </w:tcBorders>
            <w:vAlign w:val="bottom"/>
          </w:tcPr>
          <w:p w14:paraId="2E16B5EB" w14:textId="30BA860C" w:rsidR="00F318C6" w:rsidRPr="009F1D2B" w:rsidRDefault="00F318C6">
            <w:pPr>
              <w:pStyle w:val="Default"/>
              <w:spacing w:after="120"/>
              <w:rPr>
                <w:i/>
                <w:iCs/>
                <w:color w:val="auto"/>
                <w:sz w:val="17"/>
                <w:szCs w:val="17"/>
              </w:rPr>
            </w:pPr>
            <w:r w:rsidRPr="009F1D2B">
              <w:rPr>
                <w:i/>
                <w:iCs/>
                <w:color w:val="auto"/>
                <w:sz w:val="17"/>
                <w:szCs w:val="17"/>
                <w:vertAlign w:val="superscript"/>
              </w:rPr>
              <w:t xml:space="preserve">a </w:t>
            </w:r>
            <w:r w:rsidRPr="009F1D2B">
              <w:rPr>
                <w:i/>
                <w:iCs/>
                <w:color w:val="auto"/>
                <w:sz w:val="17"/>
                <w:szCs w:val="17"/>
              </w:rPr>
              <w:t xml:space="preserve">Accrued Expenses - Builders Warranty Insurance scheme were lower than the previous year </w:t>
            </w:r>
            <w:proofErr w:type="gramStart"/>
            <w:r w:rsidRPr="009F1D2B">
              <w:rPr>
                <w:i/>
                <w:iCs/>
                <w:color w:val="auto"/>
                <w:sz w:val="17"/>
                <w:szCs w:val="17"/>
              </w:rPr>
              <w:t>mainly due</w:t>
            </w:r>
            <w:proofErr w:type="gramEnd"/>
            <w:r w:rsidRPr="009F1D2B">
              <w:rPr>
                <w:i/>
                <w:iCs/>
                <w:color w:val="auto"/>
                <w:sz w:val="17"/>
                <w:szCs w:val="17"/>
              </w:rPr>
              <w:t xml:space="preserve"> to invoices for March and June</w:t>
            </w:r>
            <w:r w:rsidR="0072146C">
              <w:rPr>
                <w:i/>
                <w:iCs/>
                <w:color w:val="auto"/>
                <w:sz w:val="17"/>
                <w:szCs w:val="17"/>
              </w:rPr>
              <w:t> </w:t>
            </w:r>
            <w:r w:rsidRPr="009F1D2B">
              <w:rPr>
                <w:i/>
                <w:iCs/>
                <w:color w:val="auto"/>
                <w:sz w:val="17"/>
                <w:szCs w:val="17"/>
              </w:rPr>
              <w:t xml:space="preserve">2023 remaining outstanding for payment mainly due to the timing of invoices being issued and processed. </w:t>
            </w:r>
          </w:p>
          <w:p w14:paraId="384DC65F" w14:textId="77777777" w:rsidR="00F318C6" w:rsidRPr="009F1D2B" w:rsidRDefault="00F318C6">
            <w:pPr>
              <w:pStyle w:val="Default"/>
              <w:spacing w:after="120"/>
              <w:rPr>
                <w:i/>
                <w:iCs/>
                <w:color w:val="auto"/>
                <w:sz w:val="17"/>
                <w:szCs w:val="17"/>
              </w:rPr>
            </w:pPr>
            <w:r w:rsidRPr="009F1D2B">
              <w:rPr>
                <w:i/>
                <w:iCs/>
                <w:color w:val="auto"/>
                <w:sz w:val="17"/>
                <w:szCs w:val="17"/>
                <w:vertAlign w:val="superscript"/>
              </w:rPr>
              <w:t>b</w:t>
            </w:r>
            <w:r w:rsidRPr="009F1D2B">
              <w:rPr>
                <w:i/>
                <w:iCs/>
                <w:color w:val="auto"/>
                <w:sz w:val="17"/>
                <w:szCs w:val="17"/>
              </w:rPr>
              <w:t xml:space="preserve"> Revenue Received in Advance - PSA relates to Territory appropriation funded initiative for the initial scheme set up arrangements. In 2022-23, the Authority received total appropriation of $0.449 million and although these should have recognised as revenue in full, only $0.201 million was recorded as the remaining $0.248 million was recorded as revenue received in advance to reflect the amounts </w:t>
            </w:r>
            <w:proofErr w:type="gramStart"/>
            <w:r w:rsidRPr="009F1D2B">
              <w:rPr>
                <w:i/>
                <w:iCs/>
                <w:color w:val="auto"/>
                <w:sz w:val="17"/>
                <w:szCs w:val="17"/>
              </w:rPr>
              <w:t>actually spent</w:t>
            </w:r>
            <w:proofErr w:type="gramEnd"/>
            <w:r w:rsidRPr="009F1D2B">
              <w:rPr>
                <w:i/>
                <w:iCs/>
                <w:color w:val="auto"/>
                <w:sz w:val="17"/>
                <w:szCs w:val="17"/>
              </w:rPr>
              <w:t xml:space="preserve"> during the year. The $0.248 million was spent and has been recorded as revenue during the current </w:t>
            </w:r>
            <w:proofErr w:type="gramStart"/>
            <w:r w:rsidRPr="009F1D2B">
              <w:rPr>
                <w:i/>
                <w:iCs/>
                <w:color w:val="auto"/>
                <w:sz w:val="17"/>
                <w:szCs w:val="17"/>
              </w:rPr>
              <w:t>financial year</w:t>
            </w:r>
            <w:proofErr w:type="gramEnd"/>
            <w:r w:rsidRPr="009F1D2B">
              <w:rPr>
                <w:i/>
                <w:iCs/>
                <w:color w:val="auto"/>
                <w:sz w:val="17"/>
                <w:szCs w:val="17"/>
              </w:rPr>
              <w:t>.</w:t>
            </w:r>
          </w:p>
          <w:p w14:paraId="1AC007BA" w14:textId="77777777" w:rsidR="00F318C6" w:rsidRPr="009F1D2B" w:rsidRDefault="00F318C6">
            <w:pPr>
              <w:pStyle w:val="Default"/>
              <w:spacing w:after="120"/>
              <w:rPr>
                <w:i/>
                <w:iCs/>
                <w:color w:val="auto"/>
                <w:sz w:val="17"/>
                <w:szCs w:val="17"/>
              </w:rPr>
            </w:pPr>
            <w:r w:rsidRPr="009F1D2B">
              <w:rPr>
                <w:i/>
                <w:iCs/>
                <w:color w:val="auto"/>
                <w:sz w:val="17"/>
                <w:szCs w:val="17"/>
                <w:vertAlign w:val="superscript"/>
              </w:rPr>
              <w:t>c</w:t>
            </w:r>
            <w:r w:rsidRPr="009F1D2B">
              <w:rPr>
                <w:i/>
                <w:iCs/>
                <w:color w:val="auto"/>
                <w:sz w:val="17"/>
                <w:szCs w:val="17"/>
              </w:rPr>
              <w:t xml:space="preserve"> Accrued Expenses - PSA relates to the valuation costs in 2023-24 due to the first time the actuarial liability </w:t>
            </w:r>
            <w:proofErr w:type="gramStart"/>
            <w:r w:rsidRPr="009F1D2B">
              <w:rPr>
                <w:i/>
                <w:iCs/>
                <w:color w:val="auto"/>
                <w:sz w:val="17"/>
                <w:szCs w:val="17"/>
              </w:rPr>
              <w:t>was assessed</w:t>
            </w:r>
            <w:proofErr w:type="gramEnd"/>
            <w:r w:rsidRPr="009F1D2B">
              <w:rPr>
                <w:i/>
                <w:iCs/>
                <w:color w:val="auto"/>
                <w:sz w:val="17"/>
                <w:szCs w:val="17"/>
              </w:rPr>
              <w:t>.</w:t>
            </w:r>
          </w:p>
        </w:tc>
      </w:tr>
    </w:tbl>
    <w:p w14:paraId="33414178" w14:textId="77777777" w:rsidR="001F6A31" w:rsidRDefault="001F6A31" w:rsidP="00C00EFD">
      <w:pPr>
        <w:autoSpaceDE w:val="0"/>
        <w:autoSpaceDN w:val="0"/>
        <w:adjustRightInd w:val="0"/>
        <w:spacing w:after="137" w:line="240" w:lineRule="auto"/>
        <w:outlineLvl w:val="0"/>
        <w:rPr>
          <w:rFonts w:cs="Source Sans Pro Light"/>
          <w:color w:val="000000"/>
        </w:rPr>
      </w:pPr>
    </w:p>
    <w:p w14:paraId="7B0C568F" w14:textId="6786A3A8" w:rsidR="00C00EFD" w:rsidRPr="00C00EFD" w:rsidRDefault="00C00EFD" w:rsidP="00C00EFD">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t>NOTE 1</w:t>
      </w:r>
      <w:r w:rsidR="00381454">
        <w:rPr>
          <w:rFonts w:ascii="Calibri" w:eastAsia="Calibri" w:hAnsi="Calibri" w:cs="Montserrat Semi Bold"/>
          <w:b/>
          <w:bCs/>
          <w:color w:val="000000"/>
          <w:sz w:val="30"/>
          <w:szCs w:val="30"/>
        </w:rPr>
        <w:t>8</w:t>
      </w:r>
      <w:r w:rsidRPr="00C00EFD">
        <w:rPr>
          <w:rFonts w:ascii="Calibri" w:eastAsia="Calibri" w:hAnsi="Calibri" w:cs="Montserrat Semi Bold"/>
          <w:b/>
          <w:bCs/>
          <w:color w:val="000000"/>
          <w:sz w:val="30"/>
          <w:szCs w:val="30"/>
        </w:rPr>
        <w:t xml:space="preserve">. FINANCIAL INSTRUMENTS </w:t>
      </w:r>
    </w:p>
    <w:p w14:paraId="78333ED9" w14:textId="77777777" w:rsidR="00C00EFD" w:rsidRPr="001C6826" w:rsidRDefault="00C00EFD" w:rsidP="00DE26C7">
      <w:pPr>
        <w:spacing w:before="40" w:after="100"/>
        <w:rPr>
          <w:rFonts w:cs="Source Sans Pro Light"/>
          <w:b/>
          <w:color w:val="000000"/>
        </w:rPr>
      </w:pPr>
      <w:r w:rsidRPr="001C6826">
        <w:rPr>
          <w:rFonts w:cs="Source Sans Pro Light"/>
          <w:b/>
          <w:color w:val="000000"/>
        </w:rPr>
        <w:t>Description and Material Accounting Policies Relating to Financial Instruments</w:t>
      </w:r>
    </w:p>
    <w:p w14:paraId="60FF069D" w14:textId="77777777" w:rsidR="00C00EFD" w:rsidRPr="00034597" w:rsidRDefault="00C00EFD" w:rsidP="00DE26C7">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 xml:space="preserve">A financial instrument is any contract that gives rise to a financial asset </w:t>
      </w:r>
      <w:r>
        <w:rPr>
          <w:rFonts w:asciiTheme="minorHAnsi" w:hAnsiTheme="minorHAnsi" w:cs="Source Sans Pro Light"/>
          <w:color w:val="000000"/>
          <w:sz w:val="22"/>
          <w:szCs w:val="22"/>
        </w:rPr>
        <w:t>f</w:t>
      </w:r>
      <w:r w:rsidRPr="00034597">
        <w:rPr>
          <w:rFonts w:asciiTheme="minorHAnsi" w:hAnsiTheme="minorHAnsi" w:cs="Source Sans Pro Light"/>
          <w:color w:val="000000"/>
          <w:sz w:val="22"/>
          <w:szCs w:val="22"/>
        </w:rPr>
        <w:t>or one entity and a financial liability or equity instrument of another entity.</w:t>
      </w:r>
    </w:p>
    <w:p w14:paraId="32AD9193" w14:textId="77777777" w:rsidR="00C00EFD" w:rsidRPr="00034597" w:rsidRDefault="00C00EFD" w:rsidP="00DE26C7">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 xml:space="preserve">Financial assets </w:t>
      </w:r>
      <w:r>
        <w:rPr>
          <w:rFonts w:asciiTheme="minorHAnsi" w:hAnsiTheme="minorHAnsi" w:cs="Source Sans Pro Light"/>
          <w:color w:val="000000"/>
          <w:sz w:val="22"/>
          <w:szCs w:val="22"/>
        </w:rPr>
        <w:t>excluding statutory receivables and prepayments</w:t>
      </w:r>
      <w:r w:rsidRPr="00034597">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 xml:space="preserve">are </w:t>
      </w:r>
      <w:r w:rsidRPr="00034597">
        <w:rPr>
          <w:rFonts w:asciiTheme="minorHAnsi" w:hAnsiTheme="minorHAnsi" w:cs="Source Sans Pro Light"/>
          <w:color w:val="000000"/>
          <w:sz w:val="22"/>
          <w:szCs w:val="22"/>
        </w:rPr>
        <w:t xml:space="preserve">subsequently measured at amortised cost, fair value through other comprehensive income or fair value through </w:t>
      </w:r>
      <w:r>
        <w:rPr>
          <w:rFonts w:asciiTheme="minorHAnsi" w:hAnsiTheme="minorHAnsi" w:cs="Source Sans Pro Light"/>
          <w:color w:val="000000"/>
          <w:sz w:val="22"/>
          <w:szCs w:val="22"/>
        </w:rPr>
        <w:t>Operating Statement</w:t>
      </w:r>
      <w:r w:rsidRPr="00034597">
        <w:rPr>
          <w:rFonts w:asciiTheme="minorHAnsi" w:hAnsiTheme="minorHAnsi" w:cs="Source Sans Pro Light"/>
          <w:color w:val="000000"/>
          <w:sz w:val="22"/>
          <w:szCs w:val="22"/>
        </w:rPr>
        <w:t xml:space="preserve"> </w:t>
      </w:r>
      <w:proofErr w:type="gramStart"/>
      <w:r>
        <w:rPr>
          <w:rFonts w:asciiTheme="minorHAnsi" w:hAnsiTheme="minorHAnsi" w:cs="Source Sans Pro Light"/>
          <w:color w:val="000000"/>
          <w:sz w:val="22"/>
          <w:szCs w:val="22"/>
        </w:rPr>
        <w:t xml:space="preserve">on the </w:t>
      </w:r>
      <w:r w:rsidRPr="00034597">
        <w:rPr>
          <w:rFonts w:asciiTheme="minorHAnsi" w:hAnsiTheme="minorHAnsi" w:cs="Source Sans Pro Light"/>
          <w:color w:val="000000"/>
          <w:sz w:val="22"/>
          <w:szCs w:val="22"/>
        </w:rPr>
        <w:t>bas</w:t>
      </w:r>
      <w:r>
        <w:rPr>
          <w:rFonts w:asciiTheme="minorHAnsi" w:hAnsiTheme="minorHAnsi" w:cs="Source Sans Pro Light"/>
          <w:color w:val="000000"/>
          <w:sz w:val="22"/>
          <w:szCs w:val="22"/>
        </w:rPr>
        <w:t>is</w:t>
      </w:r>
      <w:r w:rsidRPr="00034597">
        <w:rPr>
          <w:rFonts w:asciiTheme="minorHAnsi" w:hAnsiTheme="minorHAnsi" w:cs="Source Sans Pro Light"/>
          <w:color w:val="000000"/>
          <w:sz w:val="22"/>
          <w:szCs w:val="22"/>
        </w:rPr>
        <w:t xml:space="preserve"> o</w:t>
      </w:r>
      <w:r>
        <w:rPr>
          <w:rFonts w:asciiTheme="minorHAnsi" w:hAnsiTheme="minorHAnsi" w:cs="Source Sans Pro Light"/>
          <w:color w:val="000000"/>
          <w:sz w:val="22"/>
          <w:szCs w:val="22"/>
        </w:rPr>
        <w:t>f</w:t>
      </w:r>
      <w:proofErr w:type="gramEnd"/>
      <w:r w:rsidRPr="00034597">
        <w:rPr>
          <w:rFonts w:asciiTheme="minorHAnsi" w:hAnsiTheme="minorHAnsi" w:cs="Source Sans Pro Light"/>
          <w:color w:val="000000"/>
          <w:sz w:val="22"/>
          <w:szCs w:val="22"/>
        </w:rPr>
        <w:t xml:space="preserve"> both:</w:t>
      </w:r>
    </w:p>
    <w:p w14:paraId="47B67464" w14:textId="55FCEFBD" w:rsidR="00C00EFD" w:rsidRPr="00034597" w:rsidRDefault="00C00EFD" w:rsidP="00A36E9A">
      <w:pPr>
        <w:pStyle w:val="Pa6"/>
        <w:numPr>
          <w:ilvl w:val="0"/>
          <w:numId w:val="36"/>
        </w:numPr>
        <w:spacing w:after="140" w:line="211" w:lineRule="atLeast"/>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the business model for managing the financial assets;</w:t>
      </w:r>
      <w:r w:rsidR="00AD422F">
        <w:rPr>
          <w:rFonts w:asciiTheme="minorHAnsi" w:hAnsiTheme="minorHAnsi" w:cs="Source Sans Pro Light"/>
          <w:color w:val="000000"/>
          <w:sz w:val="22"/>
          <w:szCs w:val="22"/>
        </w:rPr>
        <w:t xml:space="preserve"> and</w:t>
      </w:r>
    </w:p>
    <w:p w14:paraId="3D9BFED0" w14:textId="57A6CA8D" w:rsidR="00C00EFD" w:rsidRDefault="00C00EFD" w:rsidP="00A36E9A">
      <w:pPr>
        <w:pStyle w:val="Pa6"/>
        <w:numPr>
          <w:ilvl w:val="0"/>
          <w:numId w:val="36"/>
        </w:numPr>
        <w:spacing w:after="140" w:line="211" w:lineRule="atLeast"/>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the contractual cash flow characteristics of the financial assets</w:t>
      </w:r>
      <w:r w:rsidR="00AD422F">
        <w:rPr>
          <w:rFonts w:asciiTheme="minorHAnsi" w:hAnsiTheme="minorHAnsi" w:cs="Source Sans Pro Light"/>
          <w:color w:val="000000"/>
          <w:sz w:val="22"/>
          <w:szCs w:val="22"/>
        </w:rPr>
        <w:t>.</w:t>
      </w:r>
    </w:p>
    <w:p w14:paraId="248B4D47" w14:textId="77777777" w:rsidR="00C00EFD" w:rsidRPr="003107AC" w:rsidRDefault="00C00EFD" w:rsidP="00DE26C7">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 xml:space="preserve">The following are the classification of the Authority’s financial assets under </w:t>
      </w:r>
      <w:r w:rsidRPr="009960FD">
        <w:rPr>
          <w:rFonts w:asciiTheme="minorHAnsi" w:hAnsiTheme="minorHAnsi" w:cs="Source Sans Pro Light"/>
          <w:i/>
          <w:color w:val="000000"/>
          <w:sz w:val="22"/>
          <w:szCs w:val="22"/>
        </w:rPr>
        <w:t>AASB 9 Financial Instruments</w:t>
      </w:r>
      <w:r w:rsidRPr="00034597">
        <w:rPr>
          <w:rFonts w:asciiTheme="minorHAnsi" w:hAnsiTheme="minorHAnsi" w:cs="Source Sans Pro Light"/>
          <w:color w:val="000000"/>
          <w:sz w:val="22"/>
          <w:szCs w:val="22"/>
        </w:rPr>
        <w:t>:</w:t>
      </w:r>
    </w:p>
    <w:p w14:paraId="56CF85AE" w14:textId="77777777" w:rsidR="00D64823" w:rsidRDefault="00D64823">
      <w:pPr>
        <w:spacing w:after="0" w:line="240" w:lineRule="auto"/>
        <w:rPr>
          <w:rFonts w:ascii="Calibri" w:eastAsia="Calibri" w:hAnsi="Calibri" w:cs="Montserrat Semi Bold"/>
          <w:b/>
          <w:bCs/>
          <w:color w:val="000000"/>
          <w:sz w:val="30"/>
          <w:szCs w:val="30"/>
        </w:rPr>
      </w:pPr>
      <w:r>
        <w:rPr>
          <w:rFonts w:ascii="Calibri" w:eastAsia="Calibri" w:hAnsi="Calibri" w:cs="Montserrat Semi Bold"/>
          <w:b/>
          <w:bCs/>
          <w:color w:val="000000"/>
          <w:sz w:val="30"/>
          <w:szCs w:val="30"/>
        </w:rPr>
        <w:br w:type="page"/>
      </w:r>
    </w:p>
    <w:p w14:paraId="3303D058" w14:textId="7F0DFDD3" w:rsidR="008760C9" w:rsidRPr="003C5243" w:rsidRDefault="003C5243" w:rsidP="003C5243">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8</w:t>
      </w:r>
      <w:r w:rsidRPr="00C00EFD">
        <w:rPr>
          <w:rFonts w:ascii="Calibri" w:eastAsia="Calibri" w:hAnsi="Calibri" w:cs="Montserrat Semi Bold"/>
          <w:b/>
          <w:bCs/>
          <w:color w:val="000000"/>
          <w:sz w:val="30"/>
          <w:szCs w:val="30"/>
        </w:rPr>
        <w:t xml:space="preserve">. FINANCIAL INSTRUMENTS </w:t>
      </w:r>
      <w:r>
        <w:rPr>
          <w:rFonts w:ascii="Calibri" w:eastAsia="Calibri" w:hAnsi="Calibri" w:cs="Montserrat Semi Bold"/>
          <w:b/>
          <w:bCs/>
          <w:color w:val="000000"/>
          <w:sz w:val="30"/>
          <w:szCs w:val="30"/>
        </w:rPr>
        <w:t>- CONTINUED</w:t>
      </w:r>
    </w:p>
    <w:tbl>
      <w:tblPr>
        <w:tblW w:w="9214" w:type="dxa"/>
        <w:tblInd w:w="-142" w:type="dxa"/>
        <w:tblLayout w:type="fixed"/>
        <w:tblLook w:val="0000" w:firstRow="0" w:lastRow="0" w:firstColumn="0" w:lastColumn="0" w:noHBand="0" w:noVBand="0"/>
      </w:tblPr>
      <w:tblGrid>
        <w:gridCol w:w="1985"/>
        <w:gridCol w:w="3260"/>
        <w:gridCol w:w="1984"/>
        <w:gridCol w:w="1985"/>
      </w:tblGrid>
      <w:tr w:rsidR="00FF52EF" w:rsidRPr="00F06F2E" w14:paraId="70EE1645" w14:textId="77777777" w:rsidTr="00482B18">
        <w:trPr>
          <w:cantSplit/>
        </w:trPr>
        <w:tc>
          <w:tcPr>
            <w:tcW w:w="1985" w:type="dxa"/>
            <w:tcBorders>
              <w:top w:val="single" w:sz="12" w:space="0" w:color="492581" w:themeColor="accent1"/>
              <w:bottom w:val="single" w:sz="12" w:space="0" w:color="492581" w:themeColor="accent1"/>
            </w:tcBorders>
            <w:vAlign w:val="bottom"/>
          </w:tcPr>
          <w:p w14:paraId="5049E55B" w14:textId="77777777" w:rsidR="00FF52EF" w:rsidRPr="006A27ED" w:rsidRDefault="00FF52EF">
            <w:pPr>
              <w:pStyle w:val="VAText"/>
              <w:ind w:left="34"/>
              <w:rPr>
                <w:rFonts w:asciiTheme="minorHAnsi" w:hAnsiTheme="minorHAnsi"/>
                <w:b/>
                <w:bCs/>
                <w:szCs w:val="18"/>
              </w:rPr>
            </w:pPr>
            <w:r>
              <w:rPr>
                <w:rFonts w:asciiTheme="minorHAnsi" w:hAnsiTheme="minorHAnsi"/>
                <w:b/>
                <w:bCs/>
                <w:szCs w:val="18"/>
              </w:rPr>
              <w:t>Items</w:t>
            </w:r>
          </w:p>
        </w:tc>
        <w:tc>
          <w:tcPr>
            <w:tcW w:w="3260" w:type="dxa"/>
            <w:tcBorders>
              <w:top w:val="single" w:sz="12" w:space="0" w:color="492581" w:themeColor="accent1"/>
              <w:bottom w:val="single" w:sz="12" w:space="0" w:color="492581" w:themeColor="accent1"/>
            </w:tcBorders>
            <w:vAlign w:val="bottom"/>
          </w:tcPr>
          <w:p w14:paraId="3DF0A894" w14:textId="77777777" w:rsidR="00FF52EF" w:rsidRDefault="00FF52EF">
            <w:pPr>
              <w:spacing w:after="0" w:line="240" w:lineRule="auto"/>
              <w:rPr>
                <w:rFonts w:cstheme="minorHAnsi"/>
                <w:b/>
                <w:sz w:val="18"/>
                <w:szCs w:val="18"/>
                <w:lang w:val="en-US" w:eastAsia="en-AU"/>
              </w:rPr>
            </w:pPr>
            <w:r w:rsidRPr="00034597">
              <w:rPr>
                <w:rFonts w:cstheme="minorHAnsi"/>
                <w:b/>
                <w:sz w:val="18"/>
                <w:szCs w:val="18"/>
                <w:lang w:val="en-US" w:eastAsia="en-AU"/>
              </w:rPr>
              <w:t>Business Model</w:t>
            </w:r>
          </w:p>
          <w:p w14:paraId="54800B68" w14:textId="77777777" w:rsidR="00FF52EF" w:rsidRPr="007F5A81" w:rsidRDefault="00FF52EF">
            <w:pPr>
              <w:spacing w:after="0" w:line="240" w:lineRule="auto"/>
              <w:rPr>
                <w:rFonts w:cstheme="minorHAnsi"/>
                <w:b/>
                <w:sz w:val="18"/>
                <w:szCs w:val="18"/>
                <w:lang w:val="en-US" w:eastAsia="en-AU"/>
              </w:rPr>
            </w:pPr>
            <w:r w:rsidRPr="00034597">
              <w:rPr>
                <w:rFonts w:cstheme="minorHAnsi"/>
                <w:b/>
                <w:sz w:val="18"/>
                <w:szCs w:val="18"/>
                <w:lang w:val="en-US" w:eastAsia="en-AU"/>
              </w:rPr>
              <w:t>Held to collect principal and interest/sell</w:t>
            </w:r>
          </w:p>
        </w:tc>
        <w:tc>
          <w:tcPr>
            <w:tcW w:w="1984" w:type="dxa"/>
            <w:tcBorders>
              <w:top w:val="single" w:sz="12" w:space="0" w:color="492581" w:themeColor="accent1"/>
              <w:bottom w:val="single" w:sz="12" w:space="0" w:color="492581" w:themeColor="accent1"/>
            </w:tcBorders>
            <w:vAlign w:val="bottom"/>
          </w:tcPr>
          <w:p w14:paraId="4F428639" w14:textId="77777777" w:rsidR="00FF52EF" w:rsidRPr="006A27ED" w:rsidRDefault="00FF52EF">
            <w:pPr>
              <w:pStyle w:val="VAText"/>
              <w:rPr>
                <w:rFonts w:asciiTheme="minorHAnsi" w:hAnsiTheme="minorHAnsi"/>
                <w:b/>
                <w:szCs w:val="18"/>
              </w:rPr>
            </w:pPr>
            <w:r w:rsidRPr="00034597">
              <w:rPr>
                <w:rFonts w:asciiTheme="minorHAnsi" w:hAnsiTheme="minorHAnsi" w:cstheme="minorHAnsi"/>
                <w:b/>
                <w:szCs w:val="18"/>
                <w:lang w:val="en-US" w:eastAsia="en-AU"/>
              </w:rPr>
              <w:t>Solely for payment of Principal and Interest SPPI Test (basic lending characteristics)</w:t>
            </w:r>
          </w:p>
        </w:tc>
        <w:tc>
          <w:tcPr>
            <w:tcW w:w="1985" w:type="dxa"/>
            <w:tcBorders>
              <w:top w:val="single" w:sz="12" w:space="0" w:color="492581" w:themeColor="accent1"/>
              <w:bottom w:val="single" w:sz="12" w:space="0" w:color="492581" w:themeColor="accent1"/>
            </w:tcBorders>
            <w:vAlign w:val="bottom"/>
          </w:tcPr>
          <w:p w14:paraId="462412B2" w14:textId="77777777" w:rsidR="00FF52EF" w:rsidRPr="006A27ED" w:rsidRDefault="00FF52EF">
            <w:pPr>
              <w:pStyle w:val="VAText"/>
              <w:rPr>
                <w:rFonts w:asciiTheme="minorHAnsi" w:hAnsiTheme="minorHAnsi"/>
                <w:b/>
                <w:szCs w:val="18"/>
              </w:rPr>
            </w:pPr>
            <w:r w:rsidRPr="00034597">
              <w:rPr>
                <w:rFonts w:asciiTheme="minorHAnsi" w:hAnsiTheme="minorHAnsi" w:cstheme="minorHAnsi"/>
                <w:b/>
                <w:szCs w:val="18"/>
                <w:lang w:val="en-US" w:eastAsia="en-AU"/>
              </w:rPr>
              <w:t>Classification</w:t>
            </w:r>
          </w:p>
        </w:tc>
      </w:tr>
      <w:tr w:rsidR="00FF52EF" w:rsidRPr="006A27ED" w14:paraId="6EE2D251" w14:textId="77777777" w:rsidTr="00482B18">
        <w:trPr>
          <w:cantSplit/>
        </w:trPr>
        <w:tc>
          <w:tcPr>
            <w:tcW w:w="1985" w:type="dxa"/>
            <w:tcBorders>
              <w:top w:val="single" w:sz="12" w:space="0" w:color="492581" w:themeColor="accent1"/>
            </w:tcBorders>
          </w:tcPr>
          <w:p w14:paraId="78D94C93" w14:textId="77777777" w:rsidR="00FF52EF" w:rsidRPr="006A27ED" w:rsidRDefault="00FF52EF">
            <w:pPr>
              <w:pStyle w:val="VAText"/>
              <w:spacing w:before="40" w:after="40"/>
              <w:rPr>
                <w:rFonts w:asciiTheme="minorHAnsi" w:hAnsiTheme="minorHAnsi"/>
                <w:b/>
                <w:szCs w:val="18"/>
              </w:rPr>
            </w:pPr>
          </w:p>
        </w:tc>
        <w:tc>
          <w:tcPr>
            <w:tcW w:w="3260" w:type="dxa"/>
            <w:tcBorders>
              <w:top w:val="single" w:sz="12" w:space="0" w:color="492581" w:themeColor="accent1"/>
            </w:tcBorders>
          </w:tcPr>
          <w:p w14:paraId="435B98D1" w14:textId="77777777" w:rsidR="00FF52EF" w:rsidRPr="006A27ED" w:rsidRDefault="00FF52EF">
            <w:pPr>
              <w:pStyle w:val="VAText"/>
              <w:spacing w:before="40" w:after="40"/>
              <w:jc w:val="center"/>
              <w:rPr>
                <w:rFonts w:asciiTheme="minorHAnsi" w:hAnsiTheme="minorHAnsi"/>
                <w:b/>
                <w:szCs w:val="18"/>
              </w:rPr>
            </w:pPr>
          </w:p>
        </w:tc>
        <w:tc>
          <w:tcPr>
            <w:tcW w:w="1984" w:type="dxa"/>
            <w:tcBorders>
              <w:top w:val="single" w:sz="12" w:space="0" w:color="492581" w:themeColor="accent1"/>
            </w:tcBorders>
          </w:tcPr>
          <w:p w14:paraId="2C0255AE" w14:textId="77777777" w:rsidR="00FF52EF" w:rsidRPr="006A27ED" w:rsidRDefault="00FF52EF">
            <w:pPr>
              <w:pStyle w:val="VAText"/>
              <w:spacing w:before="40" w:after="40"/>
              <w:jc w:val="right"/>
              <w:rPr>
                <w:rFonts w:asciiTheme="minorHAnsi" w:hAnsiTheme="minorHAnsi"/>
                <w:b/>
                <w:szCs w:val="18"/>
              </w:rPr>
            </w:pPr>
          </w:p>
        </w:tc>
        <w:tc>
          <w:tcPr>
            <w:tcW w:w="1985" w:type="dxa"/>
            <w:tcBorders>
              <w:top w:val="single" w:sz="12" w:space="0" w:color="492581" w:themeColor="accent1"/>
            </w:tcBorders>
          </w:tcPr>
          <w:p w14:paraId="709DC030" w14:textId="77777777" w:rsidR="00FF52EF" w:rsidRPr="006A27ED" w:rsidRDefault="00FF52EF">
            <w:pPr>
              <w:pStyle w:val="VAText"/>
              <w:spacing w:before="40" w:after="40"/>
              <w:jc w:val="right"/>
              <w:rPr>
                <w:rFonts w:asciiTheme="minorHAnsi" w:hAnsiTheme="minorHAnsi"/>
                <w:szCs w:val="18"/>
              </w:rPr>
            </w:pPr>
          </w:p>
        </w:tc>
      </w:tr>
      <w:tr w:rsidR="00FF52EF" w:rsidRPr="00AF265D" w14:paraId="63560283" w14:textId="77777777">
        <w:trPr>
          <w:cantSplit/>
        </w:trPr>
        <w:tc>
          <w:tcPr>
            <w:tcW w:w="1985" w:type="dxa"/>
            <w:vAlign w:val="bottom"/>
          </w:tcPr>
          <w:p w14:paraId="0EAB6863" w14:textId="77777777" w:rsidR="00FF52EF" w:rsidRPr="00034597" w:rsidRDefault="00FF52EF">
            <w:pPr>
              <w:spacing w:before="40" w:after="40" w:line="240" w:lineRule="auto"/>
              <w:rPr>
                <w:rFonts w:cstheme="minorHAnsi"/>
                <w:sz w:val="18"/>
                <w:szCs w:val="18"/>
              </w:rPr>
            </w:pPr>
            <w:r w:rsidRPr="00034597">
              <w:rPr>
                <w:rFonts w:cstheme="minorHAnsi"/>
                <w:sz w:val="18"/>
                <w:szCs w:val="18"/>
              </w:rPr>
              <w:t>Cash at Bank</w:t>
            </w:r>
          </w:p>
        </w:tc>
        <w:tc>
          <w:tcPr>
            <w:tcW w:w="3260" w:type="dxa"/>
            <w:vAlign w:val="bottom"/>
          </w:tcPr>
          <w:p w14:paraId="60D05449"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333E68CF"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Yes</w:t>
            </w:r>
          </w:p>
        </w:tc>
        <w:tc>
          <w:tcPr>
            <w:tcW w:w="1985" w:type="dxa"/>
            <w:vAlign w:val="bottom"/>
          </w:tcPr>
          <w:p w14:paraId="7C47A370"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Amortised cost</w:t>
            </w:r>
          </w:p>
        </w:tc>
      </w:tr>
      <w:tr w:rsidR="00FF52EF" w:rsidRPr="006A27ED" w14:paraId="1CA6F354" w14:textId="77777777" w:rsidTr="00482B18">
        <w:trPr>
          <w:cantSplit/>
        </w:trPr>
        <w:tc>
          <w:tcPr>
            <w:tcW w:w="1985" w:type="dxa"/>
            <w:vAlign w:val="bottom"/>
          </w:tcPr>
          <w:p w14:paraId="75AB3B1F" w14:textId="77777777" w:rsidR="00FF52EF" w:rsidRPr="00034597" w:rsidRDefault="00FF52EF">
            <w:pPr>
              <w:spacing w:before="40" w:after="40" w:line="240" w:lineRule="auto"/>
              <w:rPr>
                <w:rFonts w:cstheme="minorHAnsi"/>
                <w:sz w:val="18"/>
                <w:szCs w:val="18"/>
              </w:rPr>
            </w:pPr>
            <w:r w:rsidRPr="00034597">
              <w:rPr>
                <w:rFonts w:cstheme="minorHAnsi"/>
                <w:sz w:val="18"/>
                <w:szCs w:val="18"/>
              </w:rPr>
              <w:t>Receivables</w:t>
            </w:r>
          </w:p>
        </w:tc>
        <w:tc>
          <w:tcPr>
            <w:tcW w:w="3260" w:type="dxa"/>
            <w:vAlign w:val="bottom"/>
          </w:tcPr>
          <w:p w14:paraId="450804CE"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5FAD2614"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Yes</w:t>
            </w:r>
          </w:p>
        </w:tc>
        <w:tc>
          <w:tcPr>
            <w:tcW w:w="1985" w:type="dxa"/>
            <w:vAlign w:val="bottom"/>
          </w:tcPr>
          <w:p w14:paraId="109AC5E7"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Amortised cost</w:t>
            </w:r>
          </w:p>
        </w:tc>
      </w:tr>
      <w:tr w:rsidR="00FF52EF" w:rsidRPr="006A27ED" w14:paraId="620AC95D" w14:textId="77777777" w:rsidTr="00482B18">
        <w:trPr>
          <w:cantSplit/>
        </w:trPr>
        <w:tc>
          <w:tcPr>
            <w:tcW w:w="1985" w:type="dxa"/>
            <w:tcBorders>
              <w:bottom w:val="single" w:sz="12" w:space="0" w:color="492581" w:themeColor="accent1"/>
            </w:tcBorders>
            <w:vAlign w:val="bottom"/>
          </w:tcPr>
          <w:p w14:paraId="4BD1B123" w14:textId="77777777" w:rsidR="00FF52EF" w:rsidRPr="00034597" w:rsidRDefault="00FF52EF">
            <w:pPr>
              <w:spacing w:before="40" w:after="40" w:line="240" w:lineRule="auto"/>
              <w:rPr>
                <w:rFonts w:cstheme="minorHAnsi"/>
                <w:sz w:val="18"/>
                <w:szCs w:val="18"/>
              </w:rPr>
            </w:pPr>
            <w:r w:rsidRPr="00034597">
              <w:rPr>
                <w:rFonts w:cstheme="minorHAnsi"/>
                <w:sz w:val="18"/>
                <w:szCs w:val="18"/>
              </w:rPr>
              <w:t>Investments</w:t>
            </w:r>
          </w:p>
        </w:tc>
        <w:tc>
          <w:tcPr>
            <w:tcW w:w="3260" w:type="dxa"/>
            <w:tcBorders>
              <w:bottom w:val="single" w:sz="12" w:space="0" w:color="492581" w:themeColor="accent1"/>
            </w:tcBorders>
            <w:vAlign w:val="bottom"/>
          </w:tcPr>
          <w:p w14:paraId="46855A77" w14:textId="77777777" w:rsidR="00FF52EF" w:rsidRPr="00034597" w:rsidRDefault="00FF52EF">
            <w:pPr>
              <w:spacing w:before="40" w:after="40" w:line="240" w:lineRule="auto"/>
              <w:rPr>
                <w:rFonts w:cstheme="minorHAnsi"/>
                <w:sz w:val="18"/>
                <w:szCs w:val="18"/>
                <w:lang w:val="en-US" w:eastAsia="en-AU"/>
              </w:rPr>
            </w:pPr>
            <w:r w:rsidRPr="00034597">
              <w:rPr>
                <w:rFonts w:cstheme="minorHAnsi"/>
                <w:sz w:val="18"/>
                <w:szCs w:val="18"/>
                <w:lang w:val="en-US" w:eastAsia="en-AU"/>
              </w:rPr>
              <w:t xml:space="preserve">Held to collect </w:t>
            </w:r>
            <w:r>
              <w:rPr>
                <w:rFonts w:cstheme="minorHAnsi"/>
                <w:sz w:val="18"/>
                <w:szCs w:val="18"/>
                <w:lang w:val="en-US" w:eastAsia="en-AU"/>
              </w:rPr>
              <w:t>and/or</w:t>
            </w:r>
            <w:r w:rsidRPr="00034597">
              <w:rPr>
                <w:rFonts w:cstheme="minorHAnsi"/>
                <w:sz w:val="18"/>
                <w:szCs w:val="18"/>
                <w:lang w:val="en-US" w:eastAsia="en-AU"/>
              </w:rPr>
              <w:t xml:space="preserve"> sell </w:t>
            </w:r>
          </w:p>
        </w:tc>
        <w:tc>
          <w:tcPr>
            <w:tcW w:w="1984" w:type="dxa"/>
            <w:tcBorders>
              <w:bottom w:val="single" w:sz="12" w:space="0" w:color="492581" w:themeColor="accent1"/>
            </w:tcBorders>
            <w:vAlign w:val="bottom"/>
          </w:tcPr>
          <w:p w14:paraId="04EC5D67" w14:textId="77777777" w:rsidR="00FF52EF" w:rsidRPr="00034597" w:rsidRDefault="00FF52EF">
            <w:pPr>
              <w:spacing w:before="40" w:after="40" w:line="240" w:lineRule="auto"/>
              <w:rPr>
                <w:rFonts w:cstheme="minorHAnsi"/>
                <w:sz w:val="18"/>
                <w:szCs w:val="18"/>
                <w:lang w:val="en-US" w:eastAsia="en-AU"/>
              </w:rPr>
            </w:pPr>
            <w:r w:rsidRPr="00034597">
              <w:rPr>
                <w:rFonts w:cstheme="minorHAnsi"/>
                <w:sz w:val="18"/>
                <w:szCs w:val="18"/>
                <w:lang w:val="en-US" w:eastAsia="en-AU"/>
              </w:rPr>
              <w:t>No</w:t>
            </w:r>
          </w:p>
        </w:tc>
        <w:tc>
          <w:tcPr>
            <w:tcW w:w="1985" w:type="dxa"/>
            <w:tcBorders>
              <w:bottom w:val="single" w:sz="12" w:space="0" w:color="492581" w:themeColor="accent1"/>
            </w:tcBorders>
            <w:vAlign w:val="bottom"/>
          </w:tcPr>
          <w:p w14:paraId="7AC7E78B" w14:textId="77777777" w:rsidR="00FF52EF" w:rsidRPr="00034597" w:rsidRDefault="00FF52EF">
            <w:pPr>
              <w:spacing w:before="40" w:after="40" w:line="240" w:lineRule="auto"/>
              <w:rPr>
                <w:rFonts w:cstheme="minorHAnsi"/>
                <w:sz w:val="18"/>
                <w:szCs w:val="18"/>
                <w:lang w:val="en-US" w:eastAsia="en-AU"/>
              </w:rPr>
            </w:pPr>
            <w:r>
              <w:rPr>
                <w:rFonts w:cstheme="minorHAnsi"/>
                <w:sz w:val="18"/>
                <w:szCs w:val="18"/>
                <w:lang w:val="en-US" w:eastAsia="en-AU"/>
              </w:rPr>
              <w:t>Fair Value Through Profit or Loss</w:t>
            </w:r>
          </w:p>
        </w:tc>
      </w:tr>
    </w:tbl>
    <w:p w14:paraId="3736B4B6" w14:textId="77777777" w:rsidR="003C5243" w:rsidRDefault="003C5243" w:rsidP="00625925">
      <w:pPr>
        <w:pStyle w:val="Pa6"/>
        <w:spacing w:after="140"/>
        <w:rPr>
          <w:rFonts w:asciiTheme="minorHAnsi" w:hAnsiTheme="minorHAnsi" w:cs="Source Sans Pro Light"/>
          <w:color w:val="000000"/>
          <w:sz w:val="22"/>
          <w:szCs w:val="22"/>
        </w:rPr>
      </w:pPr>
    </w:p>
    <w:p w14:paraId="19933613" w14:textId="05B2CB87" w:rsidR="00625925" w:rsidRDefault="00625925" w:rsidP="00625925">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 xml:space="preserve">Details of the significant policies and methods adopted, including the criteria for recognition, the basis of measurement, and the basis on which income and expenses are recognised, with respect to each class of financial asset and financial liability are disclosed </w:t>
      </w:r>
      <w:r>
        <w:rPr>
          <w:rFonts w:asciiTheme="minorHAnsi" w:hAnsiTheme="minorHAnsi" w:cs="Source Sans Pro Light"/>
          <w:color w:val="000000"/>
          <w:sz w:val="22"/>
          <w:szCs w:val="22"/>
        </w:rPr>
        <w:t>under Note – 11 Cash and Investments and Note – 12 Receivables.</w:t>
      </w:r>
    </w:p>
    <w:p w14:paraId="3F8E2476" w14:textId="77777777" w:rsidR="00625925" w:rsidRPr="00D53F94" w:rsidRDefault="00625925" w:rsidP="00625925">
      <w:pPr>
        <w:pStyle w:val="Pa6"/>
        <w:spacing w:after="140"/>
        <w:rPr>
          <w:rFonts w:asciiTheme="minorHAnsi" w:hAnsiTheme="minorHAnsi" w:cs="Source Sans Pro Light"/>
          <w:color w:val="000000"/>
          <w:sz w:val="22"/>
          <w:szCs w:val="22"/>
        </w:rPr>
      </w:pPr>
      <w:r w:rsidRPr="008A11DA">
        <w:rPr>
          <w:rFonts w:asciiTheme="minorHAnsi" w:hAnsiTheme="minorHAnsi" w:cs="Montserrat Semi Bold"/>
          <w:b/>
          <w:bCs/>
          <w:color w:val="000000"/>
          <w:sz w:val="22"/>
          <w:szCs w:val="22"/>
        </w:rPr>
        <w:t xml:space="preserve">(a) Interest Rate Risk </w:t>
      </w:r>
    </w:p>
    <w:p w14:paraId="4B198720" w14:textId="77777777" w:rsidR="00625925" w:rsidRPr="008A11DA" w:rsidRDefault="00625925" w:rsidP="00625925">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Interest rate risk is the risk that the fair value or future cash flows of a financial instrument will fluctuate because of changes in market interest rates. </w:t>
      </w:r>
    </w:p>
    <w:p w14:paraId="2D61C2AC" w14:textId="77777777" w:rsidR="00625925" w:rsidRPr="008A11DA" w:rsidRDefault="00625925" w:rsidP="00625925">
      <w:pPr>
        <w:pStyle w:val="Pa6"/>
        <w:spacing w:after="140"/>
        <w:rPr>
          <w:rFonts w:asciiTheme="minorHAnsi" w:hAnsiTheme="minorHAnsi" w:cs="Source Sans Pro Light"/>
          <w:sz w:val="22"/>
          <w:szCs w:val="22"/>
        </w:rPr>
      </w:pPr>
      <w:r w:rsidRPr="008A11DA">
        <w:rPr>
          <w:rFonts w:asciiTheme="minorHAnsi" w:hAnsiTheme="minorHAnsi" w:cs="Source Sans Pro Light"/>
          <w:color w:val="000000"/>
          <w:sz w:val="22"/>
          <w:szCs w:val="22"/>
        </w:rPr>
        <w:t xml:space="preserve">A small percentage of the Authority’s financial assets are held as cash at bank which has a variable interest rate exposure. The Authority’s financial liabilities are not subject to variable interest rates. This means that the Authority is not exposed to movements in interest payable; however, it is exposed to movements in </w:t>
      </w:r>
      <w:r w:rsidRPr="008A11DA">
        <w:rPr>
          <w:rFonts w:asciiTheme="minorHAnsi" w:hAnsiTheme="minorHAnsi" w:cs="Source Sans Pro Light"/>
          <w:sz w:val="22"/>
          <w:szCs w:val="22"/>
        </w:rPr>
        <w:t>interest receivable.</w:t>
      </w:r>
    </w:p>
    <w:p w14:paraId="1A76177B" w14:textId="77777777" w:rsidR="00625925" w:rsidRPr="008A11DA" w:rsidRDefault="00625925" w:rsidP="00625925">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Interest rate risk for financial assets is managed by the Authority by only holding limited funds in cash. The interest rate risk for financial liabilities is not actively managed by the Authority as these liabilities are held in non-interest-bearing arrangements. There have been no changes in risk exposure or processes for managing risk since the last reporting period. </w:t>
      </w:r>
    </w:p>
    <w:p w14:paraId="3F6F78BD" w14:textId="77777777" w:rsidR="00625925" w:rsidRPr="00B30B85" w:rsidRDefault="00625925" w:rsidP="00625925">
      <w:pPr>
        <w:pStyle w:val="Pa6"/>
        <w:spacing w:before="40" w:after="100"/>
        <w:rPr>
          <w:rFonts w:asciiTheme="minorHAnsi" w:hAnsiTheme="minorHAnsi" w:cs="Source Sans Pro"/>
          <w:i/>
          <w:iCs/>
          <w:color w:val="000000"/>
          <w:sz w:val="22"/>
          <w:szCs w:val="22"/>
        </w:rPr>
      </w:pPr>
      <w:r w:rsidRPr="00B30B85">
        <w:rPr>
          <w:rFonts w:asciiTheme="minorHAnsi" w:hAnsiTheme="minorHAnsi" w:cs="Source Sans Pro"/>
          <w:i/>
          <w:iCs/>
          <w:color w:val="000000"/>
          <w:sz w:val="22"/>
          <w:szCs w:val="22"/>
        </w:rPr>
        <w:t xml:space="preserve">Sensitivity Analysis </w:t>
      </w:r>
    </w:p>
    <w:p w14:paraId="3277C733" w14:textId="77777777" w:rsidR="00625925" w:rsidRPr="008A11DA" w:rsidRDefault="00625925" w:rsidP="00625925">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A sensitivity analysis has not been undertaken for the interest rate risk of the Authority as it has been determined that the possible impact on income and expenses or total equity from fluctuations in interest rates is immaterial. </w:t>
      </w:r>
    </w:p>
    <w:p w14:paraId="3821AF84" w14:textId="77777777" w:rsidR="00625925" w:rsidRPr="00731307" w:rsidRDefault="00625925" w:rsidP="00625925">
      <w:pPr>
        <w:pStyle w:val="Pa6"/>
        <w:spacing w:before="40" w:after="100"/>
        <w:rPr>
          <w:rFonts w:asciiTheme="minorHAnsi" w:hAnsiTheme="minorHAnsi" w:cs="Source Sans Pro"/>
          <w:b/>
          <w:bCs/>
          <w:color w:val="000000"/>
          <w:sz w:val="22"/>
          <w:szCs w:val="22"/>
        </w:rPr>
      </w:pPr>
      <w:r w:rsidRPr="00731307">
        <w:rPr>
          <w:rFonts w:asciiTheme="minorHAnsi" w:hAnsiTheme="minorHAnsi" w:cs="Source Sans Pro"/>
          <w:b/>
          <w:bCs/>
          <w:color w:val="000000"/>
          <w:sz w:val="22"/>
          <w:szCs w:val="22"/>
        </w:rPr>
        <w:t xml:space="preserve">(b) Credit Risk </w:t>
      </w:r>
    </w:p>
    <w:p w14:paraId="7F57396F" w14:textId="77777777" w:rsidR="00625925" w:rsidRDefault="00625925" w:rsidP="00625925">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Credit risk is the risk that one party to a financial instrument will fail to discharge an obligation and cause the other party to incur a financial loss. The Authority’s credit risk is limited to the amount of the financial assets it holds net of any allowance for impairment. The Authority expects to collect all financial assets that are not past due or impaired.</w:t>
      </w:r>
    </w:p>
    <w:p w14:paraId="50435966" w14:textId="77777777" w:rsidR="00625925" w:rsidRPr="00501ACC" w:rsidRDefault="00625925" w:rsidP="00625925">
      <w:pPr>
        <w:pStyle w:val="Pa6"/>
        <w:spacing w:after="140"/>
        <w:rPr>
          <w:rFonts w:asciiTheme="minorHAnsi" w:hAnsiTheme="minorHAnsi" w:cs="Source Sans Pro Light"/>
          <w:sz w:val="22"/>
          <w:szCs w:val="22"/>
        </w:rPr>
      </w:pPr>
      <w:r w:rsidRPr="00501ACC">
        <w:rPr>
          <w:rFonts w:asciiTheme="minorHAnsi" w:hAnsiTheme="minorHAnsi" w:cs="Source Sans Pro Light"/>
          <w:sz w:val="22"/>
          <w:szCs w:val="22"/>
        </w:rPr>
        <w:t>Credit risk is managed by the Fund for cash at bank by holding bank balances with the ACT Government’s bank, Westpac Banking Corporation (Westpac). Westpac holds a AA issuer credit rating with S&amp;P Global Ratings. A ‘AA’ credit rating is defined as a ‘very strong capacity to meet financial commitments’.</w:t>
      </w:r>
    </w:p>
    <w:p w14:paraId="0298F939" w14:textId="1AC3431F" w:rsidR="003C5243" w:rsidRPr="003C5243" w:rsidRDefault="00625925" w:rsidP="003C5243">
      <w:pPr>
        <w:pStyle w:val="Pa6"/>
        <w:spacing w:after="140"/>
        <w:rPr>
          <w:rFonts w:asciiTheme="minorHAnsi" w:hAnsiTheme="minorHAnsi" w:cs="Source Sans Pro Light"/>
          <w:sz w:val="22"/>
          <w:szCs w:val="22"/>
        </w:rPr>
      </w:pPr>
      <w:r w:rsidRPr="00AC78B5">
        <w:rPr>
          <w:rFonts w:asciiTheme="minorHAnsi" w:hAnsiTheme="minorHAnsi" w:cs="Source Sans Pro Light"/>
          <w:sz w:val="22"/>
          <w:szCs w:val="22"/>
        </w:rPr>
        <w:t>Direct credit exposure for the Authority is mainly attributed to investments held with the Territory Banking Account and distributions receivable from the Territory Banking Account. The risk is assessed as very low.</w:t>
      </w:r>
    </w:p>
    <w:p w14:paraId="1EC584FC" w14:textId="103374EE" w:rsidR="003C5243" w:rsidRPr="003C5243" w:rsidRDefault="003C5243" w:rsidP="003C5243">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8</w:t>
      </w:r>
      <w:r w:rsidRPr="00C00EFD">
        <w:rPr>
          <w:rFonts w:ascii="Calibri" w:eastAsia="Calibri" w:hAnsi="Calibri" w:cs="Montserrat Semi Bold"/>
          <w:b/>
          <w:bCs/>
          <w:color w:val="000000"/>
          <w:sz w:val="30"/>
          <w:szCs w:val="30"/>
        </w:rPr>
        <w:t xml:space="preserve">. FINANCIAL INSTRUMENTS </w:t>
      </w:r>
      <w:r>
        <w:rPr>
          <w:rFonts w:ascii="Calibri" w:eastAsia="Calibri" w:hAnsi="Calibri" w:cs="Montserrat Semi Bold"/>
          <w:b/>
          <w:bCs/>
          <w:color w:val="000000"/>
          <w:sz w:val="30"/>
          <w:szCs w:val="30"/>
        </w:rPr>
        <w:t>- CONTINUED</w:t>
      </w:r>
    </w:p>
    <w:p w14:paraId="2DE9DBA1" w14:textId="7705C431" w:rsidR="00485DF0" w:rsidRPr="00485DF0" w:rsidRDefault="00485DF0" w:rsidP="00485DF0">
      <w:pPr>
        <w:pStyle w:val="Pa6"/>
        <w:spacing w:before="40" w:after="100"/>
        <w:rPr>
          <w:rFonts w:asciiTheme="minorHAnsi" w:hAnsiTheme="minorHAnsi" w:cs="Source Sans Pro"/>
          <w:b/>
          <w:bCs/>
          <w:color w:val="000000"/>
          <w:sz w:val="22"/>
          <w:szCs w:val="22"/>
        </w:rPr>
      </w:pPr>
      <w:r w:rsidRPr="00731307">
        <w:rPr>
          <w:rFonts w:asciiTheme="minorHAnsi" w:hAnsiTheme="minorHAnsi" w:cs="Source Sans Pro"/>
          <w:b/>
          <w:bCs/>
          <w:color w:val="000000"/>
          <w:sz w:val="22"/>
          <w:szCs w:val="22"/>
        </w:rPr>
        <w:t xml:space="preserve">(b) Credit Risk </w:t>
      </w:r>
      <w:r>
        <w:rPr>
          <w:rFonts w:asciiTheme="minorHAnsi" w:hAnsiTheme="minorHAnsi" w:cs="Source Sans Pro"/>
          <w:b/>
          <w:bCs/>
          <w:color w:val="000000"/>
          <w:sz w:val="22"/>
          <w:szCs w:val="22"/>
        </w:rPr>
        <w:t>- continued</w:t>
      </w:r>
    </w:p>
    <w:p w14:paraId="1B393EB5" w14:textId="11A2CEF2" w:rsidR="003C5243" w:rsidRPr="003C5243" w:rsidRDefault="00625925" w:rsidP="003C5243">
      <w:pPr>
        <w:pStyle w:val="Pa6"/>
        <w:spacing w:after="140"/>
        <w:rPr>
          <w:rFonts w:asciiTheme="minorHAnsi" w:hAnsiTheme="minorHAnsi" w:cs="Source Sans Pro Light"/>
          <w:sz w:val="22"/>
          <w:szCs w:val="22"/>
        </w:rPr>
      </w:pPr>
      <w:r w:rsidRPr="00177A67">
        <w:rPr>
          <w:rFonts w:asciiTheme="minorHAnsi" w:hAnsiTheme="minorHAnsi" w:cs="Source Sans Pro Light"/>
          <w:sz w:val="22"/>
          <w:szCs w:val="22"/>
        </w:rPr>
        <w:t>A large proportion of the Authority’s receivables are from other ACT Government</w:t>
      </w:r>
      <w:r>
        <w:rPr>
          <w:rFonts w:asciiTheme="minorHAnsi" w:hAnsiTheme="minorHAnsi" w:cs="Source Sans Pro Light"/>
          <w:sz w:val="22"/>
          <w:szCs w:val="22"/>
        </w:rPr>
        <w:t xml:space="preserve"> </w:t>
      </w:r>
      <w:r w:rsidRPr="00177A67">
        <w:rPr>
          <w:rFonts w:asciiTheme="minorHAnsi" w:hAnsiTheme="minorHAnsi" w:cs="Source Sans Pro Light"/>
          <w:sz w:val="22"/>
          <w:szCs w:val="22"/>
        </w:rPr>
        <w:t>agencies</w:t>
      </w:r>
      <w:r>
        <w:rPr>
          <w:rFonts w:asciiTheme="minorHAnsi" w:hAnsiTheme="minorHAnsi" w:cs="Source Sans Pro Light"/>
          <w:sz w:val="22"/>
          <w:szCs w:val="22"/>
        </w:rPr>
        <w:t xml:space="preserve"> </w:t>
      </w:r>
      <w:r w:rsidRPr="00177A67">
        <w:rPr>
          <w:rFonts w:asciiTheme="minorHAnsi" w:hAnsiTheme="minorHAnsi" w:cs="Source Sans Pro Light"/>
          <w:sz w:val="22"/>
          <w:szCs w:val="22"/>
        </w:rPr>
        <w:t xml:space="preserve">which means that the credit risk of these receivables going into default is low. </w:t>
      </w:r>
    </w:p>
    <w:p w14:paraId="4E983E4E" w14:textId="1F0B9AAA" w:rsidR="00625925" w:rsidRDefault="00625925" w:rsidP="00625925">
      <w:pPr>
        <w:pStyle w:val="Default"/>
        <w:rPr>
          <w:rFonts w:asciiTheme="minorHAnsi" w:hAnsiTheme="minorHAnsi" w:cstheme="minorHAnsi"/>
          <w:sz w:val="22"/>
          <w:szCs w:val="22"/>
        </w:rPr>
      </w:pPr>
      <w:r w:rsidRPr="001B46BC">
        <w:rPr>
          <w:rFonts w:asciiTheme="minorHAnsi" w:hAnsiTheme="minorHAnsi" w:cstheme="minorHAnsi"/>
          <w:sz w:val="22"/>
          <w:szCs w:val="22"/>
        </w:rPr>
        <w:t>The Authority actuarially estimate</w:t>
      </w:r>
      <w:r>
        <w:rPr>
          <w:rFonts w:asciiTheme="minorHAnsi" w:hAnsiTheme="minorHAnsi" w:cstheme="minorHAnsi"/>
          <w:sz w:val="22"/>
          <w:szCs w:val="22"/>
        </w:rPr>
        <w:t>s the</w:t>
      </w:r>
      <w:r w:rsidRPr="001B46BC">
        <w:rPr>
          <w:rFonts w:asciiTheme="minorHAnsi" w:hAnsiTheme="minorHAnsi" w:cstheme="minorHAnsi"/>
          <w:sz w:val="22"/>
          <w:szCs w:val="22"/>
        </w:rPr>
        <w:t xml:space="preserve"> claims related receivables in relation to claims </w:t>
      </w:r>
      <w:r w:rsidRPr="000A5A9C">
        <w:rPr>
          <w:rFonts w:asciiTheme="minorHAnsi" w:hAnsiTheme="minorHAnsi" w:cstheme="minorHAnsi"/>
          <w:sz w:val="22"/>
          <w:szCs w:val="22"/>
        </w:rPr>
        <w:t>related recoveries from a third-party</w:t>
      </w:r>
      <w:r>
        <w:rPr>
          <w:rFonts w:asciiTheme="minorHAnsi" w:hAnsiTheme="minorHAnsi" w:cstheme="minorHAnsi"/>
          <w:sz w:val="22"/>
          <w:szCs w:val="22"/>
        </w:rPr>
        <w:t>, r</w:t>
      </w:r>
      <w:r w:rsidRPr="000A5A9C">
        <w:rPr>
          <w:rFonts w:asciiTheme="minorHAnsi" w:hAnsiTheme="minorHAnsi" w:cstheme="minorHAnsi"/>
          <w:sz w:val="22"/>
          <w:szCs w:val="22"/>
        </w:rPr>
        <w:t>eins</w:t>
      </w:r>
      <w:r>
        <w:rPr>
          <w:rFonts w:asciiTheme="minorHAnsi" w:hAnsiTheme="minorHAnsi" w:cstheme="minorHAnsi"/>
          <w:sz w:val="22"/>
          <w:szCs w:val="22"/>
        </w:rPr>
        <w:t>urers</w:t>
      </w:r>
      <w:r w:rsidRPr="000A5A9C">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0A5A9C">
        <w:rPr>
          <w:rFonts w:asciiTheme="minorHAnsi" w:hAnsiTheme="minorHAnsi" w:cstheme="minorHAnsi"/>
          <w:sz w:val="22"/>
          <w:szCs w:val="22"/>
        </w:rPr>
        <w:t>BWI claims recoveries</w:t>
      </w:r>
      <w:r>
        <w:rPr>
          <w:rFonts w:asciiTheme="minorHAnsi" w:hAnsiTheme="minorHAnsi" w:cstheme="minorHAnsi"/>
          <w:sz w:val="22"/>
          <w:szCs w:val="22"/>
        </w:rPr>
        <w:t xml:space="preserve">. Refer Note </w:t>
      </w:r>
      <w:r>
        <w:rPr>
          <w:rFonts w:asciiTheme="minorHAnsi" w:hAnsiTheme="minorHAnsi" w:cstheme="minorHAnsi"/>
          <w:sz w:val="22"/>
          <w:szCs w:val="22"/>
        </w:rPr>
        <w:noBreakHyphen/>
        <w:t xml:space="preserve"> 13 Claims Related Recoveries and Note - 15 Outstanding Claims for details</w:t>
      </w:r>
      <w:r w:rsidRPr="000A5A9C">
        <w:rPr>
          <w:rFonts w:asciiTheme="minorHAnsi" w:hAnsiTheme="minorHAnsi" w:cstheme="minorHAnsi"/>
          <w:sz w:val="22"/>
          <w:szCs w:val="22"/>
        </w:rPr>
        <w:t xml:space="preserve">. </w:t>
      </w:r>
      <w:r>
        <w:rPr>
          <w:rFonts w:asciiTheme="minorHAnsi" w:hAnsiTheme="minorHAnsi" w:cstheme="minorHAnsi"/>
          <w:sz w:val="22"/>
          <w:szCs w:val="22"/>
        </w:rPr>
        <w:t xml:space="preserve">The credit risk associated with claims related receivables, when the debt </w:t>
      </w:r>
      <w:proofErr w:type="gramStart"/>
      <w:r>
        <w:rPr>
          <w:rFonts w:asciiTheme="minorHAnsi" w:hAnsiTheme="minorHAnsi" w:cstheme="minorHAnsi"/>
          <w:sz w:val="22"/>
          <w:szCs w:val="22"/>
        </w:rPr>
        <w:t>is raised</w:t>
      </w:r>
      <w:proofErr w:type="gramEnd"/>
      <w:r>
        <w:rPr>
          <w:rFonts w:asciiTheme="minorHAnsi" w:hAnsiTheme="minorHAnsi" w:cstheme="minorHAnsi"/>
          <w:sz w:val="22"/>
          <w:szCs w:val="22"/>
        </w:rPr>
        <w:t xml:space="preserve"> is assessed as low as the Authority maintains a reinsurance program with reputed Australian or International reinsurance partners and receivables raised against third parties are often raised as per a court ordered or agreed settlement process coordinated by the ACT Government Solicitors Office.</w:t>
      </w:r>
    </w:p>
    <w:p w14:paraId="419B1D23" w14:textId="77777777" w:rsidR="00625925" w:rsidRPr="000A5A9C" w:rsidRDefault="00625925" w:rsidP="00625925">
      <w:pPr>
        <w:pStyle w:val="Default"/>
        <w:rPr>
          <w:rFonts w:asciiTheme="minorHAnsi" w:hAnsiTheme="minorHAnsi" w:cstheme="minorHAnsi"/>
          <w:sz w:val="22"/>
          <w:szCs w:val="22"/>
        </w:rPr>
      </w:pPr>
    </w:p>
    <w:p w14:paraId="0F38BAAC" w14:textId="1C1F3FDD" w:rsidR="001530CE" w:rsidRPr="003C5243" w:rsidRDefault="00625925" w:rsidP="003C5243">
      <w:pPr>
        <w:pStyle w:val="Pa6"/>
        <w:spacing w:after="140"/>
        <w:rPr>
          <w:rFonts w:asciiTheme="minorHAnsi" w:hAnsiTheme="minorHAnsi" w:cs="Source Sans Pro Light"/>
          <w:color w:val="000000"/>
          <w:sz w:val="22"/>
          <w:szCs w:val="22"/>
        </w:rPr>
      </w:pPr>
      <w:r w:rsidRPr="00177A67">
        <w:rPr>
          <w:rFonts w:asciiTheme="minorHAnsi" w:hAnsiTheme="minorHAnsi" w:cs="Source Sans Pro Light"/>
          <w:sz w:val="22"/>
          <w:szCs w:val="22"/>
        </w:rPr>
        <w:t>The Authority’s exposure to credit risk and management of the risk has not changed since the last reporting year.</w:t>
      </w:r>
    </w:p>
    <w:p w14:paraId="3FC0389B" w14:textId="1E3AF936" w:rsidR="006701A2" w:rsidRPr="009514F6" w:rsidRDefault="00E867D5" w:rsidP="006701A2">
      <w:pPr>
        <w:pStyle w:val="Pa6"/>
        <w:spacing w:before="40" w:after="100"/>
        <w:rPr>
          <w:rFonts w:asciiTheme="minorHAnsi" w:hAnsiTheme="minorHAnsi" w:cs="Source Sans Pro"/>
          <w:b/>
          <w:bCs/>
          <w:color w:val="000000"/>
          <w:sz w:val="22"/>
          <w:szCs w:val="22"/>
        </w:rPr>
      </w:pPr>
      <w:r w:rsidRPr="009514F6">
        <w:rPr>
          <w:rFonts w:ascii="Calibri" w:hAnsi="Calibri" w:cs="Source Sans Pro"/>
          <w:b/>
          <w:bCs/>
          <w:color w:val="000000"/>
          <w:sz w:val="22"/>
          <w:szCs w:val="22"/>
        </w:rPr>
        <w:t>(</w:t>
      </w:r>
      <w:r w:rsidR="006701A2" w:rsidRPr="009514F6">
        <w:rPr>
          <w:rFonts w:asciiTheme="minorHAnsi" w:hAnsiTheme="minorHAnsi" w:cs="Source Sans Pro"/>
          <w:b/>
          <w:bCs/>
          <w:color w:val="000000"/>
          <w:sz w:val="22"/>
          <w:szCs w:val="22"/>
        </w:rPr>
        <w:t xml:space="preserve">c) Liquidity Risk </w:t>
      </w:r>
    </w:p>
    <w:p w14:paraId="12F94D81" w14:textId="490891AC" w:rsidR="006701A2" w:rsidRPr="009514F6" w:rsidRDefault="006701A2" w:rsidP="006701A2">
      <w:pPr>
        <w:pStyle w:val="Pa6"/>
        <w:spacing w:after="140"/>
        <w:rPr>
          <w:rFonts w:asciiTheme="minorHAnsi" w:hAnsiTheme="minorHAnsi" w:cs="Source Sans Pro Light"/>
          <w:color w:val="000000"/>
          <w:sz w:val="22"/>
          <w:szCs w:val="22"/>
        </w:rPr>
      </w:pPr>
      <w:r w:rsidRPr="009514F6">
        <w:rPr>
          <w:rFonts w:asciiTheme="minorHAnsi" w:hAnsiTheme="minorHAnsi" w:cs="Source Sans Pro Light"/>
          <w:color w:val="000000"/>
          <w:sz w:val="22"/>
          <w:szCs w:val="22"/>
        </w:rPr>
        <w:t xml:space="preserve">Liquidity risk is the risk that the Authority will encounter difficulties in meeting obligations associated with financial liabilities that are settled by delivering cash or another financial asset. To limit its exposure to liquidity risk, the Authority ensures that it has </w:t>
      </w:r>
      <w:proofErr w:type="gramStart"/>
      <w:r w:rsidRPr="009514F6">
        <w:rPr>
          <w:rFonts w:asciiTheme="minorHAnsi" w:hAnsiTheme="minorHAnsi" w:cs="Source Sans Pro Light"/>
          <w:color w:val="000000"/>
          <w:sz w:val="22"/>
          <w:szCs w:val="22"/>
        </w:rPr>
        <w:t>sufficient amounts of</w:t>
      </w:r>
      <w:proofErr w:type="gramEnd"/>
      <w:r w:rsidRPr="009514F6">
        <w:rPr>
          <w:rFonts w:asciiTheme="minorHAnsi" w:hAnsiTheme="minorHAnsi" w:cs="Source Sans Pro Light"/>
          <w:color w:val="000000"/>
          <w:sz w:val="22"/>
          <w:szCs w:val="22"/>
        </w:rPr>
        <w:t xml:space="preserve"> financial assets to meet its current financial liabilities. The Authority manages its premium revenue and investments to meet the cost of future claims payments.</w:t>
      </w:r>
    </w:p>
    <w:p w14:paraId="021B1D3D" w14:textId="253BE9B0" w:rsidR="00E867D5" w:rsidRDefault="00E867D5" w:rsidP="009514F6">
      <w:pPr>
        <w:rPr>
          <w:rFonts w:cs="Source Sans Pro Light"/>
          <w:color w:val="000000"/>
          <w:sz w:val="22"/>
          <w:szCs w:val="22"/>
        </w:rPr>
      </w:pPr>
      <w:r w:rsidRPr="009514F6">
        <w:rPr>
          <w:rFonts w:cs="Source Sans Pro Light"/>
          <w:color w:val="000000"/>
          <w:sz w:val="22"/>
          <w:szCs w:val="22"/>
        </w:rPr>
        <w:t>The Authority’s exposure to liquidity risk in relation to its financial instruments and the management of this risk has not changed since the previous reporting period.</w:t>
      </w:r>
    </w:p>
    <w:p w14:paraId="4908519E" w14:textId="77777777" w:rsidR="00E867D5" w:rsidRPr="00621AC1" w:rsidRDefault="00E867D5" w:rsidP="004134AA">
      <w:pPr>
        <w:pStyle w:val="Pa6"/>
        <w:spacing w:before="40" w:after="100"/>
        <w:rPr>
          <w:rFonts w:asciiTheme="minorHAnsi" w:hAnsiTheme="minorHAnsi" w:cs="Source Sans Pro"/>
          <w:b/>
          <w:color w:val="000000"/>
          <w:sz w:val="22"/>
          <w:szCs w:val="22"/>
        </w:rPr>
      </w:pPr>
      <w:r w:rsidRPr="00621AC1">
        <w:rPr>
          <w:rFonts w:asciiTheme="minorHAnsi" w:hAnsiTheme="minorHAnsi" w:cs="Source Sans Pro"/>
          <w:b/>
          <w:color w:val="000000"/>
          <w:sz w:val="22"/>
          <w:szCs w:val="22"/>
        </w:rPr>
        <w:t xml:space="preserve">(d) Price Risk </w:t>
      </w:r>
    </w:p>
    <w:p w14:paraId="5F2FF3A3" w14:textId="77777777" w:rsidR="00644CFC" w:rsidRPr="00621AC1" w:rsidRDefault="00E867D5" w:rsidP="004134AA">
      <w:pPr>
        <w:pStyle w:val="Pa6"/>
        <w:spacing w:after="140"/>
        <w:rPr>
          <w:rFonts w:asciiTheme="minorHAnsi" w:hAnsiTheme="minorHAnsi" w:cs="Source Sans Pro Light"/>
          <w:color w:val="000000"/>
          <w:sz w:val="22"/>
          <w:szCs w:val="22"/>
        </w:rPr>
      </w:pPr>
      <w:r w:rsidRPr="00621AC1">
        <w:rPr>
          <w:rFonts w:asciiTheme="minorHAnsi" w:hAnsiTheme="minorHAnsi" w:cs="Source Sans Pro Light"/>
          <w:color w:val="000000"/>
          <w:sz w:val="22"/>
          <w:szCs w:val="22"/>
        </w:rPr>
        <w:t>Price risk is the risk that the fair value or future cash flows of a financial instrument will fluctuate because of changes in unit prices.</w:t>
      </w:r>
    </w:p>
    <w:p w14:paraId="4DA29ADE" w14:textId="77777777" w:rsidR="00BD5953" w:rsidRPr="00621AC1" w:rsidRDefault="00BD5953" w:rsidP="004134AA">
      <w:pPr>
        <w:pStyle w:val="Pa6"/>
        <w:spacing w:after="140"/>
        <w:rPr>
          <w:rFonts w:asciiTheme="minorHAnsi" w:hAnsiTheme="minorHAnsi" w:cs="Source Sans Pro Light"/>
          <w:sz w:val="22"/>
          <w:szCs w:val="22"/>
        </w:rPr>
      </w:pPr>
      <w:r w:rsidRPr="00621AC1">
        <w:rPr>
          <w:rFonts w:asciiTheme="minorHAnsi" w:hAnsiTheme="minorHAnsi" w:cs="Source Sans Pro Light"/>
          <w:color w:val="000000"/>
          <w:sz w:val="22"/>
          <w:szCs w:val="22"/>
        </w:rPr>
        <w:t xml:space="preserve">The Authority is exposed to price risk </w:t>
      </w:r>
      <w:proofErr w:type="gramStart"/>
      <w:r w:rsidRPr="00621AC1">
        <w:rPr>
          <w:rFonts w:asciiTheme="minorHAnsi" w:hAnsiTheme="minorHAnsi" w:cs="Source Sans Pro Light"/>
          <w:color w:val="000000"/>
          <w:sz w:val="22"/>
          <w:szCs w:val="22"/>
        </w:rPr>
        <w:t>as a result of</w:t>
      </w:r>
      <w:proofErr w:type="gramEnd"/>
      <w:r w:rsidRPr="00621AC1">
        <w:rPr>
          <w:rFonts w:asciiTheme="minorHAnsi" w:hAnsiTheme="minorHAnsi" w:cs="Source Sans Pro Light"/>
          <w:color w:val="000000"/>
          <w:sz w:val="22"/>
          <w:szCs w:val="22"/>
        </w:rPr>
        <w:t xml:space="preserve"> its investment unit holdings with the Territory Banking Account. The investment unit price fluctuates </w:t>
      </w:r>
      <w:proofErr w:type="gramStart"/>
      <w:r w:rsidRPr="00621AC1">
        <w:rPr>
          <w:rFonts w:asciiTheme="minorHAnsi" w:hAnsiTheme="minorHAnsi" w:cs="Source Sans Pro Light"/>
          <w:color w:val="000000"/>
          <w:sz w:val="22"/>
          <w:szCs w:val="22"/>
        </w:rPr>
        <w:t>as a result of</w:t>
      </w:r>
      <w:proofErr w:type="gramEnd"/>
      <w:r w:rsidRPr="00621AC1">
        <w:rPr>
          <w:rFonts w:asciiTheme="minorHAnsi" w:hAnsiTheme="minorHAnsi" w:cs="Source Sans Pro Light"/>
          <w:color w:val="000000"/>
          <w:sz w:val="22"/>
          <w:szCs w:val="22"/>
        </w:rPr>
        <w:t xml:space="preserve"> changes in value in the underlying investment portfolio exposures.</w:t>
      </w:r>
    </w:p>
    <w:p w14:paraId="721C0AA4" w14:textId="77777777" w:rsidR="00BD5953" w:rsidRPr="00621AC1" w:rsidRDefault="00BD5953" w:rsidP="004134AA">
      <w:pPr>
        <w:spacing w:after="140" w:line="211" w:lineRule="atLeast"/>
        <w:rPr>
          <w:rFonts w:cs="Source Sans Pro Light"/>
          <w:color w:val="000000"/>
          <w:sz w:val="22"/>
          <w:szCs w:val="22"/>
        </w:rPr>
      </w:pPr>
      <w:r w:rsidRPr="00621AC1">
        <w:rPr>
          <w:rFonts w:cs="Source Sans Pro Light"/>
          <w:color w:val="000000"/>
          <w:sz w:val="22"/>
          <w:szCs w:val="22"/>
        </w:rPr>
        <w:t xml:space="preserve">The Territory Banking Account manages the price risk arising from these investments by diversifying the portfolio in accordance with the Authority’s Investment Plan. Exposures to asset class sectors comprising cash, money market securities, fixed income bonds (domestic and international), equities (domestic and international), property and infrastructure are maintained in line with the strategic asset allocation that has been structured to achieve the Authority’s long-term investment objective within acceptable risk tolerances.  Under the investment structure, investments are diversified by geography, </w:t>
      </w:r>
      <w:proofErr w:type="gramStart"/>
      <w:r w:rsidRPr="00621AC1">
        <w:rPr>
          <w:rFonts w:cs="Source Sans Pro Light"/>
          <w:color w:val="000000"/>
          <w:sz w:val="22"/>
          <w:szCs w:val="22"/>
        </w:rPr>
        <w:t>sector</w:t>
      </w:r>
      <w:proofErr w:type="gramEnd"/>
      <w:r w:rsidRPr="00621AC1">
        <w:rPr>
          <w:rFonts w:cs="Source Sans Pro Light"/>
          <w:color w:val="000000"/>
          <w:sz w:val="22"/>
          <w:szCs w:val="22"/>
        </w:rPr>
        <w:t xml:space="preserve"> and financial instrument type to manage the risks associated with changing financial and economic conditions.  More detail can be found in the financial statements of the Territory Banking Account.</w:t>
      </w:r>
    </w:p>
    <w:p w14:paraId="38D1272C" w14:textId="77777777" w:rsidR="00BD5953" w:rsidRPr="00621AC1" w:rsidRDefault="00BD5953" w:rsidP="004134AA">
      <w:pPr>
        <w:pStyle w:val="Pa6"/>
        <w:spacing w:after="140"/>
        <w:rPr>
          <w:rFonts w:cs="Source Sans Pro"/>
          <w:b/>
          <w:i/>
          <w:color w:val="000000"/>
          <w:sz w:val="22"/>
          <w:szCs w:val="22"/>
        </w:rPr>
      </w:pPr>
      <w:r w:rsidRPr="00621AC1">
        <w:rPr>
          <w:rFonts w:asciiTheme="minorHAnsi" w:hAnsiTheme="minorHAnsi" w:cs="Source Sans Pro Light"/>
          <w:color w:val="000000"/>
          <w:sz w:val="22"/>
          <w:szCs w:val="22"/>
        </w:rPr>
        <w:t>The Authority’s exposure to price risk and management of the risk has not changed since the last reporting period.</w:t>
      </w:r>
    </w:p>
    <w:p w14:paraId="42837ABC" w14:textId="77777777" w:rsidR="004134AA" w:rsidRPr="009514F6" w:rsidRDefault="004134AA" w:rsidP="009514F6">
      <w:pPr>
        <w:rPr>
          <w:rFonts w:cs="Source Sans Pro Light"/>
          <w:color w:val="000000"/>
          <w:sz w:val="22"/>
          <w:szCs w:val="22"/>
        </w:rPr>
      </w:pPr>
    </w:p>
    <w:p w14:paraId="79F9BC4E" w14:textId="77777777" w:rsidR="000B7F22" w:rsidRDefault="000B7F22">
      <w:pPr>
        <w:spacing w:after="0" w:line="240" w:lineRule="auto"/>
        <w:rPr>
          <w:rFonts w:ascii="Calibri" w:eastAsia="Calibri" w:hAnsi="Calibri" w:cs="Source Sans Pro"/>
          <w:b/>
          <w:bCs/>
          <w:color w:val="000000"/>
          <w:sz w:val="22"/>
          <w:szCs w:val="22"/>
        </w:rPr>
      </w:pPr>
      <w:r>
        <w:rPr>
          <w:rFonts w:ascii="Calibri" w:eastAsia="Calibri" w:hAnsi="Calibri" w:cs="Source Sans Pro"/>
          <w:b/>
          <w:bCs/>
          <w:color w:val="000000"/>
          <w:sz w:val="22"/>
          <w:szCs w:val="22"/>
        </w:rPr>
        <w:br w:type="page"/>
      </w:r>
    </w:p>
    <w:p w14:paraId="49A3FF97" w14:textId="77777777" w:rsidR="007E790E" w:rsidRPr="003C5243" w:rsidRDefault="007E790E" w:rsidP="007E790E">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8</w:t>
      </w:r>
      <w:r w:rsidRPr="00C00EFD">
        <w:rPr>
          <w:rFonts w:ascii="Calibri" w:eastAsia="Calibri" w:hAnsi="Calibri" w:cs="Montserrat Semi Bold"/>
          <w:b/>
          <w:bCs/>
          <w:color w:val="000000"/>
          <w:sz w:val="30"/>
          <w:szCs w:val="30"/>
        </w:rPr>
        <w:t xml:space="preserve">. FINANCIAL INSTRUMENTS </w:t>
      </w:r>
      <w:r>
        <w:rPr>
          <w:rFonts w:ascii="Calibri" w:eastAsia="Calibri" w:hAnsi="Calibri" w:cs="Montserrat Semi Bold"/>
          <w:b/>
          <w:bCs/>
          <w:color w:val="000000"/>
          <w:sz w:val="30"/>
          <w:szCs w:val="30"/>
        </w:rPr>
        <w:t>- CONTINUED</w:t>
      </w:r>
    </w:p>
    <w:p w14:paraId="0B890E43" w14:textId="2AA237B0" w:rsidR="007E790E" w:rsidRPr="00621AC1" w:rsidRDefault="007E790E" w:rsidP="007E790E">
      <w:pPr>
        <w:pStyle w:val="Pa6"/>
        <w:spacing w:before="40" w:after="100"/>
        <w:rPr>
          <w:rFonts w:asciiTheme="minorHAnsi" w:hAnsiTheme="minorHAnsi" w:cs="Source Sans Pro"/>
          <w:b/>
          <w:color w:val="000000"/>
          <w:sz w:val="22"/>
          <w:szCs w:val="22"/>
        </w:rPr>
      </w:pPr>
      <w:r w:rsidRPr="00621AC1">
        <w:rPr>
          <w:rFonts w:asciiTheme="minorHAnsi" w:hAnsiTheme="minorHAnsi" w:cs="Source Sans Pro"/>
          <w:b/>
          <w:color w:val="000000"/>
          <w:sz w:val="22"/>
          <w:szCs w:val="22"/>
        </w:rPr>
        <w:t xml:space="preserve">(d) Price Risk </w:t>
      </w:r>
      <w:r>
        <w:rPr>
          <w:rFonts w:asciiTheme="minorHAnsi" w:hAnsiTheme="minorHAnsi" w:cs="Source Sans Pro"/>
          <w:b/>
          <w:color w:val="000000"/>
          <w:sz w:val="22"/>
          <w:szCs w:val="22"/>
        </w:rPr>
        <w:t>- continued</w:t>
      </w:r>
    </w:p>
    <w:p w14:paraId="74F0D425" w14:textId="204B0B35" w:rsidR="00BD5953" w:rsidRPr="000B7F22" w:rsidRDefault="00BD5953" w:rsidP="00BD5953">
      <w:pPr>
        <w:autoSpaceDE w:val="0"/>
        <w:autoSpaceDN w:val="0"/>
        <w:adjustRightInd w:val="0"/>
        <w:spacing w:before="40" w:after="100" w:line="211" w:lineRule="atLeast"/>
        <w:jc w:val="both"/>
        <w:rPr>
          <w:rFonts w:ascii="Calibri" w:eastAsia="Calibri" w:hAnsi="Calibri" w:cs="Source Sans Pro"/>
          <w:i/>
          <w:iCs/>
          <w:color w:val="000000"/>
          <w:sz w:val="22"/>
          <w:szCs w:val="22"/>
        </w:rPr>
      </w:pPr>
      <w:r w:rsidRPr="000B7F22">
        <w:rPr>
          <w:rFonts w:ascii="Calibri" w:eastAsia="Calibri" w:hAnsi="Calibri" w:cs="Source Sans Pro"/>
          <w:i/>
          <w:iCs/>
          <w:color w:val="000000"/>
          <w:sz w:val="22"/>
          <w:szCs w:val="22"/>
        </w:rPr>
        <w:t>Sensitivity Analysis</w:t>
      </w:r>
    </w:p>
    <w:p w14:paraId="560793EA" w14:textId="77777777" w:rsidR="00BD5953" w:rsidRPr="000B7F22" w:rsidRDefault="00BD5953" w:rsidP="00BD5953">
      <w:pPr>
        <w:autoSpaceDE w:val="0"/>
        <w:autoSpaceDN w:val="0"/>
        <w:adjustRightInd w:val="0"/>
        <w:spacing w:after="140" w:line="211" w:lineRule="atLeast"/>
        <w:jc w:val="both"/>
        <w:rPr>
          <w:rFonts w:ascii="Calibri" w:eastAsia="Calibri" w:hAnsi="Calibri" w:cs="Source Sans Pro Light"/>
          <w:sz w:val="22"/>
          <w:szCs w:val="22"/>
        </w:rPr>
      </w:pPr>
      <w:r w:rsidRPr="000B7F22">
        <w:rPr>
          <w:rFonts w:ascii="Calibri" w:eastAsia="Calibri" w:hAnsi="Calibri" w:cs="Source Sans Pro Light"/>
          <w:sz w:val="22"/>
          <w:szCs w:val="22"/>
        </w:rPr>
        <w:t>The following table summarises the sensitivity of the Authority’s operating result and equity to price risk.</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951"/>
        <w:gridCol w:w="4820"/>
        <w:gridCol w:w="1417"/>
        <w:gridCol w:w="1418"/>
      </w:tblGrid>
      <w:tr w:rsidR="003E0A28" w:rsidRPr="003E0A28" w14:paraId="52DAB41C" w14:textId="77777777" w:rsidTr="00DE0738">
        <w:trPr>
          <w:trHeight w:val="318"/>
        </w:trPr>
        <w:tc>
          <w:tcPr>
            <w:tcW w:w="1951" w:type="dxa"/>
            <w:tcBorders>
              <w:top w:val="single" w:sz="12" w:space="0" w:color="492581" w:themeColor="accent1"/>
              <w:bottom w:val="single" w:sz="12" w:space="0" w:color="492581" w:themeColor="accent1"/>
            </w:tcBorders>
            <w:vAlign w:val="center"/>
          </w:tcPr>
          <w:p w14:paraId="3A306BC5"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4820" w:type="dxa"/>
            <w:tcBorders>
              <w:top w:val="single" w:sz="12" w:space="0" w:color="492581" w:themeColor="accent1"/>
              <w:bottom w:val="single" w:sz="12" w:space="0" w:color="492581" w:themeColor="accent1"/>
            </w:tcBorders>
            <w:vAlign w:val="center"/>
          </w:tcPr>
          <w:p w14:paraId="6EA32706"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1417" w:type="dxa"/>
            <w:tcBorders>
              <w:top w:val="single" w:sz="12" w:space="0" w:color="492581" w:themeColor="accent1"/>
              <w:bottom w:val="single" w:sz="12" w:space="0" w:color="492581" w:themeColor="accent1"/>
            </w:tcBorders>
          </w:tcPr>
          <w:p w14:paraId="041D15CF"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3E0A28">
              <w:rPr>
                <w:rFonts w:ascii="Calibri" w:eastAsia="Calibri" w:hAnsi="Calibri" w:cs="Source Sans Pro SemiBold"/>
                <w:b/>
                <w:bCs/>
                <w:sz w:val="18"/>
                <w:szCs w:val="18"/>
              </w:rPr>
              <w:t xml:space="preserve">Loss Impact $’000 </w:t>
            </w:r>
          </w:p>
        </w:tc>
        <w:tc>
          <w:tcPr>
            <w:tcW w:w="1418" w:type="dxa"/>
            <w:tcBorders>
              <w:top w:val="single" w:sz="12" w:space="0" w:color="492581" w:themeColor="accent1"/>
              <w:bottom w:val="single" w:sz="12" w:space="0" w:color="492581" w:themeColor="accent1"/>
            </w:tcBorders>
          </w:tcPr>
          <w:p w14:paraId="6ADA46CA"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3E0A28">
              <w:rPr>
                <w:rFonts w:ascii="Calibri" w:eastAsia="Calibri" w:hAnsi="Calibri" w:cs="Source Sans Pro SemiBold"/>
                <w:b/>
                <w:bCs/>
                <w:sz w:val="18"/>
                <w:szCs w:val="18"/>
              </w:rPr>
              <w:t xml:space="preserve">Profit Impact $’000 </w:t>
            </w:r>
          </w:p>
        </w:tc>
      </w:tr>
      <w:tr w:rsidR="003E0A28" w:rsidRPr="003E0A28" w14:paraId="5BB7E1F4" w14:textId="77777777" w:rsidTr="00DE0738">
        <w:trPr>
          <w:trHeight w:val="218"/>
        </w:trPr>
        <w:tc>
          <w:tcPr>
            <w:tcW w:w="1951" w:type="dxa"/>
            <w:tcBorders>
              <w:top w:val="single" w:sz="12" w:space="0" w:color="492581" w:themeColor="accent1"/>
              <w:bottom w:val="nil"/>
            </w:tcBorders>
          </w:tcPr>
          <w:p w14:paraId="2B3C7269" w14:textId="5C7656B3"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22"/>
                <w:szCs w:val="22"/>
              </w:rPr>
            </w:pPr>
            <w:r w:rsidRPr="003E0A28">
              <w:rPr>
                <w:rFonts w:ascii="Calibri" w:eastAsia="Calibri" w:hAnsi="Calibri" w:cs="Source Sans Pro SemiBold"/>
                <w:b/>
                <w:bCs/>
                <w:sz w:val="22"/>
                <w:szCs w:val="22"/>
              </w:rPr>
              <w:t>202</w:t>
            </w:r>
            <w:r w:rsidR="008B37BA">
              <w:rPr>
                <w:rFonts w:ascii="Calibri" w:eastAsia="Calibri" w:hAnsi="Calibri" w:cs="Source Sans Pro SemiBold"/>
                <w:b/>
                <w:bCs/>
                <w:sz w:val="22"/>
                <w:szCs w:val="22"/>
              </w:rPr>
              <w:t>4</w:t>
            </w:r>
          </w:p>
        </w:tc>
        <w:tc>
          <w:tcPr>
            <w:tcW w:w="4820" w:type="dxa"/>
            <w:tcBorders>
              <w:top w:val="single" w:sz="12" w:space="0" w:color="492581" w:themeColor="accent1"/>
              <w:bottom w:val="nil"/>
            </w:tcBorders>
          </w:tcPr>
          <w:p w14:paraId="48FDF09F"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1417" w:type="dxa"/>
            <w:tcBorders>
              <w:top w:val="single" w:sz="12" w:space="0" w:color="492581" w:themeColor="accent1"/>
              <w:bottom w:val="nil"/>
            </w:tcBorders>
          </w:tcPr>
          <w:p w14:paraId="5104F2BB"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418" w:type="dxa"/>
            <w:tcBorders>
              <w:top w:val="single" w:sz="12" w:space="0" w:color="492581" w:themeColor="accent1"/>
              <w:bottom w:val="nil"/>
            </w:tcBorders>
          </w:tcPr>
          <w:p w14:paraId="45E0CA26" w14:textId="77777777" w:rsidR="003E0A28" w:rsidRPr="003E0A28"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3E0A28" w:rsidRPr="003E0A28" w14:paraId="25FD5D6E" w14:textId="77777777" w:rsidTr="00420535">
        <w:trPr>
          <w:trHeight w:val="218"/>
        </w:trPr>
        <w:tc>
          <w:tcPr>
            <w:tcW w:w="1951" w:type="dxa"/>
            <w:tcBorders>
              <w:top w:val="nil"/>
              <w:bottom w:val="nil"/>
            </w:tcBorders>
          </w:tcPr>
          <w:p w14:paraId="386438CA"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77E36D7A"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sz w:val="18"/>
                <w:szCs w:val="18"/>
              </w:rPr>
            </w:pPr>
            <w:r w:rsidRPr="003E0A28">
              <w:rPr>
                <w:rFonts w:ascii="Calibri" w:eastAsia="Calibri" w:hAnsi="Calibri" w:cs="Source Sans Pro SemiBold"/>
                <w:b/>
                <w:sz w:val="18"/>
                <w:szCs w:val="18"/>
              </w:rPr>
              <w:t>Volatility Factors</w:t>
            </w:r>
          </w:p>
        </w:tc>
        <w:tc>
          <w:tcPr>
            <w:tcW w:w="1417" w:type="dxa"/>
            <w:tcBorders>
              <w:top w:val="nil"/>
              <w:bottom w:val="nil"/>
            </w:tcBorders>
          </w:tcPr>
          <w:p w14:paraId="6AEBE830" w14:textId="3B3D0BC8" w:rsidR="003E0A28" w:rsidRPr="008B37BA"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805863">
              <w:rPr>
                <w:rFonts w:cs="Source Sans Pro SemiBold"/>
                <w:sz w:val="18"/>
                <w:szCs w:val="18"/>
              </w:rPr>
              <w:t>(6.7%)</w:t>
            </w:r>
          </w:p>
        </w:tc>
        <w:tc>
          <w:tcPr>
            <w:tcW w:w="1418" w:type="dxa"/>
            <w:tcBorders>
              <w:top w:val="nil"/>
              <w:bottom w:val="nil"/>
            </w:tcBorders>
          </w:tcPr>
          <w:p w14:paraId="773777D7" w14:textId="1E374331" w:rsidR="003E0A28" w:rsidRPr="008B37BA"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sz w:val="18"/>
                <w:szCs w:val="18"/>
              </w:rPr>
              <w:t>6.7%</w:t>
            </w:r>
          </w:p>
        </w:tc>
      </w:tr>
      <w:tr w:rsidR="003E0A28" w:rsidRPr="003E0A28" w14:paraId="0A5C3FD5" w14:textId="77777777" w:rsidTr="00420535">
        <w:trPr>
          <w:trHeight w:val="118"/>
        </w:trPr>
        <w:tc>
          <w:tcPr>
            <w:tcW w:w="1951" w:type="dxa"/>
            <w:tcBorders>
              <w:top w:val="nil"/>
              <w:left w:val="nil"/>
              <w:bottom w:val="single" w:sz="12" w:space="0" w:color="492581" w:themeColor="accent1"/>
            </w:tcBorders>
          </w:tcPr>
          <w:p w14:paraId="03F61537"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color w:val="000000"/>
                <w:sz w:val="18"/>
                <w:szCs w:val="18"/>
              </w:rPr>
            </w:pPr>
          </w:p>
        </w:tc>
        <w:tc>
          <w:tcPr>
            <w:tcW w:w="4820" w:type="dxa"/>
            <w:tcBorders>
              <w:top w:val="nil"/>
              <w:bottom w:val="single" w:sz="12" w:space="0" w:color="492581" w:themeColor="accent1"/>
            </w:tcBorders>
          </w:tcPr>
          <w:p w14:paraId="129880B4"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color w:val="000000"/>
                <w:sz w:val="18"/>
                <w:szCs w:val="18"/>
              </w:rPr>
            </w:pPr>
            <w:r w:rsidRPr="003E0A28">
              <w:rPr>
                <w:rFonts w:ascii="Calibri" w:eastAsia="Calibri" w:hAnsi="Calibri" w:cs="Source Sans Pro Light"/>
                <w:color w:val="000000"/>
                <w:sz w:val="18"/>
                <w:szCs w:val="18"/>
              </w:rPr>
              <w:t>Investments with the Territory Banking Account</w:t>
            </w:r>
          </w:p>
        </w:tc>
        <w:tc>
          <w:tcPr>
            <w:tcW w:w="1417" w:type="dxa"/>
            <w:tcBorders>
              <w:top w:val="nil"/>
              <w:bottom w:val="single" w:sz="12" w:space="0" w:color="492581" w:themeColor="accent1"/>
            </w:tcBorders>
          </w:tcPr>
          <w:p w14:paraId="7F8E22D3" w14:textId="6DBF50C1" w:rsidR="003E0A28" w:rsidRPr="008B37BA" w:rsidRDefault="009B5249" w:rsidP="003E0A28">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(22,877)</w:t>
            </w:r>
          </w:p>
        </w:tc>
        <w:tc>
          <w:tcPr>
            <w:tcW w:w="1418" w:type="dxa"/>
            <w:tcBorders>
              <w:top w:val="nil"/>
              <w:bottom w:val="single" w:sz="12" w:space="0" w:color="492581" w:themeColor="accent1"/>
              <w:right w:val="nil"/>
            </w:tcBorders>
          </w:tcPr>
          <w:p w14:paraId="0ADAE3A7" w14:textId="4BFD7D09" w:rsidR="003E0A28" w:rsidRPr="008B37BA" w:rsidRDefault="009B5249" w:rsidP="003E0A28">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22,877</w:t>
            </w:r>
          </w:p>
        </w:tc>
      </w:tr>
      <w:tr w:rsidR="003E0A28" w:rsidRPr="003E0A28" w14:paraId="633DD9EB" w14:textId="77777777" w:rsidTr="00420535">
        <w:trPr>
          <w:trHeight w:val="218"/>
        </w:trPr>
        <w:tc>
          <w:tcPr>
            <w:tcW w:w="1951" w:type="dxa"/>
            <w:tcBorders>
              <w:top w:val="single" w:sz="12" w:space="0" w:color="492581" w:themeColor="accent1"/>
              <w:bottom w:val="nil"/>
            </w:tcBorders>
          </w:tcPr>
          <w:p w14:paraId="100990C5" w14:textId="7F4198E4"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color w:val="000000"/>
                <w:sz w:val="22"/>
                <w:szCs w:val="22"/>
              </w:rPr>
            </w:pPr>
            <w:r w:rsidRPr="003E0A28">
              <w:rPr>
                <w:rFonts w:ascii="Calibri" w:eastAsia="Calibri" w:hAnsi="Calibri" w:cs="Source Sans Pro SemiBold"/>
                <w:b/>
                <w:bCs/>
                <w:color w:val="000000"/>
                <w:sz w:val="22"/>
                <w:szCs w:val="22"/>
              </w:rPr>
              <w:t>202</w:t>
            </w:r>
            <w:r w:rsidR="008B37BA">
              <w:rPr>
                <w:rFonts w:ascii="Calibri" w:eastAsia="Calibri" w:hAnsi="Calibri" w:cs="Source Sans Pro SemiBold"/>
                <w:b/>
                <w:bCs/>
                <w:color w:val="000000"/>
                <w:sz w:val="22"/>
                <w:szCs w:val="22"/>
              </w:rPr>
              <w:t>3</w:t>
            </w:r>
          </w:p>
        </w:tc>
        <w:tc>
          <w:tcPr>
            <w:tcW w:w="4820" w:type="dxa"/>
            <w:tcBorders>
              <w:top w:val="single" w:sz="12" w:space="0" w:color="492581" w:themeColor="accent1"/>
              <w:bottom w:val="nil"/>
            </w:tcBorders>
          </w:tcPr>
          <w:p w14:paraId="5A03867E"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417" w:type="dxa"/>
            <w:tcBorders>
              <w:top w:val="single" w:sz="12" w:space="0" w:color="492581" w:themeColor="accent1"/>
              <w:bottom w:val="nil"/>
            </w:tcBorders>
          </w:tcPr>
          <w:p w14:paraId="544B8110" w14:textId="77777777" w:rsidR="003E0A28" w:rsidRPr="008B37BA" w:rsidRDefault="003E0A28" w:rsidP="003E0A28">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c>
          <w:tcPr>
            <w:tcW w:w="1418" w:type="dxa"/>
            <w:tcBorders>
              <w:top w:val="single" w:sz="12" w:space="0" w:color="492581" w:themeColor="accent1"/>
              <w:bottom w:val="nil"/>
            </w:tcBorders>
          </w:tcPr>
          <w:p w14:paraId="6FA3353A" w14:textId="77777777" w:rsidR="003E0A28" w:rsidRPr="008B37BA" w:rsidRDefault="003E0A28" w:rsidP="003E0A28">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r>
      <w:tr w:rsidR="003E0A28" w:rsidRPr="003E0A28" w14:paraId="50A365F4" w14:textId="77777777" w:rsidTr="00420535">
        <w:trPr>
          <w:trHeight w:val="218"/>
        </w:trPr>
        <w:tc>
          <w:tcPr>
            <w:tcW w:w="1951" w:type="dxa"/>
            <w:tcBorders>
              <w:top w:val="nil"/>
              <w:bottom w:val="nil"/>
            </w:tcBorders>
          </w:tcPr>
          <w:p w14:paraId="56DE0348"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1E30C51D"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SemiBold"/>
                <w:b/>
                <w:sz w:val="18"/>
                <w:szCs w:val="18"/>
              </w:rPr>
            </w:pPr>
            <w:r w:rsidRPr="003E0A28">
              <w:rPr>
                <w:rFonts w:ascii="Calibri" w:eastAsia="Calibri" w:hAnsi="Calibri" w:cs="Source Sans Pro SemiBold"/>
                <w:b/>
                <w:sz w:val="18"/>
                <w:szCs w:val="18"/>
              </w:rPr>
              <w:t>Volatility Factors</w:t>
            </w:r>
          </w:p>
        </w:tc>
        <w:tc>
          <w:tcPr>
            <w:tcW w:w="1417" w:type="dxa"/>
            <w:tcBorders>
              <w:top w:val="nil"/>
              <w:bottom w:val="nil"/>
            </w:tcBorders>
          </w:tcPr>
          <w:p w14:paraId="5006A8D9" w14:textId="1B91E190" w:rsidR="003E0A28" w:rsidRPr="008B37BA"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3F0B41">
              <w:rPr>
                <w:rFonts w:cs="Source Sans Pro SemiBold"/>
                <w:sz w:val="18"/>
                <w:szCs w:val="18"/>
              </w:rPr>
              <w:t>(</w:t>
            </w:r>
            <w:r w:rsidR="009B5249" w:rsidRPr="00F93C61">
              <w:rPr>
                <w:rFonts w:cs="Source Sans Pro SemiBold"/>
                <w:bCs/>
                <w:sz w:val="18"/>
                <w:szCs w:val="18"/>
              </w:rPr>
              <w:t>6.</w:t>
            </w:r>
            <w:r w:rsidRPr="003F0B41">
              <w:rPr>
                <w:rFonts w:cs="Source Sans Pro SemiBold"/>
                <w:sz w:val="18"/>
                <w:szCs w:val="18"/>
              </w:rPr>
              <w:t>7%)</w:t>
            </w:r>
          </w:p>
        </w:tc>
        <w:tc>
          <w:tcPr>
            <w:tcW w:w="1418" w:type="dxa"/>
            <w:tcBorders>
              <w:top w:val="nil"/>
              <w:bottom w:val="nil"/>
            </w:tcBorders>
          </w:tcPr>
          <w:p w14:paraId="2A887954" w14:textId="48DD3C5E" w:rsidR="003E0A28" w:rsidRPr="008B37BA" w:rsidRDefault="009B5249"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F93C61">
              <w:rPr>
                <w:rFonts w:cs="Source Sans Pro SemiBold"/>
                <w:bCs/>
                <w:sz w:val="18"/>
                <w:szCs w:val="18"/>
              </w:rPr>
              <w:t>6.</w:t>
            </w:r>
            <w:r w:rsidR="003E0A28" w:rsidRPr="003F0B41">
              <w:rPr>
                <w:rFonts w:cs="Source Sans Pro SemiBold"/>
                <w:sz w:val="18"/>
                <w:szCs w:val="18"/>
              </w:rPr>
              <w:t>7%</w:t>
            </w:r>
          </w:p>
        </w:tc>
      </w:tr>
      <w:tr w:rsidR="003E0A28" w:rsidRPr="003E0A28" w14:paraId="451BB594" w14:textId="77777777" w:rsidTr="00420535">
        <w:trPr>
          <w:trHeight w:val="218"/>
        </w:trPr>
        <w:tc>
          <w:tcPr>
            <w:tcW w:w="1951" w:type="dxa"/>
            <w:tcBorders>
              <w:top w:val="nil"/>
              <w:left w:val="nil"/>
              <w:bottom w:val="single" w:sz="12" w:space="0" w:color="492581" w:themeColor="accent1"/>
            </w:tcBorders>
          </w:tcPr>
          <w:p w14:paraId="278B24B3"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sz w:val="18"/>
                <w:szCs w:val="18"/>
              </w:rPr>
            </w:pPr>
          </w:p>
        </w:tc>
        <w:tc>
          <w:tcPr>
            <w:tcW w:w="4820" w:type="dxa"/>
            <w:tcBorders>
              <w:top w:val="nil"/>
              <w:bottom w:val="single" w:sz="12" w:space="0" w:color="492581" w:themeColor="accent1"/>
            </w:tcBorders>
          </w:tcPr>
          <w:p w14:paraId="200B9F73" w14:textId="77777777" w:rsidR="003E0A28" w:rsidRPr="003E0A28" w:rsidRDefault="003E0A28" w:rsidP="003E0A28">
            <w:pPr>
              <w:autoSpaceDE w:val="0"/>
              <w:autoSpaceDN w:val="0"/>
              <w:adjustRightInd w:val="0"/>
              <w:spacing w:before="40" w:after="40" w:line="240" w:lineRule="auto"/>
              <w:rPr>
                <w:rFonts w:ascii="Calibri" w:eastAsia="Calibri" w:hAnsi="Calibri" w:cs="Source Sans Pro Light"/>
                <w:sz w:val="18"/>
                <w:szCs w:val="18"/>
              </w:rPr>
            </w:pPr>
            <w:r w:rsidRPr="003E0A28">
              <w:rPr>
                <w:rFonts w:ascii="Calibri" w:eastAsia="Calibri" w:hAnsi="Calibri" w:cs="Source Sans Pro SemiBold"/>
                <w:bCs/>
                <w:sz w:val="18"/>
                <w:szCs w:val="18"/>
              </w:rPr>
              <w:t>Investments with the Territory Banking Account</w:t>
            </w:r>
          </w:p>
        </w:tc>
        <w:tc>
          <w:tcPr>
            <w:tcW w:w="1417" w:type="dxa"/>
            <w:tcBorders>
              <w:top w:val="nil"/>
              <w:bottom w:val="single" w:sz="12" w:space="0" w:color="492581" w:themeColor="accent1"/>
            </w:tcBorders>
          </w:tcPr>
          <w:p w14:paraId="78F0CFFF" w14:textId="43A93CBF" w:rsidR="003E0A28" w:rsidRPr="008B37BA" w:rsidRDefault="009B5249"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F93C61">
              <w:rPr>
                <w:rFonts w:cs="Source Sans Pro Light"/>
                <w:color w:val="000000"/>
                <w:sz w:val="18"/>
                <w:szCs w:val="18"/>
              </w:rPr>
              <w:t>(23</w:t>
            </w:r>
            <w:r>
              <w:rPr>
                <w:rFonts w:cs="Source Sans Pro Light"/>
                <w:color w:val="000000"/>
                <w:sz w:val="18"/>
                <w:szCs w:val="18"/>
              </w:rPr>
              <w:t>,</w:t>
            </w:r>
            <w:r w:rsidRPr="00F93C61">
              <w:rPr>
                <w:rFonts w:cs="Source Sans Pro Light"/>
                <w:color w:val="000000"/>
                <w:sz w:val="18"/>
                <w:szCs w:val="18"/>
              </w:rPr>
              <w:t>509)</w:t>
            </w:r>
          </w:p>
        </w:tc>
        <w:tc>
          <w:tcPr>
            <w:tcW w:w="1418" w:type="dxa"/>
            <w:tcBorders>
              <w:top w:val="nil"/>
              <w:bottom w:val="single" w:sz="12" w:space="0" w:color="492581" w:themeColor="accent1"/>
              <w:right w:val="nil"/>
            </w:tcBorders>
          </w:tcPr>
          <w:p w14:paraId="496865F1" w14:textId="7360153C" w:rsidR="003E0A28" w:rsidRPr="008B37BA" w:rsidRDefault="009B5249" w:rsidP="003E0A28">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F93C61">
              <w:rPr>
                <w:rFonts w:cs="Source Sans Pro Light"/>
                <w:color w:val="000000"/>
                <w:sz w:val="18"/>
                <w:szCs w:val="18"/>
              </w:rPr>
              <w:t>23,509</w:t>
            </w:r>
          </w:p>
        </w:tc>
      </w:tr>
    </w:tbl>
    <w:p w14:paraId="5C1B1918" w14:textId="77777777" w:rsidR="00A03D8B" w:rsidRDefault="00A03D8B" w:rsidP="00A03D8B">
      <w:pPr>
        <w:spacing w:after="120" w:line="240" w:lineRule="auto"/>
        <w:jc w:val="both"/>
        <w:rPr>
          <w:rFonts w:ascii="Calibri" w:eastAsia="Calibri" w:hAnsi="Calibri" w:cs="Source Sans Pro Light"/>
          <w:color w:val="000000"/>
          <w:sz w:val="22"/>
          <w:szCs w:val="22"/>
        </w:rPr>
      </w:pPr>
    </w:p>
    <w:p w14:paraId="4BB3CBBF" w14:textId="77777777" w:rsidR="00A03D8B" w:rsidRPr="00420535" w:rsidRDefault="00A03D8B" w:rsidP="00197334">
      <w:pPr>
        <w:spacing w:after="140" w:line="211" w:lineRule="atLeast"/>
        <w:rPr>
          <w:rFonts w:cs="Source Sans Pro Light"/>
          <w:color w:val="000000"/>
          <w:sz w:val="22"/>
          <w:szCs w:val="22"/>
        </w:rPr>
      </w:pPr>
      <w:r w:rsidRPr="00420535">
        <w:rPr>
          <w:rFonts w:cs="Source Sans Pro Light"/>
          <w:color w:val="000000"/>
          <w:sz w:val="22"/>
          <w:szCs w:val="22"/>
        </w:rPr>
        <w:t xml:space="preserve">The expected volatility factor represents the estimated variance in return for the Authority’s investment strategy. </w:t>
      </w:r>
    </w:p>
    <w:p w14:paraId="4B9C372D" w14:textId="77777777" w:rsidR="00A03D8B" w:rsidRPr="00420535" w:rsidRDefault="00A03D8B" w:rsidP="00197334">
      <w:pPr>
        <w:spacing w:after="140" w:line="211" w:lineRule="atLeast"/>
        <w:rPr>
          <w:rFonts w:cs="Source Sans Pro Light"/>
          <w:color w:val="000000"/>
          <w:sz w:val="22"/>
          <w:szCs w:val="22"/>
        </w:rPr>
      </w:pPr>
      <w:r w:rsidRPr="00420535">
        <w:rPr>
          <w:rFonts w:cs="Source Sans Pro Light"/>
          <w:color w:val="000000"/>
          <w:sz w:val="22"/>
          <w:szCs w:val="22"/>
        </w:rPr>
        <w:t xml:space="preserve">The volatility of returns reflects the inherent risk in the investments. The reasonably possible movements in risk variables are continually assessed and have been determined based on best estimates, having regard to </w:t>
      </w:r>
      <w:proofErr w:type="gramStart"/>
      <w:r w:rsidRPr="00420535">
        <w:rPr>
          <w:rFonts w:cs="Source Sans Pro Light"/>
          <w:color w:val="000000"/>
          <w:sz w:val="22"/>
          <w:szCs w:val="22"/>
        </w:rPr>
        <w:t>a number of</w:t>
      </w:r>
      <w:proofErr w:type="gramEnd"/>
      <w:r w:rsidRPr="00420535">
        <w:rPr>
          <w:rFonts w:cs="Source Sans Pro Light"/>
          <w:color w:val="000000"/>
          <w:sz w:val="22"/>
          <w:szCs w:val="22"/>
        </w:rPr>
        <w:t xml:space="preserve"> factors including historical correlation of the investment strategy with relevant benchmarks and market volatility. </w:t>
      </w:r>
    </w:p>
    <w:p w14:paraId="7E55A9CB" w14:textId="35397B80" w:rsidR="00A03D8B" w:rsidRPr="00420535" w:rsidRDefault="00A03D8B" w:rsidP="00B81B39">
      <w:pPr>
        <w:spacing w:after="140" w:line="211" w:lineRule="atLeast"/>
        <w:rPr>
          <w:rFonts w:cs="Source Sans Pro Light"/>
          <w:color w:val="000000"/>
          <w:sz w:val="22"/>
          <w:szCs w:val="22"/>
        </w:rPr>
      </w:pPr>
      <w:r w:rsidRPr="00420535">
        <w:rPr>
          <w:rFonts w:cs="Source Sans Pro Light"/>
          <w:color w:val="000000"/>
          <w:sz w:val="22"/>
          <w:szCs w:val="22"/>
        </w:rPr>
        <w:t xml:space="preserve">Actual movements in the risk variables may be greater or less than anticipated due to </w:t>
      </w:r>
      <w:proofErr w:type="gramStart"/>
      <w:r w:rsidRPr="00420535">
        <w:rPr>
          <w:rFonts w:cs="Source Sans Pro Light"/>
          <w:color w:val="000000"/>
          <w:sz w:val="22"/>
          <w:szCs w:val="22"/>
        </w:rPr>
        <w:t>a number of</w:t>
      </w:r>
      <w:proofErr w:type="gramEnd"/>
      <w:r w:rsidRPr="00420535">
        <w:rPr>
          <w:rFonts w:cs="Source Sans Pro Light"/>
          <w:color w:val="000000"/>
          <w:sz w:val="22"/>
          <w:szCs w:val="22"/>
        </w:rPr>
        <w:t xml:space="preserve"> factors, including unusually large market movements resulting from changes in the performance of and/or correlation between the performances of the economies, markets and securities in which the underlying investments are invested.</w:t>
      </w:r>
    </w:p>
    <w:p w14:paraId="060D4DB6" w14:textId="77777777" w:rsidR="008355A6" w:rsidRPr="00731307" w:rsidRDefault="008355A6">
      <w:pPr>
        <w:pStyle w:val="Pa6"/>
        <w:spacing w:before="40" w:after="100"/>
        <w:rPr>
          <w:rFonts w:asciiTheme="minorHAnsi" w:hAnsiTheme="minorHAnsi" w:cs="Source Sans Pro"/>
          <w:b/>
          <w:color w:val="000000"/>
          <w:sz w:val="22"/>
          <w:szCs w:val="22"/>
        </w:rPr>
      </w:pPr>
      <w:r w:rsidRPr="00731307">
        <w:rPr>
          <w:rFonts w:asciiTheme="minorHAnsi" w:hAnsiTheme="minorHAnsi" w:cs="Source Sans Pro"/>
          <w:b/>
          <w:color w:val="000000"/>
          <w:sz w:val="22"/>
          <w:szCs w:val="22"/>
        </w:rPr>
        <w:t>(e) Fair Value of Financial Assets and Liabilities</w:t>
      </w:r>
    </w:p>
    <w:p w14:paraId="476AF07F" w14:textId="77777777" w:rsidR="002152C0" w:rsidRDefault="008355A6">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The carrying amounts for all financial assets and liabilities reflect their fair value.</w:t>
      </w:r>
    </w:p>
    <w:p w14:paraId="6C990682" w14:textId="77777777" w:rsidR="00053D1E" w:rsidRPr="00351D75" w:rsidRDefault="00053D1E">
      <w:pPr>
        <w:pStyle w:val="Pa6"/>
        <w:spacing w:after="140"/>
        <w:rPr>
          <w:rFonts w:asciiTheme="minorHAnsi" w:hAnsiTheme="minorHAnsi" w:cs="Source Sans Pro Light"/>
          <w:color w:val="000000"/>
          <w:sz w:val="22"/>
          <w:szCs w:val="22"/>
        </w:rPr>
      </w:pPr>
      <w:r w:rsidRPr="00C972E8">
        <w:rPr>
          <w:rFonts w:asciiTheme="minorHAnsi" w:hAnsiTheme="minorHAnsi" w:cs="Source Sans Pro"/>
          <w:b/>
          <w:color w:val="000000"/>
          <w:sz w:val="22"/>
          <w:szCs w:val="22"/>
        </w:rPr>
        <w:t>(f) Carrying Amount of Each Category of Financial Asset and Financial Liability</w:t>
      </w:r>
    </w:p>
    <w:p w14:paraId="459BA947" w14:textId="77777777" w:rsidR="00053D1E" w:rsidRDefault="00053D1E" w:rsidP="00F2401F">
      <w:pPr>
        <w:pStyle w:val="Pa6"/>
        <w:spacing w:before="120" w:after="140"/>
        <w:rPr>
          <w:rFonts w:asciiTheme="minorHAnsi" w:hAnsiTheme="minorHAnsi" w:cs="Source Sans Pro Light"/>
          <w:color w:val="000000"/>
          <w:sz w:val="22"/>
          <w:szCs w:val="22"/>
        </w:rPr>
      </w:pPr>
      <w:r w:rsidRPr="00DD1B7E">
        <w:rPr>
          <w:rFonts w:asciiTheme="minorHAnsi" w:hAnsiTheme="minorHAnsi" w:cs="Source Sans Pro Light"/>
          <w:color w:val="000000"/>
          <w:sz w:val="22"/>
          <w:szCs w:val="22"/>
        </w:rPr>
        <w:t>Investments with the Territory Banking Account are measured at fair value with any adjustments to the carrying amount being recorded in the Operating Statement. Fair value is based on an underlying pool of investments which have quoted market prices on the he</w:t>
      </w:r>
      <w:r>
        <w:rPr>
          <w:rFonts w:asciiTheme="minorHAnsi" w:hAnsiTheme="minorHAnsi" w:cs="Source Sans Pro Light"/>
          <w:color w:val="000000"/>
          <w:sz w:val="22"/>
          <w:szCs w:val="22"/>
        </w:rPr>
        <w:t>ld units at the reporting date.</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053D1E" w:rsidRPr="00053D1E" w14:paraId="7277C652" w14:textId="77777777" w:rsidTr="002D7311">
        <w:trPr>
          <w:trHeight w:val="218"/>
        </w:trPr>
        <w:tc>
          <w:tcPr>
            <w:tcW w:w="6771" w:type="dxa"/>
            <w:tcBorders>
              <w:top w:val="single" w:sz="12" w:space="0" w:color="492581" w:themeColor="accent1"/>
              <w:bottom w:val="single" w:sz="12" w:space="0" w:color="492581" w:themeColor="accent1"/>
            </w:tcBorders>
            <w:vAlign w:val="center"/>
          </w:tcPr>
          <w:p w14:paraId="6794592F"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417" w:type="dxa"/>
            <w:tcBorders>
              <w:top w:val="single" w:sz="12" w:space="0" w:color="492581" w:themeColor="accent1"/>
              <w:bottom w:val="single" w:sz="12" w:space="0" w:color="492581" w:themeColor="accent1"/>
            </w:tcBorders>
          </w:tcPr>
          <w:p w14:paraId="412E5D0E" w14:textId="3AA16335"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w:t>
            </w:r>
            <w:r w:rsidR="008B37BA">
              <w:rPr>
                <w:rFonts w:ascii="Calibri" w:eastAsia="Calibri" w:hAnsi="Calibri" w:cs="Source Sans Pro SemiBold"/>
                <w:b/>
                <w:bCs/>
                <w:color w:val="000000"/>
                <w:sz w:val="18"/>
                <w:szCs w:val="18"/>
              </w:rPr>
              <w:t>4</w:t>
            </w:r>
            <w:r w:rsidRPr="00053D1E">
              <w:rPr>
                <w:rFonts w:ascii="Calibri" w:eastAsia="Calibri" w:hAnsi="Calibri" w:cs="Source Sans Pro SemiBold"/>
                <w:b/>
                <w:bCs/>
                <w:color w:val="000000"/>
                <w:sz w:val="18"/>
                <w:szCs w:val="18"/>
              </w:rPr>
              <w:br/>
              <w:t xml:space="preserve">$’000 </w:t>
            </w:r>
          </w:p>
        </w:tc>
        <w:tc>
          <w:tcPr>
            <w:tcW w:w="1418" w:type="dxa"/>
            <w:tcBorders>
              <w:top w:val="single" w:sz="12" w:space="0" w:color="492581" w:themeColor="accent1"/>
              <w:bottom w:val="single" w:sz="12" w:space="0" w:color="492581" w:themeColor="accent1"/>
            </w:tcBorders>
          </w:tcPr>
          <w:p w14:paraId="2AB4BB07" w14:textId="156DEECC"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w:t>
            </w:r>
            <w:r w:rsidR="008B37BA">
              <w:rPr>
                <w:rFonts w:ascii="Calibri" w:eastAsia="Calibri" w:hAnsi="Calibri" w:cs="Source Sans Pro SemiBold"/>
                <w:b/>
                <w:bCs/>
                <w:color w:val="000000"/>
                <w:sz w:val="18"/>
                <w:szCs w:val="18"/>
              </w:rPr>
              <w:t>3</w:t>
            </w:r>
            <w:r w:rsidRPr="00053D1E">
              <w:rPr>
                <w:rFonts w:ascii="Calibri" w:eastAsia="Calibri" w:hAnsi="Calibri" w:cs="Source Sans Pro SemiBold"/>
                <w:b/>
                <w:bCs/>
                <w:color w:val="000000"/>
                <w:sz w:val="18"/>
                <w:szCs w:val="18"/>
              </w:rPr>
              <w:br/>
              <w:t xml:space="preserve">$’000 </w:t>
            </w:r>
          </w:p>
        </w:tc>
      </w:tr>
      <w:tr w:rsidR="00053D1E" w:rsidRPr="00053D1E" w14:paraId="37494CDF" w14:textId="77777777" w:rsidTr="002D7311">
        <w:trPr>
          <w:trHeight w:val="118"/>
        </w:trPr>
        <w:tc>
          <w:tcPr>
            <w:tcW w:w="9606" w:type="dxa"/>
            <w:gridSpan w:val="3"/>
            <w:tcBorders>
              <w:top w:val="single" w:sz="12" w:space="0" w:color="492581" w:themeColor="accent1"/>
            </w:tcBorders>
          </w:tcPr>
          <w:p w14:paraId="78001C44"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 xml:space="preserve">Financial Assets </w:t>
            </w:r>
          </w:p>
        </w:tc>
      </w:tr>
      <w:tr w:rsidR="00053D1E" w:rsidRPr="00053D1E" w14:paraId="1172C758" w14:textId="77777777" w:rsidTr="002D7311">
        <w:trPr>
          <w:trHeight w:val="220"/>
        </w:trPr>
        <w:tc>
          <w:tcPr>
            <w:tcW w:w="6771" w:type="dxa"/>
          </w:tcPr>
          <w:p w14:paraId="1216DDB5" w14:textId="77777777" w:rsidR="00053D1E" w:rsidRPr="00053D1E" w:rsidRDefault="00053D1E" w:rsidP="00053D1E">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Financial Assets at Fair Value through Operating Statement </w:t>
            </w:r>
            <w:r w:rsidRPr="00053D1E">
              <w:rPr>
                <w:rFonts w:ascii="Calibri" w:eastAsia="Calibri" w:hAnsi="Calibri" w:cs="Source Sans Pro Light"/>
                <w:color w:val="000000"/>
                <w:sz w:val="18"/>
                <w:szCs w:val="18"/>
              </w:rPr>
              <w:br/>
              <w:t xml:space="preserve">Designated upon Initial Recognition </w:t>
            </w:r>
          </w:p>
        </w:tc>
        <w:tc>
          <w:tcPr>
            <w:tcW w:w="1417" w:type="dxa"/>
            <w:vAlign w:val="bottom"/>
          </w:tcPr>
          <w:p w14:paraId="1244224D" w14:textId="2BBCC8F1" w:rsidR="00053D1E" w:rsidRPr="008B37BA" w:rsidRDefault="002D7311"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A927B6">
              <w:rPr>
                <w:rFonts w:cs="Source Sans Pro SemiBold"/>
                <w:bCs/>
                <w:color w:val="000000"/>
                <w:sz w:val="18"/>
                <w:szCs w:val="18"/>
              </w:rPr>
              <w:t>34</w:t>
            </w:r>
            <w:r>
              <w:rPr>
                <w:rFonts w:cs="Source Sans Pro SemiBold"/>
                <w:bCs/>
                <w:color w:val="000000"/>
                <w:sz w:val="18"/>
                <w:szCs w:val="18"/>
              </w:rPr>
              <w:t>1</w:t>
            </w:r>
            <w:r w:rsidRPr="00A927B6">
              <w:rPr>
                <w:rFonts w:cs="Source Sans Pro SemiBold"/>
                <w:bCs/>
                <w:color w:val="000000"/>
                <w:sz w:val="18"/>
                <w:szCs w:val="18"/>
              </w:rPr>
              <w:t>,450</w:t>
            </w:r>
          </w:p>
        </w:tc>
        <w:tc>
          <w:tcPr>
            <w:tcW w:w="1418" w:type="dxa"/>
            <w:vAlign w:val="bottom"/>
          </w:tcPr>
          <w:p w14:paraId="5AE4AAA1" w14:textId="2AA80818" w:rsidR="00053D1E" w:rsidRPr="008B37BA" w:rsidRDefault="002D7311"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A927B6">
              <w:rPr>
                <w:rFonts w:cs="Source Sans Pro SemiBold"/>
                <w:bCs/>
                <w:color w:val="000000"/>
                <w:sz w:val="18"/>
                <w:szCs w:val="18"/>
              </w:rPr>
              <w:t>350,879</w:t>
            </w:r>
          </w:p>
        </w:tc>
      </w:tr>
      <w:tr w:rsidR="00053D1E" w:rsidRPr="00053D1E" w14:paraId="6BA18684" w14:textId="77777777" w:rsidTr="002D7311">
        <w:trPr>
          <w:trHeight w:val="118"/>
        </w:trPr>
        <w:tc>
          <w:tcPr>
            <w:tcW w:w="6771" w:type="dxa"/>
          </w:tcPr>
          <w:p w14:paraId="7B56412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Receivables Measured at Amortised Cost </w:t>
            </w:r>
          </w:p>
        </w:tc>
        <w:tc>
          <w:tcPr>
            <w:tcW w:w="1417" w:type="dxa"/>
          </w:tcPr>
          <w:p w14:paraId="370F3CC1" w14:textId="636E022C" w:rsidR="00053D1E" w:rsidRPr="008B37BA" w:rsidRDefault="002D7311"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5F0609">
              <w:rPr>
                <w:rFonts w:cs="Source Sans Pro SemiBold"/>
                <w:bCs/>
                <w:color w:val="000000"/>
                <w:sz w:val="18"/>
                <w:szCs w:val="18"/>
              </w:rPr>
              <w:t>5,</w:t>
            </w:r>
            <w:r>
              <w:rPr>
                <w:rFonts w:cs="Source Sans Pro SemiBold"/>
                <w:bCs/>
                <w:color w:val="000000"/>
                <w:sz w:val="18"/>
                <w:szCs w:val="18"/>
              </w:rPr>
              <w:t>5</w:t>
            </w:r>
            <w:r w:rsidRPr="005F0609">
              <w:rPr>
                <w:rFonts w:cs="Source Sans Pro SemiBold"/>
                <w:bCs/>
                <w:color w:val="000000"/>
                <w:sz w:val="18"/>
                <w:szCs w:val="18"/>
              </w:rPr>
              <w:t>6</w:t>
            </w:r>
            <w:r>
              <w:rPr>
                <w:rFonts w:cs="Source Sans Pro SemiBold"/>
                <w:bCs/>
                <w:color w:val="000000"/>
                <w:sz w:val="18"/>
                <w:szCs w:val="18"/>
              </w:rPr>
              <w:t>6</w:t>
            </w:r>
          </w:p>
        </w:tc>
        <w:tc>
          <w:tcPr>
            <w:tcW w:w="1418" w:type="dxa"/>
          </w:tcPr>
          <w:p w14:paraId="5E9A970C" w14:textId="1F1A9E71" w:rsidR="00053D1E" w:rsidRPr="008B37BA" w:rsidRDefault="00053D1E"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723462">
              <w:rPr>
                <w:rFonts w:cs="Source Sans Pro SemiBold"/>
                <w:color w:val="000000"/>
                <w:sz w:val="18"/>
                <w:szCs w:val="18"/>
              </w:rPr>
              <w:t>2,</w:t>
            </w:r>
            <w:r w:rsidR="002D7311" w:rsidRPr="00672434">
              <w:rPr>
                <w:rFonts w:cs="Source Sans Pro SemiBold"/>
                <w:bCs/>
                <w:color w:val="000000"/>
                <w:sz w:val="18"/>
                <w:szCs w:val="18"/>
              </w:rPr>
              <w:t>793</w:t>
            </w:r>
          </w:p>
        </w:tc>
      </w:tr>
      <w:tr w:rsidR="00053D1E" w:rsidRPr="00053D1E" w14:paraId="0D9A033B" w14:textId="77777777" w:rsidTr="005A1A48">
        <w:trPr>
          <w:trHeight w:val="118"/>
        </w:trPr>
        <w:tc>
          <w:tcPr>
            <w:tcW w:w="9606" w:type="dxa"/>
            <w:gridSpan w:val="3"/>
            <w:tcBorders>
              <w:bottom w:val="nil"/>
            </w:tcBorders>
            <w:shd w:val="clear" w:color="auto" w:fill="auto"/>
          </w:tcPr>
          <w:p w14:paraId="2EB26A05" w14:textId="77777777" w:rsidR="00053D1E" w:rsidRPr="008B37BA"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highlight w:val="yellow"/>
              </w:rPr>
            </w:pPr>
            <w:r w:rsidRPr="005A1A48">
              <w:rPr>
                <w:rFonts w:ascii="Calibri" w:eastAsia="Calibri" w:hAnsi="Calibri" w:cs="Source Sans Pro SemiBold"/>
                <w:b/>
                <w:color w:val="000000"/>
                <w:sz w:val="18"/>
                <w:szCs w:val="18"/>
              </w:rPr>
              <w:t xml:space="preserve">Financial Liabilities </w:t>
            </w:r>
          </w:p>
        </w:tc>
      </w:tr>
      <w:tr w:rsidR="00053D1E" w:rsidRPr="00053D1E" w14:paraId="54733890" w14:textId="77777777" w:rsidTr="002D7311">
        <w:trPr>
          <w:trHeight w:val="118"/>
        </w:trPr>
        <w:tc>
          <w:tcPr>
            <w:tcW w:w="6771" w:type="dxa"/>
            <w:tcBorders>
              <w:top w:val="nil"/>
              <w:left w:val="nil"/>
              <w:bottom w:val="single" w:sz="12" w:space="0" w:color="492581" w:themeColor="accent1"/>
            </w:tcBorders>
          </w:tcPr>
          <w:p w14:paraId="687AB7D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 xml:space="preserve">Payables Measured at Amortised Cost </w:t>
            </w:r>
          </w:p>
        </w:tc>
        <w:tc>
          <w:tcPr>
            <w:tcW w:w="1417" w:type="dxa"/>
            <w:tcBorders>
              <w:top w:val="nil"/>
              <w:bottom w:val="single" w:sz="12" w:space="0" w:color="492581" w:themeColor="accent1"/>
            </w:tcBorders>
          </w:tcPr>
          <w:p w14:paraId="46EC736C" w14:textId="2F1B1C64" w:rsidR="00053D1E" w:rsidRPr="008B37BA" w:rsidRDefault="00091528"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336</w:t>
            </w:r>
          </w:p>
        </w:tc>
        <w:tc>
          <w:tcPr>
            <w:tcW w:w="1418" w:type="dxa"/>
            <w:tcBorders>
              <w:top w:val="nil"/>
              <w:bottom w:val="single" w:sz="12" w:space="0" w:color="492581" w:themeColor="accent1"/>
              <w:right w:val="nil"/>
            </w:tcBorders>
          </w:tcPr>
          <w:p w14:paraId="7814E3C7" w14:textId="791FC658" w:rsidR="00053D1E" w:rsidRPr="008B37BA" w:rsidRDefault="00091528"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183</w:t>
            </w:r>
          </w:p>
        </w:tc>
      </w:tr>
    </w:tbl>
    <w:p w14:paraId="786C656B" w14:textId="77777777" w:rsidR="00313DD2" w:rsidRDefault="00313DD2" w:rsidP="00313DD2">
      <w:pPr>
        <w:pStyle w:val="Pa6"/>
        <w:spacing w:before="40" w:after="100"/>
        <w:rPr>
          <w:rFonts w:asciiTheme="minorHAnsi" w:hAnsiTheme="minorHAnsi" w:cs="Source Sans Pro"/>
          <w:b/>
          <w:bCs/>
          <w:color w:val="000000"/>
          <w:sz w:val="22"/>
          <w:szCs w:val="22"/>
        </w:rPr>
      </w:pPr>
    </w:p>
    <w:p w14:paraId="102EC417" w14:textId="77777777" w:rsidR="007E790E" w:rsidRDefault="007E790E">
      <w:pPr>
        <w:spacing w:after="0" w:line="240" w:lineRule="auto"/>
        <w:rPr>
          <w:rFonts w:eastAsia="Calibri" w:cs="Source Sans Pro"/>
          <w:b/>
          <w:color w:val="000000"/>
          <w:sz w:val="22"/>
          <w:szCs w:val="22"/>
          <w:lang w:eastAsia="en-AU"/>
        </w:rPr>
      </w:pPr>
      <w:r>
        <w:rPr>
          <w:rFonts w:cs="Source Sans Pro"/>
          <w:b/>
          <w:color w:val="000000"/>
          <w:sz w:val="22"/>
          <w:szCs w:val="22"/>
        </w:rPr>
        <w:br w:type="page"/>
      </w:r>
    </w:p>
    <w:p w14:paraId="20E58C2C" w14:textId="77777777" w:rsidR="007E790E" w:rsidRPr="003C5243" w:rsidRDefault="007E790E" w:rsidP="007E790E">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C00EFD">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8</w:t>
      </w:r>
      <w:r w:rsidRPr="00C00EFD">
        <w:rPr>
          <w:rFonts w:ascii="Calibri" w:eastAsia="Calibri" w:hAnsi="Calibri" w:cs="Montserrat Semi Bold"/>
          <w:b/>
          <w:bCs/>
          <w:color w:val="000000"/>
          <w:sz w:val="30"/>
          <w:szCs w:val="30"/>
        </w:rPr>
        <w:t xml:space="preserve">. FINANCIAL INSTRUMENTS </w:t>
      </w:r>
      <w:r>
        <w:rPr>
          <w:rFonts w:ascii="Calibri" w:eastAsia="Calibri" w:hAnsi="Calibri" w:cs="Montserrat Semi Bold"/>
          <w:b/>
          <w:bCs/>
          <w:color w:val="000000"/>
          <w:sz w:val="30"/>
          <w:szCs w:val="30"/>
        </w:rPr>
        <w:t>- CONTINUED</w:t>
      </w:r>
    </w:p>
    <w:p w14:paraId="0DACEA56" w14:textId="6D2550D6" w:rsidR="00053D1E" w:rsidRPr="00C972E8" w:rsidRDefault="00053D1E" w:rsidP="00313DD2">
      <w:pPr>
        <w:pStyle w:val="Pa6"/>
        <w:spacing w:before="40" w:after="100"/>
        <w:rPr>
          <w:rFonts w:asciiTheme="minorHAnsi" w:hAnsiTheme="minorHAnsi" w:cs="Source Sans Pro"/>
          <w:b/>
          <w:color w:val="000000"/>
          <w:sz w:val="22"/>
          <w:szCs w:val="22"/>
        </w:rPr>
      </w:pPr>
      <w:r w:rsidRPr="00C972E8">
        <w:rPr>
          <w:rFonts w:asciiTheme="minorHAnsi" w:hAnsiTheme="minorHAnsi" w:cs="Source Sans Pro"/>
          <w:b/>
          <w:color w:val="000000"/>
          <w:sz w:val="22"/>
          <w:szCs w:val="22"/>
        </w:rPr>
        <w:t>(g) Gain/(Loss) on Each Category of Financial Asset</w:t>
      </w:r>
    </w:p>
    <w:p w14:paraId="3836692C" w14:textId="3DA68F21" w:rsidR="00053D1E" w:rsidRPr="00053D1E" w:rsidRDefault="00053D1E" w:rsidP="00053D1E">
      <w:pPr>
        <w:autoSpaceDE w:val="0"/>
        <w:autoSpaceDN w:val="0"/>
        <w:adjustRightInd w:val="0"/>
        <w:spacing w:after="140" w:line="211" w:lineRule="atLeast"/>
        <w:jc w:val="both"/>
        <w:rPr>
          <w:rFonts w:ascii="Calibri" w:eastAsia="Calibri" w:hAnsi="Calibri" w:cs="Source Sans Pro Light"/>
          <w:color w:val="000000"/>
          <w:sz w:val="22"/>
          <w:szCs w:val="22"/>
        </w:rPr>
      </w:pPr>
      <w:r w:rsidRPr="00DF0D5E">
        <w:rPr>
          <w:rFonts w:cs="Source Sans Pro Light"/>
          <w:color w:val="000000"/>
          <w:sz w:val="22"/>
          <w:szCs w:val="22"/>
        </w:rPr>
        <w:t xml:space="preserve">The Authority’s financial assets are </w:t>
      </w:r>
      <w:r>
        <w:rPr>
          <w:rFonts w:cs="Source Sans Pro Light"/>
          <w:color w:val="000000"/>
          <w:sz w:val="22"/>
          <w:szCs w:val="22"/>
        </w:rPr>
        <w:t xml:space="preserve">measured </w:t>
      </w:r>
      <w:r w:rsidRPr="00DF0D5E">
        <w:rPr>
          <w:rFonts w:cs="Source Sans Pro Light"/>
          <w:color w:val="000000"/>
          <w:sz w:val="22"/>
          <w:szCs w:val="22"/>
        </w:rPr>
        <w:t>at fair value and as such, no additional categories are applicable</w:t>
      </w:r>
      <w:r w:rsidRPr="00053D1E">
        <w:rPr>
          <w:rFonts w:ascii="Calibri" w:eastAsia="Calibri" w:hAnsi="Calibri" w:cs="Source Sans Pro Light"/>
          <w:color w:val="000000"/>
          <w:sz w:val="22"/>
          <w:szCs w:val="22"/>
        </w:rPr>
        <w:t>.</w:t>
      </w:r>
    </w:p>
    <w:p w14:paraId="1A6D7F26" w14:textId="3CB555B5" w:rsidR="00053D1E" w:rsidRPr="00542EE6" w:rsidRDefault="00053D1E" w:rsidP="00542EE6">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 xml:space="preserve">Also, the Authority does not have any financial liabilities in the ‘Financial Liabilities at Fair Value through </w:t>
      </w:r>
      <w:r>
        <w:rPr>
          <w:rFonts w:asciiTheme="minorHAnsi" w:hAnsiTheme="minorHAnsi" w:cs="Source Sans Pro Light"/>
          <w:color w:val="000000"/>
          <w:sz w:val="22"/>
          <w:szCs w:val="22"/>
        </w:rPr>
        <w:t>Operating Statement</w:t>
      </w:r>
      <w:r w:rsidRPr="00DF0D5E">
        <w:rPr>
          <w:rFonts w:asciiTheme="minorHAnsi" w:hAnsiTheme="minorHAnsi" w:cs="Source Sans Pro Light"/>
          <w:color w:val="000000"/>
          <w:sz w:val="22"/>
          <w:szCs w:val="22"/>
        </w:rPr>
        <w:t>’ category and, as such, this category is not included above.</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053D1E" w:rsidRPr="00053D1E" w14:paraId="28D45D3B" w14:textId="77777777" w:rsidTr="007B0ED1">
        <w:trPr>
          <w:trHeight w:val="218"/>
        </w:trPr>
        <w:tc>
          <w:tcPr>
            <w:tcW w:w="6771" w:type="dxa"/>
            <w:tcBorders>
              <w:top w:val="single" w:sz="12" w:space="0" w:color="492581" w:themeColor="accent1"/>
              <w:bottom w:val="single" w:sz="12" w:space="0" w:color="492581" w:themeColor="accent1"/>
            </w:tcBorders>
            <w:vAlign w:val="center"/>
          </w:tcPr>
          <w:p w14:paraId="75B39730"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417" w:type="dxa"/>
            <w:tcBorders>
              <w:top w:val="single" w:sz="12" w:space="0" w:color="492581" w:themeColor="accent1"/>
              <w:bottom w:val="single" w:sz="12" w:space="0" w:color="492581" w:themeColor="accent1"/>
            </w:tcBorders>
          </w:tcPr>
          <w:p w14:paraId="05BC0A19" w14:textId="11C2DF05"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w:t>
            </w:r>
            <w:r w:rsidR="00717CCD">
              <w:rPr>
                <w:rFonts w:ascii="Calibri" w:eastAsia="Calibri" w:hAnsi="Calibri" w:cs="Source Sans Pro SemiBold"/>
                <w:b/>
                <w:bCs/>
                <w:color w:val="000000"/>
                <w:sz w:val="18"/>
                <w:szCs w:val="18"/>
              </w:rPr>
              <w:t>4</w:t>
            </w:r>
            <w:r w:rsidRPr="00053D1E">
              <w:rPr>
                <w:rFonts w:ascii="Calibri" w:eastAsia="Calibri" w:hAnsi="Calibri" w:cs="Source Sans Pro SemiBold"/>
                <w:b/>
                <w:bCs/>
                <w:color w:val="000000"/>
                <w:sz w:val="18"/>
                <w:szCs w:val="18"/>
              </w:rPr>
              <w:br/>
              <w:t xml:space="preserve">$’000 </w:t>
            </w:r>
          </w:p>
        </w:tc>
        <w:tc>
          <w:tcPr>
            <w:tcW w:w="1418" w:type="dxa"/>
            <w:tcBorders>
              <w:top w:val="single" w:sz="12" w:space="0" w:color="492581" w:themeColor="accent1"/>
              <w:bottom w:val="single" w:sz="12" w:space="0" w:color="492581" w:themeColor="accent1"/>
            </w:tcBorders>
          </w:tcPr>
          <w:p w14:paraId="19DC05BA" w14:textId="1EA598F3" w:rsidR="00053D1E" w:rsidRPr="00053D1E" w:rsidRDefault="00053D1E" w:rsidP="00053D1E">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202</w:t>
            </w:r>
            <w:r w:rsidR="00717CCD">
              <w:rPr>
                <w:rFonts w:ascii="Calibri" w:eastAsia="Calibri" w:hAnsi="Calibri" w:cs="Source Sans Pro SemiBold"/>
                <w:b/>
                <w:bCs/>
                <w:color w:val="000000"/>
                <w:sz w:val="18"/>
                <w:szCs w:val="18"/>
              </w:rPr>
              <w:t>3</w:t>
            </w:r>
            <w:r w:rsidRPr="00053D1E">
              <w:rPr>
                <w:rFonts w:ascii="Calibri" w:eastAsia="Calibri" w:hAnsi="Calibri" w:cs="Source Sans Pro SemiBold"/>
                <w:b/>
                <w:bCs/>
                <w:color w:val="000000"/>
                <w:sz w:val="18"/>
                <w:szCs w:val="18"/>
              </w:rPr>
              <w:br/>
              <w:t xml:space="preserve">$’000 </w:t>
            </w:r>
          </w:p>
        </w:tc>
      </w:tr>
      <w:tr w:rsidR="00053D1E" w:rsidRPr="00053D1E" w14:paraId="6060523E" w14:textId="77777777" w:rsidTr="007B0ED1">
        <w:trPr>
          <w:trHeight w:val="118"/>
        </w:trPr>
        <w:tc>
          <w:tcPr>
            <w:tcW w:w="9606" w:type="dxa"/>
            <w:gridSpan w:val="3"/>
            <w:tcBorders>
              <w:top w:val="single" w:sz="12" w:space="0" w:color="492581" w:themeColor="accent1"/>
              <w:bottom w:val="nil"/>
            </w:tcBorders>
          </w:tcPr>
          <w:p w14:paraId="76095DCC" w14:textId="77777777" w:rsidR="00053D1E" w:rsidRPr="00053D1E" w:rsidRDefault="00053D1E" w:rsidP="00053D1E">
            <w:pPr>
              <w:autoSpaceDE w:val="0"/>
              <w:autoSpaceDN w:val="0"/>
              <w:adjustRightInd w:val="0"/>
              <w:spacing w:before="40" w:after="40" w:line="240" w:lineRule="auto"/>
              <w:rPr>
                <w:rFonts w:ascii="Calibri" w:eastAsia="Calibri" w:hAnsi="Calibri" w:cs="Source Sans Pro SemiBold"/>
                <w:color w:val="000000"/>
                <w:sz w:val="18"/>
                <w:szCs w:val="18"/>
              </w:rPr>
            </w:pPr>
            <w:r w:rsidRPr="00053D1E">
              <w:rPr>
                <w:rFonts w:ascii="Calibri" w:eastAsia="Calibri" w:hAnsi="Calibri" w:cs="Source Sans Pro SemiBold"/>
                <w:b/>
                <w:bCs/>
                <w:color w:val="000000"/>
                <w:sz w:val="18"/>
                <w:szCs w:val="18"/>
              </w:rPr>
              <w:t xml:space="preserve">Gain/(Loss) on Financial Asset </w:t>
            </w:r>
          </w:p>
        </w:tc>
      </w:tr>
      <w:tr w:rsidR="00053D1E" w:rsidRPr="00053D1E" w14:paraId="0A4EDFC5" w14:textId="77777777" w:rsidTr="007B0ED1">
        <w:trPr>
          <w:trHeight w:val="118"/>
        </w:trPr>
        <w:tc>
          <w:tcPr>
            <w:tcW w:w="6771" w:type="dxa"/>
            <w:tcBorders>
              <w:top w:val="nil"/>
              <w:bottom w:val="single" w:sz="12" w:space="0" w:color="492581" w:themeColor="accent1"/>
            </w:tcBorders>
          </w:tcPr>
          <w:p w14:paraId="6A400D88" w14:textId="77777777" w:rsidR="00053D1E" w:rsidRPr="00053D1E" w:rsidRDefault="00053D1E" w:rsidP="00053D1E">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053D1E">
              <w:rPr>
                <w:rFonts w:ascii="Calibri" w:eastAsia="Calibri" w:hAnsi="Calibri" w:cs="Source Sans Pro Light"/>
                <w:color w:val="000000"/>
                <w:sz w:val="18"/>
                <w:szCs w:val="18"/>
              </w:rPr>
              <w:t>Financial Assets at Fair Value through Operating Statement</w:t>
            </w:r>
            <w:r w:rsidRPr="00053D1E">
              <w:rPr>
                <w:rFonts w:ascii="Calibri" w:eastAsia="Calibri" w:hAnsi="Calibri" w:cs="Source Sans Pro Light"/>
                <w:color w:val="000000"/>
                <w:sz w:val="18"/>
                <w:szCs w:val="18"/>
              </w:rPr>
              <w:br/>
              <w:t xml:space="preserve">Designated upon initial Recognition </w:t>
            </w:r>
          </w:p>
        </w:tc>
        <w:tc>
          <w:tcPr>
            <w:tcW w:w="1417" w:type="dxa"/>
            <w:tcBorders>
              <w:top w:val="nil"/>
              <w:bottom w:val="single" w:sz="12" w:space="0" w:color="492581" w:themeColor="accent1"/>
            </w:tcBorders>
            <w:vAlign w:val="bottom"/>
          </w:tcPr>
          <w:p w14:paraId="365401A9" w14:textId="00F5538A" w:rsidR="00053D1E" w:rsidRPr="00717CCD" w:rsidRDefault="00A42D40" w:rsidP="00053D1E">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20,571</w:t>
            </w:r>
          </w:p>
        </w:tc>
        <w:tc>
          <w:tcPr>
            <w:tcW w:w="1418" w:type="dxa"/>
            <w:tcBorders>
              <w:top w:val="nil"/>
              <w:bottom w:val="single" w:sz="12" w:space="0" w:color="492581" w:themeColor="accent1"/>
            </w:tcBorders>
            <w:vAlign w:val="bottom"/>
          </w:tcPr>
          <w:p w14:paraId="4FD06F69" w14:textId="386CC4E1" w:rsidR="00053D1E" w:rsidRPr="00717CCD" w:rsidRDefault="00A42D40" w:rsidP="00053D1E">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SemiBold"/>
                <w:bCs/>
                <w:color w:val="000000"/>
                <w:sz w:val="18"/>
                <w:szCs w:val="18"/>
              </w:rPr>
              <w:t>22,596</w:t>
            </w:r>
          </w:p>
        </w:tc>
      </w:tr>
    </w:tbl>
    <w:p w14:paraId="06CA35D3" w14:textId="77777777" w:rsidR="004A2DEE" w:rsidRDefault="004A2DEE" w:rsidP="00141409">
      <w:pPr>
        <w:autoSpaceDE w:val="0"/>
        <w:autoSpaceDN w:val="0"/>
        <w:adjustRightInd w:val="0"/>
        <w:spacing w:before="40" w:after="100" w:line="211" w:lineRule="atLeast"/>
        <w:rPr>
          <w:rFonts w:ascii="Calibri" w:eastAsia="Calibri" w:hAnsi="Calibri" w:cs="Source Sans Pro"/>
          <w:b/>
          <w:bCs/>
          <w:color w:val="000000"/>
          <w:sz w:val="22"/>
          <w:szCs w:val="22"/>
        </w:rPr>
      </w:pPr>
    </w:p>
    <w:p w14:paraId="584BC3ED" w14:textId="475AF087" w:rsidR="00141409" w:rsidRPr="00141409" w:rsidRDefault="00141409" w:rsidP="00141409">
      <w:pPr>
        <w:autoSpaceDE w:val="0"/>
        <w:autoSpaceDN w:val="0"/>
        <w:adjustRightInd w:val="0"/>
        <w:spacing w:before="40" w:after="100" w:line="211" w:lineRule="atLeast"/>
        <w:rPr>
          <w:rFonts w:ascii="Calibri" w:eastAsia="Calibri" w:hAnsi="Calibri" w:cs="Source Sans Pro"/>
          <w:b/>
          <w:bCs/>
          <w:color w:val="000000"/>
          <w:sz w:val="22"/>
          <w:szCs w:val="22"/>
        </w:rPr>
      </w:pPr>
      <w:r w:rsidRPr="00141409">
        <w:rPr>
          <w:rFonts w:ascii="Calibri" w:eastAsia="Calibri" w:hAnsi="Calibri" w:cs="Source Sans Pro"/>
          <w:b/>
          <w:bCs/>
          <w:color w:val="000000"/>
          <w:sz w:val="22"/>
          <w:szCs w:val="22"/>
        </w:rPr>
        <w:t xml:space="preserve">(h) Fair Value Hierarchy </w:t>
      </w:r>
    </w:p>
    <w:p w14:paraId="0E39E984" w14:textId="77777777" w:rsidR="00141409" w:rsidRDefault="00141409" w:rsidP="00C96663">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Authority has investment assets whose carrying amount is measured at fair value. The Authority’s investments are measured using the level 2 classification in the fair value hierarchy. This classification is based on the degree to which the fair value is observable considering the lowest level input that is significant to the fair value </w:t>
      </w:r>
      <w:proofErr w:type="gramStart"/>
      <w:r>
        <w:rPr>
          <w:rFonts w:asciiTheme="minorHAnsi" w:hAnsiTheme="minorHAnsi" w:cs="Source Sans Pro Light"/>
          <w:color w:val="000000"/>
          <w:sz w:val="22"/>
          <w:szCs w:val="22"/>
        </w:rPr>
        <w:t>measurement as a whole</w:t>
      </w:r>
      <w:proofErr w:type="gramEnd"/>
      <w:r>
        <w:rPr>
          <w:rFonts w:asciiTheme="minorHAnsi" w:hAnsiTheme="minorHAnsi" w:cs="Source Sans Pro Light"/>
          <w:color w:val="000000"/>
          <w:sz w:val="22"/>
          <w:szCs w:val="22"/>
        </w:rPr>
        <w:t xml:space="preserve">. Level 2 fair value measurements are those derived from inputs other than quoted prices included within level 1 that are observable for the asset or liability, either directly (i.e. as prices) or indirectly (i.e. derived from prices). </w:t>
      </w:r>
    </w:p>
    <w:p w14:paraId="5EC03389" w14:textId="77777777" w:rsidR="00141409" w:rsidRDefault="00141409" w:rsidP="00C96663">
      <w:pPr>
        <w:pStyle w:val="Pa4"/>
        <w:spacing w:after="137" w:line="240" w:lineRule="auto"/>
        <w:outlineLvl w:val="0"/>
        <w:rPr>
          <w:rFonts w:asciiTheme="minorHAnsi" w:hAnsiTheme="minorHAnsi" w:cs="Source Sans Pro Light"/>
          <w:color w:val="000000"/>
          <w:sz w:val="22"/>
          <w:szCs w:val="22"/>
        </w:rPr>
      </w:pPr>
      <w:r w:rsidRPr="002964D3">
        <w:rPr>
          <w:rFonts w:asciiTheme="minorHAnsi" w:hAnsiTheme="minorHAnsi" w:cs="Source Sans Pro Light"/>
          <w:color w:val="000000"/>
          <w:sz w:val="22"/>
          <w:szCs w:val="22"/>
        </w:rPr>
        <w:t xml:space="preserve">The Authority’s Investments </w:t>
      </w:r>
      <w:r>
        <w:rPr>
          <w:rFonts w:asciiTheme="minorHAnsi" w:hAnsiTheme="minorHAnsi" w:cs="Source Sans Pro Light"/>
          <w:color w:val="000000"/>
          <w:sz w:val="22"/>
          <w:szCs w:val="22"/>
        </w:rPr>
        <w:t xml:space="preserve">held within the Territory Banking Account financial investments are fair valued at redemption price </w:t>
      </w:r>
      <w:proofErr w:type="gramStart"/>
      <w:r>
        <w:rPr>
          <w:rFonts w:asciiTheme="minorHAnsi" w:hAnsiTheme="minorHAnsi" w:cs="Source Sans Pro Light"/>
          <w:color w:val="000000"/>
          <w:sz w:val="22"/>
          <w:szCs w:val="22"/>
        </w:rPr>
        <w:t>on a daily basis</w:t>
      </w:r>
      <w:proofErr w:type="gramEnd"/>
      <w:r>
        <w:rPr>
          <w:rFonts w:asciiTheme="minorHAnsi" w:hAnsiTheme="minorHAnsi" w:cs="Source Sans Pro Light"/>
          <w:color w:val="000000"/>
          <w:sz w:val="22"/>
          <w:szCs w:val="22"/>
        </w:rPr>
        <w:t xml:space="preserve"> reflecting the bet available prices and valuation of the underlying investments and are considered level 2 investments.</w:t>
      </w:r>
      <w:r w:rsidR="00C96663">
        <w:rPr>
          <w:rFonts w:asciiTheme="minorHAnsi" w:hAnsiTheme="minorHAnsi" w:cs="Source Sans Pro Light"/>
          <w:color w:val="000000"/>
          <w:sz w:val="22"/>
          <w:szCs w:val="22"/>
        </w:rPr>
        <w:t xml:space="preserve"> </w:t>
      </w:r>
    </w:p>
    <w:p w14:paraId="5870621A" w14:textId="769B6F66" w:rsidR="005510DC" w:rsidRPr="007B19EF" w:rsidRDefault="005510DC" w:rsidP="007B19EF">
      <w:pPr>
        <w:spacing w:after="160" w:line="259" w:lineRule="auto"/>
        <w:ind w:right="-1"/>
        <w:jc w:val="both"/>
        <w:rPr>
          <w:rFonts w:ascii="Calibri" w:eastAsia="Calibri" w:hAnsi="Calibri" w:cs="Source Sans Pro Light"/>
          <w:color w:val="000000"/>
          <w:sz w:val="22"/>
          <w:szCs w:val="22"/>
        </w:rPr>
      </w:pPr>
      <w:r w:rsidRPr="005510DC">
        <w:rPr>
          <w:rFonts w:ascii="Calibri" w:eastAsia="Calibri" w:hAnsi="Calibri" w:cs="Montserrat Semi Bold"/>
          <w:b/>
          <w:bCs/>
          <w:color w:val="000000"/>
          <w:sz w:val="30"/>
          <w:szCs w:val="30"/>
        </w:rPr>
        <w:t>NOTE 1</w:t>
      </w:r>
      <w:r w:rsidR="00CC372E">
        <w:rPr>
          <w:rFonts w:ascii="Calibri" w:eastAsia="Calibri" w:hAnsi="Calibri" w:cs="Montserrat Semi Bold"/>
          <w:b/>
          <w:bCs/>
          <w:color w:val="000000"/>
          <w:sz w:val="30"/>
          <w:szCs w:val="30"/>
        </w:rPr>
        <w:t>9</w:t>
      </w:r>
      <w:r w:rsidRPr="005510DC">
        <w:rPr>
          <w:rFonts w:ascii="Calibri" w:eastAsia="Calibri" w:hAnsi="Calibri" w:cs="Montserrat Semi Bold"/>
          <w:b/>
          <w:bCs/>
          <w:color w:val="000000"/>
          <w:sz w:val="30"/>
          <w:szCs w:val="30"/>
        </w:rPr>
        <w:t>. RELATED PARTY DISCLOSURES</w:t>
      </w:r>
    </w:p>
    <w:p w14:paraId="6A705922" w14:textId="77777777" w:rsidR="005510DC" w:rsidRPr="005510DC" w:rsidRDefault="005510DC" w:rsidP="005510DC">
      <w:pPr>
        <w:autoSpaceDE w:val="0"/>
        <w:autoSpaceDN w:val="0"/>
        <w:adjustRightInd w:val="0"/>
        <w:spacing w:before="40" w:after="100" w:line="211" w:lineRule="atLeast"/>
        <w:rPr>
          <w:rFonts w:ascii="Calibri" w:eastAsia="Calibri" w:hAnsi="Calibri" w:cs="Source Sans Pro"/>
          <w:b/>
          <w:bCs/>
          <w:color w:val="000000"/>
          <w:sz w:val="22"/>
          <w:szCs w:val="22"/>
        </w:rPr>
      </w:pPr>
      <w:r w:rsidRPr="005510DC">
        <w:rPr>
          <w:rFonts w:ascii="Calibri" w:eastAsia="Calibri" w:hAnsi="Calibri" w:cs="Source Sans Pro"/>
          <w:b/>
          <w:bCs/>
          <w:color w:val="000000"/>
          <w:sz w:val="22"/>
          <w:szCs w:val="22"/>
        </w:rPr>
        <w:t>Description and Material Accounting Policies Relating to Related Party Disclosures</w:t>
      </w:r>
    </w:p>
    <w:p w14:paraId="3C8F6BEB" w14:textId="77777777" w:rsidR="005510DC" w:rsidRPr="00DF0D5E" w:rsidRDefault="005510DC" w:rsidP="008554AE">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 xml:space="preserve">A related party is a person that controls or has significant influence over the </w:t>
      </w:r>
      <w:r>
        <w:rPr>
          <w:rFonts w:asciiTheme="minorHAnsi" w:hAnsiTheme="minorHAnsi" w:cs="Source Sans Pro Light"/>
          <w:color w:val="000000"/>
          <w:sz w:val="22"/>
          <w:szCs w:val="22"/>
        </w:rPr>
        <w:t>Authority</w:t>
      </w:r>
      <w:r w:rsidRPr="00DF0D5E">
        <w:rPr>
          <w:rFonts w:asciiTheme="minorHAnsi" w:hAnsiTheme="minorHAnsi" w:cs="Source Sans Pro Light"/>
          <w:color w:val="000000"/>
          <w:sz w:val="22"/>
          <w:szCs w:val="22"/>
        </w:rPr>
        <w:t xml:space="preserve"> or is a member of the Key Management Personnel (KMP) of the </w:t>
      </w:r>
      <w:r>
        <w:rPr>
          <w:rFonts w:asciiTheme="minorHAnsi" w:hAnsiTheme="minorHAnsi" w:cs="Source Sans Pro Light"/>
          <w:color w:val="000000"/>
          <w:sz w:val="22"/>
          <w:szCs w:val="22"/>
        </w:rPr>
        <w:t xml:space="preserve">Authority or </w:t>
      </w:r>
      <w:r w:rsidRPr="00DF0D5E">
        <w:rPr>
          <w:rFonts w:asciiTheme="minorHAnsi" w:hAnsiTheme="minorHAnsi" w:cs="Source Sans Pro Light"/>
          <w:color w:val="000000"/>
          <w:sz w:val="22"/>
          <w:szCs w:val="22"/>
        </w:rPr>
        <w:t>its parent entity and includes their close family members and entities in which the KMP and/or their close family members individually or jointly have controlling interests.</w:t>
      </w:r>
    </w:p>
    <w:p w14:paraId="652BEA83" w14:textId="77777777" w:rsidR="005510DC" w:rsidRPr="00DF0D5E" w:rsidRDefault="005510DC" w:rsidP="008554AE">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 xml:space="preserve">KMP are those persons having authority and responsibility for planning, </w:t>
      </w:r>
      <w:proofErr w:type="gramStart"/>
      <w:r w:rsidRPr="00DF0D5E">
        <w:rPr>
          <w:rFonts w:asciiTheme="minorHAnsi" w:hAnsiTheme="minorHAnsi" w:cs="Source Sans Pro Light"/>
          <w:color w:val="000000"/>
          <w:sz w:val="22"/>
          <w:szCs w:val="22"/>
        </w:rPr>
        <w:t>directing</w:t>
      </w:r>
      <w:proofErr w:type="gramEnd"/>
      <w:r w:rsidRPr="00DF0D5E">
        <w:rPr>
          <w:rFonts w:asciiTheme="minorHAnsi" w:hAnsiTheme="minorHAnsi" w:cs="Source Sans Pro Light"/>
          <w:color w:val="000000"/>
          <w:sz w:val="22"/>
          <w:szCs w:val="22"/>
        </w:rPr>
        <w:t xml:space="preserve"> and controlling the activities of the Authority, directly or indirectly. </w:t>
      </w:r>
    </w:p>
    <w:p w14:paraId="60D0A31E" w14:textId="77777777" w:rsidR="008355A6" w:rsidRPr="00DF0D5E" w:rsidRDefault="005510DC" w:rsidP="008554AE">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KMP of the Authority are the Under Treasurer, Deputy Under Treasurer,</w:t>
      </w:r>
      <w:r>
        <w:rPr>
          <w:rFonts w:asciiTheme="minorHAnsi" w:hAnsiTheme="minorHAnsi" w:cs="Source Sans Pro Light"/>
          <w:color w:val="000000"/>
          <w:sz w:val="22"/>
          <w:szCs w:val="22"/>
        </w:rPr>
        <w:t xml:space="preserve"> Economic, Revenue, Insurance</w:t>
      </w:r>
      <w:r w:rsidR="00674FEC">
        <w:rPr>
          <w:rFonts w:asciiTheme="minorHAnsi" w:hAnsiTheme="minorHAnsi" w:cs="Source Sans Pro Light"/>
          <w:color w:val="000000"/>
          <w:sz w:val="22"/>
          <w:szCs w:val="22"/>
        </w:rPr>
        <w:t> </w:t>
      </w:r>
      <w:r>
        <w:rPr>
          <w:rFonts w:asciiTheme="minorHAnsi" w:hAnsiTheme="minorHAnsi" w:cs="Source Sans Pro Light"/>
          <w:color w:val="000000"/>
          <w:sz w:val="22"/>
          <w:szCs w:val="22"/>
        </w:rPr>
        <w:t xml:space="preserve">(ERI) </w:t>
      </w:r>
      <w:r w:rsidRPr="00DF0D5E">
        <w:rPr>
          <w:rFonts w:asciiTheme="minorHAnsi" w:hAnsiTheme="minorHAnsi" w:cs="Source Sans Pro Light"/>
          <w:color w:val="000000"/>
          <w:sz w:val="22"/>
          <w:szCs w:val="22"/>
        </w:rPr>
        <w:t>and the General Manager of the ACT Insurance Authority.</w:t>
      </w:r>
      <w:r w:rsidR="008554AE">
        <w:rPr>
          <w:rFonts w:asciiTheme="minorHAnsi" w:hAnsiTheme="minorHAnsi" w:cs="Source Sans Pro Light"/>
          <w:color w:val="000000"/>
          <w:sz w:val="22"/>
          <w:szCs w:val="22"/>
        </w:rPr>
        <w:t xml:space="preserve"> </w:t>
      </w:r>
      <w:r w:rsidR="008554AE" w:rsidRPr="00DF0D5E">
        <w:rPr>
          <w:rFonts w:asciiTheme="minorHAnsi" w:hAnsiTheme="minorHAnsi" w:cs="Source Sans Pro Light"/>
          <w:color w:val="000000"/>
          <w:sz w:val="22"/>
          <w:szCs w:val="22"/>
        </w:rPr>
        <w:t>The Head of Service and the ACT Executive comprising the Cabinet Ministers are KMP of the ACT Government and therefore related parties of the Authority.</w:t>
      </w:r>
    </w:p>
    <w:p w14:paraId="41922153" w14:textId="71111475" w:rsidR="0084514C" w:rsidRDefault="008554AE" w:rsidP="008554AE">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DF0D5E">
        <w:rPr>
          <w:rFonts w:cs="Source Sans Pro Light"/>
          <w:color w:val="000000"/>
          <w:sz w:val="22"/>
          <w:szCs w:val="22"/>
        </w:rPr>
        <w:t xml:space="preserve">This note does not include typical citizen transactions between the KMP and the Authority that occur on terms and conditions no different to those applying to the </w:t>
      </w:r>
      <w:proofErr w:type="gramStart"/>
      <w:r w:rsidRPr="00DF0D5E">
        <w:rPr>
          <w:rFonts w:cs="Source Sans Pro Light"/>
          <w:color w:val="000000"/>
          <w:sz w:val="22"/>
          <w:szCs w:val="22"/>
        </w:rPr>
        <w:t>general public</w:t>
      </w:r>
      <w:proofErr w:type="gramEnd"/>
      <w:r w:rsidR="000E16CA">
        <w:rPr>
          <w:rFonts w:cs="Source Sans Pro Light"/>
          <w:color w:val="000000"/>
          <w:sz w:val="22"/>
          <w:szCs w:val="22"/>
        </w:rPr>
        <w:t>.</w:t>
      </w:r>
      <w:r w:rsidRPr="00AF4AA7">
        <w:rPr>
          <w:rFonts w:ascii="Calibri" w:eastAsia="Calibri" w:hAnsi="Calibri" w:cs="Source Sans Pro"/>
          <w:b/>
          <w:bCs/>
          <w:color w:val="000000"/>
          <w:sz w:val="22"/>
          <w:szCs w:val="22"/>
        </w:rPr>
        <w:t xml:space="preserve"> </w:t>
      </w:r>
    </w:p>
    <w:p w14:paraId="274B9E66" w14:textId="0D48EBFE" w:rsidR="00AF4AA7" w:rsidRPr="00AF4AA7" w:rsidRDefault="00AF4AA7" w:rsidP="00AF4AA7">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(a) Controlling Entity</w:t>
      </w:r>
    </w:p>
    <w:p w14:paraId="1B087E55" w14:textId="77777777" w:rsidR="00AF4AA7" w:rsidRPr="00AF4AA7" w:rsidRDefault="00AF4AA7" w:rsidP="00AF4AA7">
      <w:pPr>
        <w:autoSpaceDE w:val="0"/>
        <w:autoSpaceDN w:val="0"/>
        <w:adjustRightInd w:val="0"/>
        <w:spacing w:after="140" w:line="211" w:lineRule="atLeast"/>
        <w:jc w:val="both"/>
        <w:rPr>
          <w:rFonts w:ascii="Calibri" w:eastAsia="Calibri" w:hAnsi="Calibri" w:cs="Source Sans Pro Light"/>
          <w:color w:val="000000"/>
          <w:sz w:val="22"/>
          <w:szCs w:val="22"/>
        </w:rPr>
      </w:pPr>
      <w:r w:rsidRPr="00AF4AA7">
        <w:rPr>
          <w:rFonts w:ascii="Calibri" w:eastAsia="Calibri" w:hAnsi="Calibri" w:cs="Source Sans Pro Light"/>
          <w:color w:val="000000"/>
          <w:sz w:val="22"/>
          <w:szCs w:val="22"/>
        </w:rPr>
        <w:t>The Authority is an ACT Government controlled entity.</w:t>
      </w:r>
    </w:p>
    <w:p w14:paraId="5AB19064" w14:textId="77777777" w:rsidR="00ED3AF1" w:rsidRDefault="00ED3AF1">
      <w:pPr>
        <w:spacing w:after="0" w:line="240" w:lineRule="auto"/>
        <w:rPr>
          <w:rFonts w:ascii="Calibri" w:eastAsia="Calibri" w:hAnsi="Calibri" w:cs="Source Sans Pro"/>
          <w:b/>
          <w:bCs/>
          <w:color w:val="000000"/>
          <w:sz w:val="22"/>
          <w:szCs w:val="22"/>
        </w:rPr>
      </w:pPr>
      <w:r>
        <w:rPr>
          <w:rFonts w:ascii="Calibri" w:eastAsia="Calibri" w:hAnsi="Calibri" w:cs="Source Sans Pro"/>
          <w:b/>
          <w:bCs/>
          <w:color w:val="000000"/>
          <w:sz w:val="22"/>
          <w:szCs w:val="22"/>
        </w:rPr>
        <w:br w:type="page"/>
      </w:r>
    </w:p>
    <w:p w14:paraId="57233DF3" w14:textId="7433ED44" w:rsidR="00ED3AF1" w:rsidRPr="007B19EF" w:rsidRDefault="00ED3AF1" w:rsidP="00ED3AF1">
      <w:pPr>
        <w:spacing w:after="160" w:line="259" w:lineRule="auto"/>
        <w:ind w:right="-1"/>
        <w:jc w:val="both"/>
        <w:rPr>
          <w:rFonts w:ascii="Calibri" w:eastAsia="Calibri" w:hAnsi="Calibri" w:cs="Source Sans Pro Light"/>
          <w:color w:val="000000"/>
          <w:sz w:val="22"/>
          <w:szCs w:val="22"/>
        </w:rPr>
      </w:pPr>
      <w:r w:rsidRPr="005510DC">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9</w:t>
      </w:r>
      <w:r w:rsidRPr="005510DC">
        <w:rPr>
          <w:rFonts w:ascii="Calibri" w:eastAsia="Calibri" w:hAnsi="Calibri" w:cs="Montserrat Semi Bold"/>
          <w:b/>
          <w:bCs/>
          <w:color w:val="000000"/>
          <w:sz w:val="30"/>
          <w:szCs w:val="30"/>
        </w:rPr>
        <w:t>. RELATED PARTY DISCLOSURES</w:t>
      </w:r>
      <w:r>
        <w:rPr>
          <w:rFonts w:ascii="Calibri" w:eastAsia="Calibri" w:hAnsi="Calibri" w:cs="Montserrat Semi Bold"/>
          <w:b/>
          <w:bCs/>
          <w:color w:val="000000"/>
          <w:sz w:val="30"/>
          <w:szCs w:val="30"/>
        </w:rPr>
        <w:t xml:space="preserve"> - CONTINUED</w:t>
      </w:r>
    </w:p>
    <w:p w14:paraId="2FE33D19" w14:textId="440DA64C" w:rsidR="00AF4AA7" w:rsidRPr="00AF4AA7" w:rsidRDefault="00AF4AA7" w:rsidP="00AF4AA7">
      <w:pPr>
        <w:autoSpaceDE w:val="0"/>
        <w:autoSpaceDN w:val="0"/>
        <w:adjustRightInd w:val="0"/>
        <w:spacing w:before="40" w:after="100" w:line="211" w:lineRule="atLeast"/>
        <w:jc w:val="both"/>
        <w:rPr>
          <w:rFonts w:ascii="Calibri" w:eastAsia="Calibri" w:hAnsi="Calibri" w:cs="Source Sans Pro"/>
          <w:b/>
          <w:bCs/>
          <w:color w:val="000000"/>
          <w:sz w:val="22"/>
          <w:szCs w:val="22"/>
        </w:rPr>
      </w:pPr>
      <w:r w:rsidRPr="00AF4AA7">
        <w:rPr>
          <w:rFonts w:ascii="Calibri" w:eastAsia="Calibri" w:hAnsi="Calibri" w:cs="Source Sans Pro"/>
          <w:b/>
          <w:bCs/>
          <w:color w:val="000000"/>
          <w:sz w:val="22"/>
          <w:szCs w:val="22"/>
        </w:rPr>
        <w:t>(b) Compensation of Key Management Personnel</w:t>
      </w:r>
    </w:p>
    <w:p w14:paraId="3CD0D4AF" w14:textId="4AA50D94" w:rsidR="00A34A94" w:rsidRPr="00DF0D5E" w:rsidRDefault="00A34A94" w:rsidP="00A34A94">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Compensation of all Cabinet Ministers, including the Portfolio Minister, is disclosed in the note on related party disclosures included in the ACT Executive’s financial statements for the year ended 30</w:t>
      </w:r>
      <w:r w:rsidR="00ED3AF1">
        <w:rPr>
          <w:rFonts w:asciiTheme="minorHAnsi" w:hAnsiTheme="minorHAnsi" w:cs="Source Sans Pro Light"/>
          <w:color w:val="000000"/>
          <w:sz w:val="22"/>
          <w:szCs w:val="22"/>
        </w:rPr>
        <w:t> </w:t>
      </w:r>
      <w:r w:rsidRPr="00DF0D5E">
        <w:rPr>
          <w:rFonts w:asciiTheme="minorHAnsi" w:hAnsiTheme="minorHAnsi" w:cs="Source Sans Pro Light"/>
          <w:color w:val="000000"/>
          <w:sz w:val="22"/>
          <w:szCs w:val="22"/>
        </w:rPr>
        <w:t>June 202</w:t>
      </w:r>
      <w:r>
        <w:rPr>
          <w:rFonts w:asciiTheme="minorHAnsi" w:hAnsiTheme="minorHAnsi" w:cs="Source Sans Pro Light"/>
          <w:color w:val="000000"/>
          <w:sz w:val="22"/>
          <w:szCs w:val="22"/>
        </w:rPr>
        <w:t>4</w:t>
      </w:r>
      <w:r w:rsidRPr="00DF0D5E">
        <w:rPr>
          <w:rFonts w:asciiTheme="minorHAnsi" w:hAnsiTheme="minorHAnsi" w:cs="Source Sans Pro Light"/>
          <w:color w:val="000000"/>
          <w:sz w:val="22"/>
          <w:szCs w:val="22"/>
        </w:rPr>
        <w:t>.</w:t>
      </w:r>
    </w:p>
    <w:p w14:paraId="327C2520" w14:textId="77777777" w:rsidR="00A34A94" w:rsidRDefault="00A34A94" w:rsidP="00A34A94">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Compensation of the Head of Service is included in the note on related party disclosures included in the Chief Minister, Treasury and Economic Development Directorate’s (CMTEDD) financial statements for the year ended 30 June 202</w:t>
      </w:r>
      <w:r>
        <w:rPr>
          <w:rFonts w:asciiTheme="minorHAnsi" w:hAnsiTheme="minorHAnsi" w:cs="Source Sans Pro Light"/>
          <w:color w:val="000000"/>
          <w:sz w:val="22"/>
          <w:szCs w:val="22"/>
        </w:rPr>
        <w:t>4</w:t>
      </w:r>
      <w:r w:rsidRPr="00DF0D5E">
        <w:rPr>
          <w:rFonts w:asciiTheme="minorHAnsi" w:hAnsiTheme="minorHAnsi" w:cs="Source Sans Pro Light"/>
          <w:color w:val="000000"/>
          <w:sz w:val="22"/>
          <w:szCs w:val="22"/>
        </w:rPr>
        <w:t>.</w:t>
      </w:r>
    </w:p>
    <w:p w14:paraId="3CEBAD29" w14:textId="77777777" w:rsidR="00F8207D" w:rsidRPr="00DF0D5E" w:rsidRDefault="00F8207D">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The Under Treasurer</w:t>
      </w:r>
      <w:r>
        <w:rPr>
          <w:rFonts w:asciiTheme="minorHAnsi" w:hAnsiTheme="minorHAnsi" w:cs="Source Sans Pro Light"/>
          <w:color w:val="000000"/>
          <w:sz w:val="22"/>
          <w:szCs w:val="22"/>
        </w:rPr>
        <w:t xml:space="preserve"> and</w:t>
      </w:r>
      <w:r w:rsidRPr="00DF0D5E">
        <w:rPr>
          <w:rFonts w:asciiTheme="minorHAnsi" w:hAnsiTheme="minorHAnsi" w:cs="Source Sans Pro Light"/>
          <w:color w:val="000000"/>
          <w:sz w:val="22"/>
          <w:szCs w:val="22"/>
        </w:rPr>
        <w:t xml:space="preserve"> Deputy Under Treasurer, are the KMPs of the Authority employed by CMTEDD and are compensated by CMTEDD. </w:t>
      </w:r>
      <w:r w:rsidRPr="00942528">
        <w:rPr>
          <w:rFonts w:asciiTheme="minorHAnsi" w:hAnsiTheme="minorHAnsi" w:cs="Source Sans Pro Light"/>
          <w:color w:val="000000"/>
          <w:sz w:val="22"/>
          <w:szCs w:val="22"/>
        </w:rPr>
        <w:t>There were no transactions between the Authority and its KMP.</w:t>
      </w:r>
    </w:p>
    <w:p w14:paraId="385EE55F" w14:textId="77777777" w:rsidR="00AF4AA7" w:rsidRPr="00DF0D5E" w:rsidRDefault="00AF4AA7" w:rsidP="00F8207D">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Compensation by the Authority to other KMP is set out below.</w:t>
      </w:r>
    </w:p>
    <w:tbl>
      <w:tblPr>
        <w:tblW w:w="9462" w:type="dxa"/>
        <w:tblInd w:w="34" w:type="dxa"/>
        <w:tblLayout w:type="fixed"/>
        <w:tblLook w:val="04A0" w:firstRow="1" w:lastRow="0" w:firstColumn="1" w:lastColumn="0" w:noHBand="0" w:noVBand="1"/>
      </w:tblPr>
      <w:tblGrid>
        <w:gridCol w:w="6060"/>
        <w:gridCol w:w="1701"/>
        <w:gridCol w:w="1701"/>
      </w:tblGrid>
      <w:tr w:rsidR="00AF4AA7" w:rsidRPr="00AF4AA7" w14:paraId="1E923326" w14:textId="77777777" w:rsidTr="00676F74">
        <w:tc>
          <w:tcPr>
            <w:tcW w:w="6060" w:type="dxa"/>
            <w:tcBorders>
              <w:top w:val="single" w:sz="12" w:space="0" w:color="492581" w:themeColor="accent1"/>
              <w:bottom w:val="single" w:sz="12" w:space="0" w:color="492581" w:themeColor="accent1"/>
            </w:tcBorders>
          </w:tcPr>
          <w:p w14:paraId="0F6DA0D6" w14:textId="77777777" w:rsidR="00AF4AA7" w:rsidRPr="00AF4AA7" w:rsidRDefault="00AF4AA7" w:rsidP="00AF4AA7">
            <w:pPr>
              <w:spacing w:after="0" w:line="259" w:lineRule="auto"/>
              <w:rPr>
                <w:rFonts w:ascii="Calibri" w:eastAsia="Calibri" w:hAnsi="Calibri" w:cs="Times New Roman"/>
                <w:sz w:val="22"/>
                <w:szCs w:val="22"/>
              </w:rPr>
            </w:pPr>
          </w:p>
        </w:tc>
        <w:tc>
          <w:tcPr>
            <w:tcW w:w="1701" w:type="dxa"/>
            <w:tcBorders>
              <w:top w:val="single" w:sz="12" w:space="0" w:color="492581" w:themeColor="accent1"/>
              <w:bottom w:val="single" w:sz="12" w:space="0" w:color="492581" w:themeColor="accent1"/>
            </w:tcBorders>
          </w:tcPr>
          <w:p w14:paraId="7BBFEC1C" w14:textId="68A139D3" w:rsidR="00AF4AA7" w:rsidRPr="00AF4AA7" w:rsidRDefault="00AF4AA7" w:rsidP="00AF4AA7">
            <w:pPr>
              <w:spacing w:after="0" w:line="259" w:lineRule="auto"/>
              <w:ind w:left="-249" w:right="34"/>
              <w:jc w:val="right"/>
              <w:rPr>
                <w:rFonts w:ascii="Calibri" w:eastAsia="Calibri" w:hAnsi="Calibri" w:cs="Times New Roman"/>
                <w:b/>
                <w:sz w:val="20"/>
                <w:szCs w:val="20"/>
              </w:rPr>
            </w:pPr>
            <w:r w:rsidRPr="00AF4AA7">
              <w:rPr>
                <w:rFonts w:ascii="Calibri" w:eastAsia="Calibri" w:hAnsi="Calibri" w:cs="Times New Roman"/>
                <w:b/>
                <w:sz w:val="20"/>
                <w:szCs w:val="20"/>
              </w:rPr>
              <w:t>202</w:t>
            </w:r>
            <w:r w:rsidR="006C3A77">
              <w:rPr>
                <w:rFonts w:ascii="Calibri" w:eastAsia="Calibri" w:hAnsi="Calibri" w:cs="Times New Roman"/>
                <w:b/>
                <w:sz w:val="20"/>
                <w:szCs w:val="20"/>
              </w:rPr>
              <w:t>4</w:t>
            </w:r>
          </w:p>
          <w:p w14:paraId="0CD1DB1F" w14:textId="77777777" w:rsidR="00AF4AA7" w:rsidRPr="00AF4AA7" w:rsidRDefault="00AF4AA7" w:rsidP="00AF4AA7">
            <w:pPr>
              <w:spacing w:after="0" w:line="259" w:lineRule="auto"/>
              <w:ind w:left="-249"/>
              <w:jc w:val="right"/>
              <w:rPr>
                <w:rFonts w:ascii="Calibri" w:eastAsia="Calibri" w:hAnsi="Calibri" w:cs="Times New Roman"/>
                <w:sz w:val="20"/>
                <w:szCs w:val="20"/>
              </w:rPr>
            </w:pPr>
            <w:r w:rsidRPr="00AF4AA7">
              <w:rPr>
                <w:rFonts w:ascii="Calibri" w:eastAsia="Calibri" w:hAnsi="Calibri" w:cs="Times New Roman"/>
                <w:b/>
                <w:sz w:val="20"/>
                <w:szCs w:val="20"/>
              </w:rPr>
              <w:t>$’000</w:t>
            </w:r>
          </w:p>
        </w:tc>
        <w:tc>
          <w:tcPr>
            <w:tcW w:w="1701" w:type="dxa"/>
            <w:tcBorders>
              <w:top w:val="single" w:sz="12" w:space="0" w:color="492581" w:themeColor="accent1"/>
              <w:bottom w:val="single" w:sz="12" w:space="0" w:color="492581" w:themeColor="accent1"/>
            </w:tcBorders>
          </w:tcPr>
          <w:p w14:paraId="69CFEBEE" w14:textId="49A2425C" w:rsidR="00AF4AA7" w:rsidRPr="00AF4AA7" w:rsidRDefault="00AF4AA7" w:rsidP="00AF4AA7">
            <w:pPr>
              <w:spacing w:after="0" w:line="259" w:lineRule="auto"/>
              <w:ind w:left="-249" w:right="34"/>
              <w:jc w:val="right"/>
              <w:rPr>
                <w:rFonts w:ascii="Calibri" w:eastAsia="Calibri" w:hAnsi="Calibri" w:cs="Times New Roman"/>
                <w:b/>
                <w:sz w:val="20"/>
                <w:szCs w:val="20"/>
              </w:rPr>
            </w:pPr>
            <w:r w:rsidRPr="00AF4AA7">
              <w:rPr>
                <w:rFonts w:ascii="Calibri" w:eastAsia="Calibri" w:hAnsi="Calibri" w:cs="Times New Roman"/>
                <w:b/>
                <w:sz w:val="20"/>
                <w:szCs w:val="20"/>
              </w:rPr>
              <w:t>202</w:t>
            </w:r>
            <w:r w:rsidR="006C3A77">
              <w:rPr>
                <w:rFonts w:ascii="Calibri" w:eastAsia="Calibri" w:hAnsi="Calibri" w:cs="Times New Roman"/>
                <w:b/>
                <w:sz w:val="20"/>
                <w:szCs w:val="20"/>
              </w:rPr>
              <w:t>3</w:t>
            </w:r>
          </w:p>
          <w:p w14:paraId="689B0816" w14:textId="77777777" w:rsidR="00AF4AA7" w:rsidRPr="00AF4AA7" w:rsidRDefault="00AF4AA7" w:rsidP="00AF4AA7">
            <w:pPr>
              <w:spacing w:after="0" w:line="259" w:lineRule="auto"/>
              <w:ind w:left="-249"/>
              <w:jc w:val="right"/>
              <w:rPr>
                <w:rFonts w:ascii="Calibri" w:eastAsia="Calibri" w:hAnsi="Calibri" w:cs="Times New Roman"/>
                <w:sz w:val="20"/>
                <w:szCs w:val="20"/>
              </w:rPr>
            </w:pPr>
            <w:r w:rsidRPr="00AF4AA7">
              <w:rPr>
                <w:rFonts w:ascii="Calibri" w:eastAsia="Calibri" w:hAnsi="Calibri" w:cs="Times New Roman"/>
                <w:b/>
                <w:sz w:val="20"/>
                <w:szCs w:val="20"/>
              </w:rPr>
              <w:t>$’000</w:t>
            </w:r>
          </w:p>
        </w:tc>
      </w:tr>
      <w:tr w:rsidR="00AF4AA7" w:rsidRPr="00AF4AA7" w14:paraId="5B25425A" w14:textId="77777777" w:rsidTr="00676F74">
        <w:tc>
          <w:tcPr>
            <w:tcW w:w="6060" w:type="dxa"/>
            <w:tcBorders>
              <w:top w:val="single" w:sz="12" w:space="0" w:color="492581" w:themeColor="accent1"/>
            </w:tcBorders>
            <w:shd w:val="clear" w:color="auto" w:fill="auto"/>
          </w:tcPr>
          <w:p w14:paraId="69C0F5A5"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Short-term employee benefits</w:t>
            </w:r>
          </w:p>
        </w:tc>
        <w:tc>
          <w:tcPr>
            <w:tcW w:w="1701" w:type="dxa"/>
            <w:tcBorders>
              <w:top w:val="single" w:sz="12" w:space="0" w:color="492581" w:themeColor="accent1"/>
            </w:tcBorders>
            <w:shd w:val="clear" w:color="auto" w:fill="auto"/>
          </w:tcPr>
          <w:p w14:paraId="2A9CA7AA" w14:textId="7FE1C090"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Pr>
                <w:bCs/>
                <w:sz w:val="20"/>
                <w:szCs w:val="20"/>
              </w:rPr>
              <w:t>243</w:t>
            </w:r>
          </w:p>
        </w:tc>
        <w:tc>
          <w:tcPr>
            <w:tcW w:w="1701" w:type="dxa"/>
            <w:tcBorders>
              <w:top w:val="single" w:sz="12" w:space="0" w:color="492581" w:themeColor="accent1"/>
            </w:tcBorders>
            <w:shd w:val="clear" w:color="auto" w:fill="auto"/>
          </w:tcPr>
          <w:p w14:paraId="56D8EDBD" w14:textId="6CF58EB2"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sidRPr="00D2016A">
              <w:rPr>
                <w:bCs/>
                <w:sz w:val="20"/>
                <w:szCs w:val="20"/>
              </w:rPr>
              <w:t>237</w:t>
            </w:r>
          </w:p>
        </w:tc>
      </w:tr>
      <w:tr w:rsidR="00AF4AA7" w:rsidRPr="00AF4AA7" w14:paraId="625536B3" w14:textId="77777777" w:rsidTr="00323290">
        <w:tc>
          <w:tcPr>
            <w:tcW w:w="6060" w:type="dxa"/>
            <w:shd w:val="clear" w:color="auto" w:fill="auto"/>
          </w:tcPr>
          <w:p w14:paraId="3F6F569B"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Post-employment benefits</w:t>
            </w:r>
          </w:p>
        </w:tc>
        <w:tc>
          <w:tcPr>
            <w:tcW w:w="1701" w:type="dxa"/>
            <w:shd w:val="clear" w:color="auto" w:fill="auto"/>
          </w:tcPr>
          <w:p w14:paraId="2D5A3EF8" w14:textId="2315C3BE"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Pr>
                <w:bCs/>
                <w:sz w:val="20"/>
                <w:szCs w:val="20"/>
              </w:rPr>
              <w:t>28</w:t>
            </w:r>
          </w:p>
        </w:tc>
        <w:tc>
          <w:tcPr>
            <w:tcW w:w="1701" w:type="dxa"/>
            <w:shd w:val="clear" w:color="auto" w:fill="auto"/>
          </w:tcPr>
          <w:p w14:paraId="7A2E6E95" w14:textId="31B81F82"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sidRPr="00D2016A">
              <w:rPr>
                <w:bCs/>
                <w:sz w:val="20"/>
                <w:szCs w:val="20"/>
              </w:rPr>
              <w:t>27</w:t>
            </w:r>
          </w:p>
        </w:tc>
      </w:tr>
      <w:tr w:rsidR="00AF4AA7" w:rsidRPr="00AF4AA7" w14:paraId="60AE169E" w14:textId="77777777" w:rsidTr="00323290">
        <w:tc>
          <w:tcPr>
            <w:tcW w:w="6060" w:type="dxa"/>
            <w:shd w:val="clear" w:color="auto" w:fill="auto"/>
          </w:tcPr>
          <w:p w14:paraId="7A205281"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sz w:val="20"/>
                <w:szCs w:val="20"/>
              </w:rPr>
              <w:t>Other long-term benefits</w:t>
            </w:r>
          </w:p>
        </w:tc>
        <w:tc>
          <w:tcPr>
            <w:tcW w:w="1701" w:type="dxa"/>
            <w:tcBorders>
              <w:bottom w:val="single" w:sz="2" w:space="0" w:color="auto"/>
            </w:tcBorders>
            <w:shd w:val="clear" w:color="auto" w:fill="auto"/>
          </w:tcPr>
          <w:p w14:paraId="450A2B21" w14:textId="5805A235"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Pr>
                <w:bCs/>
                <w:sz w:val="20"/>
                <w:szCs w:val="20"/>
              </w:rPr>
              <w:t>7</w:t>
            </w:r>
          </w:p>
        </w:tc>
        <w:tc>
          <w:tcPr>
            <w:tcW w:w="1701" w:type="dxa"/>
            <w:tcBorders>
              <w:bottom w:val="single" w:sz="2" w:space="0" w:color="auto"/>
            </w:tcBorders>
            <w:shd w:val="clear" w:color="auto" w:fill="auto"/>
          </w:tcPr>
          <w:p w14:paraId="32256C07" w14:textId="29D4E641"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sidRPr="00D2016A">
              <w:rPr>
                <w:bCs/>
                <w:sz w:val="20"/>
                <w:szCs w:val="20"/>
              </w:rPr>
              <w:t>11</w:t>
            </w:r>
          </w:p>
        </w:tc>
      </w:tr>
      <w:tr w:rsidR="00AF4AA7" w:rsidRPr="00AF4AA7" w14:paraId="3AEFB9C6" w14:textId="77777777" w:rsidTr="00676F74">
        <w:tc>
          <w:tcPr>
            <w:tcW w:w="6060" w:type="dxa"/>
            <w:tcBorders>
              <w:bottom w:val="single" w:sz="12" w:space="0" w:color="492581" w:themeColor="accent1"/>
            </w:tcBorders>
            <w:shd w:val="clear" w:color="auto" w:fill="auto"/>
          </w:tcPr>
          <w:p w14:paraId="11A68F95" w14:textId="77777777" w:rsidR="00AF4AA7" w:rsidRPr="00AF4AA7" w:rsidRDefault="00AF4AA7" w:rsidP="00AF4AA7">
            <w:pPr>
              <w:spacing w:before="40" w:after="0" w:line="240" w:lineRule="auto"/>
              <w:ind w:left="210" w:hanging="210"/>
              <w:rPr>
                <w:rFonts w:ascii="Calibri" w:eastAsia="Calibri" w:hAnsi="Calibri" w:cs="Times New Roman"/>
                <w:sz w:val="20"/>
                <w:szCs w:val="20"/>
              </w:rPr>
            </w:pPr>
            <w:r w:rsidRPr="00AF4AA7">
              <w:rPr>
                <w:rFonts w:ascii="Calibri" w:eastAsia="Calibri" w:hAnsi="Calibri" w:cs="Times New Roman"/>
                <w:b/>
                <w:sz w:val="20"/>
                <w:szCs w:val="20"/>
              </w:rPr>
              <w:t>Total Compensation by the Authority to KMP</w:t>
            </w:r>
          </w:p>
        </w:tc>
        <w:tc>
          <w:tcPr>
            <w:tcW w:w="1701" w:type="dxa"/>
            <w:tcBorders>
              <w:top w:val="single" w:sz="2" w:space="0" w:color="auto"/>
              <w:bottom w:val="single" w:sz="12" w:space="0" w:color="492581" w:themeColor="accent1"/>
            </w:tcBorders>
            <w:shd w:val="clear" w:color="auto" w:fill="auto"/>
          </w:tcPr>
          <w:p w14:paraId="3DDEF4FC" w14:textId="6CCAA3C7" w:rsidR="00AF4AA7" w:rsidRPr="006C3A77" w:rsidRDefault="00B8049C" w:rsidP="00AF4AA7">
            <w:pPr>
              <w:spacing w:before="40" w:after="0" w:line="240" w:lineRule="auto"/>
              <w:ind w:left="-959" w:right="34" w:firstLine="992"/>
              <w:jc w:val="right"/>
              <w:rPr>
                <w:rFonts w:ascii="Calibri" w:eastAsia="Calibri" w:hAnsi="Calibri" w:cs="Times New Roman"/>
                <w:b/>
                <w:sz w:val="20"/>
                <w:szCs w:val="20"/>
                <w:highlight w:val="yellow"/>
              </w:rPr>
            </w:pPr>
            <w:r>
              <w:rPr>
                <w:b/>
                <w:sz w:val="20"/>
                <w:szCs w:val="20"/>
              </w:rPr>
              <w:t>278</w:t>
            </w:r>
          </w:p>
        </w:tc>
        <w:tc>
          <w:tcPr>
            <w:tcW w:w="1701" w:type="dxa"/>
            <w:tcBorders>
              <w:top w:val="single" w:sz="2" w:space="0" w:color="auto"/>
              <w:bottom w:val="single" w:sz="12" w:space="0" w:color="492581" w:themeColor="accent1"/>
            </w:tcBorders>
            <w:shd w:val="clear" w:color="auto" w:fill="auto"/>
          </w:tcPr>
          <w:p w14:paraId="2D6947AE" w14:textId="7249188F" w:rsidR="00AF4AA7" w:rsidRPr="006C3A77" w:rsidRDefault="00B8049C" w:rsidP="00AF4AA7">
            <w:pPr>
              <w:spacing w:before="40" w:after="0" w:line="240" w:lineRule="auto"/>
              <w:ind w:left="-959" w:right="34" w:firstLine="992"/>
              <w:jc w:val="right"/>
              <w:rPr>
                <w:rFonts w:ascii="Calibri" w:eastAsia="Calibri" w:hAnsi="Calibri" w:cs="Times New Roman"/>
                <w:bCs/>
                <w:sz w:val="20"/>
                <w:szCs w:val="20"/>
                <w:highlight w:val="yellow"/>
              </w:rPr>
            </w:pPr>
            <w:r w:rsidRPr="00D2016A">
              <w:rPr>
                <w:b/>
                <w:sz w:val="20"/>
                <w:szCs w:val="20"/>
              </w:rPr>
              <w:t>275</w:t>
            </w:r>
          </w:p>
        </w:tc>
      </w:tr>
    </w:tbl>
    <w:p w14:paraId="19B6B96C" w14:textId="77777777" w:rsidR="00AF4AA7" w:rsidRPr="00AF4AA7" w:rsidRDefault="00AF4AA7" w:rsidP="00AF4AA7">
      <w:pPr>
        <w:spacing w:after="100" w:line="259" w:lineRule="auto"/>
        <w:rPr>
          <w:rFonts w:ascii="Calibri" w:eastAsia="Calibri" w:hAnsi="Calibri" w:cs="Times New Roman"/>
          <w:b/>
          <w:sz w:val="22"/>
          <w:szCs w:val="22"/>
        </w:rPr>
      </w:pPr>
    </w:p>
    <w:p w14:paraId="0E6E8FC2" w14:textId="77777777" w:rsidR="00AF4AA7" w:rsidRPr="00C972E8" w:rsidRDefault="00AF4AA7" w:rsidP="00C01C4E">
      <w:pPr>
        <w:pStyle w:val="Pa6"/>
        <w:spacing w:before="40" w:after="100"/>
        <w:rPr>
          <w:rFonts w:asciiTheme="minorHAnsi" w:hAnsiTheme="minorHAnsi" w:cs="Source Sans Pro"/>
          <w:b/>
          <w:color w:val="000000"/>
          <w:sz w:val="22"/>
          <w:szCs w:val="22"/>
        </w:rPr>
      </w:pPr>
      <w:r w:rsidRPr="00C972E8">
        <w:rPr>
          <w:rFonts w:asciiTheme="minorHAnsi" w:hAnsiTheme="minorHAnsi" w:cs="Source Sans Pro"/>
          <w:b/>
          <w:color w:val="000000"/>
          <w:sz w:val="22"/>
          <w:szCs w:val="22"/>
        </w:rPr>
        <w:t>(c) Transactions with other ACT Government Controlled Entities</w:t>
      </w:r>
    </w:p>
    <w:p w14:paraId="428DB4C2" w14:textId="7DB32950" w:rsidR="00AF4AA7" w:rsidRDefault="00AF4AA7" w:rsidP="00C01C4E">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The Authority</w:t>
      </w:r>
      <w:r w:rsidRPr="0048667F">
        <w:rPr>
          <w:rFonts w:asciiTheme="minorHAnsi" w:hAnsiTheme="minorHAnsi" w:cs="Source Sans Pro Light"/>
          <w:color w:val="000000"/>
          <w:sz w:val="22"/>
          <w:szCs w:val="22"/>
        </w:rPr>
        <w:t xml:space="preserve"> has </w:t>
      </w:r>
      <w:proofErr w:type="gramStart"/>
      <w:r w:rsidRPr="0048667F">
        <w:rPr>
          <w:rFonts w:asciiTheme="minorHAnsi" w:hAnsiTheme="minorHAnsi" w:cs="Source Sans Pro Light"/>
          <w:color w:val="000000"/>
          <w:sz w:val="22"/>
          <w:szCs w:val="22"/>
        </w:rPr>
        <w:t>entered into</w:t>
      </w:r>
      <w:proofErr w:type="gramEnd"/>
      <w:r w:rsidRPr="0048667F">
        <w:rPr>
          <w:rFonts w:asciiTheme="minorHAnsi" w:hAnsiTheme="minorHAnsi" w:cs="Source Sans Pro Light"/>
          <w:color w:val="000000"/>
          <w:sz w:val="22"/>
          <w:szCs w:val="22"/>
        </w:rPr>
        <w:t xml:space="preserve"> transactions with other ACT Government entities in </w:t>
      </w:r>
      <w:r w:rsidR="00323290" w:rsidRPr="0048667F">
        <w:rPr>
          <w:rFonts w:asciiTheme="minorHAnsi" w:hAnsiTheme="minorHAnsi" w:cs="Source Sans Pro Light"/>
          <w:color w:val="000000"/>
          <w:sz w:val="22"/>
          <w:szCs w:val="22"/>
        </w:rPr>
        <w:t>2023</w:t>
      </w:r>
      <w:r w:rsidR="00323290">
        <w:rPr>
          <w:rFonts w:asciiTheme="minorHAnsi" w:hAnsiTheme="minorHAnsi" w:cs="Source Sans Pro Light"/>
          <w:color w:val="000000"/>
          <w:sz w:val="22"/>
          <w:szCs w:val="22"/>
        </w:rPr>
        <w:t>-</w:t>
      </w:r>
      <w:r w:rsidR="00323290" w:rsidRPr="0048667F">
        <w:rPr>
          <w:rFonts w:asciiTheme="minorHAnsi" w:hAnsiTheme="minorHAnsi" w:cs="Source Sans Pro Light"/>
          <w:color w:val="000000"/>
          <w:sz w:val="22"/>
          <w:szCs w:val="22"/>
        </w:rPr>
        <w:t>2</w:t>
      </w:r>
      <w:r w:rsidR="00323290">
        <w:rPr>
          <w:rFonts w:asciiTheme="minorHAnsi" w:hAnsiTheme="minorHAnsi" w:cs="Source Sans Pro Light"/>
          <w:color w:val="000000"/>
          <w:sz w:val="22"/>
          <w:szCs w:val="22"/>
        </w:rPr>
        <w:t>4</w:t>
      </w:r>
      <w:r w:rsidRPr="0048667F">
        <w:rPr>
          <w:rFonts w:asciiTheme="minorHAnsi" w:hAnsiTheme="minorHAnsi" w:cs="Source Sans Pro Light"/>
          <w:color w:val="000000"/>
          <w:sz w:val="22"/>
          <w:szCs w:val="22"/>
        </w:rPr>
        <w:t xml:space="preserve"> and 202</w:t>
      </w:r>
      <w:r w:rsidR="006C3A77" w:rsidRPr="0048667F">
        <w:rPr>
          <w:rFonts w:asciiTheme="minorHAnsi" w:hAnsiTheme="minorHAnsi" w:cs="Source Sans Pro Light"/>
          <w:color w:val="000000"/>
          <w:sz w:val="22"/>
          <w:szCs w:val="22"/>
        </w:rPr>
        <w:t>2</w:t>
      </w:r>
      <w:r>
        <w:rPr>
          <w:rFonts w:asciiTheme="minorHAnsi" w:hAnsiTheme="minorHAnsi" w:cs="Source Sans Pro Light"/>
          <w:color w:val="000000"/>
          <w:sz w:val="22"/>
          <w:szCs w:val="22"/>
        </w:rPr>
        <w:noBreakHyphen/>
      </w:r>
      <w:r w:rsidRPr="0048667F">
        <w:rPr>
          <w:rFonts w:asciiTheme="minorHAnsi" w:hAnsiTheme="minorHAnsi" w:cs="Source Sans Pro Light"/>
          <w:color w:val="000000"/>
          <w:sz w:val="22"/>
          <w:szCs w:val="22"/>
        </w:rPr>
        <w:t>2</w:t>
      </w:r>
      <w:r w:rsidR="006C3A77">
        <w:rPr>
          <w:rFonts w:asciiTheme="minorHAnsi" w:hAnsiTheme="minorHAnsi" w:cs="Source Sans Pro Light"/>
          <w:color w:val="000000"/>
          <w:sz w:val="22"/>
          <w:szCs w:val="22"/>
        </w:rPr>
        <w:t>3</w:t>
      </w:r>
      <w:r w:rsidRPr="0048667F">
        <w:rPr>
          <w:rFonts w:asciiTheme="minorHAnsi" w:hAnsiTheme="minorHAnsi" w:cs="Source Sans Pro Light"/>
          <w:color w:val="000000"/>
          <w:sz w:val="22"/>
          <w:szCs w:val="22"/>
        </w:rPr>
        <w:t xml:space="preserve"> consistent with </w:t>
      </w:r>
      <w:r>
        <w:rPr>
          <w:rFonts w:asciiTheme="minorHAnsi" w:hAnsiTheme="minorHAnsi" w:cs="Source Sans Pro Light"/>
          <w:color w:val="000000"/>
          <w:sz w:val="22"/>
          <w:szCs w:val="22"/>
        </w:rPr>
        <w:t xml:space="preserve">the Authority’s </w:t>
      </w:r>
      <w:r w:rsidRPr="0048667F">
        <w:rPr>
          <w:rFonts w:asciiTheme="minorHAnsi" w:hAnsiTheme="minorHAnsi" w:cs="Source Sans Pro Light"/>
          <w:color w:val="000000"/>
          <w:sz w:val="22"/>
          <w:szCs w:val="22"/>
        </w:rPr>
        <w:t xml:space="preserve">day-to-day business operations provided under varying terms and conditions. The notes to the Financial Statements provide the details of transactions with other ACT Government </w:t>
      </w:r>
      <w:r>
        <w:rPr>
          <w:rFonts w:asciiTheme="minorHAnsi" w:hAnsiTheme="minorHAnsi" w:cs="Source Sans Pro Light"/>
          <w:color w:val="000000"/>
          <w:sz w:val="22"/>
          <w:szCs w:val="22"/>
        </w:rPr>
        <w:t>e</w:t>
      </w:r>
      <w:r w:rsidRPr="0048667F">
        <w:rPr>
          <w:rFonts w:asciiTheme="minorHAnsi" w:hAnsiTheme="minorHAnsi" w:cs="Source Sans Pro Light"/>
          <w:color w:val="000000"/>
          <w:sz w:val="22"/>
          <w:szCs w:val="22"/>
        </w:rPr>
        <w:t xml:space="preserve">ntities. Below is a summary of the </w:t>
      </w:r>
      <w:r>
        <w:rPr>
          <w:rFonts w:asciiTheme="minorHAnsi" w:hAnsiTheme="minorHAnsi" w:cs="Source Sans Pro Light"/>
          <w:color w:val="000000"/>
          <w:sz w:val="22"/>
          <w:szCs w:val="22"/>
        </w:rPr>
        <w:t>m</w:t>
      </w:r>
      <w:r w:rsidRPr="0048667F">
        <w:rPr>
          <w:rFonts w:asciiTheme="minorHAnsi" w:hAnsiTheme="minorHAnsi" w:cs="Source Sans Pro Light"/>
          <w:color w:val="000000"/>
          <w:sz w:val="22"/>
          <w:szCs w:val="22"/>
        </w:rPr>
        <w:t xml:space="preserve">aterial transactions with </w:t>
      </w:r>
      <w:r>
        <w:rPr>
          <w:rFonts w:asciiTheme="minorHAnsi" w:hAnsiTheme="minorHAnsi" w:cs="Source Sans Pro Light"/>
          <w:color w:val="000000"/>
          <w:sz w:val="22"/>
          <w:szCs w:val="22"/>
        </w:rPr>
        <w:t>o</w:t>
      </w:r>
      <w:r w:rsidRPr="0048667F">
        <w:rPr>
          <w:rFonts w:asciiTheme="minorHAnsi" w:hAnsiTheme="minorHAnsi" w:cs="Source Sans Pro Light"/>
          <w:color w:val="000000"/>
          <w:sz w:val="22"/>
          <w:szCs w:val="22"/>
        </w:rPr>
        <w:t xml:space="preserve">ther ACT Government </w:t>
      </w:r>
      <w:r>
        <w:rPr>
          <w:rFonts w:asciiTheme="minorHAnsi" w:hAnsiTheme="minorHAnsi" w:cs="Source Sans Pro Light"/>
          <w:color w:val="000000"/>
          <w:sz w:val="22"/>
          <w:szCs w:val="22"/>
        </w:rPr>
        <w:t>e</w:t>
      </w:r>
      <w:r w:rsidRPr="0048667F">
        <w:rPr>
          <w:rFonts w:asciiTheme="minorHAnsi" w:hAnsiTheme="minorHAnsi" w:cs="Source Sans Pro Light"/>
          <w:color w:val="000000"/>
          <w:sz w:val="22"/>
          <w:szCs w:val="22"/>
        </w:rPr>
        <w:t>ntities</w:t>
      </w:r>
      <w:r>
        <w:rPr>
          <w:rFonts w:asciiTheme="minorHAnsi" w:hAnsiTheme="minorHAnsi" w:cs="Source Sans Pro Light"/>
          <w:color w:val="000000"/>
          <w:sz w:val="22"/>
          <w:szCs w:val="22"/>
        </w:rPr>
        <w:t>.</w:t>
      </w:r>
    </w:p>
    <w:p w14:paraId="0E156252" w14:textId="77777777" w:rsidR="005F4685" w:rsidRPr="00C972E8" w:rsidRDefault="005F4685" w:rsidP="005F4685">
      <w:pPr>
        <w:pStyle w:val="Pa6"/>
        <w:spacing w:before="40" w:after="100"/>
        <w:rPr>
          <w:rFonts w:asciiTheme="minorHAnsi" w:hAnsiTheme="minorHAnsi" w:cs="Source Sans Pro"/>
          <w:b/>
          <w:bCs/>
          <w:color w:val="000000"/>
          <w:sz w:val="22"/>
          <w:szCs w:val="22"/>
        </w:rPr>
      </w:pPr>
      <w:r w:rsidRPr="00C972E8">
        <w:rPr>
          <w:rFonts w:asciiTheme="minorHAnsi" w:hAnsiTheme="minorHAnsi" w:cs="Source Sans Pro"/>
          <w:b/>
          <w:bCs/>
          <w:color w:val="000000"/>
          <w:sz w:val="22"/>
          <w:szCs w:val="22"/>
        </w:rPr>
        <w:t>Revenue</w:t>
      </w:r>
    </w:p>
    <w:p w14:paraId="65698B33" w14:textId="77777777" w:rsidR="005F4685" w:rsidRPr="005214BB" w:rsidRDefault="005F4685" w:rsidP="00A36E9A">
      <w:pPr>
        <w:pStyle w:val="Default"/>
        <w:numPr>
          <w:ilvl w:val="0"/>
          <w:numId w:val="37"/>
        </w:numPr>
        <w:ind w:left="284" w:hanging="284"/>
        <w:rPr>
          <w:rFonts w:asciiTheme="minorHAnsi" w:hAnsiTheme="minorHAnsi" w:cstheme="minorHAnsi"/>
          <w:sz w:val="22"/>
          <w:szCs w:val="22"/>
        </w:rPr>
      </w:pPr>
      <w:r w:rsidRPr="005214BB">
        <w:rPr>
          <w:rFonts w:asciiTheme="minorHAnsi" w:hAnsiTheme="minorHAnsi" w:cstheme="minorHAnsi"/>
          <w:sz w:val="22"/>
          <w:szCs w:val="22"/>
        </w:rPr>
        <w:t>Underwriting Results - Gross earned premium (Note 5) – The Authority received $85.225 million in 2023-2024 as revenue from other ACT Government Entities for insurance premiums to manage the self-insured insurance classes on behalf of the Territory.</w:t>
      </w:r>
    </w:p>
    <w:p w14:paraId="1D0E1233" w14:textId="77777777" w:rsidR="005F4685" w:rsidRPr="005214BB" w:rsidRDefault="005F4685" w:rsidP="00A36E9A">
      <w:pPr>
        <w:pStyle w:val="Default"/>
        <w:numPr>
          <w:ilvl w:val="0"/>
          <w:numId w:val="37"/>
        </w:numPr>
        <w:ind w:left="284" w:hanging="284"/>
        <w:rPr>
          <w:rFonts w:asciiTheme="minorHAnsi" w:hAnsiTheme="minorHAnsi" w:cstheme="minorHAnsi"/>
          <w:sz w:val="22"/>
          <w:szCs w:val="22"/>
        </w:rPr>
      </w:pPr>
      <w:r w:rsidRPr="005214BB">
        <w:rPr>
          <w:rFonts w:asciiTheme="minorHAnsi" w:hAnsiTheme="minorHAnsi" w:cstheme="minorHAnsi"/>
          <w:sz w:val="22"/>
          <w:szCs w:val="22"/>
        </w:rPr>
        <w:t>Distribution Revenue from TBA (Note 7) – The Authority received $11.284 million in 2023-24 for investment distribution from the Territory Banking Account.</w:t>
      </w:r>
    </w:p>
    <w:p w14:paraId="3FDCECDE" w14:textId="77777777" w:rsidR="005F4685" w:rsidRPr="005214BB" w:rsidRDefault="005F4685" w:rsidP="00A36E9A">
      <w:pPr>
        <w:pStyle w:val="Default"/>
        <w:numPr>
          <w:ilvl w:val="0"/>
          <w:numId w:val="37"/>
        </w:numPr>
        <w:ind w:left="284" w:hanging="284"/>
        <w:rPr>
          <w:rFonts w:asciiTheme="minorHAnsi" w:hAnsiTheme="minorHAnsi" w:cstheme="minorHAnsi"/>
          <w:sz w:val="22"/>
          <w:szCs w:val="22"/>
        </w:rPr>
      </w:pPr>
      <w:r w:rsidRPr="005214BB">
        <w:rPr>
          <w:rFonts w:asciiTheme="minorHAnsi" w:hAnsiTheme="minorHAnsi" w:cstheme="minorHAnsi"/>
          <w:sz w:val="22"/>
          <w:szCs w:val="22"/>
        </w:rPr>
        <w:t>Gains from Remeasurement of Assets (Note 7) – The Authority made $20.571 million in 2023-24 for gains from the remeasurement of investments with the Territory Banking Account.</w:t>
      </w:r>
    </w:p>
    <w:p w14:paraId="1977DF49" w14:textId="77777777" w:rsidR="005F4685" w:rsidRPr="005214BB" w:rsidRDefault="005F4685" w:rsidP="00A36E9A">
      <w:pPr>
        <w:pStyle w:val="Default"/>
        <w:numPr>
          <w:ilvl w:val="0"/>
          <w:numId w:val="37"/>
        </w:numPr>
        <w:ind w:left="284" w:hanging="284"/>
        <w:rPr>
          <w:rFonts w:asciiTheme="minorHAnsi" w:hAnsiTheme="minorHAnsi" w:cstheme="minorHAnsi"/>
          <w:sz w:val="22"/>
          <w:szCs w:val="22"/>
        </w:rPr>
      </w:pPr>
      <w:r w:rsidRPr="005214BB">
        <w:rPr>
          <w:rFonts w:asciiTheme="minorHAnsi" w:hAnsiTheme="minorHAnsi" w:cstheme="minorHAnsi"/>
          <w:sz w:val="22"/>
          <w:szCs w:val="22"/>
        </w:rPr>
        <w:t>Other Income (Note 8) – The Authority received $1.691 million in 2023-24 for contract works and external insurance policies arranged and passed through to the ACT Government entities.</w:t>
      </w:r>
    </w:p>
    <w:p w14:paraId="26BDB6CF" w14:textId="77777777" w:rsidR="005F4685" w:rsidRPr="005214BB" w:rsidRDefault="005F4685" w:rsidP="00A36E9A">
      <w:pPr>
        <w:pStyle w:val="Default"/>
        <w:numPr>
          <w:ilvl w:val="0"/>
          <w:numId w:val="37"/>
        </w:numPr>
        <w:ind w:left="284" w:hanging="284"/>
        <w:rPr>
          <w:rFonts w:asciiTheme="minorHAnsi" w:hAnsiTheme="minorHAnsi" w:cstheme="minorHAnsi"/>
          <w:sz w:val="22"/>
          <w:szCs w:val="22"/>
        </w:rPr>
      </w:pPr>
      <w:r w:rsidRPr="005214BB">
        <w:rPr>
          <w:rFonts w:asciiTheme="minorHAnsi" w:hAnsiTheme="minorHAnsi" w:cstheme="minorHAnsi"/>
          <w:sz w:val="22"/>
          <w:szCs w:val="22"/>
        </w:rPr>
        <w:t>Resources Received Free of Charge (Note 8) – The Authority received $0.005 million in 2023-24 for legal services free of charge from the Government Solicitor’s Office and $0.032 million for human resources services free of charge from Shared Services.</w:t>
      </w:r>
    </w:p>
    <w:p w14:paraId="21B4B425" w14:textId="6AE3543E" w:rsidR="00E5035A" w:rsidRDefault="005F4685" w:rsidP="00A36E9A">
      <w:pPr>
        <w:pStyle w:val="Default"/>
        <w:numPr>
          <w:ilvl w:val="0"/>
          <w:numId w:val="37"/>
        </w:numPr>
        <w:ind w:left="284" w:hanging="284"/>
        <w:rPr>
          <w:rFonts w:asciiTheme="minorHAnsi" w:hAnsiTheme="minorHAnsi" w:cstheme="minorHAnsi"/>
          <w:sz w:val="22"/>
          <w:szCs w:val="22"/>
        </w:rPr>
      </w:pPr>
      <w:r w:rsidRPr="00942A69">
        <w:rPr>
          <w:rFonts w:asciiTheme="minorHAnsi" w:hAnsiTheme="minorHAnsi" w:cstheme="minorHAnsi"/>
          <w:sz w:val="22"/>
          <w:szCs w:val="22"/>
        </w:rPr>
        <w:t xml:space="preserve">Other Income (Note 8) – The authority received $1.132 million in 2023-24 for support services provided to the Office of the Nominal Defendant of the ACT, the Default Insurance Fund and internally charged to the Builders Warranty Insurance scheme. </w:t>
      </w:r>
    </w:p>
    <w:p w14:paraId="2E23C3F0" w14:textId="77777777" w:rsidR="00E5035A" w:rsidRDefault="00E5035A">
      <w:pPr>
        <w:spacing w:after="0" w:line="240" w:lineRule="auto"/>
        <w:rPr>
          <w:rFonts w:cstheme="minorHAnsi"/>
          <w:color w:val="000000"/>
          <w:sz w:val="22"/>
          <w:szCs w:val="22"/>
          <w:lang w:val="en-GB"/>
        </w:rPr>
      </w:pPr>
      <w:r>
        <w:rPr>
          <w:rFonts w:cstheme="minorHAnsi"/>
          <w:sz w:val="22"/>
          <w:szCs w:val="22"/>
        </w:rPr>
        <w:br w:type="page"/>
      </w:r>
    </w:p>
    <w:p w14:paraId="0E010A03" w14:textId="77777777" w:rsidR="00E5035A" w:rsidRPr="007B19EF" w:rsidRDefault="00E5035A" w:rsidP="00E5035A">
      <w:pPr>
        <w:spacing w:after="160" w:line="259" w:lineRule="auto"/>
        <w:ind w:right="-1"/>
        <w:jc w:val="both"/>
        <w:rPr>
          <w:rFonts w:ascii="Calibri" w:eastAsia="Calibri" w:hAnsi="Calibri" w:cs="Source Sans Pro Light"/>
          <w:color w:val="000000"/>
          <w:sz w:val="22"/>
          <w:szCs w:val="22"/>
        </w:rPr>
      </w:pPr>
      <w:r w:rsidRPr="005510DC">
        <w:rPr>
          <w:rFonts w:ascii="Calibri" w:eastAsia="Calibri" w:hAnsi="Calibri" w:cs="Montserrat Semi Bold"/>
          <w:b/>
          <w:bCs/>
          <w:color w:val="000000"/>
          <w:sz w:val="30"/>
          <w:szCs w:val="30"/>
        </w:rPr>
        <w:lastRenderedPageBreak/>
        <w:t>NOTE 1</w:t>
      </w:r>
      <w:r>
        <w:rPr>
          <w:rFonts w:ascii="Calibri" w:eastAsia="Calibri" w:hAnsi="Calibri" w:cs="Montserrat Semi Bold"/>
          <w:b/>
          <w:bCs/>
          <w:color w:val="000000"/>
          <w:sz w:val="30"/>
          <w:szCs w:val="30"/>
        </w:rPr>
        <w:t>9</w:t>
      </w:r>
      <w:r w:rsidRPr="005510DC">
        <w:rPr>
          <w:rFonts w:ascii="Calibri" w:eastAsia="Calibri" w:hAnsi="Calibri" w:cs="Montserrat Semi Bold"/>
          <w:b/>
          <w:bCs/>
          <w:color w:val="000000"/>
          <w:sz w:val="30"/>
          <w:szCs w:val="30"/>
        </w:rPr>
        <w:t>. RELATED PARTY DISCLOSURES</w:t>
      </w:r>
      <w:r>
        <w:rPr>
          <w:rFonts w:ascii="Calibri" w:eastAsia="Calibri" w:hAnsi="Calibri" w:cs="Montserrat Semi Bold"/>
          <w:b/>
          <w:bCs/>
          <w:color w:val="000000"/>
          <w:sz w:val="30"/>
          <w:szCs w:val="30"/>
        </w:rPr>
        <w:t xml:space="preserve"> - CONTINUED</w:t>
      </w:r>
    </w:p>
    <w:p w14:paraId="2B407BF7" w14:textId="18CF9158" w:rsidR="00E5035A" w:rsidRPr="00C972E8" w:rsidRDefault="00E5035A" w:rsidP="00E5035A">
      <w:pPr>
        <w:pStyle w:val="Pa6"/>
        <w:spacing w:before="40" w:after="100"/>
        <w:rPr>
          <w:rFonts w:asciiTheme="minorHAnsi" w:hAnsiTheme="minorHAnsi" w:cs="Source Sans Pro"/>
          <w:b/>
          <w:color w:val="000000"/>
          <w:sz w:val="22"/>
          <w:szCs w:val="22"/>
        </w:rPr>
      </w:pPr>
      <w:r w:rsidRPr="00C972E8">
        <w:rPr>
          <w:rFonts w:asciiTheme="minorHAnsi" w:hAnsiTheme="minorHAnsi" w:cs="Source Sans Pro"/>
          <w:b/>
          <w:color w:val="000000"/>
          <w:sz w:val="22"/>
          <w:szCs w:val="22"/>
        </w:rPr>
        <w:t>(c) Transactions with other ACT Government Controlled Entities</w:t>
      </w:r>
      <w:r>
        <w:rPr>
          <w:rFonts w:asciiTheme="minorHAnsi" w:hAnsiTheme="minorHAnsi" w:cs="Source Sans Pro"/>
          <w:b/>
          <w:color w:val="000000"/>
          <w:sz w:val="22"/>
          <w:szCs w:val="22"/>
        </w:rPr>
        <w:t xml:space="preserve"> - continued</w:t>
      </w:r>
    </w:p>
    <w:p w14:paraId="335CD5AA" w14:textId="0ACB74A1" w:rsidR="00E5035A" w:rsidRPr="00C972E8" w:rsidRDefault="00E5035A" w:rsidP="00E5035A">
      <w:pPr>
        <w:pStyle w:val="Pa6"/>
        <w:spacing w:before="40" w:after="100"/>
        <w:rPr>
          <w:rFonts w:asciiTheme="minorHAnsi" w:hAnsiTheme="minorHAnsi" w:cs="Source Sans Pro"/>
          <w:b/>
          <w:bCs/>
          <w:color w:val="000000"/>
          <w:sz w:val="22"/>
          <w:szCs w:val="22"/>
        </w:rPr>
      </w:pPr>
      <w:r w:rsidRPr="00C972E8">
        <w:rPr>
          <w:rFonts w:asciiTheme="minorHAnsi" w:hAnsiTheme="minorHAnsi" w:cs="Source Sans Pro"/>
          <w:b/>
          <w:bCs/>
          <w:color w:val="000000"/>
          <w:sz w:val="22"/>
          <w:szCs w:val="22"/>
        </w:rPr>
        <w:t>Revenue</w:t>
      </w:r>
      <w:r w:rsidR="00787703">
        <w:rPr>
          <w:rFonts w:asciiTheme="minorHAnsi" w:hAnsiTheme="minorHAnsi" w:cs="Source Sans Pro"/>
          <w:b/>
          <w:bCs/>
          <w:color w:val="000000"/>
          <w:sz w:val="22"/>
          <w:szCs w:val="22"/>
        </w:rPr>
        <w:t xml:space="preserve"> - continued</w:t>
      </w:r>
    </w:p>
    <w:p w14:paraId="3357D048" w14:textId="4B94ACC4" w:rsidR="00AF2E6B" w:rsidRPr="00942A69" w:rsidRDefault="005F4685" w:rsidP="00A36E9A">
      <w:pPr>
        <w:pStyle w:val="Default"/>
        <w:numPr>
          <w:ilvl w:val="0"/>
          <w:numId w:val="37"/>
        </w:numPr>
        <w:ind w:left="284" w:hanging="284"/>
        <w:rPr>
          <w:rFonts w:cstheme="minorHAnsi"/>
          <w:sz w:val="22"/>
          <w:szCs w:val="22"/>
        </w:rPr>
      </w:pPr>
      <w:r w:rsidRPr="00942A69">
        <w:rPr>
          <w:rFonts w:cstheme="minorHAnsi"/>
          <w:sz w:val="22"/>
          <w:szCs w:val="22"/>
        </w:rPr>
        <w:t>Other Income (Note 8)- The Authority received $0.248 million of appropriated funding passed</w:t>
      </w:r>
      <w:r w:rsidRPr="00942A69">
        <w:rPr>
          <w:rFonts w:cstheme="minorHAnsi"/>
          <w:sz w:val="22"/>
          <w:szCs w:val="22"/>
        </w:rPr>
        <w:noBreakHyphen/>
        <w:t>through from the Chief Minister, Treasury and Economic Development Directorate (CMTEDD) for the Physical and Sexual Abuse (PSA) Indemnity Scheme set up and design.</w:t>
      </w:r>
    </w:p>
    <w:p w14:paraId="4065DD90" w14:textId="77777777" w:rsidR="00AF2E6B" w:rsidRPr="00C972E8" w:rsidRDefault="00AF2E6B" w:rsidP="00AF2E6B">
      <w:pPr>
        <w:pStyle w:val="Pa6"/>
        <w:spacing w:before="40" w:after="100"/>
        <w:rPr>
          <w:rFonts w:asciiTheme="minorHAnsi" w:hAnsiTheme="minorHAnsi" w:cs="Source Sans Pro"/>
          <w:b/>
          <w:bCs/>
          <w:color w:val="000000"/>
          <w:sz w:val="22"/>
          <w:szCs w:val="22"/>
        </w:rPr>
      </w:pPr>
      <w:r w:rsidRPr="00DF4233">
        <w:rPr>
          <w:rFonts w:asciiTheme="minorHAnsi" w:hAnsiTheme="minorHAnsi" w:cs="Source Sans Pro"/>
          <w:b/>
          <w:bCs/>
          <w:color w:val="000000"/>
          <w:sz w:val="22"/>
          <w:szCs w:val="22"/>
        </w:rPr>
        <w:t>Expenses</w:t>
      </w:r>
    </w:p>
    <w:p w14:paraId="1EF1B49B" w14:textId="77777777" w:rsidR="00AF2E6B" w:rsidRPr="000A77CF" w:rsidRDefault="00AF2E6B" w:rsidP="00A36E9A">
      <w:pPr>
        <w:pStyle w:val="Default"/>
        <w:numPr>
          <w:ilvl w:val="0"/>
          <w:numId w:val="37"/>
        </w:numPr>
        <w:ind w:left="284" w:hanging="284"/>
        <w:rPr>
          <w:rFonts w:asciiTheme="minorHAnsi" w:hAnsiTheme="minorHAnsi" w:cstheme="minorHAnsi"/>
          <w:sz w:val="22"/>
          <w:szCs w:val="22"/>
        </w:rPr>
      </w:pPr>
      <w:r w:rsidRPr="000A77CF">
        <w:rPr>
          <w:rFonts w:asciiTheme="minorHAnsi" w:hAnsiTheme="minorHAnsi" w:cstheme="minorHAnsi"/>
          <w:sz w:val="22"/>
          <w:szCs w:val="22"/>
        </w:rPr>
        <w:t>Claims Expenses (Note 5 and Note 6)- The Authority paid $12.081 million in 2023-24 to the Government Solicitor’s Office for legal matters related to claims services and settlements.</w:t>
      </w:r>
    </w:p>
    <w:p w14:paraId="39AA693D" w14:textId="77777777" w:rsidR="00AF2E6B" w:rsidRDefault="00AF2E6B" w:rsidP="00A36E9A">
      <w:pPr>
        <w:pStyle w:val="Default"/>
        <w:numPr>
          <w:ilvl w:val="0"/>
          <w:numId w:val="37"/>
        </w:numPr>
        <w:ind w:left="284" w:hanging="284"/>
        <w:rPr>
          <w:rFonts w:asciiTheme="minorHAnsi" w:hAnsiTheme="minorHAnsi" w:cstheme="minorHAnsi"/>
          <w:sz w:val="22"/>
          <w:szCs w:val="22"/>
        </w:rPr>
      </w:pPr>
      <w:r w:rsidRPr="00B75FE4">
        <w:rPr>
          <w:rFonts w:asciiTheme="minorHAnsi" w:hAnsiTheme="minorHAnsi" w:cstheme="minorHAnsi"/>
          <w:sz w:val="22"/>
          <w:szCs w:val="22"/>
        </w:rPr>
        <w:t xml:space="preserve">Claims Expenses (Note 5 and Note 6) - The Authority paid </w:t>
      </w:r>
      <w:r w:rsidRPr="001B747C">
        <w:rPr>
          <w:rFonts w:asciiTheme="minorHAnsi" w:hAnsiTheme="minorHAnsi" w:cstheme="minorHAnsi"/>
          <w:sz w:val="22"/>
          <w:szCs w:val="22"/>
        </w:rPr>
        <w:t>$20</w:t>
      </w:r>
      <w:r>
        <w:rPr>
          <w:rFonts w:asciiTheme="minorHAnsi" w:hAnsiTheme="minorHAnsi" w:cstheme="minorHAnsi"/>
          <w:sz w:val="22"/>
          <w:szCs w:val="22"/>
        </w:rPr>
        <w:t>.</w:t>
      </w:r>
      <w:r w:rsidRPr="001B747C">
        <w:rPr>
          <w:rFonts w:asciiTheme="minorHAnsi" w:hAnsiTheme="minorHAnsi" w:cstheme="minorHAnsi"/>
          <w:sz w:val="22"/>
          <w:szCs w:val="22"/>
        </w:rPr>
        <w:t>731</w:t>
      </w:r>
      <w:r w:rsidRPr="00B75FE4">
        <w:rPr>
          <w:rFonts w:asciiTheme="minorHAnsi" w:hAnsiTheme="minorHAnsi" w:cstheme="minorHAnsi"/>
          <w:sz w:val="22"/>
          <w:szCs w:val="22"/>
        </w:rPr>
        <w:t xml:space="preserve"> million in 2023-</w:t>
      </w:r>
      <w:r w:rsidRPr="001B747C">
        <w:rPr>
          <w:rFonts w:asciiTheme="minorHAnsi" w:hAnsiTheme="minorHAnsi" w:cstheme="minorHAnsi"/>
          <w:sz w:val="22"/>
          <w:szCs w:val="22"/>
        </w:rPr>
        <w:t>24</w:t>
      </w:r>
      <w:r w:rsidRPr="00B75FE4">
        <w:rPr>
          <w:rFonts w:asciiTheme="minorHAnsi" w:hAnsiTheme="minorHAnsi" w:cstheme="minorHAnsi"/>
          <w:sz w:val="22"/>
          <w:szCs w:val="22"/>
        </w:rPr>
        <w:t xml:space="preserve"> for the settlement of claims to various ACT Government Entities and received </w:t>
      </w:r>
      <w:r w:rsidRPr="001B747C">
        <w:rPr>
          <w:rFonts w:asciiTheme="minorHAnsi" w:hAnsiTheme="minorHAnsi" w:cstheme="minorHAnsi"/>
          <w:sz w:val="22"/>
          <w:szCs w:val="22"/>
        </w:rPr>
        <w:t>$2</w:t>
      </w:r>
      <w:r>
        <w:rPr>
          <w:rFonts w:asciiTheme="minorHAnsi" w:hAnsiTheme="minorHAnsi" w:cstheme="minorHAnsi"/>
          <w:sz w:val="22"/>
          <w:szCs w:val="22"/>
        </w:rPr>
        <w:t>.</w:t>
      </w:r>
      <w:r w:rsidRPr="001B747C">
        <w:rPr>
          <w:rFonts w:asciiTheme="minorHAnsi" w:hAnsiTheme="minorHAnsi" w:cstheme="minorHAnsi"/>
          <w:sz w:val="22"/>
          <w:szCs w:val="22"/>
        </w:rPr>
        <w:t>820</w:t>
      </w:r>
      <w:r w:rsidRPr="00B75FE4">
        <w:rPr>
          <w:rFonts w:asciiTheme="minorHAnsi" w:hAnsiTheme="minorHAnsi" w:cstheme="minorHAnsi"/>
          <w:sz w:val="22"/>
          <w:szCs w:val="22"/>
        </w:rPr>
        <w:t xml:space="preserve"> million in excess payments and recoveries.</w:t>
      </w:r>
    </w:p>
    <w:p w14:paraId="59941536" w14:textId="77777777" w:rsidR="00AF2E6B" w:rsidRPr="00BC31C4" w:rsidRDefault="00AF2E6B" w:rsidP="00A36E9A">
      <w:pPr>
        <w:pStyle w:val="Default"/>
        <w:numPr>
          <w:ilvl w:val="0"/>
          <w:numId w:val="37"/>
        </w:numPr>
        <w:ind w:left="284" w:hanging="284"/>
        <w:rPr>
          <w:rFonts w:asciiTheme="minorHAnsi" w:hAnsiTheme="minorHAnsi" w:cstheme="minorHAnsi"/>
          <w:sz w:val="22"/>
          <w:szCs w:val="22"/>
        </w:rPr>
      </w:pPr>
      <w:r w:rsidRPr="00BC31C4">
        <w:rPr>
          <w:rFonts w:asciiTheme="minorHAnsi" w:hAnsiTheme="minorHAnsi" w:cstheme="minorHAnsi"/>
          <w:sz w:val="22"/>
          <w:szCs w:val="22"/>
        </w:rPr>
        <w:t>Employee Expenses (Note 9) – The Authority paid $0.166</w:t>
      </w:r>
      <w:r>
        <w:rPr>
          <w:rFonts w:asciiTheme="minorHAnsi" w:hAnsiTheme="minorHAnsi" w:cstheme="minorHAnsi"/>
          <w:sz w:val="22"/>
          <w:szCs w:val="22"/>
        </w:rPr>
        <w:t> </w:t>
      </w:r>
      <w:r w:rsidRPr="00BC31C4">
        <w:rPr>
          <w:rFonts w:asciiTheme="minorHAnsi" w:hAnsiTheme="minorHAnsi" w:cstheme="minorHAnsi"/>
          <w:sz w:val="22"/>
          <w:szCs w:val="22"/>
        </w:rPr>
        <w:t>million in 2023-24 for superannuation contributions to the Territory Banking Account via Shared Services payroll and paid $0.054 million for workers compensation cover to the Public Sector Workers Compensation Fund.</w:t>
      </w:r>
    </w:p>
    <w:p w14:paraId="20FEA078" w14:textId="77777777" w:rsidR="00AF2E6B" w:rsidRPr="00826F30" w:rsidRDefault="00AF2E6B" w:rsidP="00A36E9A">
      <w:pPr>
        <w:pStyle w:val="Default"/>
        <w:numPr>
          <w:ilvl w:val="0"/>
          <w:numId w:val="37"/>
        </w:numPr>
        <w:ind w:left="284" w:hanging="284"/>
        <w:rPr>
          <w:rFonts w:asciiTheme="minorHAnsi" w:hAnsiTheme="minorHAnsi" w:cstheme="minorHAnsi"/>
          <w:sz w:val="22"/>
          <w:szCs w:val="22"/>
        </w:rPr>
      </w:pPr>
      <w:r w:rsidRPr="00826F30">
        <w:rPr>
          <w:rFonts w:asciiTheme="minorHAnsi" w:hAnsiTheme="minorHAnsi" w:cstheme="minorHAnsi"/>
          <w:sz w:val="22"/>
          <w:szCs w:val="22"/>
        </w:rPr>
        <w:t>Supplies and Services (Note 10) – The Authority paid $0.072 million in 2023-24 to the ACT Audit Office for audit services, $0.135 million to CMTEDD DDTS for telecommunication and computing services, $0.112 million to ACT Property Group for rent and $0.072</w:t>
      </w:r>
      <w:r>
        <w:rPr>
          <w:rFonts w:asciiTheme="minorHAnsi" w:hAnsiTheme="minorHAnsi" w:cstheme="minorHAnsi"/>
          <w:sz w:val="22"/>
          <w:szCs w:val="22"/>
        </w:rPr>
        <w:t> </w:t>
      </w:r>
      <w:r w:rsidRPr="00826F30">
        <w:rPr>
          <w:rFonts w:asciiTheme="minorHAnsi" w:hAnsiTheme="minorHAnsi" w:cstheme="minorHAnsi"/>
          <w:sz w:val="22"/>
          <w:szCs w:val="22"/>
        </w:rPr>
        <w:t>million to the Government Solicitor’s Office for periodic claims review.</w:t>
      </w:r>
    </w:p>
    <w:p w14:paraId="2E88F197" w14:textId="77777777" w:rsidR="0012667D" w:rsidRPr="00C972E8" w:rsidRDefault="0012667D" w:rsidP="0012667D">
      <w:pPr>
        <w:pStyle w:val="Pa6"/>
        <w:spacing w:before="40" w:after="100"/>
        <w:rPr>
          <w:rFonts w:asciiTheme="minorHAnsi" w:hAnsiTheme="minorHAnsi" w:cs="Source Sans Pro"/>
          <w:b/>
          <w:bCs/>
          <w:color w:val="000000"/>
          <w:sz w:val="22"/>
          <w:szCs w:val="22"/>
        </w:rPr>
      </w:pPr>
      <w:r w:rsidRPr="00826F30">
        <w:rPr>
          <w:rFonts w:asciiTheme="minorHAnsi" w:hAnsiTheme="minorHAnsi" w:cs="Source Sans Pro"/>
          <w:b/>
          <w:bCs/>
          <w:color w:val="000000"/>
          <w:sz w:val="22"/>
          <w:szCs w:val="22"/>
        </w:rPr>
        <w:t>Assets</w:t>
      </w:r>
    </w:p>
    <w:p w14:paraId="56A8EA06" w14:textId="77777777" w:rsidR="0012667D" w:rsidRPr="00AC0084" w:rsidRDefault="0012667D" w:rsidP="00A36E9A">
      <w:pPr>
        <w:pStyle w:val="Default"/>
        <w:numPr>
          <w:ilvl w:val="0"/>
          <w:numId w:val="37"/>
        </w:numPr>
        <w:ind w:left="284" w:hanging="284"/>
        <w:rPr>
          <w:rFonts w:asciiTheme="minorHAnsi" w:hAnsiTheme="minorHAnsi" w:cstheme="minorHAnsi"/>
          <w:sz w:val="22"/>
          <w:szCs w:val="22"/>
        </w:rPr>
      </w:pPr>
      <w:r w:rsidRPr="00AC0084">
        <w:rPr>
          <w:rFonts w:asciiTheme="minorHAnsi" w:hAnsiTheme="minorHAnsi" w:cstheme="minorHAnsi"/>
          <w:sz w:val="22"/>
          <w:szCs w:val="22"/>
        </w:rPr>
        <w:t>Cash and Investments (Note 11) – The Authority holds $341.450 million in ‘investment unit holdings’ with the Territory Banking Account at the end of 2023-24.</w:t>
      </w:r>
    </w:p>
    <w:p w14:paraId="01DE71FF" w14:textId="1A4DE96C" w:rsidR="003251E2" w:rsidRPr="002F4FFA" w:rsidRDefault="0012667D" w:rsidP="00A36E9A">
      <w:pPr>
        <w:pStyle w:val="Default"/>
        <w:numPr>
          <w:ilvl w:val="0"/>
          <w:numId w:val="37"/>
        </w:numPr>
        <w:ind w:left="284" w:hanging="284"/>
        <w:rPr>
          <w:rFonts w:asciiTheme="minorHAnsi" w:hAnsiTheme="minorHAnsi" w:cstheme="minorHAnsi"/>
          <w:sz w:val="22"/>
          <w:szCs w:val="22"/>
        </w:rPr>
      </w:pPr>
      <w:r w:rsidRPr="00AC0084">
        <w:rPr>
          <w:rFonts w:asciiTheme="minorHAnsi" w:hAnsiTheme="minorHAnsi" w:cstheme="minorHAnsi"/>
          <w:sz w:val="22"/>
          <w:szCs w:val="22"/>
        </w:rPr>
        <w:t>Receivables (Note 12) – The Authority has $5.313 million in accounts receivable for distributions receivable with the Territory Banking Account at the end of 2023-24.</w:t>
      </w:r>
    </w:p>
    <w:p w14:paraId="091E1F35" w14:textId="77777777" w:rsidR="003251E2" w:rsidRDefault="003251E2" w:rsidP="003251E2">
      <w:pPr>
        <w:spacing w:after="0" w:line="240" w:lineRule="auto"/>
        <w:rPr>
          <w:rFonts w:ascii="Calibri" w:eastAsia="Calibri" w:hAnsi="Calibri" w:cs="Montserrat Semi Bold"/>
          <w:b/>
          <w:bCs/>
          <w:color w:val="000000"/>
          <w:sz w:val="30"/>
          <w:szCs w:val="30"/>
        </w:rPr>
      </w:pPr>
    </w:p>
    <w:p w14:paraId="18A6E46E" w14:textId="77777777" w:rsidR="00D5160A" w:rsidRDefault="00D5160A" w:rsidP="00D5160A">
      <w:pPr>
        <w:pStyle w:val="Pa4"/>
        <w:spacing w:after="137" w:line="240" w:lineRule="auto"/>
        <w:outlineLvl w:val="0"/>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t>NOTE 20. BUDGETARY REPORTING</w:t>
      </w:r>
    </w:p>
    <w:p w14:paraId="55961E09" w14:textId="77777777" w:rsidR="00D5160A" w:rsidRPr="00C972E8" w:rsidRDefault="00D5160A" w:rsidP="00D5160A">
      <w:pPr>
        <w:pStyle w:val="Pa6"/>
        <w:spacing w:before="40" w:after="100"/>
        <w:rPr>
          <w:rFonts w:asciiTheme="minorHAnsi" w:hAnsiTheme="minorHAnsi" w:cs="Source Sans Pro"/>
          <w:b/>
          <w:bCs/>
          <w:color w:val="000000"/>
          <w:sz w:val="22"/>
          <w:szCs w:val="22"/>
        </w:rPr>
      </w:pPr>
      <w:r w:rsidRPr="00C972E8">
        <w:rPr>
          <w:rFonts w:asciiTheme="minorHAnsi" w:hAnsiTheme="minorHAnsi" w:cs="Source Sans Pro"/>
          <w:b/>
          <w:bCs/>
          <w:color w:val="000000"/>
          <w:sz w:val="22"/>
          <w:szCs w:val="22"/>
        </w:rPr>
        <w:t>Significant Accounting Judgements and Estimates – Budgetary Reporting</w:t>
      </w:r>
    </w:p>
    <w:p w14:paraId="7B0B2372" w14:textId="77777777" w:rsidR="00D5160A" w:rsidRDefault="00D5160A" w:rsidP="00D5160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The following are brief explanations of major line items variances between budget estimates and actual outcomes where:</w:t>
      </w:r>
    </w:p>
    <w:p w14:paraId="755BC6FE" w14:textId="77777777" w:rsidR="00D5160A" w:rsidRDefault="00D5160A" w:rsidP="00A36E9A">
      <w:pPr>
        <w:pStyle w:val="Default"/>
        <w:numPr>
          <w:ilvl w:val="0"/>
          <w:numId w:val="38"/>
        </w:numPr>
        <w:spacing w:after="47"/>
        <w:ind w:left="357" w:hanging="357"/>
        <w:rPr>
          <w:rFonts w:asciiTheme="minorHAnsi" w:hAnsiTheme="minorHAnsi" w:cs="Source Sans Pro Light"/>
          <w:sz w:val="22"/>
          <w:szCs w:val="22"/>
        </w:rPr>
      </w:pPr>
      <w:r w:rsidRPr="00784A7B">
        <w:rPr>
          <w:rFonts w:asciiTheme="minorHAnsi" w:hAnsiTheme="minorHAnsi" w:cs="Source Sans Pro Light"/>
          <w:sz w:val="22"/>
          <w:szCs w:val="22"/>
        </w:rPr>
        <w:t xml:space="preserve">the line item is a significant line item: the line-item actual amount accounts for more than </w:t>
      </w:r>
      <w:r w:rsidRPr="00DF7AF7">
        <w:rPr>
          <w:rFonts w:asciiTheme="minorHAnsi" w:hAnsiTheme="minorHAnsi" w:cs="Source Sans Pro Light"/>
          <w:sz w:val="22"/>
          <w:szCs w:val="22"/>
        </w:rPr>
        <w:t>10 percent</w:t>
      </w:r>
      <w:r w:rsidRPr="00784A7B">
        <w:rPr>
          <w:rFonts w:asciiTheme="minorHAnsi" w:hAnsiTheme="minorHAnsi" w:cs="Source Sans Pro Light"/>
          <w:sz w:val="22"/>
          <w:szCs w:val="22"/>
        </w:rPr>
        <w:t xml:space="preserve"> of the relevant associated category (Income, Expenses and Equity totals) or sub-element (e.g. Current Liabilities and Receipts from Operating Activities totals) of the financial state</w:t>
      </w:r>
      <w:r>
        <w:rPr>
          <w:rFonts w:asciiTheme="minorHAnsi" w:hAnsiTheme="minorHAnsi" w:cs="Source Sans Pro Light"/>
          <w:sz w:val="22"/>
          <w:szCs w:val="22"/>
        </w:rPr>
        <w:t>ments; and</w:t>
      </w:r>
    </w:p>
    <w:p w14:paraId="5CEE04C5" w14:textId="77777777" w:rsidR="00D5160A" w:rsidRPr="00F642F4" w:rsidRDefault="00D5160A" w:rsidP="00A36E9A">
      <w:pPr>
        <w:pStyle w:val="Default"/>
        <w:numPr>
          <w:ilvl w:val="0"/>
          <w:numId w:val="38"/>
        </w:numPr>
        <w:spacing w:after="140" w:line="31" w:lineRule="atLeast"/>
        <w:ind w:left="357" w:hanging="357"/>
        <w:rPr>
          <w:rFonts w:asciiTheme="minorHAnsi" w:hAnsiTheme="minorHAnsi" w:cs="Source Sans Pro Light"/>
          <w:color w:val="auto"/>
          <w:sz w:val="22"/>
          <w:szCs w:val="22"/>
        </w:rPr>
      </w:pPr>
      <w:r w:rsidRPr="00F642F4">
        <w:rPr>
          <w:rFonts w:asciiTheme="minorHAnsi" w:hAnsiTheme="minorHAnsi" w:cs="Source Sans Pro Light"/>
          <w:color w:val="auto"/>
          <w:sz w:val="22"/>
          <w:szCs w:val="22"/>
        </w:rPr>
        <w:t xml:space="preserve">the variances (original budget to actual) are greater than plus (+) or </w:t>
      </w:r>
      <w:r w:rsidRPr="00DF7AF7">
        <w:rPr>
          <w:rFonts w:asciiTheme="minorHAnsi" w:hAnsiTheme="minorHAnsi" w:cs="Source Sans Pro Light"/>
          <w:color w:val="auto"/>
          <w:sz w:val="22"/>
          <w:szCs w:val="22"/>
        </w:rPr>
        <w:t>minus (-) 10 percent and</w:t>
      </w:r>
      <w:r w:rsidRPr="00F642F4">
        <w:rPr>
          <w:rFonts w:asciiTheme="minorHAnsi" w:hAnsiTheme="minorHAnsi" w:cs="Source Sans Pro Light"/>
          <w:color w:val="auto"/>
          <w:sz w:val="22"/>
          <w:szCs w:val="22"/>
        </w:rPr>
        <w:t xml:space="preserve"> </w:t>
      </w:r>
      <w:r w:rsidRPr="00DD33AA">
        <w:rPr>
          <w:rFonts w:asciiTheme="minorHAnsi" w:hAnsiTheme="minorHAnsi" w:cs="Source Sans Pro Light"/>
          <w:color w:val="auto"/>
          <w:sz w:val="22"/>
          <w:szCs w:val="22"/>
        </w:rPr>
        <w:t>$15</w:t>
      </w:r>
      <w:r>
        <w:rPr>
          <w:rFonts w:asciiTheme="minorHAnsi" w:hAnsiTheme="minorHAnsi" w:cs="Source Sans Pro Light"/>
          <w:color w:val="auto"/>
          <w:sz w:val="22"/>
          <w:szCs w:val="22"/>
        </w:rPr>
        <w:t> </w:t>
      </w:r>
      <w:r w:rsidRPr="00DD33AA">
        <w:rPr>
          <w:rFonts w:asciiTheme="minorHAnsi" w:hAnsiTheme="minorHAnsi" w:cs="Source Sans Pro Light"/>
          <w:color w:val="auto"/>
          <w:sz w:val="22"/>
          <w:szCs w:val="22"/>
        </w:rPr>
        <w:t>million</w:t>
      </w:r>
      <w:r w:rsidRPr="00F642F4">
        <w:rPr>
          <w:rFonts w:asciiTheme="minorHAnsi" w:hAnsiTheme="minorHAnsi" w:cs="Source Sans Pro Light"/>
          <w:color w:val="auto"/>
          <w:sz w:val="22"/>
          <w:szCs w:val="22"/>
        </w:rPr>
        <w:t xml:space="preserve"> for the financial statement line item.</w:t>
      </w:r>
    </w:p>
    <w:p w14:paraId="29B6583F" w14:textId="5EFE5F03" w:rsidR="00705ADF" w:rsidRDefault="00705ADF" w:rsidP="005510DC">
      <w:pPr>
        <w:spacing w:after="160" w:line="259" w:lineRule="auto"/>
        <w:ind w:right="-1"/>
        <w:jc w:val="both"/>
        <w:rPr>
          <w:rFonts w:ascii="Calibri" w:eastAsia="Calibri" w:hAnsi="Calibri" w:cs="Source Sans Pro Light"/>
          <w:color w:val="000000"/>
          <w:sz w:val="22"/>
          <w:szCs w:val="22"/>
        </w:rPr>
      </w:pPr>
    </w:p>
    <w:p w14:paraId="5F8FDD90" w14:textId="77777777" w:rsidR="00705ADF" w:rsidRDefault="00705ADF">
      <w:pPr>
        <w:spacing w:after="0" w:line="240" w:lineRule="auto"/>
        <w:rPr>
          <w:rFonts w:ascii="Calibri" w:eastAsia="Calibri" w:hAnsi="Calibri" w:cs="Source Sans Pro Light"/>
          <w:color w:val="000000"/>
          <w:sz w:val="22"/>
          <w:szCs w:val="22"/>
        </w:rPr>
      </w:pPr>
      <w:r>
        <w:rPr>
          <w:rFonts w:ascii="Calibri" w:eastAsia="Calibri" w:hAnsi="Calibri" w:cs="Source Sans Pro Light"/>
          <w:color w:val="000000"/>
          <w:sz w:val="22"/>
          <w:szCs w:val="22"/>
        </w:rPr>
        <w:br w:type="page"/>
      </w:r>
    </w:p>
    <w:p w14:paraId="652622F1" w14:textId="5A71173B" w:rsidR="00DE4F19" w:rsidRDefault="00DE4F19" w:rsidP="00DE4F19">
      <w:pPr>
        <w:autoSpaceDE w:val="0"/>
        <w:autoSpaceDN w:val="0"/>
        <w:adjustRightInd w:val="0"/>
        <w:spacing w:after="137" w:line="240" w:lineRule="auto"/>
        <w:rPr>
          <w:rFonts w:ascii="Calibri" w:eastAsia="Calibri" w:hAnsi="Calibri" w:cs="Montserrat Semi Bold"/>
          <w:b/>
          <w:sz w:val="30"/>
          <w:szCs w:val="30"/>
        </w:rPr>
      </w:pPr>
      <w:r w:rsidRPr="00DE4F19">
        <w:rPr>
          <w:rFonts w:ascii="Calibri" w:eastAsia="Calibri" w:hAnsi="Calibri" w:cs="Montserrat Semi Bold"/>
          <w:b/>
          <w:bCs/>
          <w:color w:val="000000"/>
          <w:sz w:val="30"/>
          <w:szCs w:val="30"/>
        </w:rPr>
        <w:lastRenderedPageBreak/>
        <w:t xml:space="preserve">NOTE </w:t>
      </w:r>
      <w:r w:rsidR="002F4FFA">
        <w:rPr>
          <w:rFonts w:ascii="Calibri" w:eastAsia="Calibri" w:hAnsi="Calibri" w:cs="Montserrat Semi Bold"/>
          <w:b/>
          <w:bCs/>
          <w:color w:val="000000"/>
          <w:sz w:val="30"/>
          <w:szCs w:val="30"/>
        </w:rPr>
        <w:t>20</w:t>
      </w:r>
      <w:r w:rsidRPr="00DE4F19">
        <w:rPr>
          <w:rFonts w:ascii="Calibri" w:eastAsia="Calibri" w:hAnsi="Calibri" w:cs="Montserrat Semi Bold"/>
          <w:b/>
          <w:bCs/>
          <w:color w:val="000000"/>
          <w:sz w:val="30"/>
          <w:szCs w:val="30"/>
        </w:rPr>
        <w:t>. BUDGETARY REPORTING</w:t>
      </w:r>
      <w:r w:rsidRPr="00DE4F19">
        <w:rPr>
          <w:rFonts w:ascii="Calibri" w:eastAsia="Calibri" w:hAnsi="Calibri" w:cs="Montserrat Semi Bold"/>
          <w:b/>
          <w:bCs/>
          <w:sz w:val="30"/>
          <w:szCs w:val="30"/>
        </w:rPr>
        <w:t xml:space="preserve"> </w:t>
      </w:r>
      <w:r w:rsidR="00B948C5">
        <w:rPr>
          <w:rFonts w:ascii="Calibri" w:eastAsia="Calibri" w:hAnsi="Calibri" w:cs="Montserrat Semi Bold"/>
          <w:b/>
          <w:bCs/>
          <w:sz w:val="30"/>
          <w:szCs w:val="30"/>
        </w:rPr>
        <w:t>–</w:t>
      </w:r>
      <w:r w:rsidRPr="00DE4F19">
        <w:rPr>
          <w:rFonts w:ascii="Calibri" w:eastAsia="Calibri" w:hAnsi="Calibri" w:cs="Montserrat Semi Bold"/>
          <w:b/>
          <w:bCs/>
          <w:sz w:val="30"/>
          <w:szCs w:val="30"/>
        </w:rPr>
        <w:t xml:space="preserve"> CONTINUED</w:t>
      </w:r>
    </w:p>
    <w:tbl>
      <w:tblPr>
        <w:tblW w:w="10036" w:type="dxa"/>
        <w:tblInd w:w="-108" w:type="dxa"/>
        <w:tblBorders>
          <w:top w:val="nil"/>
          <w:left w:val="nil"/>
          <w:bottom w:val="nil"/>
          <w:right w:val="nil"/>
        </w:tblBorders>
        <w:tblLayout w:type="fixed"/>
        <w:tblLook w:val="0000" w:firstRow="0" w:lastRow="0" w:firstColumn="0" w:lastColumn="0" w:noHBand="0" w:noVBand="0"/>
      </w:tblPr>
      <w:tblGrid>
        <w:gridCol w:w="1984"/>
        <w:gridCol w:w="1021"/>
        <w:gridCol w:w="1022"/>
        <w:gridCol w:w="1020"/>
        <w:gridCol w:w="1020"/>
        <w:gridCol w:w="3969"/>
      </w:tblGrid>
      <w:tr w:rsidR="00B948C5" w:rsidRPr="005C18DA" w14:paraId="3F55B12C" w14:textId="77777777" w:rsidTr="00094133">
        <w:trPr>
          <w:trHeight w:val="418"/>
        </w:trPr>
        <w:tc>
          <w:tcPr>
            <w:tcW w:w="1984" w:type="dxa"/>
            <w:tcBorders>
              <w:top w:val="single" w:sz="12" w:space="0" w:color="492581" w:themeColor="accent1"/>
              <w:bottom w:val="single" w:sz="12" w:space="0" w:color="492581" w:themeColor="accent1"/>
            </w:tcBorders>
            <w:vAlign w:val="bottom"/>
          </w:tcPr>
          <w:p w14:paraId="7C55E289" w14:textId="77777777" w:rsidR="00B948C5" w:rsidRPr="005C18DA" w:rsidRDefault="00B948C5">
            <w:pPr>
              <w:autoSpaceDE w:val="0"/>
              <w:autoSpaceDN w:val="0"/>
              <w:adjustRightInd w:val="0"/>
              <w:spacing w:before="40" w:after="40" w:line="181" w:lineRule="atLeast"/>
              <w:ind w:left="153" w:hanging="153"/>
              <w:rPr>
                <w:rFonts w:cstheme="minorHAnsi"/>
                <w:color w:val="000000"/>
                <w:sz w:val="18"/>
                <w:szCs w:val="18"/>
              </w:rPr>
            </w:pPr>
            <w:r w:rsidRPr="005C18DA">
              <w:rPr>
                <w:rFonts w:cstheme="minorHAnsi"/>
                <w:b/>
                <w:bCs/>
                <w:color w:val="000000"/>
                <w:sz w:val="18"/>
                <w:szCs w:val="18"/>
              </w:rPr>
              <w:t>Operating Statement</w:t>
            </w:r>
            <w:r w:rsidRPr="005C18DA">
              <w:rPr>
                <w:rFonts w:cstheme="minorHAnsi"/>
                <w:b/>
                <w:bCs/>
                <w:color w:val="000000"/>
                <w:sz w:val="18"/>
                <w:szCs w:val="18"/>
              </w:rPr>
              <w:br/>
              <w:t xml:space="preserve">Line Items </w:t>
            </w:r>
          </w:p>
        </w:tc>
        <w:tc>
          <w:tcPr>
            <w:tcW w:w="1021" w:type="dxa"/>
            <w:tcBorders>
              <w:top w:val="single" w:sz="12" w:space="0" w:color="492581" w:themeColor="accent1"/>
              <w:bottom w:val="single" w:sz="12" w:space="0" w:color="492581" w:themeColor="accent1"/>
            </w:tcBorders>
            <w:vAlign w:val="bottom"/>
          </w:tcPr>
          <w:p w14:paraId="05E08AD3" w14:textId="77777777" w:rsidR="00B948C5" w:rsidRPr="005C18DA" w:rsidRDefault="00B948C5">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br/>
              <w:t xml:space="preserve">Actual </w:t>
            </w:r>
            <w:r>
              <w:rPr>
                <w:rFonts w:cstheme="minorHAnsi"/>
                <w:b/>
                <w:bCs/>
                <w:color w:val="000000"/>
                <w:sz w:val="18"/>
                <w:szCs w:val="18"/>
              </w:rPr>
              <w:t>2024</w:t>
            </w:r>
            <w:r w:rsidRPr="005C18DA">
              <w:rPr>
                <w:rFonts w:cstheme="minorHAnsi"/>
                <w:b/>
                <w:bCs/>
                <w:color w:val="000000"/>
                <w:sz w:val="18"/>
                <w:szCs w:val="18"/>
              </w:rPr>
              <w:br/>
              <w:t xml:space="preserve">$’000 </w:t>
            </w:r>
          </w:p>
        </w:tc>
        <w:tc>
          <w:tcPr>
            <w:tcW w:w="1022" w:type="dxa"/>
            <w:tcBorders>
              <w:top w:val="single" w:sz="12" w:space="0" w:color="492581" w:themeColor="accent1"/>
              <w:bottom w:val="single" w:sz="12" w:space="0" w:color="492581" w:themeColor="accent1"/>
            </w:tcBorders>
            <w:vAlign w:val="bottom"/>
          </w:tcPr>
          <w:p w14:paraId="123A673E" w14:textId="77777777" w:rsidR="00B948C5" w:rsidRPr="005C18DA" w:rsidRDefault="00B948C5">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Original Budget</w:t>
            </w:r>
            <w:r w:rsidRPr="005C18DA">
              <w:rPr>
                <w:rFonts w:cstheme="minorHAnsi"/>
                <w:b/>
                <w:bCs/>
                <w:color w:val="000000"/>
                <w:sz w:val="18"/>
                <w:szCs w:val="18"/>
                <w:vertAlign w:val="superscript"/>
              </w:rPr>
              <w:t>1</w:t>
            </w:r>
            <w:r w:rsidRPr="005C18DA">
              <w:rPr>
                <w:rFonts w:cstheme="minorHAnsi"/>
                <w:b/>
                <w:bCs/>
                <w:color w:val="000000"/>
                <w:sz w:val="18"/>
                <w:szCs w:val="18"/>
              </w:rPr>
              <w:t xml:space="preserve"> </w:t>
            </w:r>
            <w:r>
              <w:rPr>
                <w:rFonts w:cstheme="minorHAnsi"/>
                <w:b/>
                <w:bCs/>
                <w:color w:val="000000"/>
                <w:sz w:val="18"/>
                <w:szCs w:val="18"/>
              </w:rPr>
              <w:t>2024</w:t>
            </w:r>
            <w:r w:rsidRPr="005C18DA">
              <w:rPr>
                <w:rFonts w:cstheme="minorHAnsi"/>
                <w:b/>
                <w:bCs/>
                <w:color w:val="000000"/>
                <w:sz w:val="18"/>
                <w:szCs w:val="18"/>
              </w:rPr>
              <w:t xml:space="preserve"> $’000 </w:t>
            </w:r>
          </w:p>
        </w:tc>
        <w:tc>
          <w:tcPr>
            <w:tcW w:w="1020" w:type="dxa"/>
            <w:tcBorders>
              <w:top w:val="single" w:sz="12" w:space="0" w:color="492581" w:themeColor="accent1"/>
              <w:bottom w:val="single" w:sz="12" w:space="0" w:color="492581" w:themeColor="accent1"/>
            </w:tcBorders>
            <w:vAlign w:val="bottom"/>
          </w:tcPr>
          <w:p w14:paraId="65977DE7" w14:textId="77777777" w:rsidR="00B948C5" w:rsidRPr="005C18DA" w:rsidRDefault="00B948C5">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 xml:space="preserve">Variance $’000 </w:t>
            </w:r>
          </w:p>
        </w:tc>
        <w:tc>
          <w:tcPr>
            <w:tcW w:w="1020" w:type="dxa"/>
            <w:tcBorders>
              <w:top w:val="single" w:sz="12" w:space="0" w:color="492581" w:themeColor="accent1"/>
              <w:bottom w:val="single" w:sz="12" w:space="0" w:color="492581" w:themeColor="accent1"/>
            </w:tcBorders>
            <w:vAlign w:val="bottom"/>
          </w:tcPr>
          <w:p w14:paraId="7FC5F296" w14:textId="77777777" w:rsidR="00B948C5" w:rsidRPr="005C18DA" w:rsidRDefault="00B948C5">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Variance</w:t>
            </w:r>
            <w:r w:rsidRPr="005C18DA">
              <w:rPr>
                <w:rFonts w:cstheme="minorHAnsi"/>
                <w:b/>
                <w:bCs/>
                <w:color w:val="000000"/>
                <w:sz w:val="18"/>
                <w:szCs w:val="18"/>
              </w:rPr>
              <w:br/>
              <w:t xml:space="preserve"> % </w:t>
            </w:r>
          </w:p>
        </w:tc>
        <w:tc>
          <w:tcPr>
            <w:tcW w:w="3969" w:type="dxa"/>
            <w:tcBorders>
              <w:top w:val="single" w:sz="12" w:space="0" w:color="492581" w:themeColor="accent1"/>
              <w:bottom w:val="single" w:sz="12" w:space="0" w:color="492581" w:themeColor="accent1"/>
            </w:tcBorders>
            <w:vAlign w:val="bottom"/>
          </w:tcPr>
          <w:p w14:paraId="67F8655E" w14:textId="77777777" w:rsidR="00B948C5" w:rsidRPr="005C18DA" w:rsidRDefault="00B948C5">
            <w:pPr>
              <w:autoSpaceDE w:val="0"/>
              <w:autoSpaceDN w:val="0"/>
              <w:adjustRightInd w:val="0"/>
              <w:spacing w:before="40" w:after="40" w:line="181" w:lineRule="atLeast"/>
              <w:rPr>
                <w:rFonts w:cstheme="minorHAnsi"/>
                <w:color w:val="000000"/>
                <w:sz w:val="18"/>
                <w:szCs w:val="18"/>
              </w:rPr>
            </w:pPr>
            <w:r w:rsidRPr="005C18DA">
              <w:rPr>
                <w:rFonts w:cstheme="minorHAnsi"/>
                <w:b/>
                <w:bCs/>
                <w:color w:val="000000"/>
                <w:sz w:val="18"/>
                <w:szCs w:val="18"/>
              </w:rPr>
              <w:t>Variance Exp</w:t>
            </w:r>
            <w:r w:rsidRPr="005C18DA">
              <w:rPr>
                <w:rFonts w:cstheme="minorHAnsi"/>
                <w:bCs/>
                <w:color w:val="000000"/>
                <w:sz w:val="18"/>
                <w:szCs w:val="18"/>
              </w:rPr>
              <w:t>l</w:t>
            </w:r>
            <w:r w:rsidRPr="005C18DA">
              <w:rPr>
                <w:rFonts w:cstheme="minorHAnsi"/>
                <w:b/>
                <w:bCs/>
                <w:color w:val="000000"/>
                <w:sz w:val="18"/>
                <w:szCs w:val="18"/>
              </w:rPr>
              <w:t xml:space="preserve">anation </w:t>
            </w:r>
          </w:p>
        </w:tc>
      </w:tr>
      <w:tr w:rsidR="00B948C5" w:rsidRPr="005C18DA" w14:paraId="515E5C8D" w14:textId="77777777" w:rsidTr="00094133">
        <w:trPr>
          <w:trHeight w:val="119"/>
        </w:trPr>
        <w:tc>
          <w:tcPr>
            <w:tcW w:w="1984" w:type="dxa"/>
            <w:tcBorders>
              <w:top w:val="single" w:sz="12" w:space="0" w:color="492581" w:themeColor="accent1"/>
              <w:bottom w:val="nil"/>
            </w:tcBorders>
          </w:tcPr>
          <w:p w14:paraId="557ABFA6" w14:textId="77777777" w:rsidR="00B948C5" w:rsidRPr="005C18DA" w:rsidRDefault="00B948C5">
            <w:pPr>
              <w:autoSpaceDE w:val="0"/>
              <w:autoSpaceDN w:val="0"/>
              <w:adjustRightInd w:val="0"/>
              <w:spacing w:before="40" w:after="40" w:line="181" w:lineRule="atLeast"/>
              <w:rPr>
                <w:rFonts w:cstheme="minorHAnsi"/>
                <w:sz w:val="18"/>
                <w:szCs w:val="18"/>
              </w:rPr>
            </w:pPr>
            <w:r w:rsidRPr="005C18DA">
              <w:rPr>
                <w:rFonts w:cstheme="minorHAnsi"/>
                <w:b/>
                <w:bCs/>
                <w:color w:val="000000"/>
                <w:sz w:val="18"/>
                <w:szCs w:val="18"/>
              </w:rPr>
              <w:t>Ordinary activities</w:t>
            </w:r>
          </w:p>
        </w:tc>
        <w:tc>
          <w:tcPr>
            <w:tcW w:w="1021" w:type="dxa"/>
            <w:tcBorders>
              <w:top w:val="single" w:sz="12" w:space="0" w:color="492581" w:themeColor="accent1"/>
              <w:bottom w:val="nil"/>
            </w:tcBorders>
          </w:tcPr>
          <w:p w14:paraId="611714E6"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1022" w:type="dxa"/>
            <w:tcBorders>
              <w:top w:val="single" w:sz="12" w:space="0" w:color="492581" w:themeColor="accent1"/>
              <w:bottom w:val="nil"/>
            </w:tcBorders>
          </w:tcPr>
          <w:p w14:paraId="4D89B457"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1020" w:type="dxa"/>
            <w:tcBorders>
              <w:top w:val="single" w:sz="12" w:space="0" w:color="492581" w:themeColor="accent1"/>
              <w:bottom w:val="nil"/>
            </w:tcBorders>
          </w:tcPr>
          <w:p w14:paraId="36D83FF4"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1020" w:type="dxa"/>
            <w:tcBorders>
              <w:top w:val="single" w:sz="12" w:space="0" w:color="492581" w:themeColor="accent1"/>
              <w:bottom w:val="nil"/>
            </w:tcBorders>
          </w:tcPr>
          <w:p w14:paraId="211A3F05"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3969" w:type="dxa"/>
            <w:tcBorders>
              <w:top w:val="single" w:sz="12" w:space="0" w:color="492581" w:themeColor="accent1"/>
              <w:bottom w:val="nil"/>
            </w:tcBorders>
          </w:tcPr>
          <w:p w14:paraId="06F07252" w14:textId="77777777" w:rsidR="00B948C5" w:rsidRPr="005C18DA" w:rsidRDefault="00B948C5">
            <w:pPr>
              <w:autoSpaceDE w:val="0"/>
              <w:autoSpaceDN w:val="0"/>
              <w:adjustRightInd w:val="0"/>
              <w:spacing w:before="40" w:after="40" w:line="181" w:lineRule="atLeast"/>
              <w:rPr>
                <w:rFonts w:cstheme="minorHAnsi"/>
                <w:sz w:val="18"/>
                <w:szCs w:val="18"/>
              </w:rPr>
            </w:pPr>
          </w:p>
        </w:tc>
      </w:tr>
      <w:tr w:rsidR="00B948C5" w:rsidRPr="00CF2C68" w14:paraId="484AB91A" w14:textId="77777777">
        <w:trPr>
          <w:trHeight w:val="1086"/>
        </w:trPr>
        <w:tc>
          <w:tcPr>
            <w:tcW w:w="1984" w:type="dxa"/>
            <w:tcBorders>
              <w:top w:val="nil"/>
              <w:bottom w:val="nil"/>
            </w:tcBorders>
          </w:tcPr>
          <w:p w14:paraId="2C115FDF" w14:textId="77777777" w:rsidR="00B948C5" w:rsidRPr="00C22A91" w:rsidRDefault="00B948C5">
            <w:pPr>
              <w:autoSpaceDE w:val="0"/>
              <w:autoSpaceDN w:val="0"/>
              <w:adjustRightInd w:val="0"/>
              <w:spacing w:before="40" w:after="40" w:line="181" w:lineRule="atLeast"/>
              <w:rPr>
                <w:rFonts w:cstheme="minorHAnsi"/>
                <w:sz w:val="18"/>
                <w:szCs w:val="18"/>
              </w:rPr>
            </w:pPr>
            <w:r w:rsidRPr="00C22A91">
              <w:rPr>
                <w:rFonts w:cstheme="minorHAnsi"/>
                <w:sz w:val="18"/>
                <w:szCs w:val="18"/>
              </w:rPr>
              <w:t>Claims Expenses</w:t>
            </w:r>
          </w:p>
        </w:tc>
        <w:tc>
          <w:tcPr>
            <w:tcW w:w="1021" w:type="dxa"/>
            <w:tcBorders>
              <w:top w:val="nil"/>
              <w:bottom w:val="nil"/>
            </w:tcBorders>
          </w:tcPr>
          <w:p w14:paraId="3197AEE7" w14:textId="77777777" w:rsidR="00B948C5" w:rsidRPr="00C22A91" w:rsidRDefault="00B948C5">
            <w:pPr>
              <w:autoSpaceDE w:val="0"/>
              <w:autoSpaceDN w:val="0"/>
              <w:adjustRightInd w:val="0"/>
              <w:spacing w:before="40" w:after="40" w:line="181" w:lineRule="atLeast"/>
              <w:jc w:val="right"/>
              <w:rPr>
                <w:rFonts w:cstheme="minorHAnsi"/>
                <w:sz w:val="18"/>
                <w:szCs w:val="18"/>
              </w:rPr>
            </w:pPr>
            <w:r w:rsidRPr="00C22A91">
              <w:rPr>
                <w:rFonts w:cstheme="minorHAnsi"/>
                <w:sz w:val="18"/>
                <w:szCs w:val="18"/>
              </w:rPr>
              <w:t>(</w:t>
            </w:r>
            <w:r>
              <w:rPr>
                <w:rFonts w:cstheme="minorHAnsi"/>
                <w:sz w:val="18"/>
                <w:szCs w:val="18"/>
              </w:rPr>
              <w:t>98</w:t>
            </w:r>
            <w:r w:rsidRPr="00C22A91">
              <w:rPr>
                <w:rFonts w:cstheme="minorHAnsi"/>
                <w:sz w:val="18"/>
                <w:szCs w:val="18"/>
              </w:rPr>
              <w:t>,1</w:t>
            </w:r>
            <w:r>
              <w:rPr>
                <w:rFonts w:cstheme="minorHAnsi"/>
                <w:sz w:val="18"/>
                <w:szCs w:val="18"/>
              </w:rPr>
              <w:t>10</w:t>
            </w:r>
            <w:r w:rsidRPr="00C22A91">
              <w:rPr>
                <w:rFonts w:cstheme="minorHAnsi"/>
                <w:sz w:val="18"/>
                <w:szCs w:val="18"/>
              </w:rPr>
              <w:t>)</w:t>
            </w:r>
          </w:p>
        </w:tc>
        <w:tc>
          <w:tcPr>
            <w:tcW w:w="1022" w:type="dxa"/>
            <w:tcBorders>
              <w:top w:val="nil"/>
              <w:bottom w:val="nil"/>
            </w:tcBorders>
          </w:tcPr>
          <w:p w14:paraId="231D92EF" w14:textId="77777777" w:rsidR="00B948C5" w:rsidRPr="00C22A91" w:rsidRDefault="00B948C5">
            <w:pPr>
              <w:autoSpaceDE w:val="0"/>
              <w:autoSpaceDN w:val="0"/>
              <w:adjustRightInd w:val="0"/>
              <w:spacing w:before="40" w:after="40" w:line="181" w:lineRule="atLeast"/>
              <w:jc w:val="right"/>
              <w:rPr>
                <w:rFonts w:cstheme="minorHAnsi"/>
                <w:sz w:val="18"/>
                <w:szCs w:val="18"/>
              </w:rPr>
            </w:pPr>
            <w:r w:rsidRPr="00C22A91">
              <w:rPr>
                <w:rFonts w:cstheme="minorHAnsi"/>
                <w:sz w:val="18"/>
                <w:szCs w:val="18"/>
              </w:rPr>
              <w:t>(</w:t>
            </w:r>
            <w:r>
              <w:rPr>
                <w:rFonts w:cstheme="minorHAnsi"/>
                <w:sz w:val="18"/>
                <w:szCs w:val="18"/>
              </w:rPr>
              <w:t>76</w:t>
            </w:r>
            <w:r w:rsidRPr="00C22A91">
              <w:rPr>
                <w:rFonts w:cstheme="minorHAnsi"/>
                <w:sz w:val="18"/>
                <w:szCs w:val="18"/>
              </w:rPr>
              <w:t>,</w:t>
            </w:r>
            <w:r>
              <w:rPr>
                <w:rFonts w:cstheme="minorHAnsi"/>
                <w:sz w:val="18"/>
                <w:szCs w:val="18"/>
              </w:rPr>
              <w:t>480</w:t>
            </w:r>
            <w:r w:rsidRPr="00C22A91">
              <w:rPr>
                <w:rFonts w:cstheme="minorHAnsi"/>
                <w:sz w:val="18"/>
                <w:szCs w:val="18"/>
              </w:rPr>
              <w:t>)</w:t>
            </w:r>
          </w:p>
        </w:tc>
        <w:tc>
          <w:tcPr>
            <w:tcW w:w="1020" w:type="dxa"/>
            <w:tcBorders>
              <w:top w:val="nil"/>
              <w:bottom w:val="nil"/>
            </w:tcBorders>
          </w:tcPr>
          <w:p w14:paraId="409AAB73" w14:textId="77777777" w:rsidR="00B948C5" w:rsidRPr="00C22A91" w:rsidRDefault="00B948C5">
            <w:pPr>
              <w:autoSpaceDE w:val="0"/>
              <w:autoSpaceDN w:val="0"/>
              <w:adjustRightInd w:val="0"/>
              <w:spacing w:before="40" w:after="40" w:line="181" w:lineRule="atLeast"/>
              <w:jc w:val="right"/>
              <w:rPr>
                <w:rFonts w:cstheme="minorHAnsi"/>
                <w:sz w:val="18"/>
                <w:szCs w:val="18"/>
              </w:rPr>
            </w:pPr>
            <w:r w:rsidRPr="00C22A91">
              <w:rPr>
                <w:rFonts w:cstheme="minorHAnsi"/>
                <w:sz w:val="18"/>
                <w:szCs w:val="18"/>
              </w:rPr>
              <w:t>(</w:t>
            </w:r>
            <w:r>
              <w:rPr>
                <w:rFonts w:cstheme="minorHAnsi"/>
                <w:sz w:val="18"/>
                <w:szCs w:val="18"/>
              </w:rPr>
              <w:t>21,630</w:t>
            </w:r>
            <w:r w:rsidRPr="00C22A91">
              <w:rPr>
                <w:rFonts w:cstheme="minorHAnsi"/>
                <w:sz w:val="18"/>
                <w:szCs w:val="18"/>
              </w:rPr>
              <w:t>)</w:t>
            </w:r>
          </w:p>
        </w:tc>
        <w:tc>
          <w:tcPr>
            <w:tcW w:w="1020" w:type="dxa"/>
            <w:tcBorders>
              <w:top w:val="nil"/>
              <w:bottom w:val="nil"/>
            </w:tcBorders>
          </w:tcPr>
          <w:p w14:paraId="08B01F57" w14:textId="77777777" w:rsidR="00B948C5" w:rsidRPr="00C22A91" w:rsidRDefault="00B948C5">
            <w:pPr>
              <w:autoSpaceDE w:val="0"/>
              <w:autoSpaceDN w:val="0"/>
              <w:adjustRightInd w:val="0"/>
              <w:spacing w:before="40" w:after="40" w:line="181" w:lineRule="atLeast"/>
              <w:jc w:val="right"/>
              <w:rPr>
                <w:rFonts w:cstheme="minorHAnsi"/>
                <w:sz w:val="18"/>
                <w:szCs w:val="18"/>
              </w:rPr>
            </w:pPr>
            <w:r>
              <w:rPr>
                <w:rFonts w:cstheme="minorHAnsi"/>
                <w:sz w:val="18"/>
                <w:szCs w:val="18"/>
              </w:rPr>
              <w:t>28</w:t>
            </w:r>
          </w:p>
        </w:tc>
        <w:tc>
          <w:tcPr>
            <w:tcW w:w="3969" w:type="dxa"/>
            <w:tcBorders>
              <w:top w:val="nil"/>
              <w:bottom w:val="nil"/>
            </w:tcBorders>
          </w:tcPr>
          <w:p w14:paraId="67AF07CC" w14:textId="77777777" w:rsidR="00B948C5" w:rsidRPr="00C22A91" w:rsidRDefault="00B948C5">
            <w:pPr>
              <w:autoSpaceDE w:val="0"/>
              <w:autoSpaceDN w:val="0"/>
              <w:adjustRightInd w:val="0"/>
              <w:spacing w:before="40" w:after="40" w:line="181" w:lineRule="atLeast"/>
              <w:rPr>
                <w:rFonts w:cstheme="minorHAnsi"/>
                <w:sz w:val="18"/>
                <w:szCs w:val="18"/>
              </w:rPr>
            </w:pPr>
            <w:r w:rsidRPr="00C22A91">
              <w:rPr>
                <w:rFonts w:cstheme="minorHAnsi"/>
                <w:sz w:val="18"/>
                <w:szCs w:val="18"/>
              </w:rPr>
              <w:t>Higher claims expenses during 202</w:t>
            </w:r>
            <w:r>
              <w:rPr>
                <w:rFonts w:cstheme="minorHAnsi"/>
                <w:sz w:val="18"/>
                <w:szCs w:val="18"/>
              </w:rPr>
              <w:t>3</w:t>
            </w:r>
            <w:r w:rsidRPr="00C22A91">
              <w:rPr>
                <w:rFonts w:cstheme="minorHAnsi"/>
                <w:sz w:val="18"/>
                <w:szCs w:val="18"/>
              </w:rPr>
              <w:t>-202</w:t>
            </w:r>
            <w:r>
              <w:rPr>
                <w:rFonts w:cstheme="minorHAnsi"/>
                <w:sz w:val="18"/>
                <w:szCs w:val="18"/>
              </w:rPr>
              <w:t>4</w:t>
            </w:r>
            <w:r w:rsidRPr="00C22A91">
              <w:rPr>
                <w:rFonts w:cstheme="minorHAnsi"/>
                <w:sz w:val="18"/>
                <w:szCs w:val="18"/>
              </w:rPr>
              <w:t xml:space="preserve"> is mainly due to deteriorating claims experience in the medical malpractice portfolio with more than expected claims incurred during the period and large property damage individual claims for significant fire events at the Hume Material Recovery Facility and </w:t>
            </w:r>
            <w:r>
              <w:rPr>
                <w:rFonts w:cstheme="minorHAnsi"/>
                <w:sz w:val="18"/>
                <w:szCs w:val="18"/>
              </w:rPr>
              <w:t xml:space="preserve">North Canberra Hospital (formerly </w:t>
            </w:r>
            <w:r w:rsidRPr="00C22A91">
              <w:rPr>
                <w:rFonts w:cstheme="minorHAnsi"/>
                <w:sz w:val="18"/>
                <w:szCs w:val="18"/>
              </w:rPr>
              <w:t xml:space="preserve">Calvary Public Hospital </w:t>
            </w:r>
            <w:r>
              <w:rPr>
                <w:rFonts w:cstheme="minorHAnsi"/>
                <w:sz w:val="18"/>
                <w:szCs w:val="18"/>
              </w:rPr>
              <w:t>Bruce)</w:t>
            </w:r>
            <w:r w:rsidRPr="00C22A91">
              <w:rPr>
                <w:rFonts w:cstheme="minorHAnsi"/>
                <w:sz w:val="18"/>
                <w:szCs w:val="18"/>
              </w:rPr>
              <w:t>.</w:t>
            </w:r>
          </w:p>
          <w:p w14:paraId="40CB09FB" w14:textId="77777777" w:rsidR="00B948C5" w:rsidRPr="00C22A91" w:rsidRDefault="00B948C5">
            <w:pPr>
              <w:autoSpaceDE w:val="0"/>
              <w:autoSpaceDN w:val="0"/>
              <w:adjustRightInd w:val="0"/>
              <w:spacing w:before="40" w:after="40" w:line="181" w:lineRule="atLeast"/>
              <w:rPr>
                <w:rFonts w:cstheme="minorHAnsi"/>
                <w:sz w:val="18"/>
                <w:szCs w:val="18"/>
              </w:rPr>
            </w:pPr>
          </w:p>
        </w:tc>
      </w:tr>
      <w:tr w:rsidR="00B948C5" w:rsidRPr="00CF2C68" w14:paraId="666B97E5" w14:textId="77777777">
        <w:trPr>
          <w:trHeight w:val="1086"/>
        </w:trPr>
        <w:tc>
          <w:tcPr>
            <w:tcW w:w="1984" w:type="dxa"/>
            <w:tcBorders>
              <w:top w:val="nil"/>
              <w:bottom w:val="nil"/>
            </w:tcBorders>
          </w:tcPr>
          <w:p w14:paraId="75ABE8E4" w14:textId="77777777" w:rsidR="00B948C5" w:rsidRPr="00C22A91" w:rsidRDefault="00B948C5">
            <w:pPr>
              <w:autoSpaceDE w:val="0"/>
              <w:autoSpaceDN w:val="0"/>
              <w:adjustRightInd w:val="0"/>
              <w:spacing w:before="40" w:after="40" w:line="181" w:lineRule="atLeast"/>
              <w:ind w:left="153" w:hanging="153"/>
              <w:rPr>
                <w:rFonts w:cstheme="minorHAnsi"/>
                <w:sz w:val="18"/>
                <w:szCs w:val="18"/>
              </w:rPr>
            </w:pPr>
            <w:r w:rsidRPr="00C22A91">
              <w:rPr>
                <w:rFonts w:cstheme="minorHAnsi"/>
                <w:color w:val="000000"/>
                <w:sz w:val="18"/>
                <w:szCs w:val="18"/>
              </w:rPr>
              <w:t>Claims Related Recoveries</w:t>
            </w:r>
          </w:p>
        </w:tc>
        <w:tc>
          <w:tcPr>
            <w:tcW w:w="1021" w:type="dxa"/>
            <w:tcBorders>
              <w:top w:val="nil"/>
              <w:bottom w:val="nil"/>
            </w:tcBorders>
          </w:tcPr>
          <w:p w14:paraId="5F1279D9" w14:textId="77777777" w:rsidR="00B948C5" w:rsidRPr="00C22A91" w:rsidRDefault="00B948C5">
            <w:pPr>
              <w:autoSpaceDE w:val="0"/>
              <w:autoSpaceDN w:val="0"/>
              <w:adjustRightInd w:val="0"/>
              <w:spacing w:before="40" w:after="40" w:line="181" w:lineRule="atLeast"/>
              <w:jc w:val="right"/>
              <w:rPr>
                <w:rFonts w:cstheme="minorHAnsi"/>
                <w:sz w:val="18"/>
                <w:szCs w:val="18"/>
              </w:rPr>
            </w:pPr>
            <w:r>
              <w:rPr>
                <w:rFonts w:cstheme="minorHAnsi"/>
                <w:sz w:val="18"/>
                <w:szCs w:val="18"/>
              </w:rPr>
              <w:t>19</w:t>
            </w:r>
            <w:r w:rsidRPr="00C22A91">
              <w:rPr>
                <w:rFonts w:cstheme="minorHAnsi"/>
                <w:sz w:val="18"/>
                <w:szCs w:val="18"/>
              </w:rPr>
              <w:t>,</w:t>
            </w:r>
            <w:r>
              <w:rPr>
                <w:rFonts w:cstheme="minorHAnsi"/>
                <w:sz w:val="18"/>
                <w:szCs w:val="18"/>
              </w:rPr>
              <w:t>742</w:t>
            </w:r>
          </w:p>
        </w:tc>
        <w:tc>
          <w:tcPr>
            <w:tcW w:w="1022" w:type="dxa"/>
            <w:tcBorders>
              <w:top w:val="nil"/>
              <w:bottom w:val="nil"/>
            </w:tcBorders>
          </w:tcPr>
          <w:p w14:paraId="62D95FF5" w14:textId="77777777" w:rsidR="00B948C5" w:rsidRPr="00C22A91" w:rsidRDefault="00B948C5">
            <w:pPr>
              <w:autoSpaceDE w:val="0"/>
              <w:autoSpaceDN w:val="0"/>
              <w:adjustRightInd w:val="0"/>
              <w:spacing w:before="40" w:after="40" w:line="181" w:lineRule="atLeast"/>
              <w:jc w:val="right"/>
              <w:rPr>
                <w:rFonts w:cstheme="minorHAnsi"/>
                <w:sz w:val="18"/>
                <w:szCs w:val="18"/>
              </w:rPr>
            </w:pPr>
            <w:r w:rsidRPr="00C22A91">
              <w:rPr>
                <w:rFonts w:cstheme="minorHAnsi"/>
                <w:sz w:val="18"/>
                <w:szCs w:val="18"/>
              </w:rPr>
              <w:t>-</w:t>
            </w:r>
          </w:p>
        </w:tc>
        <w:tc>
          <w:tcPr>
            <w:tcW w:w="1020" w:type="dxa"/>
            <w:tcBorders>
              <w:top w:val="nil"/>
              <w:bottom w:val="nil"/>
            </w:tcBorders>
          </w:tcPr>
          <w:p w14:paraId="484329F2" w14:textId="77777777" w:rsidR="00B948C5" w:rsidRPr="00C22A91" w:rsidRDefault="00B948C5">
            <w:pPr>
              <w:autoSpaceDE w:val="0"/>
              <w:autoSpaceDN w:val="0"/>
              <w:adjustRightInd w:val="0"/>
              <w:spacing w:before="40" w:after="40" w:line="181" w:lineRule="atLeast"/>
              <w:jc w:val="right"/>
              <w:rPr>
                <w:rFonts w:cstheme="minorHAnsi"/>
                <w:sz w:val="18"/>
                <w:szCs w:val="18"/>
              </w:rPr>
            </w:pPr>
            <w:r>
              <w:rPr>
                <w:rFonts w:cstheme="minorHAnsi"/>
                <w:sz w:val="18"/>
                <w:szCs w:val="18"/>
              </w:rPr>
              <w:t>19</w:t>
            </w:r>
            <w:r w:rsidRPr="00C22A91">
              <w:rPr>
                <w:rFonts w:cstheme="minorHAnsi"/>
                <w:sz w:val="18"/>
                <w:szCs w:val="18"/>
              </w:rPr>
              <w:t>,</w:t>
            </w:r>
            <w:r>
              <w:rPr>
                <w:rFonts w:cstheme="minorHAnsi"/>
                <w:sz w:val="18"/>
                <w:szCs w:val="18"/>
              </w:rPr>
              <w:t>742</w:t>
            </w:r>
          </w:p>
        </w:tc>
        <w:tc>
          <w:tcPr>
            <w:tcW w:w="1020" w:type="dxa"/>
            <w:tcBorders>
              <w:top w:val="nil"/>
              <w:bottom w:val="nil"/>
            </w:tcBorders>
          </w:tcPr>
          <w:p w14:paraId="53AD10FD" w14:textId="77777777" w:rsidR="00B948C5" w:rsidRPr="00C22A91" w:rsidRDefault="00B948C5">
            <w:pPr>
              <w:autoSpaceDE w:val="0"/>
              <w:autoSpaceDN w:val="0"/>
              <w:adjustRightInd w:val="0"/>
              <w:spacing w:before="40" w:after="40" w:line="181" w:lineRule="atLeast"/>
              <w:jc w:val="right"/>
              <w:rPr>
                <w:rFonts w:cstheme="minorHAnsi"/>
                <w:sz w:val="18"/>
                <w:szCs w:val="18"/>
              </w:rPr>
            </w:pPr>
            <w:r w:rsidRPr="00C22A91">
              <w:rPr>
                <w:rFonts w:cstheme="minorHAnsi"/>
                <w:sz w:val="18"/>
                <w:szCs w:val="18"/>
              </w:rPr>
              <w:t>100</w:t>
            </w:r>
          </w:p>
        </w:tc>
        <w:tc>
          <w:tcPr>
            <w:tcW w:w="3969" w:type="dxa"/>
            <w:tcBorders>
              <w:top w:val="nil"/>
              <w:bottom w:val="nil"/>
            </w:tcBorders>
          </w:tcPr>
          <w:p w14:paraId="31719F37" w14:textId="77777777" w:rsidR="00B948C5" w:rsidRPr="00C22A91" w:rsidRDefault="00B948C5">
            <w:pPr>
              <w:autoSpaceDE w:val="0"/>
              <w:autoSpaceDN w:val="0"/>
              <w:adjustRightInd w:val="0"/>
              <w:spacing w:before="40" w:after="40" w:line="181" w:lineRule="atLeast"/>
              <w:rPr>
                <w:rFonts w:cstheme="minorHAnsi"/>
                <w:sz w:val="18"/>
                <w:szCs w:val="18"/>
              </w:rPr>
            </w:pPr>
            <w:r>
              <w:rPr>
                <w:rFonts w:cstheme="minorHAnsi"/>
                <w:sz w:val="18"/>
                <w:szCs w:val="18"/>
              </w:rPr>
              <w:t>Higher c</w:t>
            </w:r>
            <w:r w:rsidRPr="00C22A91">
              <w:rPr>
                <w:rFonts w:cstheme="minorHAnsi"/>
                <w:sz w:val="18"/>
                <w:szCs w:val="18"/>
              </w:rPr>
              <w:t xml:space="preserve">laims related recoveries mainly due to deteriorating claims experience and particularly large individual property damage claims and medical malpractice claims that exceeded the reinsurance retention threshold. </w:t>
            </w:r>
          </w:p>
          <w:p w14:paraId="6EF5CAA2" w14:textId="77777777" w:rsidR="00B948C5" w:rsidRPr="00C22A91" w:rsidRDefault="00B948C5">
            <w:pPr>
              <w:autoSpaceDE w:val="0"/>
              <w:autoSpaceDN w:val="0"/>
              <w:adjustRightInd w:val="0"/>
              <w:spacing w:before="40" w:after="40" w:line="181" w:lineRule="atLeast"/>
              <w:rPr>
                <w:rFonts w:cstheme="minorHAnsi"/>
                <w:sz w:val="18"/>
                <w:szCs w:val="18"/>
              </w:rPr>
            </w:pPr>
            <w:r w:rsidRPr="00C22A91">
              <w:rPr>
                <w:rFonts w:cstheme="minorHAnsi"/>
                <w:sz w:val="18"/>
                <w:szCs w:val="18"/>
              </w:rPr>
              <w:t xml:space="preserve">  </w:t>
            </w:r>
          </w:p>
        </w:tc>
      </w:tr>
      <w:tr w:rsidR="00B948C5" w:rsidRPr="00CF2C68" w14:paraId="13607EC1" w14:textId="77777777" w:rsidTr="00094133">
        <w:trPr>
          <w:trHeight w:val="1086"/>
        </w:trPr>
        <w:tc>
          <w:tcPr>
            <w:tcW w:w="1984" w:type="dxa"/>
            <w:tcBorders>
              <w:top w:val="nil"/>
              <w:left w:val="nil"/>
              <w:bottom w:val="single" w:sz="12" w:space="0" w:color="492581" w:themeColor="accent1"/>
            </w:tcBorders>
          </w:tcPr>
          <w:p w14:paraId="48AF0D86" w14:textId="77777777" w:rsidR="00B948C5" w:rsidRPr="00C22A91" w:rsidRDefault="00B948C5">
            <w:pPr>
              <w:autoSpaceDE w:val="0"/>
              <w:autoSpaceDN w:val="0"/>
              <w:adjustRightInd w:val="0"/>
              <w:spacing w:before="40" w:after="40" w:line="181" w:lineRule="atLeast"/>
              <w:ind w:left="153" w:hanging="153"/>
              <w:rPr>
                <w:rFonts w:cstheme="minorHAnsi"/>
                <w:sz w:val="18"/>
                <w:szCs w:val="18"/>
              </w:rPr>
            </w:pPr>
            <w:r w:rsidRPr="00C22A91">
              <w:rPr>
                <w:rFonts w:cstheme="minorHAnsi"/>
                <w:sz w:val="18"/>
                <w:szCs w:val="18"/>
              </w:rPr>
              <w:t>Gain on Investment</w:t>
            </w:r>
          </w:p>
        </w:tc>
        <w:tc>
          <w:tcPr>
            <w:tcW w:w="1021" w:type="dxa"/>
            <w:tcBorders>
              <w:top w:val="nil"/>
              <w:bottom w:val="single" w:sz="12" w:space="0" w:color="492581" w:themeColor="accent1"/>
            </w:tcBorders>
          </w:tcPr>
          <w:p w14:paraId="7EA6A5A4" w14:textId="77777777" w:rsidR="00B948C5" w:rsidRPr="00C22A91" w:rsidRDefault="00B948C5">
            <w:pPr>
              <w:autoSpaceDE w:val="0"/>
              <w:autoSpaceDN w:val="0"/>
              <w:adjustRightInd w:val="0"/>
              <w:spacing w:before="40" w:after="40" w:line="181" w:lineRule="atLeast"/>
              <w:ind w:left="153" w:hanging="153"/>
              <w:jc w:val="right"/>
              <w:rPr>
                <w:rFonts w:cstheme="minorHAnsi"/>
                <w:sz w:val="18"/>
                <w:szCs w:val="18"/>
              </w:rPr>
            </w:pPr>
            <w:r w:rsidRPr="00C22A91">
              <w:rPr>
                <w:rFonts w:cstheme="minorHAnsi"/>
                <w:sz w:val="18"/>
                <w:szCs w:val="18"/>
              </w:rPr>
              <w:t>2</w:t>
            </w:r>
            <w:r>
              <w:rPr>
                <w:rFonts w:cstheme="minorHAnsi"/>
                <w:sz w:val="18"/>
                <w:szCs w:val="18"/>
              </w:rPr>
              <w:t>0</w:t>
            </w:r>
            <w:r w:rsidRPr="00C22A91">
              <w:rPr>
                <w:rFonts w:cstheme="minorHAnsi"/>
                <w:sz w:val="18"/>
                <w:szCs w:val="18"/>
              </w:rPr>
              <w:t>,5</w:t>
            </w:r>
            <w:r>
              <w:rPr>
                <w:rFonts w:cstheme="minorHAnsi"/>
                <w:sz w:val="18"/>
                <w:szCs w:val="18"/>
              </w:rPr>
              <w:t>71</w:t>
            </w:r>
          </w:p>
        </w:tc>
        <w:tc>
          <w:tcPr>
            <w:tcW w:w="1022" w:type="dxa"/>
            <w:tcBorders>
              <w:top w:val="nil"/>
              <w:bottom w:val="single" w:sz="12" w:space="0" w:color="492581" w:themeColor="accent1"/>
            </w:tcBorders>
          </w:tcPr>
          <w:p w14:paraId="5A2D8E38" w14:textId="77777777" w:rsidR="00B948C5" w:rsidRPr="00C22A91" w:rsidRDefault="00B948C5">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5</w:t>
            </w:r>
            <w:r w:rsidRPr="00C22A91">
              <w:rPr>
                <w:rFonts w:cstheme="minorHAnsi"/>
                <w:sz w:val="18"/>
                <w:szCs w:val="18"/>
              </w:rPr>
              <w:t>,</w:t>
            </w:r>
            <w:r>
              <w:rPr>
                <w:rFonts w:cstheme="minorHAnsi"/>
                <w:sz w:val="18"/>
                <w:szCs w:val="18"/>
              </w:rPr>
              <w:t>898</w:t>
            </w:r>
          </w:p>
        </w:tc>
        <w:tc>
          <w:tcPr>
            <w:tcW w:w="1020" w:type="dxa"/>
            <w:tcBorders>
              <w:top w:val="nil"/>
              <w:bottom w:val="single" w:sz="12" w:space="0" w:color="492581" w:themeColor="accent1"/>
            </w:tcBorders>
          </w:tcPr>
          <w:p w14:paraId="20B5EE1C" w14:textId="77777777" w:rsidR="00B948C5" w:rsidRPr="00C22A91" w:rsidRDefault="00B948C5">
            <w:pPr>
              <w:autoSpaceDE w:val="0"/>
              <w:autoSpaceDN w:val="0"/>
              <w:adjustRightInd w:val="0"/>
              <w:spacing w:before="40" w:after="40" w:line="181" w:lineRule="atLeast"/>
              <w:ind w:left="153" w:hanging="153"/>
              <w:jc w:val="right"/>
              <w:rPr>
                <w:rFonts w:cstheme="minorHAnsi"/>
                <w:sz w:val="18"/>
                <w:szCs w:val="18"/>
              </w:rPr>
            </w:pPr>
            <w:r w:rsidRPr="00C22A91">
              <w:rPr>
                <w:rFonts w:cstheme="minorHAnsi"/>
                <w:sz w:val="18"/>
                <w:szCs w:val="18"/>
              </w:rPr>
              <w:t>1</w:t>
            </w:r>
            <w:r>
              <w:rPr>
                <w:rFonts w:cstheme="minorHAnsi"/>
                <w:sz w:val="18"/>
                <w:szCs w:val="18"/>
              </w:rPr>
              <w:t>4</w:t>
            </w:r>
            <w:r w:rsidRPr="00C22A91">
              <w:rPr>
                <w:rFonts w:cstheme="minorHAnsi"/>
                <w:sz w:val="18"/>
                <w:szCs w:val="18"/>
              </w:rPr>
              <w:t>,</w:t>
            </w:r>
            <w:r>
              <w:rPr>
                <w:rFonts w:cstheme="minorHAnsi"/>
                <w:sz w:val="18"/>
                <w:szCs w:val="18"/>
              </w:rPr>
              <w:t>673</w:t>
            </w:r>
          </w:p>
        </w:tc>
        <w:tc>
          <w:tcPr>
            <w:tcW w:w="1020" w:type="dxa"/>
            <w:tcBorders>
              <w:top w:val="nil"/>
              <w:bottom w:val="single" w:sz="12" w:space="0" w:color="492581" w:themeColor="accent1"/>
            </w:tcBorders>
          </w:tcPr>
          <w:p w14:paraId="7E7C73FF" w14:textId="77777777" w:rsidR="00B948C5" w:rsidRPr="00C22A91" w:rsidRDefault="00B948C5">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249</w:t>
            </w:r>
          </w:p>
        </w:tc>
        <w:tc>
          <w:tcPr>
            <w:tcW w:w="3969" w:type="dxa"/>
            <w:tcBorders>
              <w:top w:val="nil"/>
              <w:bottom w:val="single" w:sz="12" w:space="0" w:color="492581" w:themeColor="accent1"/>
              <w:right w:val="nil"/>
            </w:tcBorders>
          </w:tcPr>
          <w:p w14:paraId="077AF6F3" w14:textId="77777777" w:rsidR="00B948C5" w:rsidRPr="00C22A91" w:rsidRDefault="00B948C5">
            <w:pPr>
              <w:autoSpaceDE w:val="0"/>
              <w:autoSpaceDN w:val="0"/>
              <w:adjustRightInd w:val="0"/>
              <w:spacing w:before="40" w:after="40" w:line="181" w:lineRule="atLeast"/>
              <w:rPr>
                <w:rFonts w:cstheme="minorHAnsi"/>
                <w:sz w:val="18"/>
                <w:szCs w:val="18"/>
              </w:rPr>
            </w:pPr>
            <w:r w:rsidRPr="00C22A91">
              <w:rPr>
                <w:rFonts w:cstheme="minorHAnsi"/>
                <w:sz w:val="18"/>
                <w:szCs w:val="18"/>
              </w:rPr>
              <w:t>Higher gain on investment is mainly due to the Authority’s investment portfolio delivering a gain of 9.</w:t>
            </w:r>
            <w:r>
              <w:rPr>
                <w:rFonts w:cstheme="minorHAnsi"/>
                <w:sz w:val="18"/>
                <w:szCs w:val="18"/>
              </w:rPr>
              <w:t>9</w:t>
            </w:r>
            <w:r w:rsidRPr="00C22A91">
              <w:rPr>
                <w:rFonts w:cstheme="minorHAnsi"/>
                <w:sz w:val="18"/>
                <w:szCs w:val="18"/>
              </w:rPr>
              <w:t xml:space="preserve"> per cent overall portfolio return for 202</w:t>
            </w:r>
            <w:r>
              <w:rPr>
                <w:rFonts w:cstheme="minorHAnsi"/>
                <w:sz w:val="18"/>
                <w:szCs w:val="18"/>
              </w:rPr>
              <w:t>3</w:t>
            </w:r>
            <w:r w:rsidRPr="00C22A91">
              <w:rPr>
                <w:rFonts w:cstheme="minorHAnsi"/>
                <w:sz w:val="18"/>
                <w:szCs w:val="18"/>
              </w:rPr>
              <w:t>-</w:t>
            </w:r>
            <w:r>
              <w:rPr>
                <w:rFonts w:cstheme="minorHAnsi"/>
                <w:sz w:val="18"/>
                <w:szCs w:val="18"/>
              </w:rPr>
              <w:t>24</w:t>
            </w:r>
            <w:r w:rsidRPr="00C22A91">
              <w:rPr>
                <w:rFonts w:cstheme="minorHAnsi"/>
                <w:sz w:val="18"/>
                <w:szCs w:val="18"/>
              </w:rPr>
              <w:t xml:space="preserve"> compared to</w:t>
            </w:r>
            <w:r>
              <w:rPr>
                <w:rFonts w:cstheme="minorHAnsi"/>
                <w:sz w:val="18"/>
                <w:szCs w:val="18"/>
              </w:rPr>
              <w:t xml:space="preserve"> a lower percentage in </w:t>
            </w:r>
            <w:r w:rsidRPr="00C22A91">
              <w:rPr>
                <w:rFonts w:cstheme="minorHAnsi"/>
                <w:sz w:val="18"/>
                <w:szCs w:val="18"/>
              </w:rPr>
              <w:t xml:space="preserve">budgeted return. The increase in market valuation of the investment portfolio is mainly due to underlying gains on share investments.  </w:t>
            </w:r>
          </w:p>
        </w:tc>
      </w:tr>
      <w:tr w:rsidR="00B948C5" w:rsidRPr="00094133" w14:paraId="1CF2C00A" w14:textId="77777777" w:rsidTr="00094133">
        <w:trPr>
          <w:trHeight w:val="735"/>
        </w:trPr>
        <w:tc>
          <w:tcPr>
            <w:tcW w:w="10036" w:type="dxa"/>
            <w:gridSpan w:val="6"/>
            <w:tcBorders>
              <w:top w:val="single" w:sz="12" w:space="0" w:color="492581" w:themeColor="accent1"/>
              <w:left w:val="nil"/>
              <w:bottom w:val="single" w:sz="12" w:space="0" w:color="492581" w:themeColor="accent1"/>
            </w:tcBorders>
          </w:tcPr>
          <w:p w14:paraId="77EB679C" w14:textId="77777777" w:rsidR="00B948C5" w:rsidRPr="00094133" w:rsidRDefault="00B948C5">
            <w:pPr>
              <w:autoSpaceDE w:val="0"/>
              <w:autoSpaceDN w:val="0"/>
              <w:adjustRightInd w:val="0"/>
              <w:spacing w:before="120" w:after="120" w:line="181" w:lineRule="atLeast"/>
              <w:rPr>
                <w:rFonts w:cstheme="minorHAnsi"/>
                <w:i/>
                <w:iCs/>
                <w:sz w:val="17"/>
                <w:szCs w:val="17"/>
              </w:rPr>
            </w:pPr>
            <w:r w:rsidRPr="00094133">
              <w:rPr>
                <w:rFonts w:cstheme="minorHAnsi"/>
                <w:i/>
                <w:iCs/>
                <w:sz w:val="17"/>
                <w:szCs w:val="17"/>
              </w:rPr>
              <w:t>¹ Original Budget refers to the amounts presented to the Legislative Assembly in the original budgeted financial statements in respect of the reporting period (2023-24 Statement of Intent).</w:t>
            </w:r>
          </w:p>
        </w:tc>
      </w:tr>
    </w:tbl>
    <w:p w14:paraId="2CD5A511" w14:textId="77777777" w:rsidR="005C0CF2" w:rsidRDefault="005C0CF2" w:rsidP="00DE4F19">
      <w:pPr>
        <w:autoSpaceDE w:val="0"/>
        <w:autoSpaceDN w:val="0"/>
        <w:adjustRightInd w:val="0"/>
        <w:spacing w:after="137" w:line="240" w:lineRule="auto"/>
        <w:rPr>
          <w:rFonts w:ascii="Calibri" w:eastAsia="Calibri" w:hAnsi="Calibri" w:cs="Montserrat Semi Bold"/>
          <w:b/>
          <w:bCs/>
          <w:sz w:val="30"/>
          <w:szCs w:val="30"/>
        </w:rPr>
      </w:pPr>
    </w:p>
    <w:p w14:paraId="7ABCB878" w14:textId="77777777" w:rsidR="003E28F0" w:rsidRDefault="003E28F0">
      <w:pPr>
        <w:spacing w:after="0" w:line="240" w:lineRule="auto"/>
        <w:rPr>
          <w:rFonts w:cs="Montserrat Semi Bold"/>
          <w:b/>
          <w:bCs/>
          <w:color w:val="000000"/>
          <w:sz w:val="30"/>
          <w:szCs w:val="30"/>
        </w:rPr>
      </w:pPr>
      <w:r>
        <w:rPr>
          <w:rFonts w:cs="Montserrat Semi Bold"/>
          <w:b/>
          <w:bCs/>
          <w:color w:val="000000"/>
          <w:sz w:val="30"/>
          <w:szCs w:val="30"/>
        </w:rPr>
        <w:br w:type="page"/>
      </w:r>
    </w:p>
    <w:p w14:paraId="3D87DD9B" w14:textId="7418E958" w:rsidR="005C0CF2" w:rsidRPr="00EC0703" w:rsidRDefault="00EC0703" w:rsidP="00EC0703">
      <w:pPr>
        <w:pStyle w:val="Pa4"/>
        <w:spacing w:after="137" w:line="240" w:lineRule="auto"/>
        <w:rPr>
          <w:rFonts w:asciiTheme="minorHAnsi" w:hAnsiTheme="minorHAnsi" w:cs="Montserrat Semi Bold"/>
          <w:b/>
          <w:color w:val="000000"/>
          <w:sz w:val="30"/>
          <w:szCs w:val="30"/>
        </w:rPr>
      </w:pPr>
      <w:r>
        <w:rPr>
          <w:rFonts w:asciiTheme="minorHAnsi" w:hAnsiTheme="minorHAnsi" w:cs="Montserrat Semi Bold"/>
          <w:b/>
          <w:bCs/>
          <w:color w:val="000000"/>
          <w:sz w:val="30"/>
          <w:szCs w:val="30"/>
        </w:rPr>
        <w:lastRenderedPageBreak/>
        <w:t>NOTE 20. BUDGETARY REPORTING</w:t>
      </w:r>
      <w:r w:rsidRPr="00D4615E">
        <w:rPr>
          <w:rFonts w:asciiTheme="minorHAnsi" w:hAnsiTheme="minorHAnsi" w:cs="Montserrat Semi Bold"/>
          <w:b/>
          <w:bCs/>
          <w:sz w:val="30"/>
          <w:szCs w:val="30"/>
        </w:rPr>
        <w:t xml:space="preserve"> </w:t>
      </w:r>
      <w:r>
        <w:rPr>
          <w:rFonts w:asciiTheme="minorHAnsi" w:hAnsiTheme="minorHAnsi" w:cs="Montserrat Semi Bold"/>
          <w:b/>
          <w:bCs/>
          <w:sz w:val="30"/>
          <w:szCs w:val="30"/>
        </w:rPr>
        <w:t>-</w:t>
      </w:r>
      <w:r w:rsidRPr="00D4615E">
        <w:rPr>
          <w:rFonts w:asciiTheme="minorHAnsi" w:hAnsiTheme="minorHAnsi" w:cs="Montserrat Semi Bold"/>
          <w:b/>
          <w:bCs/>
          <w:sz w:val="30"/>
          <w:szCs w:val="30"/>
        </w:rPr>
        <w:t xml:space="preserve"> CONTINUED</w:t>
      </w:r>
    </w:p>
    <w:tbl>
      <w:tblPr>
        <w:tblW w:w="10033" w:type="dxa"/>
        <w:tblInd w:w="-108" w:type="dxa"/>
        <w:tblBorders>
          <w:top w:val="nil"/>
          <w:left w:val="nil"/>
          <w:bottom w:val="nil"/>
          <w:right w:val="nil"/>
        </w:tblBorders>
        <w:tblLayout w:type="fixed"/>
        <w:tblLook w:val="0000" w:firstRow="0" w:lastRow="0" w:firstColumn="0" w:lastColumn="0" w:noHBand="0" w:noVBand="0"/>
      </w:tblPr>
      <w:tblGrid>
        <w:gridCol w:w="1984"/>
        <w:gridCol w:w="1020"/>
        <w:gridCol w:w="1020"/>
        <w:gridCol w:w="1020"/>
        <w:gridCol w:w="1020"/>
        <w:gridCol w:w="3969"/>
      </w:tblGrid>
      <w:tr w:rsidR="00AF615B" w:rsidRPr="008768C6" w14:paraId="1C216AE8" w14:textId="77777777" w:rsidTr="00094133">
        <w:trPr>
          <w:trHeight w:val="119"/>
        </w:trPr>
        <w:tc>
          <w:tcPr>
            <w:tcW w:w="1984" w:type="dxa"/>
            <w:tcBorders>
              <w:top w:val="single" w:sz="12" w:space="0" w:color="492581" w:themeColor="accent1"/>
              <w:left w:val="nil"/>
              <w:bottom w:val="single" w:sz="12" w:space="0" w:color="492581" w:themeColor="accent1"/>
            </w:tcBorders>
            <w:vAlign w:val="bottom"/>
          </w:tcPr>
          <w:p w14:paraId="6CF83B43"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 xml:space="preserve">Balance Sheet/ </w:t>
            </w:r>
          </w:p>
          <w:p w14:paraId="0A066D8F"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Cashflow Line Items</w:t>
            </w:r>
          </w:p>
        </w:tc>
        <w:tc>
          <w:tcPr>
            <w:tcW w:w="1020" w:type="dxa"/>
            <w:tcBorders>
              <w:top w:val="single" w:sz="12" w:space="0" w:color="492581" w:themeColor="accent1"/>
              <w:left w:val="nil"/>
              <w:bottom w:val="single" w:sz="12" w:space="0" w:color="492581" w:themeColor="accent1"/>
            </w:tcBorders>
            <w:vAlign w:val="bottom"/>
          </w:tcPr>
          <w:p w14:paraId="33A5AFF0"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br/>
              <w:t>Actual 2024</w:t>
            </w:r>
            <w:r w:rsidRPr="00AF615B">
              <w:rPr>
                <w:rFonts w:ascii="Calibri" w:eastAsia="Calibri" w:hAnsi="Calibri" w:cs="Source Sans Pro SemiBold"/>
                <w:b/>
                <w:bCs/>
                <w:color w:val="000000"/>
                <w:sz w:val="18"/>
                <w:szCs w:val="18"/>
              </w:rPr>
              <w:br/>
              <w:t xml:space="preserve">$’000 </w:t>
            </w:r>
          </w:p>
        </w:tc>
        <w:tc>
          <w:tcPr>
            <w:tcW w:w="1020" w:type="dxa"/>
            <w:tcBorders>
              <w:top w:val="single" w:sz="12" w:space="0" w:color="492581" w:themeColor="accent1"/>
              <w:bottom w:val="single" w:sz="12" w:space="0" w:color="492581" w:themeColor="accent1"/>
            </w:tcBorders>
            <w:vAlign w:val="bottom"/>
          </w:tcPr>
          <w:p w14:paraId="765B4B5F"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Original Budget</w:t>
            </w:r>
            <w:r w:rsidRPr="004E78BE">
              <w:rPr>
                <w:rFonts w:ascii="Calibri" w:eastAsia="Calibri" w:hAnsi="Calibri" w:cs="Source Sans Pro SemiBold"/>
                <w:b/>
                <w:bCs/>
                <w:color w:val="000000"/>
                <w:sz w:val="18"/>
                <w:szCs w:val="18"/>
                <w:vertAlign w:val="superscript"/>
              </w:rPr>
              <w:t>1</w:t>
            </w:r>
            <w:r w:rsidRPr="00AF615B">
              <w:rPr>
                <w:rFonts w:ascii="Calibri" w:eastAsia="Calibri" w:hAnsi="Calibri" w:cs="Source Sans Pro SemiBold"/>
                <w:b/>
                <w:bCs/>
                <w:color w:val="000000"/>
                <w:sz w:val="18"/>
                <w:szCs w:val="18"/>
              </w:rPr>
              <w:t xml:space="preserve"> 2024 $’000 </w:t>
            </w:r>
          </w:p>
        </w:tc>
        <w:tc>
          <w:tcPr>
            <w:tcW w:w="1020" w:type="dxa"/>
            <w:tcBorders>
              <w:top w:val="single" w:sz="12" w:space="0" w:color="492581" w:themeColor="accent1"/>
              <w:bottom w:val="single" w:sz="12" w:space="0" w:color="492581" w:themeColor="accent1"/>
            </w:tcBorders>
            <w:vAlign w:val="bottom"/>
          </w:tcPr>
          <w:p w14:paraId="27677CC4"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 xml:space="preserve">Variance $’000 </w:t>
            </w:r>
          </w:p>
        </w:tc>
        <w:tc>
          <w:tcPr>
            <w:tcW w:w="1020" w:type="dxa"/>
            <w:tcBorders>
              <w:top w:val="single" w:sz="12" w:space="0" w:color="492581" w:themeColor="accent1"/>
              <w:bottom w:val="single" w:sz="12" w:space="0" w:color="492581" w:themeColor="accent1"/>
            </w:tcBorders>
            <w:vAlign w:val="bottom"/>
          </w:tcPr>
          <w:p w14:paraId="482A2B6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Variance</w:t>
            </w:r>
            <w:r w:rsidRPr="00AF615B">
              <w:rPr>
                <w:rFonts w:ascii="Calibri" w:eastAsia="Calibri" w:hAnsi="Calibri" w:cs="Source Sans Pro SemiBold"/>
                <w:b/>
                <w:bCs/>
                <w:color w:val="000000"/>
                <w:sz w:val="18"/>
                <w:szCs w:val="18"/>
              </w:rPr>
              <w:br/>
              <w:t xml:space="preserve"> % </w:t>
            </w:r>
          </w:p>
        </w:tc>
        <w:tc>
          <w:tcPr>
            <w:tcW w:w="3969" w:type="dxa"/>
            <w:tcBorders>
              <w:top w:val="single" w:sz="12" w:space="0" w:color="492581" w:themeColor="accent1"/>
              <w:bottom w:val="single" w:sz="12" w:space="0" w:color="492581" w:themeColor="accent1"/>
              <w:right w:val="nil"/>
            </w:tcBorders>
            <w:vAlign w:val="bottom"/>
          </w:tcPr>
          <w:p w14:paraId="14D074E6"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 xml:space="preserve">Variance Explanation </w:t>
            </w:r>
          </w:p>
        </w:tc>
      </w:tr>
      <w:tr w:rsidR="00AF615B" w:rsidRPr="00CF2C68" w14:paraId="4ED66875" w14:textId="77777777" w:rsidTr="00C93847">
        <w:trPr>
          <w:trHeight w:val="119"/>
        </w:trPr>
        <w:tc>
          <w:tcPr>
            <w:tcW w:w="1984" w:type="dxa"/>
            <w:tcBorders>
              <w:top w:val="single" w:sz="12" w:space="0" w:color="492581" w:themeColor="accent1"/>
              <w:left w:val="nil"/>
              <w:bottom w:val="nil"/>
            </w:tcBorders>
            <w:vAlign w:val="bottom"/>
          </w:tcPr>
          <w:p w14:paraId="490F0778"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Liabilities</w:t>
            </w:r>
          </w:p>
        </w:tc>
        <w:tc>
          <w:tcPr>
            <w:tcW w:w="1020" w:type="dxa"/>
            <w:tcBorders>
              <w:top w:val="single" w:sz="12" w:space="0" w:color="492581" w:themeColor="accent1"/>
              <w:left w:val="nil"/>
              <w:bottom w:val="nil"/>
            </w:tcBorders>
            <w:vAlign w:val="bottom"/>
          </w:tcPr>
          <w:p w14:paraId="609E617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single" w:sz="12" w:space="0" w:color="492581" w:themeColor="accent1"/>
              <w:bottom w:val="nil"/>
            </w:tcBorders>
            <w:vAlign w:val="bottom"/>
          </w:tcPr>
          <w:p w14:paraId="370E9230"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single" w:sz="12" w:space="0" w:color="492581" w:themeColor="accent1"/>
              <w:bottom w:val="nil"/>
            </w:tcBorders>
            <w:vAlign w:val="bottom"/>
          </w:tcPr>
          <w:p w14:paraId="450B017F"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single" w:sz="12" w:space="0" w:color="492581" w:themeColor="accent1"/>
              <w:bottom w:val="nil"/>
            </w:tcBorders>
            <w:vAlign w:val="bottom"/>
          </w:tcPr>
          <w:p w14:paraId="5245389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single" w:sz="12" w:space="0" w:color="492581" w:themeColor="accent1"/>
              <w:bottom w:val="nil"/>
              <w:right w:val="nil"/>
            </w:tcBorders>
            <w:vAlign w:val="bottom"/>
          </w:tcPr>
          <w:p w14:paraId="4499797C"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AF615B" w:rsidRPr="00CF2C68" w14:paraId="6C34DFDA" w14:textId="77777777" w:rsidTr="00C93847">
        <w:trPr>
          <w:trHeight w:val="119"/>
        </w:trPr>
        <w:tc>
          <w:tcPr>
            <w:tcW w:w="1984" w:type="dxa"/>
            <w:tcBorders>
              <w:top w:val="nil"/>
              <w:left w:val="nil"/>
              <w:bottom w:val="nil"/>
            </w:tcBorders>
          </w:tcPr>
          <w:p w14:paraId="13B8D9D6" w14:textId="77777777" w:rsidR="00AF615B" w:rsidRDefault="00AF615B" w:rsidP="00AF615B">
            <w:pPr>
              <w:autoSpaceDE w:val="0"/>
              <w:autoSpaceDN w:val="0"/>
              <w:adjustRightInd w:val="0"/>
              <w:spacing w:before="40" w:after="40" w:line="181" w:lineRule="atLeast"/>
              <w:rPr>
                <w:rFonts w:ascii="Calibri" w:eastAsia="Calibri" w:hAnsi="Calibri" w:cs="Source Sans Pro SemiBold"/>
                <w:sz w:val="18"/>
                <w:szCs w:val="18"/>
              </w:rPr>
            </w:pPr>
            <w:r w:rsidRPr="008451A4">
              <w:rPr>
                <w:rFonts w:ascii="Calibri" w:eastAsia="Calibri" w:hAnsi="Calibri" w:cs="Source Sans Pro SemiBold"/>
                <w:sz w:val="18"/>
                <w:szCs w:val="18"/>
              </w:rPr>
              <w:t>Current Outstanding Claims Liabilities</w:t>
            </w:r>
          </w:p>
          <w:p w14:paraId="12722540" w14:textId="2DEB2A80" w:rsidR="00094133" w:rsidRPr="008451A4" w:rsidRDefault="00094133" w:rsidP="00AF615B">
            <w:pPr>
              <w:autoSpaceDE w:val="0"/>
              <w:autoSpaceDN w:val="0"/>
              <w:adjustRightInd w:val="0"/>
              <w:spacing w:before="40" w:after="40" w:line="181" w:lineRule="atLeast"/>
              <w:rPr>
                <w:rFonts w:ascii="Calibri" w:eastAsia="Calibri" w:hAnsi="Calibri" w:cs="Source Sans Pro SemiBold"/>
                <w:sz w:val="18"/>
                <w:szCs w:val="18"/>
              </w:rPr>
            </w:pPr>
          </w:p>
        </w:tc>
        <w:tc>
          <w:tcPr>
            <w:tcW w:w="1020" w:type="dxa"/>
            <w:tcBorders>
              <w:top w:val="nil"/>
              <w:left w:val="nil"/>
              <w:bottom w:val="nil"/>
            </w:tcBorders>
          </w:tcPr>
          <w:p w14:paraId="400BCC6F"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87,132</w:t>
            </w:r>
          </w:p>
        </w:tc>
        <w:tc>
          <w:tcPr>
            <w:tcW w:w="1020" w:type="dxa"/>
            <w:tcBorders>
              <w:top w:val="nil"/>
              <w:bottom w:val="nil"/>
            </w:tcBorders>
          </w:tcPr>
          <w:p w14:paraId="1FAEA368"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78,426</w:t>
            </w:r>
          </w:p>
        </w:tc>
        <w:tc>
          <w:tcPr>
            <w:tcW w:w="1020" w:type="dxa"/>
            <w:tcBorders>
              <w:top w:val="nil"/>
              <w:bottom w:val="nil"/>
            </w:tcBorders>
          </w:tcPr>
          <w:p w14:paraId="09BF8189"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8,706</w:t>
            </w:r>
          </w:p>
        </w:tc>
        <w:tc>
          <w:tcPr>
            <w:tcW w:w="1020" w:type="dxa"/>
            <w:tcBorders>
              <w:top w:val="nil"/>
              <w:bottom w:val="nil"/>
            </w:tcBorders>
          </w:tcPr>
          <w:p w14:paraId="12D91374"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11</w:t>
            </w:r>
          </w:p>
        </w:tc>
        <w:tc>
          <w:tcPr>
            <w:tcW w:w="3969" w:type="dxa"/>
            <w:tcBorders>
              <w:top w:val="nil"/>
              <w:bottom w:val="nil"/>
              <w:right w:val="nil"/>
            </w:tcBorders>
          </w:tcPr>
          <w:p w14:paraId="2CCC02D6" w14:textId="77777777" w:rsidR="00AF615B" w:rsidRPr="008451A4" w:rsidRDefault="00AF615B">
            <w:pPr>
              <w:autoSpaceDE w:val="0"/>
              <w:autoSpaceDN w:val="0"/>
              <w:adjustRightInd w:val="0"/>
              <w:spacing w:before="40" w:after="40" w:line="181" w:lineRule="atLeas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 xml:space="preserve">Higher current outstanding claims liabilities for 2023-24 is due to a deteriorating claims experience in both the medical malpractice and property insurance classes compared to the actuarial estimate used for budget process based on December 2022 valuation. </w:t>
            </w:r>
          </w:p>
          <w:p w14:paraId="2995A057" w14:textId="77777777" w:rsidR="00AF615B" w:rsidRPr="008451A4" w:rsidRDefault="00AF615B">
            <w:pPr>
              <w:autoSpaceDE w:val="0"/>
              <w:autoSpaceDN w:val="0"/>
              <w:adjustRightInd w:val="0"/>
              <w:spacing w:before="40" w:after="40" w:line="181" w:lineRule="atLeast"/>
              <w:rPr>
                <w:rFonts w:ascii="Calibri" w:eastAsia="Calibri" w:hAnsi="Calibri" w:cs="Source Sans Pro SemiBold"/>
                <w:color w:val="000000"/>
                <w:sz w:val="18"/>
                <w:szCs w:val="18"/>
              </w:rPr>
            </w:pPr>
          </w:p>
        </w:tc>
      </w:tr>
      <w:tr w:rsidR="00AF615B" w:rsidRPr="00845923" w14:paraId="01F07616" w14:textId="77777777" w:rsidTr="001F2D73">
        <w:trPr>
          <w:trHeight w:val="119"/>
        </w:trPr>
        <w:tc>
          <w:tcPr>
            <w:tcW w:w="1984" w:type="dxa"/>
            <w:tcBorders>
              <w:top w:val="nil"/>
              <w:left w:val="nil"/>
              <w:bottom w:val="nil"/>
            </w:tcBorders>
          </w:tcPr>
          <w:p w14:paraId="437C9B84" w14:textId="77777777" w:rsidR="00AF615B" w:rsidRPr="008451A4" w:rsidRDefault="00AF615B" w:rsidP="00AF615B">
            <w:pPr>
              <w:autoSpaceDE w:val="0"/>
              <w:autoSpaceDN w:val="0"/>
              <w:adjustRightInd w:val="0"/>
              <w:spacing w:before="40" w:after="40" w:line="181" w:lineRule="atLeast"/>
              <w:rPr>
                <w:rFonts w:ascii="Calibri" w:eastAsia="Calibri" w:hAnsi="Calibri" w:cs="Source Sans Pro SemiBold"/>
                <w:sz w:val="18"/>
                <w:szCs w:val="18"/>
              </w:rPr>
            </w:pPr>
            <w:r w:rsidRPr="008451A4">
              <w:rPr>
                <w:rFonts w:ascii="Calibri" w:eastAsia="Calibri" w:hAnsi="Calibri" w:cs="Source Sans Pro SemiBold"/>
                <w:sz w:val="18"/>
                <w:szCs w:val="18"/>
              </w:rPr>
              <w:t>Non- Current Outstanding Claims</w:t>
            </w:r>
          </w:p>
        </w:tc>
        <w:tc>
          <w:tcPr>
            <w:tcW w:w="1020" w:type="dxa"/>
            <w:tcBorders>
              <w:top w:val="nil"/>
              <w:left w:val="nil"/>
              <w:bottom w:val="nil"/>
            </w:tcBorders>
          </w:tcPr>
          <w:p w14:paraId="1E66F165"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332,963</w:t>
            </w:r>
          </w:p>
        </w:tc>
        <w:tc>
          <w:tcPr>
            <w:tcW w:w="1020" w:type="dxa"/>
            <w:tcBorders>
              <w:top w:val="nil"/>
              <w:bottom w:val="nil"/>
            </w:tcBorders>
          </w:tcPr>
          <w:p w14:paraId="6E476C61"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278,055</w:t>
            </w:r>
          </w:p>
        </w:tc>
        <w:tc>
          <w:tcPr>
            <w:tcW w:w="1020" w:type="dxa"/>
            <w:tcBorders>
              <w:top w:val="nil"/>
              <w:bottom w:val="nil"/>
            </w:tcBorders>
          </w:tcPr>
          <w:p w14:paraId="4515CA63"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54,908</w:t>
            </w:r>
          </w:p>
        </w:tc>
        <w:tc>
          <w:tcPr>
            <w:tcW w:w="1020" w:type="dxa"/>
            <w:tcBorders>
              <w:top w:val="nil"/>
              <w:bottom w:val="nil"/>
            </w:tcBorders>
          </w:tcPr>
          <w:p w14:paraId="70020942" w14:textId="77777777" w:rsidR="00AF615B" w:rsidRPr="008451A4"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20</w:t>
            </w:r>
          </w:p>
        </w:tc>
        <w:tc>
          <w:tcPr>
            <w:tcW w:w="3969" w:type="dxa"/>
            <w:tcBorders>
              <w:top w:val="nil"/>
              <w:bottom w:val="nil"/>
              <w:right w:val="nil"/>
            </w:tcBorders>
          </w:tcPr>
          <w:p w14:paraId="192A2C41" w14:textId="77777777" w:rsidR="00AF615B" w:rsidRPr="008451A4" w:rsidRDefault="00AF615B">
            <w:pPr>
              <w:autoSpaceDE w:val="0"/>
              <w:autoSpaceDN w:val="0"/>
              <w:adjustRightInd w:val="0"/>
              <w:spacing w:before="40" w:after="40" w:line="181" w:lineRule="atLeast"/>
              <w:rPr>
                <w:rFonts w:ascii="Calibri" w:eastAsia="Calibri" w:hAnsi="Calibri" w:cs="Source Sans Pro SemiBold"/>
                <w:color w:val="000000"/>
                <w:sz w:val="18"/>
                <w:szCs w:val="18"/>
              </w:rPr>
            </w:pPr>
            <w:r w:rsidRPr="008451A4">
              <w:rPr>
                <w:rFonts w:ascii="Calibri" w:eastAsia="Calibri" w:hAnsi="Calibri" w:cs="Source Sans Pro SemiBold"/>
                <w:color w:val="000000"/>
                <w:sz w:val="18"/>
                <w:szCs w:val="18"/>
              </w:rPr>
              <w:t>Higher non-current outstanding claims liabilities for 2023-24 is mainly due to deteriorating claims experience in both the medical malpractice and property insurance classes compared to the actuarial estimate used for budget process based on December 2022 valuation.</w:t>
            </w:r>
          </w:p>
        </w:tc>
      </w:tr>
      <w:tr w:rsidR="00AF615B" w:rsidRPr="0019215E" w14:paraId="2F6A42D3" w14:textId="77777777" w:rsidTr="001F2D73">
        <w:trPr>
          <w:trHeight w:val="119"/>
        </w:trPr>
        <w:tc>
          <w:tcPr>
            <w:tcW w:w="1984" w:type="dxa"/>
            <w:tcBorders>
              <w:top w:val="nil"/>
              <w:left w:val="nil"/>
              <w:bottom w:val="nil"/>
            </w:tcBorders>
            <w:vAlign w:val="bottom"/>
          </w:tcPr>
          <w:p w14:paraId="00EECD83" w14:textId="4E20C2B9"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Cash Flows from</w:t>
            </w:r>
            <w:r w:rsidR="008E1413">
              <w:rPr>
                <w:rFonts w:ascii="Calibri" w:eastAsia="Calibri" w:hAnsi="Calibri" w:cs="Source Sans Pro SemiBold"/>
                <w:b/>
                <w:bCs/>
                <w:sz w:val="18"/>
                <w:szCs w:val="18"/>
              </w:rPr>
              <w:br/>
            </w:r>
            <w:r w:rsidR="00385737">
              <w:rPr>
                <w:rFonts w:ascii="Calibri" w:eastAsia="Calibri" w:hAnsi="Calibri" w:cs="Source Sans Pro SemiBold"/>
                <w:b/>
                <w:bCs/>
                <w:sz w:val="18"/>
                <w:szCs w:val="18"/>
              </w:rPr>
              <w:t xml:space="preserve">    </w:t>
            </w:r>
            <w:r w:rsidRPr="00AF615B">
              <w:rPr>
                <w:rFonts w:ascii="Calibri" w:eastAsia="Calibri" w:hAnsi="Calibri" w:cs="Source Sans Pro SemiBold"/>
                <w:b/>
                <w:bCs/>
                <w:sz w:val="18"/>
                <w:szCs w:val="18"/>
              </w:rPr>
              <w:t>Operating Activities</w:t>
            </w:r>
          </w:p>
        </w:tc>
        <w:tc>
          <w:tcPr>
            <w:tcW w:w="1020" w:type="dxa"/>
            <w:tcBorders>
              <w:top w:val="nil"/>
              <w:left w:val="nil"/>
              <w:bottom w:val="nil"/>
            </w:tcBorders>
            <w:vAlign w:val="bottom"/>
          </w:tcPr>
          <w:p w14:paraId="644ED1D0"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3ED40461"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66B8D294"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5B7373B2"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nil"/>
              <w:bottom w:val="nil"/>
              <w:right w:val="nil"/>
            </w:tcBorders>
            <w:vAlign w:val="bottom"/>
          </w:tcPr>
          <w:p w14:paraId="772A5E22"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AF615B" w:rsidRPr="0019215E" w14:paraId="2884C9B8" w14:textId="77777777" w:rsidTr="001F2D73">
        <w:trPr>
          <w:trHeight w:val="119"/>
        </w:trPr>
        <w:tc>
          <w:tcPr>
            <w:tcW w:w="1984" w:type="dxa"/>
            <w:tcBorders>
              <w:top w:val="nil"/>
              <w:left w:val="nil"/>
              <w:bottom w:val="nil"/>
            </w:tcBorders>
            <w:vAlign w:val="bottom"/>
          </w:tcPr>
          <w:p w14:paraId="1A9277E4"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Receipts</w:t>
            </w:r>
          </w:p>
        </w:tc>
        <w:tc>
          <w:tcPr>
            <w:tcW w:w="1020" w:type="dxa"/>
            <w:tcBorders>
              <w:top w:val="nil"/>
              <w:left w:val="nil"/>
              <w:bottom w:val="nil"/>
            </w:tcBorders>
            <w:vAlign w:val="bottom"/>
          </w:tcPr>
          <w:p w14:paraId="000E1423"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37273FEF"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77CC76A9"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79F119C4"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nil"/>
              <w:bottom w:val="nil"/>
              <w:right w:val="nil"/>
            </w:tcBorders>
            <w:vAlign w:val="bottom"/>
          </w:tcPr>
          <w:p w14:paraId="31767575"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AF615B" w:rsidRPr="00CF2C68" w14:paraId="2C0DF7ED" w14:textId="77777777" w:rsidTr="00F55541">
        <w:trPr>
          <w:trHeight w:val="119"/>
        </w:trPr>
        <w:tc>
          <w:tcPr>
            <w:tcW w:w="1984" w:type="dxa"/>
            <w:tcBorders>
              <w:top w:val="nil"/>
              <w:left w:val="nil"/>
              <w:bottom w:val="nil"/>
            </w:tcBorders>
          </w:tcPr>
          <w:p w14:paraId="093B64E0" w14:textId="77777777" w:rsidR="00AF615B" w:rsidRPr="00D33B1A" w:rsidRDefault="00AF615B" w:rsidP="00AF615B">
            <w:pPr>
              <w:autoSpaceDE w:val="0"/>
              <w:autoSpaceDN w:val="0"/>
              <w:adjustRightInd w:val="0"/>
              <w:spacing w:before="40" w:after="40" w:line="181" w:lineRule="atLeast"/>
              <w:rPr>
                <w:rFonts w:ascii="Calibri" w:eastAsia="Calibri" w:hAnsi="Calibri" w:cs="Source Sans Pro SemiBold"/>
                <w:sz w:val="18"/>
                <w:szCs w:val="18"/>
              </w:rPr>
            </w:pPr>
            <w:r w:rsidRPr="00D33B1A">
              <w:rPr>
                <w:rFonts w:ascii="Calibri" w:eastAsia="Calibri" w:hAnsi="Calibri" w:cs="Source Sans Pro SemiBold"/>
                <w:sz w:val="18"/>
                <w:szCs w:val="18"/>
              </w:rPr>
              <w:t xml:space="preserve">Reinsurance and Other Recoveries Received </w:t>
            </w:r>
          </w:p>
        </w:tc>
        <w:tc>
          <w:tcPr>
            <w:tcW w:w="1020" w:type="dxa"/>
            <w:tcBorders>
              <w:top w:val="nil"/>
              <w:left w:val="nil"/>
              <w:bottom w:val="nil"/>
            </w:tcBorders>
          </w:tcPr>
          <w:p w14:paraId="46998E5C" w14:textId="77777777" w:rsidR="00AF615B" w:rsidRPr="00D33B1A"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2,676</w:t>
            </w:r>
          </w:p>
        </w:tc>
        <w:tc>
          <w:tcPr>
            <w:tcW w:w="1020" w:type="dxa"/>
            <w:tcBorders>
              <w:top w:val="nil"/>
              <w:bottom w:val="nil"/>
            </w:tcBorders>
          </w:tcPr>
          <w:p w14:paraId="0BF746FA" w14:textId="77777777" w:rsidR="00AF615B" w:rsidRPr="00D33B1A"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w:t>
            </w:r>
          </w:p>
        </w:tc>
        <w:tc>
          <w:tcPr>
            <w:tcW w:w="1020" w:type="dxa"/>
            <w:tcBorders>
              <w:top w:val="nil"/>
              <w:bottom w:val="nil"/>
            </w:tcBorders>
          </w:tcPr>
          <w:p w14:paraId="286A9959" w14:textId="77777777" w:rsidR="00AF615B" w:rsidRPr="00D33B1A"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2,676</w:t>
            </w:r>
          </w:p>
        </w:tc>
        <w:tc>
          <w:tcPr>
            <w:tcW w:w="1020" w:type="dxa"/>
            <w:tcBorders>
              <w:top w:val="nil"/>
              <w:bottom w:val="nil"/>
            </w:tcBorders>
          </w:tcPr>
          <w:p w14:paraId="1C89AB79" w14:textId="77777777" w:rsidR="00AF615B" w:rsidRPr="00D33B1A" w:rsidRDefault="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100</w:t>
            </w:r>
          </w:p>
        </w:tc>
        <w:tc>
          <w:tcPr>
            <w:tcW w:w="3969" w:type="dxa"/>
            <w:tcBorders>
              <w:top w:val="nil"/>
              <w:bottom w:val="nil"/>
              <w:right w:val="nil"/>
            </w:tcBorders>
          </w:tcPr>
          <w:p w14:paraId="68840703" w14:textId="77777777" w:rsidR="00AF615B" w:rsidRPr="00D33B1A" w:rsidRDefault="00AF615B">
            <w:pPr>
              <w:autoSpaceDE w:val="0"/>
              <w:autoSpaceDN w:val="0"/>
              <w:adjustRightInd w:val="0"/>
              <w:spacing w:before="40" w:after="40" w:line="181" w:lineRule="atLeas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Higher reinsurance and other recoveries received is mainly due to the settlement of large property claims during the year for prior period claims for two large property damage claims.</w:t>
            </w:r>
          </w:p>
        </w:tc>
      </w:tr>
      <w:tr w:rsidR="00AF615B" w:rsidRPr="00CF2C68" w14:paraId="04DDA3F8" w14:textId="77777777" w:rsidTr="00F55541">
        <w:trPr>
          <w:trHeight w:val="119"/>
        </w:trPr>
        <w:tc>
          <w:tcPr>
            <w:tcW w:w="1984" w:type="dxa"/>
            <w:tcBorders>
              <w:top w:val="nil"/>
              <w:left w:val="nil"/>
              <w:bottom w:val="nil"/>
            </w:tcBorders>
            <w:vAlign w:val="bottom"/>
          </w:tcPr>
          <w:p w14:paraId="2EECFFE9"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Payments</w:t>
            </w:r>
          </w:p>
        </w:tc>
        <w:tc>
          <w:tcPr>
            <w:tcW w:w="1020" w:type="dxa"/>
            <w:tcBorders>
              <w:top w:val="nil"/>
              <w:left w:val="nil"/>
              <w:bottom w:val="nil"/>
            </w:tcBorders>
            <w:vAlign w:val="bottom"/>
          </w:tcPr>
          <w:p w14:paraId="55226C0E"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249829D5"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7C89948F"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nil"/>
            </w:tcBorders>
            <w:vAlign w:val="bottom"/>
          </w:tcPr>
          <w:p w14:paraId="45153D64"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nil"/>
              <w:bottom w:val="nil"/>
              <w:right w:val="nil"/>
            </w:tcBorders>
            <w:vAlign w:val="bottom"/>
          </w:tcPr>
          <w:p w14:paraId="5AE10084"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AF615B" w:rsidRPr="00CF2C68" w14:paraId="119EFF09" w14:textId="77777777" w:rsidTr="00F55541">
        <w:trPr>
          <w:trHeight w:val="119"/>
        </w:trPr>
        <w:tc>
          <w:tcPr>
            <w:tcW w:w="1984" w:type="dxa"/>
            <w:tcBorders>
              <w:top w:val="nil"/>
              <w:left w:val="nil"/>
              <w:bottom w:val="nil"/>
            </w:tcBorders>
          </w:tcPr>
          <w:p w14:paraId="45E816AB" w14:textId="77777777" w:rsidR="00AF615B" w:rsidRPr="00D33B1A" w:rsidRDefault="00AF615B" w:rsidP="00AF615B">
            <w:pPr>
              <w:autoSpaceDE w:val="0"/>
              <w:autoSpaceDN w:val="0"/>
              <w:adjustRightInd w:val="0"/>
              <w:spacing w:before="40" w:after="40" w:line="181" w:lineRule="atLeast"/>
              <w:rPr>
                <w:rFonts w:ascii="Calibri" w:eastAsia="Calibri" w:hAnsi="Calibri" w:cs="Source Sans Pro SemiBold"/>
                <w:sz w:val="18"/>
                <w:szCs w:val="18"/>
              </w:rPr>
            </w:pPr>
            <w:r w:rsidRPr="00D33B1A">
              <w:rPr>
                <w:rFonts w:ascii="Calibri" w:eastAsia="Calibri" w:hAnsi="Calibri" w:cs="Source Sans Pro SemiBold"/>
                <w:sz w:val="18"/>
                <w:szCs w:val="18"/>
              </w:rPr>
              <w:t>Insurance Claims</w:t>
            </w:r>
          </w:p>
        </w:tc>
        <w:tc>
          <w:tcPr>
            <w:tcW w:w="1020" w:type="dxa"/>
            <w:tcBorders>
              <w:top w:val="nil"/>
              <w:left w:val="nil"/>
              <w:bottom w:val="nil"/>
            </w:tcBorders>
          </w:tcPr>
          <w:p w14:paraId="73BA7316" w14:textId="77777777" w:rsidR="00AF615B" w:rsidRPr="00D33B1A" w:rsidRDefault="00AF615B" w:rsidP="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67,359</w:t>
            </w:r>
          </w:p>
        </w:tc>
        <w:tc>
          <w:tcPr>
            <w:tcW w:w="1020" w:type="dxa"/>
            <w:tcBorders>
              <w:top w:val="nil"/>
              <w:bottom w:val="nil"/>
            </w:tcBorders>
          </w:tcPr>
          <w:p w14:paraId="52DE1272" w14:textId="77777777" w:rsidR="00AF615B" w:rsidRPr="00D33B1A" w:rsidRDefault="00AF615B" w:rsidP="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81,108</w:t>
            </w:r>
          </w:p>
        </w:tc>
        <w:tc>
          <w:tcPr>
            <w:tcW w:w="1020" w:type="dxa"/>
            <w:tcBorders>
              <w:top w:val="nil"/>
              <w:bottom w:val="nil"/>
            </w:tcBorders>
          </w:tcPr>
          <w:p w14:paraId="2C767835" w14:textId="77777777" w:rsidR="00AF615B" w:rsidRPr="00D33B1A" w:rsidRDefault="00AF615B" w:rsidP="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(13,749)</w:t>
            </w:r>
          </w:p>
        </w:tc>
        <w:tc>
          <w:tcPr>
            <w:tcW w:w="1020" w:type="dxa"/>
            <w:tcBorders>
              <w:top w:val="nil"/>
              <w:bottom w:val="nil"/>
            </w:tcBorders>
          </w:tcPr>
          <w:p w14:paraId="57EE4618" w14:textId="77777777" w:rsidR="00AF615B" w:rsidRPr="00D33B1A" w:rsidRDefault="00AF615B" w:rsidP="00AF615B">
            <w:pPr>
              <w:autoSpaceDE w:val="0"/>
              <w:autoSpaceDN w:val="0"/>
              <w:adjustRightInd w:val="0"/>
              <w:spacing w:before="40" w:after="40" w:line="181" w:lineRule="atLeast"/>
              <w:jc w:val="righ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17</w:t>
            </w:r>
          </w:p>
        </w:tc>
        <w:tc>
          <w:tcPr>
            <w:tcW w:w="3969" w:type="dxa"/>
            <w:tcBorders>
              <w:top w:val="nil"/>
              <w:bottom w:val="nil"/>
              <w:right w:val="nil"/>
            </w:tcBorders>
          </w:tcPr>
          <w:p w14:paraId="6B03F370" w14:textId="77777777" w:rsidR="00AF615B" w:rsidRPr="00D33B1A" w:rsidRDefault="00AF615B">
            <w:pPr>
              <w:autoSpaceDE w:val="0"/>
              <w:autoSpaceDN w:val="0"/>
              <w:adjustRightInd w:val="0"/>
              <w:spacing w:before="40" w:after="40" w:line="181" w:lineRule="atLeast"/>
              <w:rPr>
                <w:rFonts w:ascii="Calibri" w:eastAsia="Calibri" w:hAnsi="Calibri" w:cs="Source Sans Pro SemiBold"/>
                <w:color w:val="000000"/>
                <w:sz w:val="18"/>
                <w:szCs w:val="18"/>
              </w:rPr>
            </w:pPr>
            <w:r w:rsidRPr="00D33B1A">
              <w:rPr>
                <w:rFonts w:ascii="Calibri" w:eastAsia="Calibri" w:hAnsi="Calibri" w:cs="Source Sans Pro SemiBold"/>
                <w:color w:val="000000"/>
                <w:sz w:val="18"/>
                <w:szCs w:val="18"/>
              </w:rPr>
              <w:t>Lower insurance claims payments mainly relate to timing differences with lower than expected payments, with longer claims settlement. Refer to Note 6: ‘Net Incurred claims” and Note: 15 ‘Outstanding claims liabilities’ commentaries.</w:t>
            </w:r>
          </w:p>
        </w:tc>
      </w:tr>
      <w:tr w:rsidR="00AF615B" w:rsidRPr="00CF2C68" w14:paraId="5892ABEC" w14:textId="77777777" w:rsidTr="00F55541">
        <w:trPr>
          <w:trHeight w:val="119"/>
        </w:trPr>
        <w:tc>
          <w:tcPr>
            <w:tcW w:w="1984" w:type="dxa"/>
            <w:tcBorders>
              <w:top w:val="nil"/>
              <w:left w:val="nil"/>
              <w:bottom w:val="single" w:sz="12" w:space="0" w:color="492581" w:themeColor="accent1"/>
            </w:tcBorders>
            <w:vAlign w:val="bottom"/>
          </w:tcPr>
          <w:p w14:paraId="1BAAACC0"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p>
        </w:tc>
        <w:tc>
          <w:tcPr>
            <w:tcW w:w="1020" w:type="dxa"/>
            <w:tcBorders>
              <w:top w:val="nil"/>
              <w:left w:val="nil"/>
              <w:bottom w:val="single" w:sz="12" w:space="0" w:color="492581" w:themeColor="accent1"/>
            </w:tcBorders>
            <w:vAlign w:val="bottom"/>
          </w:tcPr>
          <w:p w14:paraId="7DB2093A"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single" w:sz="12" w:space="0" w:color="492581" w:themeColor="accent1"/>
            </w:tcBorders>
            <w:vAlign w:val="bottom"/>
          </w:tcPr>
          <w:p w14:paraId="32190137"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single" w:sz="12" w:space="0" w:color="492581" w:themeColor="accent1"/>
            </w:tcBorders>
            <w:vAlign w:val="bottom"/>
          </w:tcPr>
          <w:p w14:paraId="04505A4D"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1020" w:type="dxa"/>
            <w:tcBorders>
              <w:top w:val="nil"/>
              <w:bottom w:val="single" w:sz="12" w:space="0" w:color="492581" w:themeColor="accent1"/>
            </w:tcBorders>
            <w:vAlign w:val="bottom"/>
          </w:tcPr>
          <w:p w14:paraId="19A4DBBF" w14:textId="77777777" w:rsidR="00AF615B" w:rsidRPr="00AF615B" w:rsidRDefault="00AF615B" w:rsidP="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nil"/>
              <w:bottom w:val="single" w:sz="12" w:space="0" w:color="492581" w:themeColor="accent1"/>
              <w:right w:val="nil"/>
            </w:tcBorders>
            <w:vAlign w:val="bottom"/>
          </w:tcPr>
          <w:p w14:paraId="648EE276"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AF615B" w:rsidRPr="00F55541" w14:paraId="0CF5CE8B" w14:textId="77777777" w:rsidTr="00F55541">
        <w:trPr>
          <w:trHeight w:val="690"/>
        </w:trPr>
        <w:tc>
          <w:tcPr>
            <w:tcW w:w="10033" w:type="dxa"/>
            <w:gridSpan w:val="6"/>
            <w:tcBorders>
              <w:top w:val="single" w:sz="12" w:space="0" w:color="492581" w:themeColor="accent1"/>
              <w:left w:val="nil"/>
              <w:bottom w:val="single" w:sz="12" w:space="0" w:color="492581" w:themeColor="accent1"/>
            </w:tcBorders>
          </w:tcPr>
          <w:p w14:paraId="0DDA5B86" w14:textId="77777777" w:rsidR="00AF615B" w:rsidRPr="00F55541" w:rsidRDefault="00AF615B">
            <w:pPr>
              <w:autoSpaceDE w:val="0"/>
              <w:autoSpaceDN w:val="0"/>
              <w:adjustRightInd w:val="0"/>
              <w:spacing w:before="120" w:after="120" w:line="181" w:lineRule="atLeast"/>
              <w:rPr>
                <w:rFonts w:cs="Source Sans Pro Light"/>
                <w:i/>
                <w:iCs/>
                <w:color w:val="000000"/>
                <w:sz w:val="17"/>
                <w:szCs w:val="17"/>
              </w:rPr>
            </w:pPr>
            <w:r w:rsidRPr="00F55541">
              <w:rPr>
                <w:rFonts w:cs="Source Sans Pro Light"/>
                <w:i/>
                <w:iCs/>
                <w:color w:val="000000"/>
                <w:sz w:val="17"/>
                <w:szCs w:val="17"/>
              </w:rPr>
              <w:t>¹ Original Budget refers to the amounts presented to the Legislative Assembly in the original budgeted financial statements in respect of the reporting period (2023-24 Statement of Intent).</w:t>
            </w:r>
          </w:p>
        </w:tc>
      </w:tr>
    </w:tbl>
    <w:p w14:paraId="4888CD73" w14:textId="77777777" w:rsidR="002B003A" w:rsidRDefault="002B003A" w:rsidP="006B6C0C">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71B20827" w14:textId="0D31BF69" w:rsidR="006B6C0C" w:rsidRPr="006B6C0C" w:rsidRDefault="006B6C0C" w:rsidP="006B6C0C">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B6C0C">
        <w:rPr>
          <w:rFonts w:ascii="Calibri" w:eastAsia="Calibri" w:hAnsi="Calibri" w:cs="Montserrat Semi Bold"/>
          <w:b/>
          <w:bCs/>
          <w:color w:val="000000"/>
          <w:sz w:val="30"/>
          <w:szCs w:val="30"/>
        </w:rPr>
        <w:t>NOTE 2</w:t>
      </w:r>
      <w:r w:rsidR="002B003A">
        <w:rPr>
          <w:rFonts w:ascii="Calibri" w:eastAsia="Calibri" w:hAnsi="Calibri" w:cs="Montserrat Semi Bold"/>
          <w:b/>
          <w:bCs/>
          <w:color w:val="000000"/>
          <w:sz w:val="30"/>
          <w:szCs w:val="30"/>
        </w:rPr>
        <w:t>1</w:t>
      </w:r>
      <w:r w:rsidRPr="006B6C0C">
        <w:rPr>
          <w:rFonts w:ascii="Calibri" w:eastAsia="Calibri" w:hAnsi="Calibri" w:cs="Montserrat Semi Bold"/>
          <w:b/>
          <w:bCs/>
          <w:color w:val="000000"/>
          <w:sz w:val="30"/>
          <w:szCs w:val="30"/>
        </w:rPr>
        <w:t>. BUILDERS WARRANTY INSURANCE</w:t>
      </w:r>
    </w:p>
    <w:p w14:paraId="2B863C6C" w14:textId="77777777" w:rsidR="006B6C0C" w:rsidRPr="001A786D" w:rsidRDefault="006B6C0C">
      <w:pPr>
        <w:pStyle w:val="Pa6"/>
        <w:spacing w:after="140"/>
        <w:ind w:right="-1"/>
        <w:rPr>
          <w:rFonts w:asciiTheme="minorHAnsi" w:hAnsiTheme="minorHAnsi" w:cs="Source Sans Pro Light"/>
          <w:color w:val="000000"/>
          <w:sz w:val="22"/>
          <w:szCs w:val="22"/>
        </w:rPr>
      </w:pPr>
      <w:bookmarkStart w:id="89" w:name="_Hlk47088240"/>
      <w:r>
        <w:rPr>
          <w:rFonts w:asciiTheme="minorHAnsi" w:hAnsiTheme="minorHAnsi" w:cs="Source Sans Pro Light"/>
          <w:color w:val="000000"/>
          <w:sz w:val="22"/>
          <w:szCs w:val="22"/>
        </w:rPr>
        <w:t xml:space="preserve">The </w:t>
      </w:r>
      <w:r w:rsidRPr="001F4CEA">
        <w:rPr>
          <w:rFonts w:asciiTheme="minorHAnsi" w:hAnsiTheme="minorHAnsi" w:cs="Source Sans Pro Light"/>
          <w:color w:val="000000"/>
          <w:sz w:val="22"/>
          <w:szCs w:val="22"/>
        </w:rPr>
        <w:t>Territory entered into a</w:t>
      </w:r>
      <w:r>
        <w:rPr>
          <w:rFonts w:asciiTheme="minorHAnsi" w:hAnsiTheme="minorHAnsi" w:cs="Source Sans Pro Light"/>
          <w:color w:val="000000"/>
          <w:sz w:val="22"/>
          <w:szCs w:val="22"/>
        </w:rPr>
        <w:t>n indemnity</w:t>
      </w:r>
      <w:r w:rsidRPr="001F4CEA">
        <w:rPr>
          <w:rFonts w:asciiTheme="minorHAnsi" w:hAnsiTheme="minorHAnsi" w:cs="Source Sans Pro Light"/>
          <w:color w:val="000000"/>
          <w:sz w:val="22"/>
          <w:szCs w:val="22"/>
        </w:rPr>
        <w:t xml:space="preserve"> agreement with QBE</w:t>
      </w:r>
      <w:r>
        <w:rPr>
          <w:rFonts w:asciiTheme="minorHAnsi" w:hAnsiTheme="minorHAnsi" w:cs="Source Sans Pro Light"/>
          <w:color w:val="000000"/>
          <w:sz w:val="22"/>
          <w:szCs w:val="22"/>
        </w:rPr>
        <w:t xml:space="preserve"> which commenced on 12 March 2020 for the provision of Builders Warranty Insurance scheme to ACT builders, with the Territory indemnifying QBE in respect of any claim losses</w:t>
      </w:r>
      <w:r w:rsidRPr="001F4CEA">
        <w:rPr>
          <w:rFonts w:asciiTheme="minorHAnsi" w:hAnsiTheme="minorHAnsi" w:cs="Source Sans Pro Light"/>
          <w:color w:val="000000"/>
          <w:sz w:val="22"/>
          <w:szCs w:val="22"/>
        </w:rPr>
        <w:t>. Under t</w:t>
      </w:r>
      <w:r>
        <w:rPr>
          <w:rFonts w:asciiTheme="minorHAnsi" w:hAnsiTheme="minorHAnsi" w:cs="Source Sans Pro Light"/>
          <w:color w:val="000000"/>
          <w:sz w:val="22"/>
          <w:szCs w:val="22"/>
        </w:rPr>
        <w:t>he</w:t>
      </w:r>
      <w:r w:rsidRPr="001F4CEA">
        <w:rPr>
          <w:rFonts w:asciiTheme="minorHAnsi" w:hAnsiTheme="minorHAnsi" w:cs="Source Sans Pro Light"/>
          <w:color w:val="000000"/>
          <w:sz w:val="22"/>
          <w:szCs w:val="22"/>
        </w:rPr>
        <w:t xml:space="preserve"> agreement</w:t>
      </w:r>
      <w:r>
        <w:rPr>
          <w:rFonts w:asciiTheme="minorHAnsi" w:hAnsiTheme="minorHAnsi" w:cs="Source Sans Pro Light"/>
          <w:color w:val="000000"/>
          <w:sz w:val="22"/>
          <w:szCs w:val="22"/>
        </w:rPr>
        <w:t xml:space="preserve">, the </w:t>
      </w:r>
      <w:r w:rsidRPr="004C379C">
        <w:rPr>
          <w:rFonts w:asciiTheme="minorHAnsi" w:hAnsiTheme="minorHAnsi" w:cs="Source Sans Pro Light"/>
          <w:sz w:val="22"/>
          <w:szCs w:val="22"/>
        </w:rPr>
        <w:t xml:space="preserve">Authority receives premium revenue from QBE for any new policies written, </w:t>
      </w:r>
      <w:r w:rsidRPr="001F4CEA">
        <w:rPr>
          <w:rFonts w:asciiTheme="minorHAnsi" w:hAnsiTheme="minorHAnsi" w:cs="Source Sans Pro Light"/>
          <w:color w:val="000000"/>
          <w:sz w:val="22"/>
          <w:szCs w:val="22"/>
        </w:rPr>
        <w:t xml:space="preserve">QBE is paid a commission and receives </w:t>
      </w:r>
      <w:r>
        <w:rPr>
          <w:rFonts w:asciiTheme="minorHAnsi" w:hAnsiTheme="minorHAnsi" w:cs="Source Sans Pro Light"/>
          <w:color w:val="000000"/>
          <w:sz w:val="22"/>
          <w:szCs w:val="22"/>
        </w:rPr>
        <w:t xml:space="preserve">a </w:t>
      </w:r>
      <w:r w:rsidRPr="001F4CEA">
        <w:rPr>
          <w:rFonts w:asciiTheme="minorHAnsi" w:hAnsiTheme="minorHAnsi" w:cs="Source Sans Pro Light"/>
          <w:color w:val="000000"/>
          <w:sz w:val="22"/>
          <w:szCs w:val="22"/>
        </w:rPr>
        <w:t>fee for the administration of claims management services.</w:t>
      </w:r>
    </w:p>
    <w:bookmarkEnd w:id="89"/>
    <w:p w14:paraId="57C8C749" w14:textId="77777777" w:rsidR="006B6C0C" w:rsidRDefault="006B6C0C" w:rsidP="00F21E02">
      <w:pPr>
        <w:pStyle w:val="BodyText"/>
        <w:spacing w:after="140" w:line="211" w:lineRule="atLeast"/>
        <w:rPr>
          <w:rFonts w:cs="Source Sans Pro Light"/>
          <w:color w:val="000000"/>
          <w:sz w:val="22"/>
          <w:szCs w:val="22"/>
        </w:rPr>
      </w:pPr>
      <w:r w:rsidRPr="001F4CEA">
        <w:rPr>
          <w:rFonts w:cs="Source Sans Pro Light"/>
          <w:color w:val="000000"/>
          <w:sz w:val="22"/>
          <w:szCs w:val="22"/>
        </w:rPr>
        <w:t xml:space="preserve">The following section outlines the Builders Warranty Insurance financial performance for the </w:t>
      </w:r>
      <w:r>
        <w:rPr>
          <w:rFonts w:cs="Source Sans Pro Light"/>
          <w:color w:val="000000"/>
          <w:sz w:val="22"/>
          <w:szCs w:val="22"/>
        </w:rPr>
        <w:t xml:space="preserve">reporting </w:t>
      </w:r>
      <w:r w:rsidRPr="001F4CEA">
        <w:rPr>
          <w:rFonts w:cs="Source Sans Pro Light"/>
          <w:color w:val="000000"/>
          <w:sz w:val="22"/>
          <w:szCs w:val="22"/>
        </w:rPr>
        <w:t xml:space="preserve">period ending 30 </w:t>
      </w:r>
      <w:r>
        <w:rPr>
          <w:rFonts w:cs="Source Sans Pro Light"/>
          <w:color w:val="000000"/>
          <w:sz w:val="22"/>
          <w:szCs w:val="22"/>
        </w:rPr>
        <w:t>June</w:t>
      </w:r>
      <w:r w:rsidRPr="001F4CEA">
        <w:rPr>
          <w:rFonts w:cs="Source Sans Pro Light"/>
          <w:color w:val="000000"/>
          <w:sz w:val="22"/>
          <w:szCs w:val="22"/>
        </w:rPr>
        <w:t xml:space="preserve"> </w:t>
      </w:r>
      <w:r>
        <w:rPr>
          <w:rFonts w:cs="Source Sans Pro Light"/>
          <w:color w:val="000000"/>
          <w:sz w:val="22"/>
          <w:szCs w:val="22"/>
        </w:rPr>
        <w:t>202</w:t>
      </w:r>
      <w:r w:rsidR="00672EDB">
        <w:rPr>
          <w:rFonts w:cs="Source Sans Pro Light"/>
          <w:color w:val="000000"/>
          <w:sz w:val="22"/>
          <w:szCs w:val="22"/>
        </w:rPr>
        <w:t>4</w:t>
      </w:r>
      <w:r>
        <w:rPr>
          <w:rFonts w:cs="Source Sans Pro Light"/>
          <w:color w:val="000000"/>
          <w:sz w:val="22"/>
          <w:szCs w:val="22"/>
        </w:rPr>
        <w:t xml:space="preserve"> and is included for transparency of this function due to the indemnity covering non-ACT Government entities</w:t>
      </w:r>
      <w:r w:rsidRPr="001F4CEA">
        <w:rPr>
          <w:rFonts w:cs="Source Sans Pro Light"/>
          <w:color w:val="000000"/>
          <w:sz w:val="22"/>
          <w:szCs w:val="22"/>
        </w:rPr>
        <w:t xml:space="preserve">. </w:t>
      </w:r>
    </w:p>
    <w:p w14:paraId="606E384D" w14:textId="77777777" w:rsidR="00E50C5D" w:rsidRDefault="00E50C5D" w:rsidP="00F21E02">
      <w:pPr>
        <w:pStyle w:val="BodyText"/>
        <w:spacing w:after="140" w:line="211" w:lineRule="atLeast"/>
        <w:rPr>
          <w:rFonts w:cs="Source Sans Pro Light"/>
          <w:color w:val="000000"/>
          <w:sz w:val="22"/>
          <w:szCs w:val="22"/>
        </w:rPr>
      </w:pPr>
    </w:p>
    <w:p w14:paraId="332B6EC5" w14:textId="4EE0F2B7" w:rsidR="00F21E02" w:rsidRPr="003A0C86" w:rsidRDefault="00E50C5D" w:rsidP="003A0C86">
      <w:pPr>
        <w:autoSpaceDE w:val="0"/>
        <w:autoSpaceDN w:val="0"/>
        <w:adjustRightInd w:val="0"/>
        <w:spacing w:after="137" w:line="240" w:lineRule="auto"/>
        <w:outlineLvl w:val="0"/>
        <w:rPr>
          <w:rFonts w:ascii="Calibri" w:eastAsia="Calibri" w:hAnsi="Calibri" w:cs="Montserrat Semi Bold"/>
          <w:b/>
          <w:color w:val="000000"/>
          <w:sz w:val="30"/>
          <w:szCs w:val="30"/>
        </w:rPr>
      </w:pPr>
      <w:r w:rsidRPr="006B6C0C">
        <w:rPr>
          <w:rFonts w:ascii="Calibri" w:eastAsia="Calibri" w:hAnsi="Calibri" w:cs="Montserrat Semi Bold"/>
          <w:b/>
          <w:bCs/>
          <w:color w:val="000000"/>
          <w:sz w:val="30"/>
          <w:szCs w:val="30"/>
        </w:rPr>
        <w:lastRenderedPageBreak/>
        <w:t>NOTE 2</w:t>
      </w:r>
      <w:r>
        <w:rPr>
          <w:rFonts w:ascii="Calibri" w:eastAsia="Calibri" w:hAnsi="Calibri" w:cs="Montserrat Semi Bold"/>
          <w:b/>
          <w:bCs/>
          <w:color w:val="000000"/>
          <w:sz w:val="30"/>
          <w:szCs w:val="30"/>
        </w:rPr>
        <w:t>1</w:t>
      </w:r>
      <w:r w:rsidRPr="006B6C0C">
        <w:rPr>
          <w:rFonts w:ascii="Calibri" w:eastAsia="Calibri" w:hAnsi="Calibri" w:cs="Montserrat Semi Bold"/>
          <w:b/>
          <w:bCs/>
          <w:color w:val="000000"/>
          <w:sz w:val="30"/>
          <w:szCs w:val="30"/>
        </w:rPr>
        <w:t>. BUILDERS WARRANTY INSURANCE</w:t>
      </w:r>
      <w:r>
        <w:rPr>
          <w:rFonts w:ascii="Calibri" w:eastAsia="Calibri" w:hAnsi="Calibri" w:cs="Montserrat Semi Bold"/>
          <w:b/>
          <w:bCs/>
          <w:color w:val="000000"/>
          <w:sz w:val="30"/>
          <w:szCs w:val="30"/>
        </w:rPr>
        <w:t xml:space="preserve"> - CONTINUED</w:t>
      </w:r>
    </w:p>
    <w:tbl>
      <w:tblPr>
        <w:tblW w:w="9781" w:type="dxa"/>
        <w:tblInd w:w="-142" w:type="dxa"/>
        <w:tblLayout w:type="fixed"/>
        <w:tblLook w:val="0000" w:firstRow="0" w:lastRow="0" w:firstColumn="0" w:lastColumn="0" w:noHBand="0" w:noVBand="0"/>
      </w:tblPr>
      <w:tblGrid>
        <w:gridCol w:w="6096"/>
        <w:gridCol w:w="992"/>
        <w:gridCol w:w="1134"/>
        <w:gridCol w:w="1559"/>
      </w:tblGrid>
      <w:tr w:rsidR="006B6C0C" w:rsidRPr="006B6C0C" w14:paraId="73A10FDA" w14:textId="77777777" w:rsidTr="00B11A87">
        <w:trPr>
          <w:cantSplit/>
        </w:trPr>
        <w:tc>
          <w:tcPr>
            <w:tcW w:w="6096" w:type="dxa"/>
            <w:tcBorders>
              <w:top w:val="single" w:sz="12" w:space="0" w:color="492581" w:themeColor="accent1"/>
              <w:bottom w:val="single" w:sz="12" w:space="0" w:color="492581" w:themeColor="accent1"/>
            </w:tcBorders>
            <w:vAlign w:val="bottom"/>
          </w:tcPr>
          <w:p w14:paraId="5FACE983" w14:textId="77777777" w:rsidR="006B6C0C" w:rsidRPr="006B6C0C" w:rsidRDefault="006B6C0C" w:rsidP="006B6C0C">
            <w:pPr>
              <w:spacing w:after="0" w:line="240" w:lineRule="auto"/>
              <w:rPr>
                <w:rFonts w:ascii="Calibri" w:eastAsia="Times New Roman" w:hAnsi="Calibri" w:cs="Times New Roman"/>
                <w:b/>
                <w:bCs/>
                <w:sz w:val="22"/>
                <w:szCs w:val="22"/>
              </w:rPr>
            </w:pPr>
            <w:r w:rsidRPr="006B6C0C">
              <w:rPr>
                <w:rFonts w:ascii="Calibri" w:eastAsia="Times New Roman" w:hAnsi="Calibri" w:cs="Times New Roman"/>
                <w:b/>
                <w:sz w:val="22"/>
                <w:szCs w:val="22"/>
              </w:rPr>
              <w:t>Operating Statement</w:t>
            </w:r>
          </w:p>
        </w:tc>
        <w:tc>
          <w:tcPr>
            <w:tcW w:w="992" w:type="dxa"/>
            <w:tcBorders>
              <w:top w:val="single" w:sz="12" w:space="0" w:color="492581" w:themeColor="accent1"/>
              <w:bottom w:val="single" w:sz="12" w:space="0" w:color="492581" w:themeColor="accent1"/>
            </w:tcBorders>
            <w:vAlign w:val="bottom"/>
          </w:tcPr>
          <w:p w14:paraId="0787345D"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Note</w:t>
            </w:r>
          </w:p>
          <w:p w14:paraId="68F08B3B"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w:t>
            </w:r>
          </w:p>
        </w:tc>
        <w:tc>
          <w:tcPr>
            <w:tcW w:w="1134" w:type="dxa"/>
            <w:tcBorders>
              <w:top w:val="single" w:sz="12" w:space="0" w:color="492581" w:themeColor="accent1"/>
              <w:bottom w:val="single" w:sz="12" w:space="0" w:color="492581" w:themeColor="accent1"/>
            </w:tcBorders>
            <w:vAlign w:val="bottom"/>
          </w:tcPr>
          <w:p w14:paraId="6F1A4028" w14:textId="1BCF522E"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202</w:t>
            </w:r>
            <w:r w:rsidR="00672EDB">
              <w:rPr>
                <w:rFonts w:ascii="Calibri" w:eastAsia="Times New Roman" w:hAnsi="Calibri" w:cs="Times New Roman"/>
                <w:b/>
                <w:sz w:val="18"/>
                <w:szCs w:val="18"/>
              </w:rPr>
              <w:t>4</w:t>
            </w:r>
          </w:p>
          <w:p w14:paraId="5D1C23AF"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$’000</w:t>
            </w:r>
          </w:p>
        </w:tc>
        <w:tc>
          <w:tcPr>
            <w:tcW w:w="1559" w:type="dxa"/>
            <w:tcBorders>
              <w:top w:val="single" w:sz="12" w:space="0" w:color="492581" w:themeColor="accent1"/>
              <w:bottom w:val="single" w:sz="12" w:space="0" w:color="492581" w:themeColor="accent1"/>
            </w:tcBorders>
          </w:tcPr>
          <w:p w14:paraId="1B91D2CF" w14:textId="6CA0A248"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202</w:t>
            </w:r>
            <w:r w:rsidR="00672EDB">
              <w:rPr>
                <w:rFonts w:ascii="Calibri" w:eastAsia="Times New Roman" w:hAnsi="Calibri" w:cs="Times New Roman"/>
                <w:b/>
                <w:sz w:val="18"/>
                <w:szCs w:val="18"/>
              </w:rPr>
              <w:t>3</w:t>
            </w:r>
          </w:p>
          <w:p w14:paraId="445107B2" w14:textId="77777777" w:rsidR="006B6C0C" w:rsidRPr="006B6C0C" w:rsidRDefault="006B6C0C" w:rsidP="006B6C0C">
            <w:pPr>
              <w:spacing w:after="0" w:line="240" w:lineRule="auto"/>
              <w:jc w:val="right"/>
              <w:rPr>
                <w:rFonts w:ascii="Calibri" w:eastAsia="Times New Roman" w:hAnsi="Calibri" w:cs="Times New Roman"/>
                <w:b/>
                <w:sz w:val="18"/>
                <w:szCs w:val="18"/>
              </w:rPr>
            </w:pPr>
            <w:r w:rsidRPr="006B6C0C">
              <w:rPr>
                <w:rFonts w:ascii="Calibri" w:eastAsia="Times New Roman" w:hAnsi="Calibri" w:cs="Times New Roman"/>
                <w:b/>
                <w:sz w:val="18"/>
                <w:szCs w:val="18"/>
              </w:rPr>
              <w:t>$’000</w:t>
            </w:r>
          </w:p>
        </w:tc>
      </w:tr>
      <w:tr w:rsidR="006B6C0C" w:rsidRPr="006B6C0C" w14:paraId="4BABFDE5" w14:textId="77777777" w:rsidTr="00B11A87">
        <w:trPr>
          <w:cantSplit/>
        </w:trPr>
        <w:tc>
          <w:tcPr>
            <w:tcW w:w="7088" w:type="dxa"/>
            <w:gridSpan w:val="2"/>
            <w:tcBorders>
              <w:top w:val="single" w:sz="12" w:space="0" w:color="492581" w:themeColor="accent1"/>
            </w:tcBorders>
          </w:tcPr>
          <w:p w14:paraId="04EA1662" w14:textId="57CCBFEF" w:rsidR="006B6C0C" w:rsidRPr="006B6C0C" w:rsidRDefault="006B6C0C" w:rsidP="006B6C0C">
            <w:pPr>
              <w:spacing w:before="40" w:after="40" w:line="240" w:lineRule="auto"/>
              <w:rPr>
                <w:rFonts w:ascii="Calibri" w:eastAsia="Times New Roman" w:hAnsi="Calibri" w:cs="Times New Roman"/>
                <w:b/>
                <w:sz w:val="18"/>
                <w:szCs w:val="18"/>
              </w:rPr>
            </w:pPr>
            <w:r w:rsidRPr="0077010C">
              <w:rPr>
                <w:sz w:val="18"/>
                <w:szCs w:val="18"/>
              </w:rPr>
              <w:t xml:space="preserve">The figures below are included in the Authority’s Operating Statement </w:t>
            </w:r>
          </w:p>
        </w:tc>
        <w:tc>
          <w:tcPr>
            <w:tcW w:w="1134" w:type="dxa"/>
            <w:tcBorders>
              <w:top w:val="single" w:sz="12" w:space="0" w:color="492581" w:themeColor="accent1"/>
            </w:tcBorders>
          </w:tcPr>
          <w:p w14:paraId="23696E91" w14:textId="77777777" w:rsidR="006B6C0C" w:rsidRPr="006B6C0C" w:rsidRDefault="006B6C0C" w:rsidP="006B6C0C">
            <w:pPr>
              <w:spacing w:after="0" w:line="240" w:lineRule="auto"/>
              <w:jc w:val="right"/>
              <w:rPr>
                <w:rFonts w:ascii="Calibri" w:eastAsia="Times New Roman" w:hAnsi="Calibri" w:cs="Times New Roman"/>
                <w:b/>
                <w:sz w:val="18"/>
                <w:szCs w:val="18"/>
              </w:rPr>
            </w:pPr>
          </w:p>
        </w:tc>
        <w:tc>
          <w:tcPr>
            <w:tcW w:w="1559" w:type="dxa"/>
            <w:tcBorders>
              <w:top w:val="single" w:sz="12" w:space="0" w:color="492581" w:themeColor="accent1"/>
            </w:tcBorders>
          </w:tcPr>
          <w:p w14:paraId="1EC376A9" w14:textId="77777777" w:rsidR="006B6C0C" w:rsidRPr="006B6C0C" w:rsidRDefault="006B6C0C" w:rsidP="006B6C0C">
            <w:pPr>
              <w:spacing w:before="40" w:after="40" w:line="240" w:lineRule="auto"/>
              <w:jc w:val="center"/>
              <w:rPr>
                <w:rFonts w:ascii="Calibri" w:eastAsia="Times New Roman" w:hAnsi="Calibri" w:cs="Times New Roman"/>
                <w:b/>
                <w:sz w:val="18"/>
                <w:szCs w:val="18"/>
              </w:rPr>
            </w:pPr>
          </w:p>
        </w:tc>
      </w:tr>
      <w:tr w:rsidR="006B6C0C" w:rsidRPr="006B6C0C" w14:paraId="4B8FE635" w14:textId="77777777" w:rsidTr="00323290">
        <w:trPr>
          <w:cantSplit/>
        </w:trPr>
        <w:tc>
          <w:tcPr>
            <w:tcW w:w="6096" w:type="dxa"/>
          </w:tcPr>
          <w:p w14:paraId="2038257E" w14:textId="52055FB3" w:rsidR="006B6C0C" w:rsidRPr="006B6C0C" w:rsidRDefault="006B6C0C" w:rsidP="006B6C0C">
            <w:pPr>
              <w:tabs>
                <w:tab w:val="left" w:pos="459"/>
              </w:tabs>
              <w:spacing w:after="0" w:line="240" w:lineRule="auto"/>
              <w:rPr>
                <w:rFonts w:ascii="Calibri" w:eastAsia="Times New Roman" w:hAnsi="Calibri" w:cs="Times New Roman"/>
                <w:b/>
                <w:sz w:val="18"/>
                <w:szCs w:val="18"/>
                <w:vertAlign w:val="superscript"/>
              </w:rPr>
            </w:pPr>
            <w:r w:rsidRPr="0077010C">
              <w:rPr>
                <w:b/>
                <w:sz w:val="18"/>
                <w:szCs w:val="18"/>
              </w:rPr>
              <w:t>Revenue:</w:t>
            </w:r>
          </w:p>
        </w:tc>
        <w:tc>
          <w:tcPr>
            <w:tcW w:w="992" w:type="dxa"/>
          </w:tcPr>
          <w:p w14:paraId="25030A72" w14:textId="77777777" w:rsidR="006B6C0C" w:rsidRPr="006B6C0C" w:rsidRDefault="006B6C0C" w:rsidP="006B6C0C">
            <w:pPr>
              <w:tabs>
                <w:tab w:val="right" w:pos="742"/>
              </w:tabs>
              <w:spacing w:after="0" w:line="240" w:lineRule="auto"/>
              <w:jc w:val="center"/>
              <w:rPr>
                <w:rFonts w:ascii="Calibri" w:eastAsia="Times New Roman" w:hAnsi="Calibri" w:cs="Times New Roman"/>
                <w:b/>
                <w:bCs/>
                <w:sz w:val="18"/>
                <w:szCs w:val="18"/>
              </w:rPr>
            </w:pPr>
          </w:p>
        </w:tc>
        <w:tc>
          <w:tcPr>
            <w:tcW w:w="1134" w:type="dxa"/>
          </w:tcPr>
          <w:p w14:paraId="00B48FAF" w14:textId="77777777" w:rsidR="006B6C0C" w:rsidRPr="006B6C0C" w:rsidRDefault="006B6C0C" w:rsidP="006B6C0C">
            <w:pPr>
              <w:spacing w:after="0" w:line="240" w:lineRule="auto"/>
              <w:jc w:val="right"/>
              <w:rPr>
                <w:rFonts w:ascii="Calibri" w:eastAsia="Times New Roman" w:hAnsi="Calibri" w:cs="Times New Roman"/>
                <w:b/>
                <w:sz w:val="18"/>
                <w:szCs w:val="18"/>
              </w:rPr>
            </w:pPr>
          </w:p>
        </w:tc>
        <w:tc>
          <w:tcPr>
            <w:tcW w:w="1559" w:type="dxa"/>
          </w:tcPr>
          <w:p w14:paraId="29F8DF01" w14:textId="77777777" w:rsidR="006B6C0C" w:rsidRPr="006B6C0C" w:rsidRDefault="006B6C0C" w:rsidP="006B6C0C">
            <w:pPr>
              <w:tabs>
                <w:tab w:val="right" w:pos="742"/>
              </w:tabs>
              <w:spacing w:after="0" w:line="240" w:lineRule="auto"/>
              <w:jc w:val="center"/>
              <w:rPr>
                <w:rFonts w:ascii="Calibri" w:eastAsia="Times New Roman" w:hAnsi="Calibri" w:cs="Times New Roman"/>
                <w:b/>
                <w:bCs/>
                <w:sz w:val="18"/>
                <w:szCs w:val="18"/>
              </w:rPr>
            </w:pPr>
          </w:p>
        </w:tc>
      </w:tr>
      <w:tr w:rsidR="006B6C0C" w:rsidRPr="006B6C0C" w14:paraId="3DE14298" w14:textId="77777777" w:rsidTr="00323290">
        <w:trPr>
          <w:cantSplit/>
        </w:trPr>
        <w:tc>
          <w:tcPr>
            <w:tcW w:w="6096" w:type="dxa"/>
          </w:tcPr>
          <w:p w14:paraId="6A7F511C" w14:textId="1D3D4982" w:rsidR="006B6C0C" w:rsidRPr="006B6C0C" w:rsidRDefault="006B6C0C" w:rsidP="006B6C0C">
            <w:pPr>
              <w:spacing w:after="0" w:line="240" w:lineRule="auto"/>
              <w:rPr>
                <w:rFonts w:ascii="Calibri" w:eastAsia="Times New Roman" w:hAnsi="Calibri" w:cs="Times New Roman"/>
                <w:bCs/>
                <w:sz w:val="18"/>
                <w:szCs w:val="18"/>
                <w:vertAlign w:val="superscript"/>
              </w:rPr>
            </w:pPr>
            <w:r w:rsidRPr="0077010C">
              <w:rPr>
                <w:sz w:val="18"/>
                <w:szCs w:val="18"/>
              </w:rPr>
              <w:t xml:space="preserve">Gross Earned Premiums </w:t>
            </w:r>
            <w:r w:rsidRPr="0077010C">
              <w:rPr>
                <w:sz w:val="18"/>
                <w:szCs w:val="18"/>
                <w:vertAlign w:val="superscript"/>
              </w:rPr>
              <w:t>a</w:t>
            </w:r>
          </w:p>
        </w:tc>
        <w:tc>
          <w:tcPr>
            <w:tcW w:w="992" w:type="dxa"/>
          </w:tcPr>
          <w:p w14:paraId="31579D34"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9369B4D" w14:textId="41092E2E"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2,394</w:t>
            </w:r>
          </w:p>
        </w:tc>
        <w:tc>
          <w:tcPr>
            <w:tcW w:w="1559" w:type="dxa"/>
          </w:tcPr>
          <w:p w14:paraId="0EF0906C" w14:textId="06DB6BD9" w:rsidR="006B6C0C" w:rsidRPr="00672EDB" w:rsidRDefault="006B6C0C" w:rsidP="006B6C0C">
            <w:pPr>
              <w:tabs>
                <w:tab w:val="right" w:pos="742"/>
              </w:tabs>
              <w:spacing w:after="0" w:line="240" w:lineRule="auto"/>
              <w:jc w:val="right"/>
              <w:rPr>
                <w:rFonts w:ascii="Calibri" w:eastAsia="Times New Roman" w:hAnsi="Calibri" w:cs="Times New Roman"/>
                <w:bCs/>
                <w:sz w:val="18"/>
                <w:szCs w:val="18"/>
                <w:highlight w:val="yellow"/>
              </w:rPr>
            </w:pPr>
            <w:r w:rsidRPr="00B57E28">
              <w:rPr>
                <w:sz w:val="18"/>
                <w:szCs w:val="18"/>
              </w:rPr>
              <w:t>1,</w:t>
            </w:r>
            <w:r w:rsidR="00B57E28" w:rsidRPr="00B57E28">
              <w:rPr>
                <w:bCs/>
                <w:sz w:val="18"/>
                <w:szCs w:val="18"/>
              </w:rPr>
              <w:t>660</w:t>
            </w:r>
          </w:p>
        </w:tc>
      </w:tr>
      <w:tr w:rsidR="006B6C0C" w:rsidRPr="006B6C0C" w14:paraId="2A78F7AA" w14:textId="77777777" w:rsidTr="00323290">
        <w:trPr>
          <w:cantSplit/>
        </w:trPr>
        <w:tc>
          <w:tcPr>
            <w:tcW w:w="6096" w:type="dxa"/>
          </w:tcPr>
          <w:p w14:paraId="05C4A660" w14:textId="6AEBACD0" w:rsidR="006B6C0C" w:rsidRPr="006B6C0C" w:rsidRDefault="006B6C0C" w:rsidP="006B6C0C">
            <w:pPr>
              <w:spacing w:after="0" w:line="240" w:lineRule="auto"/>
              <w:rPr>
                <w:rFonts w:ascii="Calibri" w:eastAsia="Times New Roman" w:hAnsi="Calibri" w:cs="Times New Roman"/>
                <w:bCs/>
                <w:sz w:val="18"/>
                <w:szCs w:val="18"/>
              </w:rPr>
            </w:pPr>
            <w:r w:rsidRPr="0077010C">
              <w:rPr>
                <w:sz w:val="18"/>
                <w:szCs w:val="18"/>
              </w:rPr>
              <w:t>Recoveries</w:t>
            </w:r>
          </w:p>
        </w:tc>
        <w:tc>
          <w:tcPr>
            <w:tcW w:w="992" w:type="dxa"/>
          </w:tcPr>
          <w:p w14:paraId="642F6C97"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A65D425" w14:textId="685AE981"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147</w:t>
            </w:r>
          </w:p>
        </w:tc>
        <w:tc>
          <w:tcPr>
            <w:tcW w:w="1559" w:type="dxa"/>
          </w:tcPr>
          <w:p w14:paraId="7F884982" w14:textId="23F810B3" w:rsidR="006B6C0C" w:rsidRPr="00672EDB" w:rsidRDefault="00B57E28" w:rsidP="006B6C0C">
            <w:pPr>
              <w:tabs>
                <w:tab w:val="right" w:pos="742"/>
              </w:tabs>
              <w:spacing w:after="0" w:line="240" w:lineRule="auto"/>
              <w:jc w:val="right"/>
              <w:rPr>
                <w:rFonts w:ascii="Calibri" w:eastAsia="Times New Roman" w:hAnsi="Calibri" w:cs="Times New Roman"/>
                <w:bCs/>
                <w:sz w:val="18"/>
                <w:szCs w:val="18"/>
                <w:highlight w:val="yellow"/>
              </w:rPr>
            </w:pPr>
            <w:r w:rsidRPr="00B57E28">
              <w:rPr>
                <w:bCs/>
                <w:sz w:val="18"/>
                <w:szCs w:val="18"/>
              </w:rPr>
              <w:t>21</w:t>
            </w:r>
          </w:p>
        </w:tc>
      </w:tr>
      <w:tr w:rsidR="006B6C0C" w:rsidRPr="006B6C0C" w14:paraId="1788114F" w14:textId="77777777" w:rsidTr="00323290">
        <w:trPr>
          <w:cantSplit/>
        </w:trPr>
        <w:tc>
          <w:tcPr>
            <w:tcW w:w="6096" w:type="dxa"/>
          </w:tcPr>
          <w:p w14:paraId="7DC1FCE9" w14:textId="4DE89896" w:rsidR="006B6C0C" w:rsidRPr="006B6C0C" w:rsidRDefault="006B6C0C" w:rsidP="006B6C0C">
            <w:pPr>
              <w:spacing w:after="0" w:line="240" w:lineRule="auto"/>
              <w:rPr>
                <w:rFonts w:ascii="Calibri" w:eastAsia="Times New Roman" w:hAnsi="Calibri" w:cs="Times New Roman"/>
                <w:bCs/>
                <w:sz w:val="18"/>
                <w:szCs w:val="18"/>
              </w:rPr>
            </w:pPr>
            <w:r w:rsidRPr="0077010C">
              <w:rPr>
                <w:sz w:val="18"/>
                <w:szCs w:val="18"/>
              </w:rPr>
              <w:t>Interest Revenue</w:t>
            </w:r>
          </w:p>
        </w:tc>
        <w:tc>
          <w:tcPr>
            <w:tcW w:w="992" w:type="dxa"/>
          </w:tcPr>
          <w:p w14:paraId="161073C7"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7</w:t>
            </w:r>
          </w:p>
        </w:tc>
        <w:tc>
          <w:tcPr>
            <w:tcW w:w="1134" w:type="dxa"/>
            <w:tcBorders>
              <w:bottom w:val="single" w:sz="4" w:space="0" w:color="auto"/>
            </w:tcBorders>
          </w:tcPr>
          <w:p w14:paraId="103659F6" w14:textId="2986E96F"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886</w:t>
            </w:r>
          </w:p>
        </w:tc>
        <w:tc>
          <w:tcPr>
            <w:tcW w:w="1559" w:type="dxa"/>
            <w:tcBorders>
              <w:bottom w:val="single" w:sz="4" w:space="0" w:color="auto"/>
            </w:tcBorders>
          </w:tcPr>
          <w:p w14:paraId="1025DC7B" w14:textId="5F7F6CCF" w:rsidR="006B6C0C" w:rsidRPr="00672EDB" w:rsidRDefault="00B57E28" w:rsidP="006B6C0C">
            <w:pPr>
              <w:tabs>
                <w:tab w:val="right" w:pos="742"/>
              </w:tabs>
              <w:spacing w:after="0" w:line="240" w:lineRule="auto"/>
              <w:jc w:val="right"/>
              <w:rPr>
                <w:rFonts w:ascii="Calibri" w:eastAsia="Times New Roman" w:hAnsi="Calibri" w:cs="Times New Roman"/>
                <w:bCs/>
                <w:sz w:val="18"/>
                <w:szCs w:val="18"/>
                <w:highlight w:val="yellow"/>
              </w:rPr>
            </w:pPr>
            <w:r w:rsidRPr="00B57E28">
              <w:rPr>
                <w:bCs/>
                <w:sz w:val="18"/>
                <w:szCs w:val="18"/>
              </w:rPr>
              <w:t>243</w:t>
            </w:r>
          </w:p>
        </w:tc>
      </w:tr>
      <w:tr w:rsidR="006B6C0C" w:rsidRPr="006B6C0C" w14:paraId="7A5C2707" w14:textId="77777777" w:rsidTr="00323290">
        <w:trPr>
          <w:cantSplit/>
        </w:trPr>
        <w:tc>
          <w:tcPr>
            <w:tcW w:w="6096" w:type="dxa"/>
          </w:tcPr>
          <w:p w14:paraId="5A0CC722" w14:textId="6F329ADD" w:rsidR="006B6C0C" w:rsidRPr="006B6C0C" w:rsidRDefault="00B429E8" w:rsidP="006B6C0C">
            <w:pPr>
              <w:spacing w:after="0" w:line="240" w:lineRule="auto"/>
              <w:rPr>
                <w:rFonts w:ascii="Calibri" w:eastAsia="Times New Roman" w:hAnsi="Calibri" w:cs="Times New Roman"/>
                <w:bCs/>
                <w:sz w:val="18"/>
                <w:szCs w:val="18"/>
              </w:rPr>
            </w:pPr>
            <w:r w:rsidRPr="0077010C">
              <w:rPr>
                <w:b/>
                <w:sz w:val="18"/>
                <w:szCs w:val="18"/>
              </w:rPr>
              <w:t>Total Revenue</w:t>
            </w:r>
          </w:p>
        </w:tc>
        <w:tc>
          <w:tcPr>
            <w:tcW w:w="992" w:type="dxa"/>
          </w:tcPr>
          <w:p w14:paraId="37404F79" w14:textId="77777777" w:rsidR="006B6C0C" w:rsidRPr="006B6C0C" w:rsidRDefault="006B6C0C" w:rsidP="006B6C0C">
            <w:pPr>
              <w:tabs>
                <w:tab w:val="right" w:pos="742"/>
              </w:tabs>
              <w:spacing w:after="0" w:line="240" w:lineRule="auto"/>
              <w:jc w:val="center"/>
              <w:rPr>
                <w:rFonts w:ascii="Calibri" w:eastAsia="Times New Roman" w:hAnsi="Calibri" w:cs="Times New Roman"/>
                <w:sz w:val="18"/>
                <w:szCs w:val="18"/>
              </w:rPr>
            </w:pPr>
          </w:p>
        </w:tc>
        <w:tc>
          <w:tcPr>
            <w:tcW w:w="1134" w:type="dxa"/>
            <w:tcBorders>
              <w:top w:val="single" w:sz="4" w:space="0" w:color="auto"/>
              <w:bottom w:val="single" w:sz="4" w:space="0" w:color="auto"/>
            </w:tcBorders>
          </w:tcPr>
          <w:p w14:paraId="3935B2EB" w14:textId="22BCF3D2" w:rsidR="006B6C0C" w:rsidRPr="00672EDB" w:rsidRDefault="00B57E28" w:rsidP="006B6C0C">
            <w:pPr>
              <w:tabs>
                <w:tab w:val="right" w:pos="742"/>
              </w:tabs>
              <w:spacing w:after="0" w:line="240" w:lineRule="auto"/>
              <w:jc w:val="right"/>
              <w:rPr>
                <w:rFonts w:ascii="Calibri" w:eastAsia="Times New Roman" w:hAnsi="Calibri" w:cs="Times New Roman"/>
                <w:b/>
                <w:bCs/>
                <w:sz w:val="18"/>
                <w:szCs w:val="18"/>
                <w:highlight w:val="yellow"/>
              </w:rPr>
            </w:pPr>
            <w:r w:rsidRPr="00B57E28">
              <w:rPr>
                <w:b/>
                <w:bCs/>
                <w:sz w:val="18"/>
                <w:szCs w:val="18"/>
              </w:rPr>
              <w:t>3,426</w:t>
            </w:r>
          </w:p>
        </w:tc>
        <w:tc>
          <w:tcPr>
            <w:tcW w:w="1559" w:type="dxa"/>
            <w:tcBorders>
              <w:top w:val="single" w:sz="4" w:space="0" w:color="auto"/>
              <w:bottom w:val="single" w:sz="4" w:space="0" w:color="auto"/>
            </w:tcBorders>
          </w:tcPr>
          <w:p w14:paraId="5C1DB2AB" w14:textId="1B8D588D" w:rsidR="006B6C0C" w:rsidRPr="00672EDB" w:rsidRDefault="006B6C0C" w:rsidP="006B6C0C">
            <w:pPr>
              <w:tabs>
                <w:tab w:val="right" w:pos="742"/>
              </w:tabs>
              <w:spacing w:after="0" w:line="240" w:lineRule="auto"/>
              <w:jc w:val="right"/>
              <w:rPr>
                <w:rFonts w:ascii="Calibri" w:eastAsia="Times New Roman" w:hAnsi="Calibri" w:cs="Times New Roman"/>
                <w:b/>
                <w:bCs/>
                <w:sz w:val="18"/>
                <w:szCs w:val="18"/>
                <w:highlight w:val="yellow"/>
              </w:rPr>
            </w:pPr>
            <w:r w:rsidRPr="00B57E28">
              <w:rPr>
                <w:b/>
                <w:sz w:val="18"/>
                <w:szCs w:val="18"/>
              </w:rPr>
              <w:t>1,</w:t>
            </w:r>
            <w:r w:rsidR="00B57E28" w:rsidRPr="00B57E28">
              <w:rPr>
                <w:b/>
                <w:bCs/>
                <w:sz w:val="18"/>
                <w:szCs w:val="18"/>
              </w:rPr>
              <w:t>924</w:t>
            </w:r>
          </w:p>
        </w:tc>
      </w:tr>
      <w:tr w:rsidR="006B6C0C" w:rsidRPr="006B6C0C" w14:paraId="51F2EF1D" w14:textId="77777777" w:rsidTr="00323290">
        <w:trPr>
          <w:cantSplit/>
        </w:trPr>
        <w:tc>
          <w:tcPr>
            <w:tcW w:w="6096" w:type="dxa"/>
          </w:tcPr>
          <w:p w14:paraId="3C5240BD" w14:textId="036C1177" w:rsidR="006B6C0C" w:rsidRPr="006B6C0C" w:rsidRDefault="006B6C0C" w:rsidP="006B6C0C">
            <w:pPr>
              <w:tabs>
                <w:tab w:val="left" w:pos="459"/>
              </w:tabs>
              <w:spacing w:after="0" w:line="240" w:lineRule="auto"/>
              <w:rPr>
                <w:rFonts w:ascii="Calibri" w:eastAsia="Times New Roman" w:hAnsi="Calibri" w:cs="Times New Roman"/>
                <w:b/>
                <w:sz w:val="18"/>
                <w:szCs w:val="18"/>
              </w:rPr>
            </w:pPr>
          </w:p>
        </w:tc>
        <w:tc>
          <w:tcPr>
            <w:tcW w:w="992" w:type="dxa"/>
          </w:tcPr>
          <w:p w14:paraId="3A8A5C9D" w14:textId="77777777" w:rsidR="006B6C0C" w:rsidRPr="006B6C0C" w:rsidRDefault="006B6C0C" w:rsidP="006B6C0C">
            <w:pPr>
              <w:spacing w:after="0" w:line="240" w:lineRule="auto"/>
              <w:jc w:val="center"/>
              <w:rPr>
                <w:rFonts w:ascii="Calibri" w:eastAsia="Times New Roman" w:hAnsi="Calibri" w:cs="Times New Roman"/>
                <w:sz w:val="18"/>
                <w:szCs w:val="18"/>
              </w:rPr>
            </w:pPr>
          </w:p>
        </w:tc>
        <w:tc>
          <w:tcPr>
            <w:tcW w:w="1134" w:type="dxa"/>
            <w:tcBorders>
              <w:top w:val="single" w:sz="4" w:space="0" w:color="auto"/>
            </w:tcBorders>
          </w:tcPr>
          <w:p w14:paraId="690FD796" w14:textId="77777777" w:rsidR="006B6C0C" w:rsidRPr="00672EDB" w:rsidRDefault="006B6C0C" w:rsidP="006B6C0C">
            <w:pPr>
              <w:spacing w:after="0" w:line="240" w:lineRule="auto"/>
              <w:jc w:val="right"/>
              <w:rPr>
                <w:rFonts w:ascii="Calibri" w:eastAsia="Times New Roman" w:hAnsi="Calibri" w:cs="Times New Roman"/>
                <w:b/>
                <w:sz w:val="18"/>
                <w:szCs w:val="18"/>
                <w:highlight w:val="yellow"/>
              </w:rPr>
            </w:pPr>
          </w:p>
        </w:tc>
        <w:tc>
          <w:tcPr>
            <w:tcW w:w="1559" w:type="dxa"/>
            <w:tcBorders>
              <w:top w:val="single" w:sz="4" w:space="0" w:color="auto"/>
            </w:tcBorders>
          </w:tcPr>
          <w:p w14:paraId="1FCE8C8E" w14:textId="77777777" w:rsidR="006B6C0C" w:rsidRPr="00672EDB" w:rsidRDefault="006B6C0C" w:rsidP="006B6C0C">
            <w:pPr>
              <w:spacing w:after="0" w:line="240" w:lineRule="auto"/>
              <w:jc w:val="center"/>
              <w:rPr>
                <w:rFonts w:ascii="Calibri" w:eastAsia="Times New Roman" w:hAnsi="Calibri" w:cs="Times New Roman"/>
                <w:bCs/>
                <w:sz w:val="18"/>
                <w:szCs w:val="18"/>
                <w:highlight w:val="yellow"/>
              </w:rPr>
            </w:pPr>
          </w:p>
        </w:tc>
      </w:tr>
      <w:tr w:rsidR="006B6C0C" w:rsidRPr="006B6C0C" w14:paraId="72C39307" w14:textId="77777777" w:rsidTr="00323290">
        <w:trPr>
          <w:cantSplit/>
        </w:trPr>
        <w:tc>
          <w:tcPr>
            <w:tcW w:w="6096" w:type="dxa"/>
          </w:tcPr>
          <w:p w14:paraId="6FCC08F8" w14:textId="25B02899" w:rsidR="006B6C0C" w:rsidRPr="006B6C0C" w:rsidRDefault="00B429E8" w:rsidP="006B6C0C">
            <w:pPr>
              <w:spacing w:after="0" w:line="240" w:lineRule="auto"/>
              <w:rPr>
                <w:rFonts w:ascii="Calibri" w:eastAsia="Times New Roman" w:hAnsi="Calibri" w:cs="Times New Roman"/>
                <w:sz w:val="18"/>
                <w:szCs w:val="18"/>
              </w:rPr>
            </w:pPr>
            <w:r w:rsidRPr="0077010C">
              <w:rPr>
                <w:b/>
                <w:sz w:val="18"/>
                <w:szCs w:val="18"/>
              </w:rPr>
              <w:t>Expenses</w:t>
            </w:r>
          </w:p>
        </w:tc>
        <w:tc>
          <w:tcPr>
            <w:tcW w:w="992" w:type="dxa"/>
          </w:tcPr>
          <w:p w14:paraId="0180FF58"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4CD08026" w14:textId="188ACECD" w:rsidR="006B6C0C" w:rsidRPr="00672EDB" w:rsidRDefault="006B6C0C" w:rsidP="006B6C0C">
            <w:pPr>
              <w:spacing w:after="0" w:line="240" w:lineRule="auto"/>
              <w:jc w:val="right"/>
              <w:rPr>
                <w:rFonts w:ascii="Calibri" w:eastAsia="Times New Roman" w:hAnsi="Calibri" w:cs="Times New Roman"/>
                <w:bCs/>
                <w:sz w:val="18"/>
                <w:szCs w:val="18"/>
                <w:highlight w:val="yellow"/>
              </w:rPr>
            </w:pPr>
          </w:p>
        </w:tc>
        <w:tc>
          <w:tcPr>
            <w:tcW w:w="1559" w:type="dxa"/>
          </w:tcPr>
          <w:p w14:paraId="75D11FF3" w14:textId="202C3D15" w:rsidR="006B6C0C" w:rsidRPr="00672EDB" w:rsidRDefault="006B6C0C" w:rsidP="006B6C0C">
            <w:pPr>
              <w:spacing w:after="0" w:line="240" w:lineRule="auto"/>
              <w:jc w:val="right"/>
              <w:rPr>
                <w:rFonts w:ascii="Calibri" w:eastAsia="Times New Roman" w:hAnsi="Calibri" w:cs="Times New Roman"/>
                <w:bCs/>
                <w:sz w:val="18"/>
                <w:szCs w:val="18"/>
                <w:highlight w:val="yellow"/>
              </w:rPr>
            </w:pPr>
          </w:p>
        </w:tc>
      </w:tr>
      <w:tr w:rsidR="006B6C0C" w:rsidRPr="006B6C0C" w14:paraId="300FA0D8" w14:textId="77777777" w:rsidTr="00323290">
        <w:trPr>
          <w:cantSplit/>
        </w:trPr>
        <w:tc>
          <w:tcPr>
            <w:tcW w:w="6096" w:type="dxa"/>
          </w:tcPr>
          <w:p w14:paraId="53EC6728" w14:textId="427AFF8C" w:rsidR="006B6C0C" w:rsidRPr="006B6C0C" w:rsidRDefault="00B429E8" w:rsidP="006B6C0C">
            <w:pPr>
              <w:spacing w:after="0" w:line="240" w:lineRule="auto"/>
              <w:rPr>
                <w:rFonts w:ascii="Calibri" w:eastAsia="Times New Roman" w:hAnsi="Calibri" w:cs="Times New Roman"/>
                <w:sz w:val="18"/>
                <w:szCs w:val="18"/>
              </w:rPr>
            </w:pPr>
            <w:r w:rsidRPr="0077010C">
              <w:rPr>
                <w:sz w:val="18"/>
                <w:szCs w:val="18"/>
              </w:rPr>
              <w:t xml:space="preserve">Commission </w:t>
            </w:r>
          </w:p>
        </w:tc>
        <w:tc>
          <w:tcPr>
            <w:tcW w:w="992" w:type="dxa"/>
          </w:tcPr>
          <w:p w14:paraId="2F3E4DDD"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43DD315" w14:textId="38B0D8C6"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505</w:t>
            </w:r>
          </w:p>
        </w:tc>
        <w:tc>
          <w:tcPr>
            <w:tcW w:w="1559" w:type="dxa"/>
          </w:tcPr>
          <w:p w14:paraId="52D77E28" w14:textId="04083C1B"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552</w:t>
            </w:r>
          </w:p>
        </w:tc>
      </w:tr>
      <w:tr w:rsidR="006B6C0C" w:rsidRPr="006B6C0C" w14:paraId="6CDFF6DD" w14:textId="77777777" w:rsidTr="00323290">
        <w:trPr>
          <w:cantSplit/>
        </w:trPr>
        <w:tc>
          <w:tcPr>
            <w:tcW w:w="6096" w:type="dxa"/>
          </w:tcPr>
          <w:p w14:paraId="629A4FEA" w14:textId="3BC4F676" w:rsidR="006B6C0C" w:rsidRPr="006B6C0C" w:rsidRDefault="00B429E8" w:rsidP="006B6C0C">
            <w:pPr>
              <w:spacing w:after="0" w:line="240" w:lineRule="auto"/>
              <w:rPr>
                <w:rFonts w:ascii="Calibri" w:eastAsia="Times New Roman" w:hAnsi="Calibri" w:cs="Times New Roman"/>
                <w:sz w:val="18"/>
                <w:szCs w:val="18"/>
              </w:rPr>
            </w:pPr>
            <w:r w:rsidRPr="0077010C">
              <w:rPr>
                <w:sz w:val="18"/>
                <w:szCs w:val="18"/>
              </w:rPr>
              <w:t>Claims Processing Service Fees</w:t>
            </w:r>
          </w:p>
        </w:tc>
        <w:tc>
          <w:tcPr>
            <w:tcW w:w="992" w:type="dxa"/>
          </w:tcPr>
          <w:p w14:paraId="54F8AEDB"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6358E225" w14:textId="6CBADEAD"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46</w:t>
            </w:r>
          </w:p>
        </w:tc>
        <w:tc>
          <w:tcPr>
            <w:tcW w:w="1559" w:type="dxa"/>
          </w:tcPr>
          <w:p w14:paraId="63E8966E" w14:textId="33028DDF"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42</w:t>
            </w:r>
          </w:p>
        </w:tc>
      </w:tr>
      <w:tr w:rsidR="006B6C0C" w:rsidRPr="006B6C0C" w14:paraId="6BFE8668" w14:textId="77777777" w:rsidTr="00323290">
        <w:trPr>
          <w:cantSplit/>
        </w:trPr>
        <w:tc>
          <w:tcPr>
            <w:tcW w:w="6096" w:type="dxa"/>
          </w:tcPr>
          <w:p w14:paraId="670E749E" w14:textId="5E174668" w:rsidR="006B6C0C" w:rsidRPr="006B6C0C" w:rsidRDefault="00B429E8" w:rsidP="006B6C0C">
            <w:pPr>
              <w:spacing w:after="0" w:line="240" w:lineRule="auto"/>
              <w:rPr>
                <w:rFonts w:ascii="Calibri" w:eastAsia="Times New Roman" w:hAnsi="Calibri" w:cs="Times New Roman"/>
                <w:bCs/>
                <w:sz w:val="18"/>
                <w:szCs w:val="18"/>
              </w:rPr>
            </w:pPr>
            <w:r w:rsidRPr="0077010C">
              <w:rPr>
                <w:sz w:val="18"/>
                <w:szCs w:val="18"/>
              </w:rPr>
              <w:t xml:space="preserve">Claims Expense </w:t>
            </w:r>
            <w:r w:rsidRPr="0077010C">
              <w:rPr>
                <w:sz w:val="18"/>
                <w:szCs w:val="18"/>
                <w:vertAlign w:val="superscript"/>
              </w:rPr>
              <w:t>b</w:t>
            </w:r>
          </w:p>
        </w:tc>
        <w:tc>
          <w:tcPr>
            <w:tcW w:w="992" w:type="dxa"/>
          </w:tcPr>
          <w:p w14:paraId="309CC6D0"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10</w:t>
            </w:r>
          </w:p>
        </w:tc>
        <w:tc>
          <w:tcPr>
            <w:tcW w:w="1134" w:type="dxa"/>
          </w:tcPr>
          <w:p w14:paraId="0983E53E" w14:textId="79B556CE"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2,946</w:t>
            </w:r>
          </w:p>
        </w:tc>
        <w:tc>
          <w:tcPr>
            <w:tcW w:w="1559" w:type="dxa"/>
          </w:tcPr>
          <w:p w14:paraId="23FE4089" w14:textId="174FF673"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876</w:t>
            </w:r>
          </w:p>
        </w:tc>
      </w:tr>
      <w:tr w:rsidR="006B6C0C" w:rsidRPr="006B6C0C" w14:paraId="25199398" w14:textId="77777777" w:rsidTr="00B57E28">
        <w:trPr>
          <w:cantSplit/>
        </w:trPr>
        <w:tc>
          <w:tcPr>
            <w:tcW w:w="6096" w:type="dxa"/>
          </w:tcPr>
          <w:p w14:paraId="1E773E4B" w14:textId="7A703A2F" w:rsidR="006B6C0C" w:rsidRPr="006B6C0C" w:rsidRDefault="00B429E8" w:rsidP="006B6C0C">
            <w:pPr>
              <w:spacing w:after="0" w:line="240" w:lineRule="auto"/>
              <w:rPr>
                <w:rFonts w:ascii="Calibri" w:eastAsia="Times New Roman" w:hAnsi="Calibri" w:cs="Times New Roman"/>
                <w:bCs/>
                <w:sz w:val="18"/>
                <w:szCs w:val="18"/>
              </w:rPr>
            </w:pPr>
            <w:r w:rsidRPr="0077010C">
              <w:rPr>
                <w:sz w:val="18"/>
                <w:szCs w:val="18"/>
              </w:rPr>
              <w:t>Actuarial Cost</w:t>
            </w:r>
          </w:p>
        </w:tc>
        <w:tc>
          <w:tcPr>
            <w:tcW w:w="992" w:type="dxa"/>
          </w:tcPr>
          <w:p w14:paraId="5F9D761F" w14:textId="77777777" w:rsidR="006B6C0C" w:rsidRPr="006B6C0C" w:rsidRDefault="006B6C0C" w:rsidP="006B6C0C">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10</w:t>
            </w:r>
          </w:p>
        </w:tc>
        <w:tc>
          <w:tcPr>
            <w:tcW w:w="1134" w:type="dxa"/>
          </w:tcPr>
          <w:p w14:paraId="36C969EA" w14:textId="46F626DD"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90</w:t>
            </w:r>
          </w:p>
        </w:tc>
        <w:tc>
          <w:tcPr>
            <w:tcW w:w="1559" w:type="dxa"/>
          </w:tcPr>
          <w:p w14:paraId="67F10A00" w14:textId="17CCD7F9" w:rsidR="006B6C0C" w:rsidRPr="00672EDB" w:rsidRDefault="00B57E28" w:rsidP="006B6C0C">
            <w:pPr>
              <w:spacing w:after="0" w:line="240" w:lineRule="auto"/>
              <w:jc w:val="right"/>
              <w:rPr>
                <w:rFonts w:ascii="Calibri" w:eastAsia="Times New Roman" w:hAnsi="Calibri" w:cs="Times New Roman"/>
                <w:bCs/>
                <w:sz w:val="18"/>
                <w:szCs w:val="18"/>
                <w:highlight w:val="yellow"/>
              </w:rPr>
            </w:pPr>
            <w:r w:rsidRPr="00B57E28">
              <w:rPr>
                <w:bCs/>
                <w:sz w:val="18"/>
                <w:szCs w:val="18"/>
              </w:rPr>
              <w:t>60</w:t>
            </w:r>
          </w:p>
        </w:tc>
      </w:tr>
      <w:tr w:rsidR="006B6C0C" w:rsidRPr="006B6C0C" w14:paraId="56AB3842" w14:textId="77777777" w:rsidTr="00D94EFB">
        <w:trPr>
          <w:cantSplit/>
        </w:trPr>
        <w:tc>
          <w:tcPr>
            <w:tcW w:w="6096" w:type="dxa"/>
          </w:tcPr>
          <w:p w14:paraId="613FEFC8" w14:textId="3E750D8B" w:rsidR="006B6C0C" w:rsidRPr="006B6C0C" w:rsidRDefault="00B429E8" w:rsidP="006B6C0C">
            <w:pPr>
              <w:spacing w:after="0" w:line="240" w:lineRule="auto"/>
              <w:rPr>
                <w:rFonts w:ascii="Calibri" w:eastAsia="Times New Roman" w:hAnsi="Calibri" w:cs="Times New Roman"/>
                <w:bCs/>
                <w:sz w:val="18"/>
                <w:szCs w:val="18"/>
              </w:rPr>
            </w:pPr>
            <w:r w:rsidRPr="0077010C">
              <w:rPr>
                <w:sz w:val="18"/>
                <w:szCs w:val="18"/>
              </w:rPr>
              <w:t>Support Services</w:t>
            </w:r>
          </w:p>
        </w:tc>
        <w:tc>
          <w:tcPr>
            <w:tcW w:w="992" w:type="dxa"/>
          </w:tcPr>
          <w:p w14:paraId="6CDEA305" w14:textId="77777777" w:rsidR="006B6C0C" w:rsidRPr="006B6C0C" w:rsidRDefault="006B6C0C" w:rsidP="006B6C0C">
            <w:pPr>
              <w:spacing w:after="0" w:line="240" w:lineRule="auto"/>
              <w:jc w:val="center"/>
              <w:rPr>
                <w:rFonts w:ascii="Calibri" w:eastAsia="Times New Roman" w:hAnsi="Calibri" w:cs="Times New Roman"/>
                <w:b/>
                <w:sz w:val="18"/>
                <w:szCs w:val="18"/>
              </w:rPr>
            </w:pPr>
          </w:p>
        </w:tc>
        <w:tc>
          <w:tcPr>
            <w:tcW w:w="1134" w:type="dxa"/>
            <w:tcBorders>
              <w:bottom w:val="single" w:sz="4" w:space="0" w:color="auto"/>
            </w:tcBorders>
          </w:tcPr>
          <w:p w14:paraId="3420EF14" w14:textId="3F54665B" w:rsidR="006B6C0C" w:rsidRPr="00672EDB" w:rsidRDefault="00B57E28" w:rsidP="006B6C0C">
            <w:pPr>
              <w:spacing w:after="0" w:line="240" w:lineRule="auto"/>
              <w:jc w:val="right"/>
              <w:rPr>
                <w:rFonts w:ascii="Calibri" w:eastAsia="Times New Roman" w:hAnsi="Calibri" w:cs="Times New Roman"/>
                <w:b/>
                <w:sz w:val="18"/>
                <w:szCs w:val="18"/>
                <w:highlight w:val="yellow"/>
              </w:rPr>
            </w:pPr>
            <w:r w:rsidRPr="00B57E28">
              <w:rPr>
                <w:bCs/>
                <w:sz w:val="18"/>
                <w:szCs w:val="18"/>
              </w:rPr>
              <w:t>51</w:t>
            </w:r>
          </w:p>
        </w:tc>
        <w:tc>
          <w:tcPr>
            <w:tcW w:w="1559" w:type="dxa"/>
            <w:tcBorders>
              <w:bottom w:val="single" w:sz="4" w:space="0" w:color="auto"/>
            </w:tcBorders>
          </w:tcPr>
          <w:p w14:paraId="6E809A45" w14:textId="02A643CD" w:rsidR="006B6C0C" w:rsidRPr="00672EDB" w:rsidRDefault="00B57E28" w:rsidP="006B6C0C">
            <w:pPr>
              <w:spacing w:after="0" w:line="240" w:lineRule="auto"/>
              <w:jc w:val="right"/>
              <w:rPr>
                <w:rFonts w:ascii="Calibri" w:eastAsia="Times New Roman" w:hAnsi="Calibri" w:cs="Times New Roman"/>
                <w:b/>
                <w:sz w:val="18"/>
                <w:szCs w:val="18"/>
                <w:highlight w:val="yellow"/>
              </w:rPr>
            </w:pPr>
            <w:r w:rsidRPr="00B57E28">
              <w:rPr>
                <w:bCs/>
                <w:sz w:val="18"/>
                <w:szCs w:val="18"/>
              </w:rPr>
              <w:t>47</w:t>
            </w:r>
          </w:p>
        </w:tc>
      </w:tr>
      <w:tr w:rsidR="006B6C0C" w:rsidRPr="006B6C0C" w14:paraId="04AF5E46" w14:textId="77777777" w:rsidTr="00D94EFB">
        <w:trPr>
          <w:cantSplit/>
        </w:trPr>
        <w:tc>
          <w:tcPr>
            <w:tcW w:w="6096" w:type="dxa"/>
          </w:tcPr>
          <w:p w14:paraId="019A2B19" w14:textId="1B9EF774" w:rsidR="006B6C0C" w:rsidRPr="006B6C0C" w:rsidRDefault="00B429E8" w:rsidP="006B6C0C">
            <w:pPr>
              <w:spacing w:after="0" w:line="240" w:lineRule="auto"/>
              <w:rPr>
                <w:rFonts w:ascii="Calibri" w:eastAsia="Times New Roman" w:hAnsi="Calibri" w:cs="Times New Roman"/>
                <w:b/>
                <w:bCs/>
                <w:sz w:val="18"/>
                <w:szCs w:val="18"/>
              </w:rPr>
            </w:pPr>
            <w:r w:rsidRPr="0077010C">
              <w:rPr>
                <w:b/>
                <w:sz w:val="18"/>
                <w:szCs w:val="18"/>
              </w:rPr>
              <w:t>Total Expenses</w:t>
            </w:r>
          </w:p>
        </w:tc>
        <w:tc>
          <w:tcPr>
            <w:tcW w:w="992" w:type="dxa"/>
          </w:tcPr>
          <w:p w14:paraId="12741FDF" w14:textId="77777777" w:rsidR="006B6C0C" w:rsidRPr="006B6C0C" w:rsidRDefault="006B6C0C" w:rsidP="006B6C0C">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4" w:space="0" w:color="auto"/>
            </w:tcBorders>
          </w:tcPr>
          <w:p w14:paraId="0BF773ED" w14:textId="3F251B92" w:rsidR="006B6C0C" w:rsidRPr="00672EDB" w:rsidRDefault="00B57E28" w:rsidP="006B6C0C">
            <w:pPr>
              <w:spacing w:after="0" w:line="240" w:lineRule="auto"/>
              <w:jc w:val="right"/>
              <w:rPr>
                <w:rFonts w:ascii="Calibri" w:eastAsia="Times New Roman" w:hAnsi="Calibri" w:cs="Times New Roman"/>
                <w:b/>
                <w:bCs/>
                <w:sz w:val="18"/>
                <w:szCs w:val="18"/>
                <w:highlight w:val="yellow"/>
              </w:rPr>
            </w:pPr>
            <w:r w:rsidRPr="00B57E28">
              <w:rPr>
                <w:b/>
                <w:sz w:val="18"/>
                <w:szCs w:val="18"/>
              </w:rPr>
              <w:t>3,638</w:t>
            </w:r>
          </w:p>
        </w:tc>
        <w:tc>
          <w:tcPr>
            <w:tcW w:w="1559" w:type="dxa"/>
            <w:tcBorders>
              <w:top w:val="single" w:sz="4" w:space="0" w:color="auto"/>
              <w:bottom w:val="single" w:sz="4" w:space="0" w:color="auto"/>
            </w:tcBorders>
          </w:tcPr>
          <w:p w14:paraId="2F26F5C5" w14:textId="3A994402" w:rsidR="006B6C0C" w:rsidRPr="00672EDB" w:rsidRDefault="00B57E28" w:rsidP="006B6C0C">
            <w:pPr>
              <w:spacing w:after="0" w:line="240" w:lineRule="auto"/>
              <w:jc w:val="right"/>
              <w:rPr>
                <w:rFonts w:ascii="Calibri" w:eastAsia="Times New Roman" w:hAnsi="Calibri" w:cs="Times New Roman"/>
                <w:b/>
                <w:bCs/>
                <w:sz w:val="18"/>
                <w:szCs w:val="18"/>
                <w:highlight w:val="yellow"/>
              </w:rPr>
            </w:pPr>
            <w:r w:rsidRPr="00B57E28">
              <w:rPr>
                <w:b/>
                <w:sz w:val="18"/>
                <w:szCs w:val="18"/>
              </w:rPr>
              <w:t>1,577</w:t>
            </w:r>
          </w:p>
        </w:tc>
      </w:tr>
      <w:tr w:rsidR="00D94EFB" w:rsidRPr="006B6C0C" w14:paraId="100F5E1C" w14:textId="77777777" w:rsidTr="00343D79">
        <w:trPr>
          <w:cantSplit/>
        </w:trPr>
        <w:tc>
          <w:tcPr>
            <w:tcW w:w="6096" w:type="dxa"/>
          </w:tcPr>
          <w:p w14:paraId="2AD1DFCE" w14:textId="77777777" w:rsidR="00D94EFB" w:rsidRPr="0077010C" w:rsidRDefault="00D94EFB" w:rsidP="006B6C0C">
            <w:pPr>
              <w:spacing w:after="0" w:line="240" w:lineRule="auto"/>
              <w:rPr>
                <w:b/>
                <w:sz w:val="18"/>
                <w:szCs w:val="18"/>
              </w:rPr>
            </w:pPr>
          </w:p>
        </w:tc>
        <w:tc>
          <w:tcPr>
            <w:tcW w:w="992" w:type="dxa"/>
          </w:tcPr>
          <w:p w14:paraId="5083A412" w14:textId="77777777" w:rsidR="00D94EFB" w:rsidRPr="006B6C0C" w:rsidRDefault="00D94EFB" w:rsidP="006B6C0C">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2" w:space="0" w:color="auto"/>
            </w:tcBorders>
          </w:tcPr>
          <w:p w14:paraId="653A3641" w14:textId="77777777" w:rsidR="00D94EFB" w:rsidRPr="00B57E28" w:rsidRDefault="00D94EFB" w:rsidP="006B6C0C">
            <w:pPr>
              <w:spacing w:after="0" w:line="240" w:lineRule="auto"/>
              <w:jc w:val="right"/>
              <w:rPr>
                <w:b/>
                <w:sz w:val="18"/>
                <w:szCs w:val="18"/>
              </w:rPr>
            </w:pPr>
          </w:p>
        </w:tc>
        <w:tc>
          <w:tcPr>
            <w:tcW w:w="1559" w:type="dxa"/>
            <w:tcBorders>
              <w:top w:val="single" w:sz="4" w:space="0" w:color="auto"/>
              <w:bottom w:val="single" w:sz="2" w:space="0" w:color="auto"/>
            </w:tcBorders>
          </w:tcPr>
          <w:p w14:paraId="05405527" w14:textId="77777777" w:rsidR="00D94EFB" w:rsidRPr="00B57E28" w:rsidRDefault="00D94EFB" w:rsidP="006B6C0C">
            <w:pPr>
              <w:spacing w:after="0" w:line="240" w:lineRule="auto"/>
              <w:jc w:val="right"/>
              <w:rPr>
                <w:b/>
                <w:sz w:val="18"/>
                <w:szCs w:val="18"/>
              </w:rPr>
            </w:pPr>
          </w:p>
        </w:tc>
      </w:tr>
      <w:tr w:rsidR="00D94EFB" w:rsidRPr="006B6C0C" w14:paraId="40BCA97E" w14:textId="77777777" w:rsidTr="00343D79">
        <w:trPr>
          <w:cantSplit/>
        </w:trPr>
        <w:tc>
          <w:tcPr>
            <w:tcW w:w="6096" w:type="dxa"/>
          </w:tcPr>
          <w:p w14:paraId="031FAD66" w14:textId="04D0B2D4" w:rsidR="00D94EFB" w:rsidRPr="0077010C" w:rsidRDefault="001F6B25" w:rsidP="006B6C0C">
            <w:pPr>
              <w:spacing w:after="0" w:line="240" w:lineRule="auto"/>
              <w:rPr>
                <w:b/>
                <w:sz w:val="18"/>
                <w:szCs w:val="18"/>
              </w:rPr>
            </w:pPr>
            <w:r>
              <w:rPr>
                <w:b/>
                <w:sz w:val="18"/>
                <w:szCs w:val="18"/>
              </w:rPr>
              <w:t>Operating Result</w:t>
            </w:r>
          </w:p>
        </w:tc>
        <w:tc>
          <w:tcPr>
            <w:tcW w:w="992" w:type="dxa"/>
            <w:tcBorders>
              <w:bottom w:val="single" w:sz="12" w:space="0" w:color="492581" w:themeColor="accent1"/>
            </w:tcBorders>
          </w:tcPr>
          <w:p w14:paraId="714BC199" w14:textId="77777777" w:rsidR="00D94EFB" w:rsidRPr="006B6C0C" w:rsidRDefault="00D94EFB" w:rsidP="006B6C0C">
            <w:pPr>
              <w:spacing w:after="0" w:line="240" w:lineRule="auto"/>
              <w:jc w:val="center"/>
              <w:rPr>
                <w:rFonts w:ascii="Calibri" w:eastAsia="Times New Roman" w:hAnsi="Calibri" w:cs="Times New Roman"/>
                <w:b/>
                <w:bCs/>
                <w:sz w:val="18"/>
                <w:szCs w:val="18"/>
              </w:rPr>
            </w:pPr>
          </w:p>
        </w:tc>
        <w:tc>
          <w:tcPr>
            <w:tcW w:w="1134" w:type="dxa"/>
            <w:tcBorders>
              <w:top w:val="single" w:sz="2" w:space="0" w:color="auto"/>
              <w:bottom w:val="single" w:sz="2" w:space="0" w:color="auto"/>
            </w:tcBorders>
          </w:tcPr>
          <w:p w14:paraId="024EF67C" w14:textId="38DC5A90" w:rsidR="00D94EFB" w:rsidRPr="00B57E28" w:rsidRDefault="00620CD8" w:rsidP="006B6C0C">
            <w:pPr>
              <w:spacing w:after="0" w:line="240" w:lineRule="auto"/>
              <w:jc w:val="right"/>
              <w:rPr>
                <w:b/>
                <w:sz w:val="18"/>
                <w:szCs w:val="18"/>
              </w:rPr>
            </w:pPr>
            <w:r>
              <w:rPr>
                <w:b/>
                <w:sz w:val="18"/>
                <w:szCs w:val="18"/>
              </w:rPr>
              <w:t>(211)</w:t>
            </w:r>
          </w:p>
        </w:tc>
        <w:tc>
          <w:tcPr>
            <w:tcW w:w="1559" w:type="dxa"/>
            <w:tcBorders>
              <w:top w:val="single" w:sz="2" w:space="0" w:color="auto"/>
              <w:bottom w:val="single" w:sz="2" w:space="0" w:color="auto"/>
            </w:tcBorders>
          </w:tcPr>
          <w:p w14:paraId="2A52ACD1" w14:textId="12C5E7C8" w:rsidR="00D94EFB" w:rsidRPr="00B57E28" w:rsidRDefault="003F01D1" w:rsidP="006B6C0C">
            <w:pPr>
              <w:spacing w:after="0" w:line="240" w:lineRule="auto"/>
              <w:jc w:val="right"/>
              <w:rPr>
                <w:b/>
                <w:sz w:val="18"/>
                <w:szCs w:val="18"/>
              </w:rPr>
            </w:pPr>
            <w:r>
              <w:rPr>
                <w:b/>
                <w:sz w:val="18"/>
                <w:szCs w:val="18"/>
              </w:rPr>
              <w:t>346</w:t>
            </w:r>
          </w:p>
        </w:tc>
      </w:tr>
      <w:tr w:rsidR="006B6C0C" w:rsidRPr="00104825" w14:paraId="47655186" w14:textId="77777777" w:rsidTr="00104825">
        <w:trPr>
          <w:cantSplit/>
          <w:trHeight w:val="1084"/>
        </w:trPr>
        <w:tc>
          <w:tcPr>
            <w:tcW w:w="9781" w:type="dxa"/>
            <w:gridSpan w:val="4"/>
            <w:tcBorders>
              <w:top w:val="single" w:sz="12" w:space="0" w:color="492581" w:themeColor="accent1"/>
              <w:bottom w:val="single" w:sz="12" w:space="0" w:color="492581" w:themeColor="accent1"/>
            </w:tcBorders>
          </w:tcPr>
          <w:p w14:paraId="476BFF80" w14:textId="77777777" w:rsidR="006B6C0C" w:rsidRPr="00104825" w:rsidRDefault="006B6C0C" w:rsidP="00383F68">
            <w:pPr>
              <w:pStyle w:val="VAText"/>
              <w:tabs>
                <w:tab w:val="left" w:pos="367"/>
              </w:tabs>
              <w:spacing w:before="120" w:after="120"/>
              <w:rPr>
                <w:rFonts w:asciiTheme="minorHAnsi" w:hAnsiTheme="minorHAnsi"/>
                <w:i/>
                <w:sz w:val="17"/>
                <w:szCs w:val="17"/>
              </w:rPr>
            </w:pPr>
            <w:r w:rsidRPr="00104825">
              <w:rPr>
                <w:rFonts w:asciiTheme="minorHAnsi" w:hAnsiTheme="minorHAnsi"/>
                <w:i/>
                <w:sz w:val="17"/>
                <w:szCs w:val="17"/>
                <w:vertAlign w:val="superscript"/>
              </w:rPr>
              <w:t>a</w:t>
            </w:r>
            <w:r w:rsidRPr="00104825">
              <w:rPr>
                <w:rFonts w:asciiTheme="minorHAnsi" w:hAnsiTheme="minorHAnsi"/>
                <w:b/>
                <w:sz w:val="17"/>
                <w:szCs w:val="17"/>
              </w:rPr>
              <w:t xml:space="preserve"> </w:t>
            </w:r>
            <w:r w:rsidRPr="00104825">
              <w:rPr>
                <w:rFonts w:asciiTheme="minorHAnsi" w:hAnsiTheme="minorHAnsi"/>
                <w:i/>
                <w:sz w:val="17"/>
                <w:szCs w:val="17"/>
              </w:rPr>
              <w:t>Gross earned premium is based on gross written premium and any release of unearned premium liability based on actuarial estimates and liability adequacy test.</w:t>
            </w:r>
          </w:p>
          <w:p w14:paraId="28A46FE4" w14:textId="1535BA7A" w:rsidR="006B6C0C" w:rsidRPr="00104825" w:rsidRDefault="00383F68" w:rsidP="006B6C0C">
            <w:pPr>
              <w:tabs>
                <w:tab w:val="left" w:pos="367"/>
              </w:tabs>
              <w:spacing w:after="120" w:line="240" w:lineRule="auto"/>
              <w:jc w:val="both"/>
              <w:rPr>
                <w:rFonts w:ascii="Calibri" w:eastAsia="Times New Roman" w:hAnsi="Calibri" w:cs="Times New Roman"/>
                <w:b/>
                <w:sz w:val="17"/>
                <w:szCs w:val="17"/>
              </w:rPr>
            </w:pPr>
            <w:r w:rsidRPr="00104825">
              <w:rPr>
                <w:i/>
                <w:sz w:val="17"/>
                <w:szCs w:val="17"/>
                <w:vertAlign w:val="superscript"/>
              </w:rPr>
              <w:t>b</w:t>
            </w:r>
            <w:r w:rsidRPr="00104825">
              <w:rPr>
                <w:i/>
                <w:sz w:val="17"/>
                <w:szCs w:val="17"/>
              </w:rPr>
              <w:t xml:space="preserve"> Claims Expense has increased mainly due to a higher number of builder failures/collapses and a higher number of exposed contracts.</w:t>
            </w:r>
          </w:p>
        </w:tc>
      </w:tr>
    </w:tbl>
    <w:p w14:paraId="113EF431" w14:textId="77777777" w:rsidR="00F36599" w:rsidRDefault="006B6C0C" w:rsidP="00F05894">
      <w:pPr>
        <w:spacing w:after="160" w:line="259" w:lineRule="auto"/>
        <w:rPr>
          <w:rFonts w:ascii="Calibri" w:eastAsia="Calibri" w:hAnsi="Calibri" w:cs="Montserrat Semi Bold"/>
          <w:b/>
          <w:bCs/>
          <w:color w:val="000000"/>
          <w:sz w:val="30"/>
          <w:szCs w:val="30"/>
        </w:rPr>
      </w:pPr>
      <w:r w:rsidRPr="006B6C0C">
        <w:rPr>
          <w:rFonts w:ascii="Calibri" w:eastAsia="Calibri" w:hAnsi="Calibri" w:cs="Montserrat Semi Bold"/>
          <w:b/>
          <w:bCs/>
          <w:color w:val="000000"/>
          <w:sz w:val="30"/>
          <w:szCs w:val="30"/>
        </w:rPr>
        <w:br w:type="page"/>
      </w:r>
    </w:p>
    <w:p w14:paraId="1C0E6934" w14:textId="6A87D498" w:rsidR="00B432C7" w:rsidRDefault="00DC1AF2" w:rsidP="00DC1AF2">
      <w:pPr>
        <w:autoSpaceDE w:val="0"/>
        <w:autoSpaceDN w:val="0"/>
        <w:adjustRightInd w:val="0"/>
        <w:spacing w:after="137" w:line="240" w:lineRule="auto"/>
        <w:outlineLvl w:val="0"/>
        <w:rPr>
          <w:rFonts w:ascii="Calibri" w:eastAsia="Calibri" w:hAnsi="Calibri" w:cs="Montserrat Semi Bold"/>
          <w:b/>
          <w:bCs/>
          <w:color w:val="000000"/>
          <w:sz w:val="30"/>
          <w:szCs w:val="30"/>
        </w:rPr>
      </w:pPr>
      <w:r w:rsidRPr="006B6C0C">
        <w:rPr>
          <w:rFonts w:ascii="Calibri" w:eastAsia="Calibri" w:hAnsi="Calibri" w:cs="Montserrat Semi Bold"/>
          <w:b/>
          <w:bCs/>
          <w:color w:val="000000"/>
          <w:sz w:val="30"/>
          <w:szCs w:val="30"/>
        </w:rPr>
        <w:lastRenderedPageBreak/>
        <w:t>NOTE 2</w:t>
      </w:r>
      <w:r>
        <w:rPr>
          <w:rFonts w:ascii="Calibri" w:eastAsia="Calibri" w:hAnsi="Calibri" w:cs="Montserrat Semi Bold"/>
          <w:b/>
          <w:bCs/>
          <w:color w:val="000000"/>
          <w:sz w:val="30"/>
          <w:szCs w:val="30"/>
        </w:rPr>
        <w:t>1</w:t>
      </w:r>
      <w:r w:rsidRPr="006B6C0C">
        <w:rPr>
          <w:rFonts w:ascii="Calibri" w:eastAsia="Calibri" w:hAnsi="Calibri" w:cs="Montserrat Semi Bold"/>
          <w:b/>
          <w:bCs/>
          <w:color w:val="000000"/>
          <w:sz w:val="30"/>
          <w:szCs w:val="30"/>
        </w:rPr>
        <w:t>. BUILDERS WARRANTY INSURANCE</w:t>
      </w:r>
      <w:r>
        <w:rPr>
          <w:rFonts w:ascii="Calibri" w:eastAsia="Calibri" w:hAnsi="Calibri" w:cs="Montserrat Semi Bold"/>
          <w:b/>
          <w:bCs/>
          <w:color w:val="000000"/>
          <w:sz w:val="30"/>
          <w:szCs w:val="30"/>
        </w:rPr>
        <w:t xml:space="preserve"> - CONTINUED</w:t>
      </w:r>
    </w:p>
    <w:tbl>
      <w:tblPr>
        <w:tblW w:w="9781" w:type="dxa"/>
        <w:tblInd w:w="-142" w:type="dxa"/>
        <w:tblLayout w:type="fixed"/>
        <w:tblLook w:val="0000" w:firstRow="0" w:lastRow="0" w:firstColumn="0" w:lastColumn="0" w:noHBand="0" w:noVBand="0"/>
      </w:tblPr>
      <w:tblGrid>
        <w:gridCol w:w="6238"/>
        <w:gridCol w:w="992"/>
        <w:gridCol w:w="992"/>
        <w:gridCol w:w="1559"/>
      </w:tblGrid>
      <w:tr w:rsidR="00DC1AF2" w:rsidRPr="00733529" w14:paraId="71789A25" w14:textId="77777777" w:rsidTr="00104825">
        <w:trPr>
          <w:cantSplit/>
        </w:trPr>
        <w:tc>
          <w:tcPr>
            <w:tcW w:w="6238" w:type="dxa"/>
            <w:tcBorders>
              <w:top w:val="single" w:sz="12" w:space="0" w:color="492581" w:themeColor="accent1"/>
              <w:bottom w:val="single" w:sz="12" w:space="0" w:color="492581" w:themeColor="accent1"/>
            </w:tcBorders>
            <w:vAlign w:val="bottom"/>
          </w:tcPr>
          <w:p w14:paraId="32DA8472" w14:textId="77777777" w:rsidR="00DC1AF2" w:rsidRPr="00733529" w:rsidRDefault="00DC1AF2">
            <w:pPr>
              <w:spacing w:after="0" w:line="240" w:lineRule="auto"/>
              <w:ind w:left="34"/>
              <w:rPr>
                <w:rFonts w:ascii="Calibri" w:eastAsia="Times New Roman" w:hAnsi="Calibri" w:cs="Times New Roman"/>
                <w:b/>
                <w:bCs/>
                <w:sz w:val="22"/>
                <w:szCs w:val="22"/>
              </w:rPr>
            </w:pPr>
            <w:r w:rsidRPr="00733529">
              <w:rPr>
                <w:rFonts w:ascii="Calibri" w:eastAsia="Times New Roman" w:hAnsi="Calibri" w:cs="Times New Roman"/>
                <w:b/>
                <w:sz w:val="22"/>
                <w:szCs w:val="22"/>
              </w:rPr>
              <w:t xml:space="preserve">Balance Sheet </w:t>
            </w:r>
          </w:p>
        </w:tc>
        <w:tc>
          <w:tcPr>
            <w:tcW w:w="992" w:type="dxa"/>
            <w:tcBorders>
              <w:top w:val="single" w:sz="12" w:space="0" w:color="492581" w:themeColor="accent1"/>
              <w:bottom w:val="single" w:sz="12" w:space="0" w:color="492581" w:themeColor="accent1"/>
            </w:tcBorders>
            <w:vAlign w:val="bottom"/>
          </w:tcPr>
          <w:p w14:paraId="0417D6E5" w14:textId="77777777" w:rsidR="00DC1AF2" w:rsidRPr="00733529" w:rsidRDefault="00DC1AF2" w:rsidP="00B712B0">
            <w:pPr>
              <w:spacing w:after="0" w:line="240" w:lineRule="auto"/>
              <w:jc w:val="center"/>
              <w:rPr>
                <w:rFonts w:ascii="Calibri" w:eastAsia="Times New Roman" w:hAnsi="Calibri" w:cs="Times New Roman"/>
                <w:b/>
                <w:sz w:val="18"/>
                <w:szCs w:val="18"/>
              </w:rPr>
            </w:pPr>
            <w:r w:rsidRPr="00733529">
              <w:rPr>
                <w:rFonts w:ascii="Calibri" w:eastAsia="Times New Roman" w:hAnsi="Calibri" w:cs="Times New Roman"/>
                <w:b/>
                <w:sz w:val="18"/>
                <w:szCs w:val="18"/>
              </w:rPr>
              <w:t>Note</w:t>
            </w:r>
          </w:p>
          <w:p w14:paraId="219BBBA0" w14:textId="77777777" w:rsidR="00DC1AF2" w:rsidRPr="00733529" w:rsidRDefault="00DC1AF2" w:rsidP="00B712B0">
            <w:pPr>
              <w:spacing w:after="0" w:line="240" w:lineRule="auto"/>
              <w:jc w:val="center"/>
              <w:rPr>
                <w:rFonts w:ascii="Calibri" w:eastAsia="Times New Roman" w:hAnsi="Calibri" w:cs="Times New Roman"/>
                <w:b/>
                <w:sz w:val="18"/>
                <w:szCs w:val="18"/>
              </w:rPr>
            </w:pPr>
            <w:r w:rsidRPr="00733529">
              <w:rPr>
                <w:rFonts w:ascii="Calibri" w:eastAsia="Times New Roman" w:hAnsi="Calibri" w:cs="Times New Roman"/>
                <w:b/>
                <w:sz w:val="18"/>
                <w:szCs w:val="18"/>
              </w:rPr>
              <w:t>No.</w:t>
            </w:r>
          </w:p>
        </w:tc>
        <w:tc>
          <w:tcPr>
            <w:tcW w:w="992" w:type="dxa"/>
            <w:tcBorders>
              <w:top w:val="single" w:sz="12" w:space="0" w:color="492581" w:themeColor="accent1"/>
              <w:bottom w:val="single" w:sz="12" w:space="0" w:color="492581" w:themeColor="accent1"/>
            </w:tcBorders>
            <w:vAlign w:val="bottom"/>
          </w:tcPr>
          <w:p w14:paraId="6E79B7F2" w14:textId="77777777" w:rsidR="00DC1AF2" w:rsidRPr="00733529" w:rsidRDefault="00DC1AF2">
            <w:pPr>
              <w:spacing w:after="0" w:line="240" w:lineRule="auto"/>
              <w:jc w:val="right"/>
              <w:rPr>
                <w:rFonts w:ascii="Calibri" w:eastAsia="Times New Roman" w:hAnsi="Calibri" w:cs="Times New Roman"/>
                <w:b/>
                <w:sz w:val="18"/>
                <w:szCs w:val="18"/>
              </w:rPr>
            </w:pPr>
            <w:r w:rsidRPr="00733529">
              <w:rPr>
                <w:rFonts w:ascii="Calibri" w:eastAsia="Times New Roman" w:hAnsi="Calibri" w:cs="Times New Roman"/>
                <w:b/>
                <w:sz w:val="18"/>
                <w:szCs w:val="18"/>
              </w:rPr>
              <w:t>2024</w:t>
            </w:r>
          </w:p>
          <w:p w14:paraId="4E92C26A" w14:textId="77777777" w:rsidR="00DC1AF2" w:rsidRPr="00733529" w:rsidRDefault="00DC1AF2">
            <w:pPr>
              <w:spacing w:after="0" w:line="240" w:lineRule="auto"/>
              <w:jc w:val="right"/>
              <w:rPr>
                <w:rFonts w:ascii="Calibri" w:eastAsia="Times New Roman" w:hAnsi="Calibri" w:cs="Times New Roman"/>
                <w:b/>
                <w:sz w:val="18"/>
                <w:szCs w:val="18"/>
              </w:rPr>
            </w:pPr>
            <w:r w:rsidRPr="00733529">
              <w:rPr>
                <w:rFonts w:ascii="Calibri" w:eastAsia="Times New Roman" w:hAnsi="Calibri" w:cs="Times New Roman"/>
                <w:b/>
                <w:sz w:val="18"/>
                <w:szCs w:val="18"/>
              </w:rPr>
              <w:t>$’000</w:t>
            </w:r>
          </w:p>
        </w:tc>
        <w:tc>
          <w:tcPr>
            <w:tcW w:w="1559" w:type="dxa"/>
            <w:tcBorders>
              <w:top w:val="single" w:sz="12" w:space="0" w:color="492581" w:themeColor="accent1"/>
              <w:bottom w:val="single" w:sz="12" w:space="0" w:color="492581" w:themeColor="accent1"/>
            </w:tcBorders>
          </w:tcPr>
          <w:p w14:paraId="6F392DF4" w14:textId="77777777" w:rsidR="00DC1AF2" w:rsidRPr="00733529" w:rsidRDefault="00DC1AF2">
            <w:pPr>
              <w:spacing w:after="0" w:line="240" w:lineRule="auto"/>
              <w:jc w:val="right"/>
              <w:rPr>
                <w:rFonts w:ascii="Calibri" w:eastAsia="Times New Roman" w:hAnsi="Calibri" w:cs="Times New Roman"/>
                <w:b/>
                <w:sz w:val="18"/>
                <w:szCs w:val="18"/>
              </w:rPr>
            </w:pPr>
            <w:r w:rsidRPr="00733529">
              <w:rPr>
                <w:rFonts w:ascii="Calibri" w:eastAsia="Times New Roman" w:hAnsi="Calibri" w:cs="Times New Roman"/>
                <w:b/>
                <w:sz w:val="18"/>
                <w:szCs w:val="18"/>
              </w:rPr>
              <w:t>2023</w:t>
            </w:r>
          </w:p>
          <w:p w14:paraId="7FA4D47C" w14:textId="77777777" w:rsidR="00DC1AF2" w:rsidRPr="00733529" w:rsidRDefault="00DC1AF2">
            <w:pPr>
              <w:spacing w:after="0" w:line="240" w:lineRule="auto"/>
              <w:jc w:val="right"/>
              <w:rPr>
                <w:rFonts w:ascii="Calibri" w:eastAsia="Times New Roman" w:hAnsi="Calibri" w:cs="Times New Roman"/>
                <w:b/>
                <w:sz w:val="18"/>
                <w:szCs w:val="18"/>
              </w:rPr>
            </w:pPr>
            <w:r w:rsidRPr="00733529">
              <w:rPr>
                <w:rFonts w:ascii="Calibri" w:eastAsia="Times New Roman" w:hAnsi="Calibri" w:cs="Times New Roman"/>
                <w:b/>
                <w:sz w:val="18"/>
                <w:szCs w:val="18"/>
              </w:rPr>
              <w:t>$’000</w:t>
            </w:r>
          </w:p>
        </w:tc>
      </w:tr>
      <w:tr w:rsidR="00DC1AF2" w:rsidRPr="00733529" w14:paraId="2ADF460C" w14:textId="77777777" w:rsidTr="00104825">
        <w:trPr>
          <w:cantSplit/>
        </w:trPr>
        <w:tc>
          <w:tcPr>
            <w:tcW w:w="8222" w:type="dxa"/>
            <w:gridSpan w:val="3"/>
            <w:tcBorders>
              <w:top w:val="single" w:sz="12" w:space="0" w:color="492581" w:themeColor="accent1"/>
            </w:tcBorders>
            <w:vAlign w:val="center"/>
          </w:tcPr>
          <w:p w14:paraId="3ABE7C72" w14:textId="77777777" w:rsidR="00DC1AF2" w:rsidRPr="00733529" w:rsidRDefault="00DC1AF2">
            <w:pPr>
              <w:spacing w:after="0" w:line="240" w:lineRule="auto"/>
              <w:rPr>
                <w:rFonts w:ascii="Calibri" w:eastAsia="Times New Roman" w:hAnsi="Calibri" w:cs="Times New Roman"/>
                <w:b/>
                <w:sz w:val="18"/>
                <w:szCs w:val="18"/>
              </w:rPr>
            </w:pPr>
            <w:r w:rsidRPr="00733529">
              <w:rPr>
                <w:rFonts w:ascii="Calibri" w:eastAsia="Times New Roman" w:hAnsi="Calibri" w:cs="Times New Roman"/>
                <w:sz w:val="18"/>
                <w:szCs w:val="18"/>
              </w:rPr>
              <w:t xml:space="preserve">The figures below are included in the Authority’s Balance Sheet </w:t>
            </w:r>
          </w:p>
        </w:tc>
        <w:tc>
          <w:tcPr>
            <w:tcW w:w="1559" w:type="dxa"/>
            <w:tcBorders>
              <w:top w:val="single" w:sz="12" w:space="0" w:color="492581" w:themeColor="accent1"/>
            </w:tcBorders>
          </w:tcPr>
          <w:p w14:paraId="38B8F6C2" w14:textId="77777777" w:rsidR="00DC1AF2" w:rsidRPr="00733529" w:rsidRDefault="00DC1AF2">
            <w:pPr>
              <w:spacing w:after="0" w:line="240" w:lineRule="auto"/>
              <w:rPr>
                <w:rFonts w:ascii="Calibri" w:eastAsia="Times New Roman" w:hAnsi="Calibri" w:cs="Times New Roman"/>
                <w:sz w:val="18"/>
                <w:szCs w:val="18"/>
              </w:rPr>
            </w:pPr>
          </w:p>
        </w:tc>
      </w:tr>
      <w:tr w:rsidR="00DC1AF2" w:rsidRPr="00733529" w14:paraId="6F5E1B9F" w14:textId="77777777">
        <w:trPr>
          <w:cantSplit/>
        </w:trPr>
        <w:tc>
          <w:tcPr>
            <w:tcW w:w="8222" w:type="dxa"/>
            <w:gridSpan w:val="3"/>
            <w:vAlign w:val="center"/>
          </w:tcPr>
          <w:p w14:paraId="528EFE78"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Assets:</w:t>
            </w:r>
          </w:p>
        </w:tc>
        <w:tc>
          <w:tcPr>
            <w:tcW w:w="1559" w:type="dxa"/>
          </w:tcPr>
          <w:p w14:paraId="52C51FB4" w14:textId="77777777" w:rsidR="00DC1AF2" w:rsidRPr="00733529" w:rsidRDefault="00DC1AF2">
            <w:pPr>
              <w:spacing w:after="0" w:line="240" w:lineRule="auto"/>
              <w:rPr>
                <w:rFonts w:ascii="Calibri" w:eastAsia="Times New Roman" w:hAnsi="Calibri" w:cs="Times New Roman"/>
                <w:sz w:val="18"/>
                <w:szCs w:val="18"/>
              </w:rPr>
            </w:pPr>
          </w:p>
        </w:tc>
      </w:tr>
      <w:tr w:rsidR="00DC1AF2" w:rsidRPr="00733529" w14:paraId="0A450F0A" w14:textId="77777777">
        <w:trPr>
          <w:cantSplit/>
        </w:trPr>
        <w:tc>
          <w:tcPr>
            <w:tcW w:w="6238" w:type="dxa"/>
          </w:tcPr>
          <w:p w14:paraId="08569DCC" w14:textId="77777777" w:rsidR="00DC1AF2" w:rsidRPr="00733529" w:rsidRDefault="00DC1AF2">
            <w:pPr>
              <w:tabs>
                <w:tab w:val="left" w:pos="459"/>
              </w:tabs>
              <w:spacing w:after="0" w:line="240" w:lineRule="auto"/>
              <w:rPr>
                <w:rFonts w:ascii="Calibri" w:eastAsia="Times New Roman" w:hAnsi="Calibri" w:cs="Times New Roman"/>
                <w:b/>
                <w:i/>
                <w:iCs/>
                <w:sz w:val="18"/>
                <w:szCs w:val="18"/>
                <w:vertAlign w:val="superscript"/>
              </w:rPr>
            </w:pPr>
            <w:r w:rsidRPr="00733529">
              <w:rPr>
                <w:rFonts w:ascii="Calibri" w:eastAsia="Times New Roman" w:hAnsi="Calibri" w:cs="Times New Roman"/>
                <w:sz w:val="18"/>
                <w:szCs w:val="18"/>
              </w:rPr>
              <w:t xml:space="preserve">Cash </w:t>
            </w:r>
            <w:r w:rsidRPr="00733529">
              <w:rPr>
                <w:rFonts w:ascii="Calibri" w:eastAsia="Times New Roman" w:hAnsi="Calibri" w:cs="Times New Roman"/>
                <w:sz w:val="18"/>
                <w:szCs w:val="18"/>
                <w:vertAlign w:val="superscript"/>
              </w:rPr>
              <w:t>a</w:t>
            </w:r>
          </w:p>
        </w:tc>
        <w:tc>
          <w:tcPr>
            <w:tcW w:w="992" w:type="dxa"/>
          </w:tcPr>
          <w:p w14:paraId="7DF05879" w14:textId="77777777" w:rsidR="00DC1AF2" w:rsidRPr="00733529" w:rsidRDefault="00DC1AF2">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11</w:t>
            </w:r>
          </w:p>
        </w:tc>
        <w:tc>
          <w:tcPr>
            <w:tcW w:w="992" w:type="dxa"/>
          </w:tcPr>
          <w:p w14:paraId="087F1119"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7,332</w:t>
            </w:r>
          </w:p>
        </w:tc>
        <w:tc>
          <w:tcPr>
            <w:tcW w:w="1559" w:type="dxa"/>
          </w:tcPr>
          <w:p w14:paraId="0DBF985E"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6,507</w:t>
            </w:r>
          </w:p>
        </w:tc>
      </w:tr>
      <w:tr w:rsidR="00DC1AF2" w:rsidRPr="00733529" w14:paraId="66B0BE61" w14:textId="77777777">
        <w:trPr>
          <w:cantSplit/>
        </w:trPr>
        <w:tc>
          <w:tcPr>
            <w:tcW w:w="6238" w:type="dxa"/>
          </w:tcPr>
          <w:p w14:paraId="165EB1A6"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Current Claims Related Recoveries</w:t>
            </w:r>
          </w:p>
        </w:tc>
        <w:tc>
          <w:tcPr>
            <w:tcW w:w="992" w:type="dxa"/>
          </w:tcPr>
          <w:p w14:paraId="49D1FDED" w14:textId="77777777" w:rsidR="00DC1AF2" w:rsidRPr="00733529" w:rsidRDefault="00DC1AF2">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13</w:t>
            </w:r>
          </w:p>
        </w:tc>
        <w:tc>
          <w:tcPr>
            <w:tcW w:w="992" w:type="dxa"/>
          </w:tcPr>
          <w:p w14:paraId="18075806"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71</w:t>
            </w:r>
          </w:p>
        </w:tc>
        <w:tc>
          <w:tcPr>
            <w:tcW w:w="1559" w:type="dxa"/>
          </w:tcPr>
          <w:p w14:paraId="6CC8995F"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23</w:t>
            </w:r>
          </w:p>
        </w:tc>
      </w:tr>
      <w:tr w:rsidR="00DC1AF2" w:rsidRPr="00733529" w14:paraId="5A03E8EE" w14:textId="77777777">
        <w:trPr>
          <w:cantSplit/>
        </w:trPr>
        <w:tc>
          <w:tcPr>
            <w:tcW w:w="6238" w:type="dxa"/>
          </w:tcPr>
          <w:p w14:paraId="25848C98"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sz w:val="18"/>
                <w:szCs w:val="18"/>
              </w:rPr>
              <w:t>Current Receivable</w:t>
            </w:r>
          </w:p>
        </w:tc>
        <w:tc>
          <w:tcPr>
            <w:tcW w:w="992" w:type="dxa"/>
          </w:tcPr>
          <w:p w14:paraId="691278A3" w14:textId="77777777" w:rsidR="00DC1AF2" w:rsidRPr="00733529" w:rsidRDefault="00DC1AF2">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12</w:t>
            </w:r>
          </w:p>
        </w:tc>
        <w:tc>
          <w:tcPr>
            <w:tcW w:w="992" w:type="dxa"/>
          </w:tcPr>
          <w:p w14:paraId="04AAE1C1"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92</w:t>
            </w:r>
          </w:p>
        </w:tc>
        <w:tc>
          <w:tcPr>
            <w:tcW w:w="1559" w:type="dxa"/>
          </w:tcPr>
          <w:p w14:paraId="2AA3691B"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437</w:t>
            </w:r>
          </w:p>
        </w:tc>
      </w:tr>
      <w:tr w:rsidR="00DC1AF2" w:rsidRPr="00733529" w14:paraId="49FE1CCA" w14:textId="77777777">
        <w:trPr>
          <w:cantSplit/>
        </w:trPr>
        <w:tc>
          <w:tcPr>
            <w:tcW w:w="6238" w:type="dxa"/>
          </w:tcPr>
          <w:p w14:paraId="630BCE2C" w14:textId="77777777" w:rsidR="00DC1AF2" w:rsidRPr="00733529" w:rsidRDefault="00DC1AF2">
            <w:pPr>
              <w:spacing w:after="0" w:line="240" w:lineRule="auto"/>
              <w:rPr>
                <w:rFonts w:ascii="Calibri" w:eastAsia="Times New Roman" w:hAnsi="Calibri" w:cs="Times New Roman"/>
                <w:sz w:val="18"/>
                <w:szCs w:val="18"/>
              </w:rPr>
            </w:pPr>
            <w:r w:rsidRPr="00733529">
              <w:rPr>
                <w:rFonts w:ascii="Calibri" w:eastAsia="Times New Roman" w:hAnsi="Calibri" w:cs="Times New Roman"/>
                <w:sz w:val="18"/>
                <w:szCs w:val="18"/>
              </w:rPr>
              <w:t>Non-Current Claims Related Recoveries</w:t>
            </w:r>
          </w:p>
        </w:tc>
        <w:tc>
          <w:tcPr>
            <w:tcW w:w="992" w:type="dxa"/>
          </w:tcPr>
          <w:p w14:paraId="56F15469" w14:textId="77777777" w:rsidR="00DC1AF2" w:rsidRPr="00733529" w:rsidRDefault="00DC1AF2">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13</w:t>
            </w:r>
          </w:p>
        </w:tc>
        <w:tc>
          <w:tcPr>
            <w:tcW w:w="992" w:type="dxa"/>
            <w:tcBorders>
              <w:bottom w:val="single" w:sz="4" w:space="0" w:color="auto"/>
            </w:tcBorders>
          </w:tcPr>
          <w:p w14:paraId="0340259A"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137</w:t>
            </w:r>
          </w:p>
        </w:tc>
        <w:tc>
          <w:tcPr>
            <w:tcW w:w="1559" w:type="dxa"/>
            <w:tcBorders>
              <w:bottom w:val="single" w:sz="4" w:space="0" w:color="auto"/>
            </w:tcBorders>
          </w:tcPr>
          <w:p w14:paraId="4EEF362C" w14:textId="77777777" w:rsidR="00DC1AF2" w:rsidRPr="00733529" w:rsidRDefault="00DC1AF2">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39</w:t>
            </w:r>
          </w:p>
        </w:tc>
      </w:tr>
      <w:tr w:rsidR="00DC1AF2" w:rsidRPr="00733529" w14:paraId="25970C71" w14:textId="77777777">
        <w:trPr>
          <w:cantSplit/>
        </w:trPr>
        <w:tc>
          <w:tcPr>
            <w:tcW w:w="6238" w:type="dxa"/>
          </w:tcPr>
          <w:p w14:paraId="34A343F4"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Total Assets</w:t>
            </w:r>
          </w:p>
        </w:tc>
        <w:tc>
          <w:tcPr>
            <w:tcW w:w="992" w:type="dxa"/>
          </w:tcPr>
          <w:p w14:paraId="7672C7EC" w14:textId="77777777" w:rsidR="00DC1AF2" w:rsidRPr="00733529" w:rsidRDefault="00DC1AF2">
            <w:pPr>
              <w:tabs>
                <w:tab w:val="right" w:pos="742"/>
              </w:tabs>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2C6C923C"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7,632</w:t>
            </w:r>
          </w:p>
        </w:tc>
        <w:tc>
          <w:tcPr>
            <w:tcW w:w="1559" w:type="dxa"/>
            <w:tcBorders>
              <w:top w:val="single" w:sz="4" w:space="0" w:color="auto"/>
              <w:bottom w:val="single" w:sz="4" w:space="0" w:color="auto"/>
            </w:tcBorders>
          </w:tcPr>
          <w:p w14:paraId="5C32D80B"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7,006</w:t>
            </w:r>
          </w:p>
        </w:tc>
      </w:tr>
      <w:tr w:rsidR="00DC1AF2" w:rsidRPr="00733529" w14:paraId="176E6D65" w14:textId="77777777">
        <w:trPr>
          <w:cantSplit/>
        </w:trPr>
        <w:tc>
          <w:tcPr>
            <w:tcW w:w="6238" w:type="dxa"/>
          </w:tcPr>
          <w:p w14:paraId="2EC51ADA" w14:textId="77777777" w:rsidR="00DC1AF2" w:rsidRPr="00733529" w:rsidRDefault="00DC1AF2">
            <w:pPr>
              <w:spacing w:after="0" w:line="240" w:lineRule="auto"/>
              <w:rPr>
                <w:rFonts w:ascii="Calibri" w:eastAsia="Times New Roman" w:hAnsi="Calibri" w:cs="Times New Roman"/>
                <w:b/>
                <w:bCs/>
                <w:sz w:val="18"/>
                <w:szCs w:val="18"/>
              </w:rPr>
            </w:pPr>
          </w:p>
        </w:tc>
        <w:tc>
          <w:tcPr>
            <w:tcW w:w="992" w:type="dxa"/>
          </w:tcPr>
          <w:p w14:paraId="5AA3E1D4" w14:textId="77777777" w:rsidR="00DC1AF2" w:rsidRPr="00733529" w:rsidRDefault="00DC1AF2">
            <w:pPr>
              <w:tabs>
                <w:tab w:val="right" w:pos="742"/>
              </w:tabs>
              <w:spacing w:after="0" w:line="240" w:lineRule="auto"/>
              <w:jc w:val="center"/>
              <w:rPr>
                <w:rFonts w:ascii="Calibri" w:eastAsia="Times New Roman" w:hAnsi="Calibri" w:cs="Times New Roman"/>
                <w:b/>
                <w:bCs/>
                <w:sz w:val="18"/>
                <w:szCs w:val="18"/>
              </w:rPr>
            </w:pPr>
          </w:p>
        </w:tc>
        <w:tc>
          <w:tcPr>
            <w:tcW w:w="992" w:type="dxa"/>
            <w:tcBorders>
              <w:top w:val="single" w:sz="4" w:space="0" w:color="auto"/>
            </w:tcBorders>
          </w:tcPr>
          <w:p w14:paraId="5C1B6A8A"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p>
        </w:tc>
        <w:tc>
          <w:tcPr>
            <w:tcW w:w="1559" w:type="dxa"/>
            <w:tcBorders>
              <w:top w:val="single" w:sz="4" w:space="0" w:color="auto"/>
            </w:tcBorders>
          </w:tcPr>
          <w:p w14:paraId="22D318E2"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p>
        </w:tc>
      </w:tr>
      <w:tr w:rsidR="00DC1AF2" w:rsidRPr="00733529" w14:paraId="557A2898" w14:textId="77777777">
        <w:trPr>
          <w:cantSplit/>
        </w:trPr>
        <w:tc>
          <w:tcPr>
            <w:tcW w:w="6238" w:type="dxa"/>
          </w:tcPr>
          <w:p w14:paraId="026786A0"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Liabilities:</w:t>
            </w:r>
          </w:p>
        </w:tc>
        <w:tc>
          <w:tcPr>
            <w:tcW w:w="992" w:type="dxa"/>
          </w:tcPr>
          <w:p w14:paraId="58A44DD0" w14:textId="77777777" w:rsidR="00DC1AF2" w:rsidRPr="00733529" w:rsidRDefault="00DC1AF2">
            <w:pPr>
              <w:tabs>
                <w:tab w:val="right" w:pos="742"/>
              </w:tabs>
              <w:spacing w:after="0" w:line="240" w:lineRule="auto"/>
              <w:jc w:val="center"/>
              <w:rPr>
                <w:rFonts w:ascii="Calibri" w:eastAsia="Times New Roman" w:hAnsi="Calibri" w:cs="Times New Roman"/>
                <w:b/>
                <w:bCs/>
                <w:sz w:val="18"/>
                <w:szCs w:val="18"/>
              </w:rPr>
            </w:pPr>
          </w:p>
        </w:tc>
        <w:tc>
          <w:tcPr>
            <w:tcW w:w="992" w:type="dxa"/>
          </w:tcPr>
          <w:p w14:paraId="324A0C6B"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p>
        </w:tc>
        <w:tc>
          <w:tcPr>
            <w:tcW w:w="1559" w:type="dxa"/>
          </w:tcPr>
          <w:p w14:paraId="5DCB25E8"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p>
        </w:tc>
      </w:tr>
      <w:tr w:rsidR="00DC1AF2" w:rsidRPr="00733529" w14:paraId="705994E4" w14:textId="77777777">
        <w:trPr>
          <w:cantSplit/>
        </w:trPr>
        <w:tc>
          <w:tcPr>
            <w:tcW w:w="6238" w:type="dxa"/>
          </w:tcPr>
          <w:p w14:paraId="4A743DF6"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Other Liabilities (Accrued Expenses)</w:t>
            </w:r>
          </w:p>
        </w:tc>
        <w:tc>
          <w:tcPr>
            <w:tcW w:w="992" w:type="dxa"/>
          </w:tcPr>
          <w:p w14:paraId="6879F209" w14:textId="77777777" w:rsidR="00DC1AF2" w:rsidRPr="00733529" w:rsidRDefault="00DC1AF2">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992" w:type="dxa"/>
          </w:tcPr>
          <w:p w14:paraId="29474426" w14:textId="77777777" w:rsidR="00DC1AF2" w:rsidRPr="00733529" w:rsidRDefault="00DC1AF2">
            <w:pPr>
              <w:spacing w:after="0" w:line="240" w:lineRule="auto"/>
              <w:jc w:val="right"/>
              <w:rPr>
                <w:rFonts w:ascii="Calibri" w:eastAsia="Times New Roman" w:hAnsi="Calibri" w:cs="Times New Roman"/>
                <w:bCs/>
                <w:sz w:val="18"/>
                <w:szCs w:val="18"/>
              </w:rPr>
            </w:pPr>
            <w:r w:rsidRPr="00733529">
              <w:rPr>
                <w:rFonts w:ascii="Calibri" w:eastAsia="Times New Roman" w:hAnsi="Calibri" w:cs="Times New Roman"/>
                <w:bCs/>
                <w:sz w:val="18"/>
                <w:szCs w:val="18"/>
              </w:rPr>
              <w:t>224</w:t>
            </w:r>
          </w:p>
        </w:tc>
        <w:tc>
          <w:tcPr>
            <w:tcW w:w="1559" w:type="dxa"/>
          </w:tcPr>
          <w:p w14:paraId="2E0E2977" w14:textId="77777777" w:rsidR="00DC1AF2" w:rsidRPr="00733529" w:rsidRDefault="00DC1AF2">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414</w:t>
            </w:r>
          </w:p>
        </w:tc>
      </w:tr>
      <w:tr w:rsidR="00DC1AF2" w:rsidRPr="00733529" w14:paraId="7EF471D7" w14:textId="77777777">
        <w:trPr>
          <w:cantSplit/>
        </w:trPr>
        <w:tc>
          <w:tcPr>
            <w:tcW w:w="6238" w:type="dxa"/>
          </w:tcPr>
          <w:p w14:paraId="37B1E6CA"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Current Unearned Premium Liabilities </w:t>
            </w:r>
            <w:r w:rsidRPr="00733529">
              <w:rPr>
                <w:rFonts w:ascii="Calibri" w:eastAsia="Times New Roman" w:hAnsi="Calibri" w:cs="Times New Roman"/>
                <w:bCs/>
                <w:sz w:val="18"/>
                <w:szCs w:val="18"/>
                <w:vertAlign w:val="superscript"/>
              </w:rPr>
              <w:t>b</w:t>
            </w:r>
          </w:p>
        </w:tc>
        <w:tc>
          <w:tcPr>
            <w:tcW w:w="992" w:type="dxa"/>
          </w:tcPr>
          <w:p w14:paraId="3EEFA5E1" w14:textId="77777777" w:rsidR="00DC1AF2" w:rsidRPr="00733529" w:rsidRDefault="00DC1AF2">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992" w:type="dxa"/>
          </w:tcPr>
          <w:p w14:paraId="0ABB820E" w14:textId="77777777" w:rsidR="00DC1AF2" w:rsidRPr="00733529" w:rsidRDefault="00DC1AF2">
            <w:pPr>
              <w:spacing w:after="0" w:line="240" w:lineRule="auto"/>
              <w:jc w:val="right"/>
              <w:rPr>
                <w:rFonts w:ascii="Calibri" w:eastAsia="Times New Roman" w:hAnsi="Calibri" w:cs="Times New Roman"/>
                <w:bCs/>
                <w:sz w:val="18"/>
                <w:szCs w:val="18"/>
              </w:rPr>
            </w:pPr>
            <w:r w:rsidRPr="00733529">
              <w:rPr>
                <w:rFonts w:ascii="Calibri" w:eastAsia="Times New Roman" w:hAnsi="Calibri" w:cs="Times New Roman"/>
                <w:bCs/>
                <w:sz w:val="18"/>
                <w:szCs w:val="18"/>
              </w:rPr>
              <w:t>1,328</w:t>
            </w:r>
          </w:p>
        </w:tc>
        <w:tc>
          <w:tcPr>
            <w:tcW w:w="1559" w:type="dxa"/>
          </w:tcPr>
          <w:p w14:paraId="56791A57" w14:textId="77777777" w:rsidR="00DC1AF2" w:rsidRPr="00733529" w:rsidRDefault="00DC1AF2">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1,416</w:t>
            </w:r>
          </w:p>
        </w:tc>
      </w:tr>
      <w:tr w:rsidR="00DC1AF2" w:rsidRPr="00733529" w14:paraId="0FEE9D96" w14:textId="77777777">
        <w:trPr>
          <w:cantSplit/>
        </w:trPr>
        <w:tc>
          <w:tcPr>
            <w:tcW w:w="6238" w:type="dxa"/>
          </w:tcPr>
          <w:p w14:paraId="02C03713"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Current Outstanding Claims Liabilities </w:t>
            </w:r>
            <w:r w:rsidRPr="00733529">
              <w:rPr>
                <w:rFonts w:ascii="Calibri" w:eastAsia="Times New Roman" w:hAnsi="Calibri" w:cs="Times New Roman"/>
                <w:bCs/>
                <w:sz w:val="18"/>
                <w:szCs w:val="18"/>
                <w:vertAlign w:val="superscript"/>
              </w:rPr>
              <w:t>c</w:t>
            </w:r>
          </w:p>
        </w:tc>
        <w:tc>
          <w:tcPr>
            <w:tcW w:w="992" w:type="dxa"/>
          </w:tcPr>
          <w:p w14:paraId="230D9205" w14:textId="77777777" w:rsidR="00DC1AF2" w:rsidRPr="00733529" w:rsidRDefault="00DC1AF2">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15</w:t>
            </w:r>
          </w:p>
        </w:tc>
        <w:tc>
          <w:tcPr>
            <w:tcW w:w="992" w:type="dxa"/>
          </w:tcPr>
          <w:p w14:paraId="5AA7938C" w14:textId="77777777" w:rsidR="00DC1AF2" w:rsidRPr="00733529" w:rsidRDefault="00DC1AF2">
            <w:pPr>
              <w:spacing w:after="0" w:line="240" w:lineRule="auto"/>
              <w:jc w:val="right"/>
              <w:rPr>
                <w:rFonts w:ascii="Calibri" w:eastAsia="Times New Roman" w:hAnsi="Calibri" w:cs="Times New Roman"/>
                <w:bCs/>
                <w:sz w:val="18"/>
                <w:szCs w:val="18"/>
              </w:rPr>
            </w:pPr>
            <w:r w:rsidRPr="00733529">
              <w:rPr>
                <w:rFonts w:ascii="Calibri" w:eastAsia="Times New Roman" w:hAnsi="Calibri" w:cs="Times New Roman"/>
                <w:bCs/>
                <w:sz w:val="18"/>
                <w:szCs w:val="18"/>
              </w:rPr>
              <w:t>1,540</w:t>
            </w:r>
          </w:p>
        </w:tc>
        <w:tc>
          <w:tcPr>
            <w:tcW w:w="1559" w:type="dxa"/>
          </w:tcPr>
          <w:p w14:paraId="69D44882" w14:textId="77777777" w:rsidR="00DC1AF2" w:rsidRPr="00733529" w:rsidRDefault="00DC1AF2">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754</w:t>
            </w:r>
          </w:p>
        </w:tc>
      </w:tr>
      <w:tr w:rsidR="00DC1AF2" w:rsidRPr="00733529" w14:paraId="50E9BE24" w14:textId="77777777">
        <w:trPr>
          <w:cantSplit/>
        </w:trPr>
        <w:tc>
          <w:tcPr>
            <w:tcW w:w="6238" w:type="dxa"/>
          </w:tcPr>
          <w:p w14:paraId="50204EB8" w14:textId="77777777" w:rsidR="00DC1AF2" w:rsidRPr="00733529" w:rsidRDefault="00DC1AF2">
            <w:pPr>
              <w:spacing w:after="0" w:line="240" w:lineRule="auto"/>
              <w:rPr>
                <w:rFonts w:ascii="Calibri" w:eastAsia="Times New Roman" w:hAnsi="Calibri" w:cs="Times New Roman"/>
                <w:b/>
                <w:sz w:val="18"/>
                <w:szCs w:val="18"/>
              </w:rPr>
            </w:pPr>
            <w:r w:rsidRPr="00733529">
              <w:rPr>
                <w:rFonts w:ascii="Calibri" w:eastAsia="Times New Roman" w:hAnsi="Calibri" w:cs="Times New Roman"/>
                <w:bCs/>
                <w:sz w:val="18"/>
                <w:szCs w:val="18"/>
              </w:rPr>
              <w:t xml:space="preserve">Non-Current Unearned Premium Liabilities </w:t>
            </w:r>
            <w:r w:rsidRPr="00733529">
              <w:rPr>
                <w:rFonts w:ascii="Calibri" w:eastAsia="Times New Roman" w:hAnsi="Calibri" w:cs="Times New Roman"/>
                <w:bCs/>
                <w:sz w:val="18"/>
                <w:szCs w:val="18"/>
                <w:vertAlign w:val="superscript"/>
              </w:rPr>
              <w:t>b</w:t>
            </w:r>
          </w:p>
        </w:tc>
        <w:tc>
          <w:tcPr>
            <w:tcW w:w="992" w:type="dxa"/>
          </w:tcPr>
          <w:p w14:paraId="0278D0C6" w14:textId="77777777" w:rsidR="00DC1AF2" w:rsidRPr="00733529" w:rsidRDefault="00DC1AF2">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992" w:type="dxa"/>
          </w:tcPr>
          <w:p w14:paraId="6FEDECEE" w14:textId="77777777" w:rsidR="00DC1AF2" w:rsidRPr="00733529" w:rsidRDefault="00DC1AF2">
            <w:pPr>
              <w:spacing w:after="0" w:line="240" w:lineRule="auto"/>
              <w:jc w:val="right"/>
              <w:rPr>
                <w:rFonts w:ascii="Calibri" w:eastAsia="Times New Roman" w:hAnsi="Calibri" w:cs="Times New Roman"/>
                <w:bCs/>
                <w:sz w:val="18"/>
                <w:szCs w:val="18"/>
              </w:rPr>
            </w:pPr>
            <w:r w:rsidRPr="00733529">
              <w:rPr>
                <w:rFonts w:ascii="Calibri" w:eastAsia="Times New Roman" w:hAnsi="Calibri" w:cs="Times New Roman"/>
                <w:bCs/>
                <w:sz w:val="18"/>
                <w:szCs w:val="18"/>
              </w:rPr>
              <w:t>3,342</w:t>
            </w:r>
          </w:p>
        </w:tc>
        <w:tc>
          <w:tcPr>
            <w:tcW w:w="1559" w:type="dxa"/>
          </w:tcPr>
          <w:p w14:paraId="15A75EBA" w14:textId="77777777" w:rsidR="00DC1AF2" w:rsidRPr="00733529" w:rsidRDefault="00DC1AF2">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3,628</w:t>
            </w:r>
          </w:p>
        </w:tc>
      </w:tr>
      <w:tr w:rsidR="00DC1AF2" w:rsidRPr="00733529" w14:paraId="76F2E65D" w14:textId="77777777">
        <w:trPr>
          <w:cantSplit/>
        </w:trPr>
        <w:tc>
          <w:tcPr>
            <w:tcW w:w="6238" w:type="dxa"/>
          </w:tcPr>
          <w:p w14:paraId="32304A3D" w14:textId="77777777" w:rsidR="00DC1AF2" w:rsidRPr="00733529" w:rsidRDefault="00DC1AF2">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Non-Current Outstanding Claims Liabilities </w:t>
            </w:r>
            <w:r w:rsidRPr="00733529">
              <w:rPr>
                <w:rFonts w:ascii="Calibri" w:eastAsia="Times New Roman" w:hAnsi="Calibri" w:cs="Times New Roman"/>
                <w:bCs/>
                <w:sz w:val="18"/>
                <w:szCs w:val="18"/>
                <w:vertAlign w:val="superscript"/>
              </w:rPr>
              <w:t>c</w:t>
            </w:r>
          </w:p>
        </w:tc>
        <w:tc>
          <w:tcPr>
            <w:tcW w:w="992" w:type="dxa"/>
          </w:tcPr>
          <w:p w14:paraId="019CD3DD" w14:textId="77777777" w:rsidR="00DC1AF2" w:rsidRPr="00733529" w:rsidRDefault="00DC1AF2">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15</w:t>
            </w:r>
          </w:p>
        </w:tc>
        <w:tc>
          <w:tcPr>
            <w:tcW w:w="992" w:type="dxa"/>
          </w:tcPr>
          <w:p w14:paraId="7878869F" w14:textId="77777777" w:rsidR="00DC1AF2" w:rsidRPr="00733529" w:rsidRDefault="00DC1AF2">
            <w:pPr>
              <w:spacing w:after="0" w:line="240" w:lineRule="auto"/>
              <w:jc w:val="right"/>
              <w:rPr>
                <w:rFonts w:ascii="Calibri" w:eastAsia="Times New Roman" w:hAnsi="Calibri" w:cs="Times New Roman"/>
                <w:bCs/>
                <w:sz w:val="18"/>
                <w:szCs w:val="18"/>
              </w:rPr>
            </w:pPr>
            <w:r w:rsidRPr="00733529">
              <w:rPr>
                <w:rFonts w:ascii="Calibri" w:eastAsia="Times New Roman" w:hAnsi="Calibri" w:cs="Times New Roman"/>
                <w:bCs/>
                <w:sz w:val="18"/>
                <w:szCs w:val="18"/>
              </w:rPr>
              <w:t>1,609</w:t>
            </w:r>
          </w:p>
        </w:tc>
        <w:tc>
          <w:tcPr>
            <w:tcW w:w="1559" w:type="dxa"/>
          </w:tcPr>
          <w:p w14:paraId="42D16A96" w14:textId="77777777" w:rsidR="00DC1AF2" w:rsidRPr="00733529" w:rsidRDefault="00DC1AF2">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457</w:t>
            </w:r>
          </w:p>
        </w:tc>
      </w:tr>
      <w:tr w:rsidR="00DC1AF2" w:rsidRPr="00733529" w14:paraId="1130A79A" w14:textId="77777777">
        <w:trPr>
          <w:cantSplit/>
          <w:trHeight w:val="235"/>
        </w:trPr>
        <w:tc>
          <w:tcPr>
            <w:tcW w:w="6238" w:type="dxa"/>
          </w:tcPr>
          <w:p w14:paraId="5F7C70E0"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Total Liabilities</w:t>
            </w:r>
          </w:p>
        </w:tc>
        <w:tc>
          <w:tcPr>
            <w:tcW w:w="992" w:type="dxa"/>
          </w:tcPr>
          <w:p w14:paraId="44031B37" w14:textId="77777777" w:rsidR="00DC1AF2" w:rsidRPr="00733529" w:rsidRDefault="00DC1AF2">
            <w:pPr>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4637DEA7"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8,044</w:t>
            </w:r>
          </w:p>
        </w:tc>
        <w:tc>
          <w:tcPr>
            <w:tcW w:w="1559" w:type="dxa"/>
            <w:tcBorders>
              <w:top w:val="single" w:sz="4" w:space="0" w:color="auto"/>
              <w:bottom w:val="single" w:sz="4" w:space="0" w:color="auto"/>
            </w:tcBorders>
          </w:tcPr>
          <w:p w14:paraId="6865860E"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6,669</w:t>
            </w:r>
          </w:p>
          <w:p w14:paraId="19D4BBAD" w14:textId="77777777" w:rsidR="00DC1AF2" w:rsidRPr="00733529" w:rsidRDefault="00DC1AF2">
            <w:pPr>
              <w:tabs>
                <w:tab w:val="right" w:pos="742"/>
              </w:tabs>
              <w:spacing w:after="0" w:line="240" w:lineRule="auto"/>
              <w:jc w:val="right"/>
              <w:rPr>
                <w:rFonts w:ascii="Calibri" w:eastAsia="Times New Roman" w:hAnsi="Calibri" w:cs="Times New Roman"/>
                <w:b/>
                <w:bCs/>
                <w:sz w:val="18"/>
                <w:szCs w:val="18"/>
              </w:rPr>
            </w:pPr>
          </w:p>
        </w:tc>
      </w:tr>
      <w:tr w:rsidR="00DC1AF2" w:rsidRPr="00733529" w14:paraId="0F684689" w14:textId="77777777">
        <w:trPr>
          <w:cantSplit/>
        </w:trPr>
        <w:tc>
          <w:tcPr>
            <w:tcW w:w="6238" w:type="dxa"/>
          </w:tcPr>
          <w:p w14:paraId="129A8AED"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Source Sans Pro SemiBold"/>
                <w:b/>
                <w:bCs/>
                <w:color w:val="000000"/>
                <w:sz w:val="18"/>
                <w:szCs w:val="18"/>
              </w:rPr>
              <w:t>Net Assets</w:t>
            </w:r>
          </w:p>
        </w:tc>
        <w:tc>
          <w:tcPr>
            <w:tcW w:w="992" w:type="dxa"/>
          </w:tcPr>
          <w:p w14:paraId="4DD0609E" w14:textId="77777777" w:rsidR="00DC1AF2" w:rsidRPr="00733529" w:rsidRDefault="00DC1AF2">
            <w:pPr>
              <w:spacing w:after="0" w:line="240" w:lineRule="auto"/>
              <w:jc w:val="center"/>
              <w:rPr>
                <w:rFonts w:ascii="Calibri" w:eastAsia="Times New Roman" w:hAnsi="Calibri" w:cs="Times New Roman"/>
                <w:b/>
                <w:bCs/>
                <w:sz w:val="18"/>
                <w:szCs w:val="18"/>
              </w:rPr>
            </w:pPr>
          </w:p>
        </w:tc>
        <w:tc>
          <w:tcPr>
            <w:tcW w:w="992" w:type="dxa"/>
            <w:tcBorders>
              <w:top w:val="single" w:sz="4" w:space="0" w:color="auto"/>
              <w:bottom w:val="single" w:sz="4" w:space="0" w:color="auto"/>
            </w:tcBorders>
          </w:tcPr>
          <w:p w14:paraId="4E1761EB" w14:textId="77777777" w:rsidR="00DC1AF2" w:rsidRPr="00733529" w:rsidRDefault="00DC1AF2">
            <w:pPr>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(412)</w:t>
            </w:r>
          </w:p>
        </w:tc>
        <w:tc>
          <w:tcPr>
            <w:tcW w:w="1559" w:type="dxa"/>
            <w:tcBorders>
              <w:top w:val="single" w:sz="4" w:space="0" w:color="auto"/>
              <w:bottom w:val="single" w:sz="4" w:space="0" w:color="auto"/>
            </w:tcBorders>
          </w:tcPr>
          <w:p w14:paraId="72144A03" w14:textId="77777777" w:rsidR="00DC1AF2" w:rsidRPr="00733529" w:rsidRDefault="00DC1AF2">
            <w:pPr>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337</w:t>
            </w:r>
          </w:p>
        </w:tc>
      </w:tr>
      <w:tr w:rsidR="00DC1AF2" w:rsidRPr="00733529" w14:paraId="1A20319C" w14:textId="77777777" w:rsidTr="004B7016">
        <w:trPr>
          <w:cantSplit/>
        </w:trPr>
        <w:tc>
          <w:tcPr>
            <w:tcW w:w="6238" w:type="dxa"/>
            <w:tcBorders>
              <w:bottom w:val="single" w:sz="12" w:space="0" w:color="492581" w:themeColor="accent1"/>
            </w:tcBorders>
          </w:tcPr>
          <w:p w14:paraId="2E66A98C" w14:textId="77777777" w:rsidR="00DC1AF2" w:rsidRPr="00733529" w:rsidRDefault="00DC1AF2">
            <w:pPr>
              <w:spacing w:after="0" w:line="240" w:lineRule="auto"/>
              <w:rPr>
                <w:rFonts w:ascii="Calibri" w:eastAsia="Times New Roman" w:hAnsi="Calibri" w:cs="Source Sans Pro SemiBold"/>
                <w:b/>
                <w:bCs/>
                <w:color w:val="000000"/>
                <w:sz w:val="18"/>
                <w:szCs w:val="18"/>
              </w:rPr>
            </w:pPr>
          </w:p>
        </w:tc>
        <w:tc>
          <w:tcPr>
            <w:tcW w:w="992" w:type="dxa"/>
            <w:tcBorders>
              <w:bottom w:val="single" w:sz="12" w:space="0" w:color="492581" w:themeColor="accent1"/>
            </w:tcBorders>
          </w:tcPr>
          <w:p w14:paraId="3383270B" w14:textId="77777777" w:rsidR="00DC1AF2" w:rsidRPr="00733529" w:rsidRDefault="00DC1AF2">
            <w:pPr>
              <w:spacing w:after="0" w:line="240" w:lineRule="auto"/>
              <w:jc w:val="right"/>
              <w:rPr>
                <w:rFonts w:ascii="Calibri" w:eastAsia="Times New Roman" w:hAnsi="Calibri" w:cs="Times New Roman"/>
                <w:b/>
                <w:sz w:val="18"/>
                <w:szCs w:val="18"/>
              </w:rPr>
            </w:pPr>
          </w:p>
        </w:tc>
        <w:tc>
          <w:tcPr>
            <w:tcW w:w="992" w:type="dxa"/>
            <w:tcBorders>
              <w:top w:val="single" w:sz="2" w:space="0" w:color="auto"/>
              <w:bottom w:val="single" w:sz="12" w:space="0" w:color="492581" w:themeColor="accent1"/>
            </w:tcBorders>
          </w:tcPr>
          <w:p w14:paraId="497D99E7" w14:textId="77777777" w:rsidR="00DC1AF2" w:rsidRPr="00733529" w:rsidRDefault="00DC1AF2">
            <w:pPr>
              <w:spacing w:after="0" w:line="240" w:lineRule="auto"/>
              <w:jc w:val="right"/>
              <w:rPr>
                <w:rFonts w:ascii="Calibri" w:eastAsia="Times New Roman" w:hAnsi="Calibri" w:cs="Times New Roman"/>
                <w:b/>
                <w:sz w:val="18"/>
                <w:szCs w:val="18"/>
              </w:rPr>
            </w:pPr>
          </w:p>
        </w:tc>
        <w:tc>
          <w:tcPr>
            <w:tcW w:w="1559" w:type="dxa"/>
            <w:tcBorders>
              <w:top w:val="single" w:sz="2" w:space="0" w:color="auto"/>
              <w:bottom w:val="single" w:sz="12" w:space="0" w:color="492581" w:themeColor="accent1"/>
            </w:tcBorders>
          </w:tcPr>
          <w:p w14:paraId="728602A4" w14:textId="77777777" w:rsidR="00DC1AF2" w:rsidRPr="00733529" w:rsidRDefault="00DC1AF2">
            <w:pPr>
              <w:spacing w:after="0" w:line="240" w:lineRule="auto"/>
              <w:jc w:val="right"/>
              <w:rPr>
                <w:rFonts w:ascii="Calibri" w:eastAsia="Times New Roman" w:hAnsi="Calibri" w:cs="Times New Roman"/>
                <w:b/>
                <w:sz w:val="18"/>
                <w:szCs w:val="18"/>
              </w:rPr>
            </w:pPr>
          </w:p>
        </w:tc>
      </w:tr>
      <w:tr w:rsidR="00DC1AF2" w:rsidRPr="004B7016" w14:paraId="180F4471" w14:textId="77777777" w:rsidTr="004B7016">
        <w:trPr>
          <w:cantSplit/>
          <w:trHeight w:val="36"/>
        </w:trPr>
        <w:tc>
          <w:tcPr>
            <w:tcW w:w="9781" w:type="dxa"/>
            <w:gridSpan w:val="4"/>
            <w:tcBorders>
              <w:top w:val="single" w:sz="12" w:space="0" w:color="492581" w:themeColor="accent1"/>
              <w:bottom w:val="single" w:sz="12" w:space="0" w:color="492581" w:themeColor="accent1"/>
            </w:tcBorders>
          </w:tcPr>
          <w:p w14:paraId="601BF407" w14:textId="77777777" w:rsidR="00DC1AF2" w:rsidRPr="004B7016" w:rsidRDefault="00DC1AF2">
            <w:pPr>
              <w:tabs>
                <w:tab w:val="left" w:pos="367"/>
              </w:tabs>
              <w:spacing w:before="120" w:after="120" w:line="240" w:lineRule="auto"/>
              <w:rPr>
                <w:rFonts w:ascii="Calibri" w:eastAsia="Times New Roman" w:hAnsi="Calibri" w:cs="Times New Roman"/>
                <w:bCs/>
                <w:i/>
                <w:iCs/>
                <w:sz w:val="17"/>
                <w:szCs w:val="17"/>
              </w:rPr>
            </w:pPr>
            <w:r w:rsidRPr="004B7016">
              <w:rPr>
                <w:rFonts w:ascii="Calibri" w:eastAsia="Times New Roman" w:hAnsi="Calibri" w:cs="Times New Roman"/>
                <w:bCs/>
                <w:i/>
                <w:iCs/>
                <w:sz w:val="17"/>
                <w:szCs w:val="17"/>
                <w:vertAlign w:val="superscript"/>
              </w:rPr>
              <w:t xml:space="preserve">a </w:t>
            </w:r>
            <w:r w:rsidRPr="004B7016">
              <w:rPr>
                <w:rFonts w:ascii="Calibri" w:eastAsia="Times New Roman" w:hAnsi="Calibri" w:cs="Times New Roman"/>
                <w:bCs/>
                <w:i/>
                <w:iCs/>
                <w:sz w:val="17"/>
                <w:szCs w:val="17"/>
              </w:rPr>
              <w:t>Cash Balance in the bank for the BWI Scheme increased in 2023-24 due to a positive cash flow from operating activities, receipts of gross written premium netted with commission and payments for other operating expenses, as well as higher cash interest rate earned from Westpac Bank.</w:t>
            </w:r>
          </w:p>
          <w:p w14:paraId="2B6D9FE3" w14:textId="77777777" w:rsidR="00DC1AF2" w:rsidRPr="004B7016" w:rsidRDefault="00DC1AF2">
            <w:pPr>
              <w:tabs>
                <w:tab w:val="left" w:pos="367"/>
              </w:tabs>
              <w:spacing w:after="0" w:line="240" w:lineRule="auto"/>
              <w:rPr>
                <w:rFonts w:ascii="Calibri" w:eastAsia="Times New Roman" w:hAnsi="Calibri" w:cs="Times New Roman"/>
                <w:bCs/>
                <w:i/>
                <w:iCs/>
                <w:sz w:val="17"/>
                <w:szCs w:val="17"/>
              </w:rPr>
            </w:pPr>
            <w:r w:rsidRPr="004B7016">
              <w:rPr>
                <w:rFonts w:ascii="Calibri" w:eastAsia="Times New Roman" w:hAnsi="Calibri" w:cs="Times New Roman"/>
                <w:bCs/>
                <w:i/>
                <w:iCs/>
                <w:sz w:val="17"/>
                <w:szCs w:val="17"/>
                <w:vertAlign w:val="superscript"/>
              </w:rPr>
              <w:t>b</w:t>
            </w:r>
            <w:r w:rsidRPr="004B7016">
              <w:rPr>
                <w:rFonts w:ascii="Times New Roman" w:eastAsia="Times New Roman" w:hAnsi="Times New Roman" w:cs="Times New Roman"/>
                <w:sz w:val="17"/>
                <w:szCs w:val="17"/>
              </w:rPr>
              <w:t xml:space="preserve"> </w:t>
            </w:r>
            <w:r w:rsidRPr="004B7016">
              <w:rPr>
                <w:rFonts w:ascii="Calibri" w:eastAsia="Times New Roman" w:hAnsi="Calibri" w:cs="Times New Roman"/>
                <w:bCs/>
                <w:i/>
                <w:iCs/>
                <w:sz w:val="17"/>
                <w:szCs w:val="17"/>
              </w:rPr>
              <w:t>Current and Non-current unearned premium liabilities are based on the liability adequacy test carried out for 30 June 2024.</w:t>
            </w:r>
          </w:p>
          <w:p w14:paraId="279B9E29" w14:textId="5CE9A540" w:rsidR="00DC1AF2" w:rsidRPr="004B7016" w:rsidRDefault="00DC1AF2">
            <w:pPr>
              <w:tabs>
                <w:tab w:val="left" w:pos="367"/>
              </w:tabs>
              <w:spacing w:before="120" w:after="120" w:line="240" w:lineRule="auto"/>
              <w:rPr>
                <w:rFonts w:ascii="Calibri" w:eastAsia="Times New Roman" w:hAnsi="Calibri" w:cs="Times New Roman"/>
                <w:bCs/>
                <w:i/>
                <w:iCs/>
                <w:sz w:val="17"/>
                <w:szCs w:val="17"/>
              </w:rPr>
            </w:pPr>
            <w:r w:rsidRPr="004B7016">
              <w:rPr>
                <w:rFonts w:ascii="Calibri" w:eastAsia="Times New Roman" w:hAnsi="Calibri" w:cs="Times New Roman"/>
                <w:bCs/>
                <w:i/>
                <w:iCs/>
                <w:sz w:val="17"/>
                <w:szCs w:val="17"/>
                <w:vertAlign w:val="superscript"/>
              </w:rPr>
              <w:t>c</w:t>
            </w:r>
            <w:r w:rsidRPr="004B7016">
              <w:rPr>
                <w:rFonts w:ascii="Times New Roman" w:eastAsia="Times New Roman" w:hAnsi="Times New Roman" w:cs="Times New Roman"/>
                <w:sz w:val="17"/>
                <w:szCs w:val="17"/>
              </w:rPr>
              <w:t xml:space="preserve"> </w:t>
            </w:r>
            <w:r w:rsidRPr="004B7016">
              <w:rPr>
                <w:rFonts w:ascii="Calibri" w:eastAsia="Times New Roman" w:hAnsi="Calibri" w:cs="Times New Roman"/>
                <w:bCs/>
                <w:i/>
                <w:iCs/>
                <w:sz w:val="17"/>
                <w:szCs w:val="17"/>
              </w:rPr>
              <w:t xml:space="preserve">Higher outstanding Current and Non-current claims liabilities are due to higher number of builder failures/collapses and a higher number of exposed </w:t>
            </w:r>
            <w:r w:rsidR="00877C8E" w:rsidRPr="004B7016">
              <w:rPr>
                <w:rFonts w:ascii="Calibri" w:eastAsia="Times New Roman" w:hAnsi="Calibri" w:cs="Times New Roman"/>
                <w:bCs/>
                <w:i/>
                <w:iCs/>
                <w:sz w:val="17"/>
                <w:szCs w:val="17"/>
              </w:rPr>
              <w:t>contracts</w:t>
            </w:r>
            <w:r w:rsidRPr="004B7016">
              <w:rPr>
                <w:rFonts w:ascii="Calibri" w:eastAsia="Times New Roman" w:hAnsi="Calibri" w:cs="Times New Roman"/>
                <w:bCs/>
                <w:i/>
                <w:iCs/>
                <w:sz w:val="17"/>
                <w:szCs w:val="17"/>
              </w:rPr>
              <w:t xml:space="preserve"> based on the June 2024 actuarial valuation. </w:t>
            </w:r>
          </w:p>
        </w:tc>
      </w:tr>
    </w:tbl>
    <w:p w14:paraId="38272E6E" w14:textId="77777777" w:rsidR="004C574A" w:rsidRPr="004C574A" w:rsidRDefault="004C574A" w:rsidP="004C574A">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522D1086" w14:textId="66E5B5CA" w:rsidR="004C574A" w:rsidRPr="004C574A" w:rsidRDefault="004C574A" w:rsidP="004C574A">
      <w:pPr>
        <w:autoSpaceDE w:val="0"/>
        <w:autoSpaceDN w:val="0"/>
        <w:adjustRightInd w:val="0"/>
        <w:spacing w:after="137" w:line="240" w:lineRule="auto"/>
        <w:outlineLvl w:val="0"/>
        <w:rPr>
          <w:rFonts w:ascii="Montserrat Semi Bold" w:eastAsia="Calibri" w:hAnsi="Montserrat Semi Bold" w:cs="Montserrat Semi Bold"/>
          <w:b/>
          <w:bCs/>
          <w:color w:val="000000"/>
          <w:sz w:val="30"/>
          <w:szCs w:val="30"/>
        </w:rPr>
      </w:pPr>
      <w:r w:rsidRPr="004C574A">
        <w:rPr>
          <w:rFonts w:ascii="Calibri" w:eastAsia="Calibri" w:hAnsi="Calibri" w:cs="Montserrat Semi Bold"/>
          <w:b/>
          <w:bCs/>
          <w:color w:val="000000"/>
          <w:sz w:val="30"/>
          <w:szCs w:val="30"/>
        </w:rPr>
        <w:t>NOTE 2</w:t>
      </w:r>
      <w:r w:rsidR="00C92BEB">
        <w:rPr>
          <w:rFonts w:ascii="Calibri" w:eastAsia="Calibri" w:hAnsi="Calibri" w:cs="Montserrat Semi Bold"/>
          <w:b/>
          <w:bCs/>
          <w:color w:val="000000"/>
          <w:sz w:val="30"/>
          <w:szCs w:val="30"/>
        </w:rPr>
        <w:t>2</w:t>
      </w:r>
      <w:r w:rsidRPr="004C574A">
        <w:rPr>
          <w:rFonts w:ascii="Calibri" w:eastAsia="Calibri" w:hAnsi="Calibri" w:cs="Montserrat Semi Bold"/>
          <w:b/>
          <w:bCs/>
          <w:color w:val="000000"/>
          <w:sz w:val="30"/>
          <w:szCs w:val="30"/>
        </w:rPr>
        <w:t>. PHYSICAL AND SEXUAL ABUSE INDEMNITY SCHEME</w:t>
      </w:r>
    </w:p>
    <w:p w14:paraId="4D546EC5" w14:textId="4050980F" w:rsidR="004F39E2" w:rsidRDefault="004F39E2" w:rsidP="004F39E2">
      <w:pPr>
        <w:pStyle w:val="Pa6"/>
        <w:spacing w:after="140"/>
        <w:ind w:right="-1"/>
        <w:rPr>
          <w:rFonts w:asciiTheme="minorHAnsi" w:hAnsiTheme="minorHAnsi" w:cs="Source Sans Pro Light"/>
          <w:sz w:val="22"/>
          <w:szCs w:val="22"/>
        </w:rPr>
      </w:pPr>
      <w:r w:rsidRPr="000800E6">
        <w:rPr>
          <w:rFonts w:asciiTheme="minorHAnsi" w:hAnsiTheme="minorHAnsi" w:cs="Source Sans Pro Light"/>
          <w:color w:val="000000"/>
          <w:sz w:val="22"/>
          <w:szCs w:val="22"/>
        </w:rPr>
        <w:t>The Territory initiated the design and implementation of a short-term Physical and Sexual Abuse (PSA) Indemnity Scheme for out of home care providers who provide services for the Territory through a contractual relationship with the Community Services Directorate. The Territory appropriated $0.449</w:t>
      </w:r>
      <w:r w:rsidR="00D069D1">
        <w:rPr>
          <w:rFonts w:asciiTheme="minorHAnsi" w:hAnsiTheme="minorHAnsi" w:cs="Source Sans Pro Light"/>
          <w:color w:val="000000"/>
          <w:sz w:val="22"/>
          <w:szCs w:val="22"/>
        </w:rPr>
        <w:t> </w:t>
      </w:r>
      <w:r w:rsidRPr="000800E6">
        <w:rPr>
          <w:rFonts w:asciiTheme="minorHAnsi" w:hAnsiTheme="minorHAnsi" w:cs="Source Sans Pro Light"/>
          <w:color w:val="000000"/>
          <w:sz w:val="22"/>
          <w:szCs w:val="22"/>
        </w:rPr>
        <w:t xml:space="preserve">million funding to ACTIA via CMTEDD in the mid-year budget review in December 2022 for the initial scoping, </w:t>
      </w:r>
      <w:proofErr w:type="gramStart"/>
      <w:r w:rsidRPr="000800E6">
        <w:rPr>
          <w:rFonts w:asciiTheme="minorHAnsi" w:hAnsiTheme="minorHAnsi" w:cs="Source Sans Pro Light"/>
          <w:color w:val="000000"/>
          <w:sz w:val="22"/>
          <w:szCs w:val="22"/>
        </w:rPr>
        <w:t>design</w:t>
      </w:r>
      <w:proofErr w:type="gramEnd"/>
      <w:r w:rsidRPr="000800E6">
        <w:rPr>
          <w:rFonts w:asciiTheme="minorHAnsi" w:hAnsiTheme="minorHAnsi" w:cs="Source Sans Pro Light"/>
          <w:color w:val="000000"/>
          <w:sz w:val="22"/>
          <w:szCs w:val="22"/>
        </w:rPr>
        <w:t xml:space="preserve"> and implementation. </w:t>
      </w:r>
      <w:r w:rsidRPr="001C1A67">
        <w:rPr>
          <w:rFonts w:asciiTheme="minorHAnsi" w:hAnsiTheme="minorHAnsi" w:cs="Source Sans Pro Light"/>
          <w:sz w:val="22"/>
          <w:szCs w:val="22"/>
        </w:rPr>
        <w:t xml:space="preserve">The Authority commenced the PSA indemnity scheme as a transitional arrangement effective from 1 April 2023 with the formal establishment of the indemnity scheme effective 1 July 2023. </w:t>
      </w:r>
    </w:p>
    <w:p w14:paraId="3B2A5628" w14:textId="77777777" w:rsidR="004F39E2" w:rsidRPr="005C696E" w:rsidRDefault="004F39E2" w:rsidP="004F39E2">
      <w:pPr>
        <w:pStyle w:val="Pa6"/>
        <w:spacing w:after="140"/>
        <w:ind w:right="-1"/>
        <w:rPr>
          <w:rFonts w:asciiTheme="minorHAnsi" w:hAnsiTheme="minorHAnsi" w:cs="Source Sans Pro Light"/>
          <w:color w:val="000000"/>
          <w:sz w:val="22"/>
          <w:szCs w:val="22"/>
        </w:rPr>
      </w:pPr>
      <w:r w:rsidRPr="005F4668">
        <w:rPr>
          <w:rFonts w:asciiTheme="minorHAnsi" w:hAnsiTheme="minorHAnsi" w:cs="Source Sans Pro Light"/>
          <w:sz w:val="22"/>
          <w:szCs w:val="22"/>
        </w:rPr>
        <w:t>The first independent actuarial valuation of claims liabilities and liability adequacy test for the PSA scheme was undertaken as at 30 June 2024.</w:t>
      </w:r>
      <w:r>
        <w:rPr>
          <w:rFonts w:asciiTheme="minorHAnsi" w:hAnsiTheme="minorHAnsi" w:cs="Source Sans Pro Light"/>
          <w:sz w:val="22"/>
          <w:szCs w:val="22"/>
        </w:rPr>
        <w:t xml:space="preserve"> The Authority </w:t>
      </w:r>
      <w:r w:rsidRPr="00A27BD8">
        <w:rPr>
          <w:rFonts w:asciiTheme="minorHAnsi" w:hAnsiTheme="minorHAnsi" w:cs="Source Sans Pro Light"/>
          <w:sz w:val="22"/>
          <w:szCs w:val="22"/>
        </w:rPr>
        <w:t>operates on a cost recovery basis by collecting indemnity fee</w:t>
      </w:r>
      <w:r>
        <w:rPr>
          <w:rFonts w:asciiTheme="minorHAnsi" w:hAnsiTheme="minorHAnsi" w:cs="Source Sans Pro Light"/>
          <w:sz w:val="22"/>
          <w:szCs w:val="22"/>
        </w:rPr>
        <w:t xml:space="preserve"> from Community Services Directorate (CSD) </w:t>
      </w:r>
      <w:r w:rsidRPr="00A27BD8">
        <w:rPr>
          <w:rFonts w:asciiTheme="minorHAnsi" w:hAnsiTheme="minorHAnsi" w:cs="Source Sans Pro Light"/>
          <w:sz w:val="22"/>
          <w:szCs w:val="22"/>
        </w:rPr>
        <w:t xml:space="preserve">to meet the costs of future asset losses and legal liabilities that occur </w:t>
      </w:r>
      <w:proofErr w:type="gramStart"/>
      <w:r w:rsidRPr="00A27BD8">
        <w:rPr>
          <w:rFonts w:asciiTheme="minorHAnsi" w:hAnsiTheme="minorHAnsi" w:cs="Source Sans Pro Light"/>
          <w:sz w:val="22"/>
          <w:szCs w:val="22"/>
        </w:rPr>
        <w:t>as a result of</w:t>
      </w:r>
      <w:proofErr w:type="gramEnd"/>
      <w:r w:rsidRPr="00A27BD8">
        <w:rPr>
          <w:rFonts w:asciiTheme="minorHAnsi" w:hAnsiTheme="minorHAnsi" w:cs="Source Sans Pro Light"/>
          <w:sz w:val="22"/>
          <w:szCs w:val="22"/>
        </w:rPr>
        <w:t xml:space="preserve"> the activities of government. In consideration of the indemnity fees paid, </w:t>
      </w:r>
      <w:r>
        <w:rPr>
          <w:rFonts w:asciiTheme="minorHAnsi" w:hAnsiTheme="minorHAnsi" w:cs="Source Sans Pro Light"/>
          <w:sz w:val="22"/>
          <w:szCs w:val="22"/>
        </w:rPr>
        <w:t xml:space="preserve">the Authority </w:t>
      </w:r>
      <w:r w:rsidRPr="00A27BD8">
        <w:rPr>
          <w:rFonts w:asciiTheme="minorHAnsi" w:hAnsiTheme="minorHAnsi" w:cs="Source Sans Pro Light"/>
          <w:sz w:val="22"/>
          <w:szCs w:val="22"/>
        </w:rPr>
        <w:t xml:space="preserve">provides indemnity to </w:t>
      </w:r>
      <w:r>
        <w:rPr>
          <w:rFonts w:asciiTheme="minorHAnsi" w:hAnsiTheme="minorHAnsi" w:cs="Source Sans Pro Light"/>
          <w:sz w:val="22"/>
          <w:szCs w:val="22"/>
        </w:rPr>
        <w:t xml:space="preserve">CSD </w:t>
      </w:r>
      <w:r w:rsidRPr="00A27BD8">
        <w:rPr>
          <w:rFonts w:asciiTheme="minorHAnsi" w:hAnsiTheme="minorHAnsi" w:cs="Source Sans Pro Light"/>
          <w:sz w:val="22"/>
          <w:szCs w:val="22"/>
        </w:rPr>
        <w:t>for insurable losses and claims incurred in relation to Out of Home Care Physical and Sexual Abuse that have been lodged against their third party providers that are actively part of the scheme.</w:t>
      </w:r>
    </w:p>
    <w:p w14:paraId="62380728" w14:textId="77777777" w:rsidR="004F39E2" w:rsidRPr="00A27BD8" w:rsidRDefault="004F39E2" w:rsidP="004F39E2">
      <w:pPr>
        <w:pStyle w:val="Pa11"/>
        <w:spacing w:after="140" w:line="240" w:lineRule="auto"/>
        <w:rPr>
          <w:rFonts w:asciiTheme="minorHAnsi" w:hAnsiTheme="minorHAnsi" w:cs="Source Sans Pro Light"/>
          <w:sz w:val="22"/>
          <w:szCs w:val="22"/>
        </w:rPr>
      </w:pPr>
      <w:r w:rsidRPr="00A27BD8">
        <w:rPr>
          <w:rFonts w:asciiTheme="minorHAnsi" w:hAnsiTheme="minorHAnsi" w:cs="Source Sans Pro Light"/>
          <w:sz w:val="22"/>
          <w:szCs w:val="22"/>
        </w:rPr>
        <w:t xml:space="preserve">Each year </w:t>
      </w:r>
      <w:r>
        <w:rPr>
          <w:rFonts w:asciiTheme="minorHAnsi" w:hAnsiTheme="minorHAnsi" w:cs="Source Sans Pro Light"/>
          <w:sz w:val="22"/>
          <w:szCs w:val="22"/>
        </w:rPr>
        <w:t>the Authority</w:t>
      </w:r>
      <w:r w:rsidRPr="00A27BD8">
        <w:rPr>
          <w:rFonts w:asciiTheme="minorHAnsi" w:hAnsiTheme="minorHAnsi" w:cs="Source Sans Pro Light"/>
          <w:sz w:val="22"/>
          <w:szCs w:val="22"/>
        </w:rPr>
        <w:t xml:space="preserve">, with the assistance of its actuaries, </w:t>
      </w:r>
      <w:r>
        <w:rPr>
          <w:rFonts w:asciiTheme="minorHAnsi" w:hAnsiTheme="minorHAnsi" w:cs="Source Sans Pro Light"/>
          <w:sz w:val="22"/>
          <w:szCs w:val="22"/>
        </w:rPr>
        <w:t>Scyne Advisory</w:t>
      </w:r>
      <w:r w:rsidRPr="00A27BD8">
        <w:rPr>
          <w:rFonts w:asciiTheme="minorHAnsi" w:hAnsiTheme="minorHAnsi" w:cs="Source Sans Pro Light"/>
          <w:sz w:val="22"/>
          <w:szCs w:val="22"/>
        </w:rPr>
        <w:t>, determines the total indemnity fee to be collected from</w:t>
      </w:r>
      <w:r>
        <w:rPr>
          <w:rFonts w:asciiTheme="minorHAnsi" w:hAnsiTheme="minorHAnsi" w:cs="Source Sans Pro Light"/>
          <w:sz w:val="22"/>
          <w:szCs w:val="22"/>
        </w:rPr>
        <w:t xml:space="preserve"> CSD</w:t>
      </w:r>
      <w:r w:rsidRPr="00A27BD8">
        <w:rPr>
          <w:rFonts w:asciiTheme="minorHAnsi" w:hAnsiTheme="minorHAnsi" w:cs="Source Sans Pro Light"/>
          <w:sz w:val="22"/>
          <w:szCs w:val="22"/>
        </w:rPr>
        <w:t>, to meet the anticipated cost of claims for the insurance year. The actuarial approach to setting the annual insurance premiums and indemnity fees relies on assumptions about the estimated future number of claims, the estimated average settlement size, expected inflation rates, and investment returns.</w:t>
      </w:r>
    </w:p>
    <w:p w14:paraId="357F346E" w14:textId="12C7C86F" w:rsidR="00C550A6" w:rsidRDefault="00C550A6" w:rsidP="004F39E2">
      <w:pPr>
        <w:pStyle w:val="BodyText"/>
        <w:spacing w:after="140" w:line="211" w:lineRule="atLeast"/>
        <w:rPr>
          <w:rFonts w:cs="Source Sans Pro Light"/>
          <w:color w:val="000000"/>
          <w:sz w:val="22"/>
          <w:szCs w:val="22"/>
        </w:rPr>
      </w:pPr>
      <w:r w:rsidRPr="00451FD6">
        <w:rPr>
          <w:rFonts w:cs="Montserrat Semi Bold"/>
          <w:b/>
          <w:bCs/>
          <w:color w:val="000000"/>
          <w:sz w:val="30"/>
          <w:szCs w:val="30"/>
        </w:rPr>
        <w:lastRenderedPageBreak/>
        <w:t>NOTE 2</w:t>
      </w:r>
      <w:r>
        <w:rPr>
          <w:rFonts w:cs="Montserrat Semi Bold"/>
          <w:b/>
          <w:bCs/>
          <w:color w:val="000000"/>
          <w:sz w:val="30"/>
          <w:szCs w:val="30"/>
        </w:rPr>
        <w:t>2</w:t>
      </w:r>
      <w:r w:rsidRPr="00451FD6">
        <w:rPr>
          <w:rFonts w:cs="Montserrat Semi Bold"/>
          <w:b/>
          <w:bCs/>
          <w:color w:val="000000"/>
          <w:sz w:val="30"/>
          <w:szCs w:val="30"/>
        </w:rPr>
        <w:t>. PHYSICAL AND SEXUAL ABUSE INDEMNITY SCHEME</w:t>
      </w:r>
      <w:r>
        <w:rPr>
          <w:rFonts w:cs="Montserrat Semi Bold"/>
          <w:b/>
          <w:bCs/>
          <w:color w:val="000000"/>
          <w:sz w:val="30"/>
          <w:szCs w:val="30"/>
        </w:rPr>
        <w:t xml:space="preserve"> </w:t>
      </w:r>
      <w:r w:rsidRPr="00451FD6">
        <w:rPr>
          <w:rFonts w:cs="Montserrat Semi Bold"/>
          <w:b/>
          <w:bCs/>
          <w:color w:val="000000"/>
          <w:sz w:val="30"/>
          <w:szCs w:val="30"/>
        </w:rPr>
        <w:t>- CONTINUED</w:t>
      </w:r>
    </w:p>
    <w:p w14:paraId="146FB44C" w14:textId="0CAAC897" w:rsidR="00ED7E9E" w:rsidRPr="00C550A6" w:rsidRDefault="004F39E2" w:rsidP="00C550A6">
      <w:pPr>
        <w:pStyle w:val="BodyText"/>
        <w:spacing w:after="140" w:line="211" w:lineRule="atLeast"/>
        <w:rPr>
          <w:rFonts w:cs="Source Sans Pro Light"/>
          <w:color w:val="000000"/>
          <w:sz w:val="22"/>
          <w:szCs w:val="22"/>
        </w:rPr>
      </w:pPr>
      <w:r w:rsidRPr="000800E6">
        <w:rPr>
          <w:rFonts w:cs="Source Sans Pro Light"/>
          <w:color w:val="000000"/>
          <w:sz w:val="22"/>
          <w:szCs w:val="22"/>
        </w:rPr>
        <w:t>The following section outlines the PSA Indemnity Scheme financial performance for the reporting period ending 30 June 2024.</w:t>
      </w:r>
      <w:r w:rsidRPr="001F4CEA">
        <w:rPr>
          <w:rFonts w:cs="Source Sans Pro Light"/>
          <w:color w:val="000000"/>
          <w:sz w:val="22"/>
          <w:szCs w:val="22"/>
        </w:rPr>
        <w:t xml:space="preserve"> </w:t>
      </w:r>
    </w:p>
    <w:tbl>
      <w:tblPr>
        <w:tblW w:w="5000" w:type="pct"/>
        <w:tblLook w:val="0000" w:firstRow="0" w:lastRow="0" w:firstColumn="0" w:lastColumn="0" w:noHBand="0" w:noVBand="0"/>
      </w:tblPr>
      <w:tblGrid>
        <w:gridCol w:w="5494"/>
        <w:gridCol w:w="589"/>
        <w:gridCol w:w="1443"/>
        <w:gridCol w:w="1060"/>
        <w:gridCol w:w="628"/>
      </w:tblGrid>
      <w:tr w:rsidR="00DA2956" w:rsidRPr="00451FD6" w14:paraId="124D1039" w14:textId="77777777" w:rsidTr="00BB7B27">
        <w:trPr>
          <w:cantSplit/>
          <w:trHeight w:val="452"/>
        </w:trPr>
        <w:tc>
          <w:tcPr>
            <w:tcW w:w="2982" w:type="pct"/>
            <w:tcBorders>
              <w:top w:val="single" w:sz="12" w:space="0" w:color="492581" w:themeColor="accent1"/>
              <w:bottom w:val="single" w:sz="12" w:space="0" w:color="492581" w:themeColor="accent1"/>
            </w:tcBorders>
            <w:vAlign w:val="bottom"/>
          </w:tcPr>
          <w:p w14:paraId="4B8CB56A" w14:textId="77777777" w:rsidR="00DA2956" w:rsidRPr="00451FD6" w:rsidRDefault="00DA2956">
            <w:pPr>
              <w:pStyle w:val="VAText"/>
              <w:rPr>
                <w:rFonts w:asciiTheme="minorHAnsi" w:hAnsiTheme="minorHAnsi"/>
                <w:b/>
                <w:bCs/>
                <w:sz w:val="22"/>
                <w:szCs w:val="22"/>
              </w:rPr>
            </w:pPr>
            <w:r w:rsidRPr="00451FD6">
              <w:rPr>
                <w:rFonts w:asciiTheme="minorHAnsi" w:hAnsiTheme="minorHAnsi"/>
                <w:b/>
                <w:sz w:val="22"/>
                <w:szCs w:val="22"/>
              </w:rPr>
              <w:t>Operating Statement</w:t>
            </w:r>
          </w:p>
        </w:tc>
        <w:tc>
          <w:tcPr>
            <w:tcW w:w="320" w:type="pct"/>
            <w:tcBorders>
              <w:top w:val="single" w:sz="12" w:space="0" w:color="492581" w:themeColor="accent1"/>
              <w:bottom w:val="single" w:sz="12" w:space="0" w:color="492581" w:themeColor="accent1"/>
            </w:tcBorders>
            <w:vAlign w:val="bottom"/>
          </w:tcPr>
          <w:p w14:paraId="70188EA7" w14:textId="77777777" w:rsidR="00DA2956" w:rsidRPr="00451FD6" w:rsidRDefault="00DA2956">
            <w:pPr>
              <w:pStyle w:val="VAText"/>
              <w:jc w:val="center"/>
              <w:rPr>
                <w:rFonts w:asciiTheme="minorHAnsi" w:hAnsiTheme="minorHAnsi"/>
                <w:b/>
                <w:szCs w:val="18"/>
              </w:rPr>
            </w:pPr>
            <w:r w:rsidRPr="00451FD6">
              <w:rPr>
                <w:rFonts w:asciiTheme="minorHAnsi" w:hAnsiTheme="minorHAnsi"/>
                <w:b/>
                <w:szCs w:val="18"/>
              </w:rPr>
              <w:t>Note</w:t>
            </w:r>
          </w:p>
          <w:p w14:paraId="79259320" w14:textId="77777777" w:rsidR="00DA2956" w:rsidRPr="00451FD6" w:rsidRDefault="00DA2956">
            <w:pPr>
              <w:pStyle w:val="VAText"/>
              <w:jc w:val="center"/>
              <w:rPr>
                <w:rFonts w:asciiTheme="minorHAnsi" w:hAnsiTheme="minorHAnsi"/>
                <w:b/>
                <w:szCs w:val="18"/>
              </w:rPr>
            </w:pPr>
            <w:r w:rsidRPr="00451FD6">
              <w:rPr>
                <w:rFonts w:asciiTheme="minorHAnsi" w:hAnsiTheme="minorHAnsi"/>
                <w:b/>
                <w:szCs w:val="18"/>
              </w:rPr>
              <w:t>No.</w:t>
            </w:r>
          </w:p>
        </w:tc>
        <w:tc>
          <w:tcPr>
            <w:tcW w:w="783" w:type="pct"/>
            <w:tcBorders>
              <w:top w:val="single" w:sz="12" w:space="0" w:color="492581" w:themeColor="accent1"/>
              <w:bottom w:val="single" w:sz="12" w:space="0" w:color="492581" w:themeColor="accent1"/>
            </w:tcBorders>
            <w:vAlign w:val="bottom"/>
          </w:tcPr>
          <w:p w14:paraId="318A3992" w14:textId="77777777" w:rsidR="00DA2956" w:rsidRPr="00451FD6" w:rsidRDefault="00DA2956">
            <w:pPr>
              <w:pStyle w:val="VAText"/>
              <w:jc w:val="right"/>
              <w:rPr>
                <w:rFonts w:asciiTheme="minorHAnsi" w:hAnsiTheme="minorHAnsi"/>
                <w:b/>
                <w:szCs w:val="18"/>
              </w:rPr>
            </w:pPr>
            <w:r w:rsidRPr="00451FD6">
              <w:rPr>
                <w:rFonts w:asciiTheme="minorHAnsi" w:hAnsiTheme="minorHAnsi"/>
                <w:b/>
                <w:szCs w:val="18"/>
              </w:rPr>
              <w:t>2024</w:t>
            </w:r>
          </w:p>
          <w:p w14:paraId="1ECF7520" w14:textId="77777777" w:rsidR="00DA2956" w:rsidRPr="00451FD6" w:rsidRDefault="00DA2956">
            <w:pPr>
              <w:pStyle w:val="VAText"/>
              <w:jc w:val="right"/>
              <w:rPr>
                <w:rFonts w:asciiTheme="minorHAnsi" w:hAnsiTheme="minorHAnsi"/>
                <w:b/>
                <w:szCs w:val="18"/>
              </w:rPr>
            </w:pPr>
            <w:r w:rsidRPr="00451FD6">
              <w:rPr>
                <w:rFonts w:asciiTheme="minorHAnsi" w:hAnsiTheme="minorHAnsi"/>
                <w:b/>
                <w:szCs w:val="18"/>
              </w:rPr>
              <w:t>$’000</w:t>
            </w:r>
          </w:p>
        </w:tc>
        <w:tc>
          <w:tcPr>
            <w:tcW w:w="575" w:type="pct"/>
            <w:tcBorders>
              <w:top w:val="single" w:sz="12" w:space="0" w:color="492581" w:themeColor="accent1"/>
              <w:bottom w:val="single" w:sz="12" w:space="0" w:color="492581" w:themeColor="accent1"/>
            </w:tcBorders>
          </w:tcPr>
          <w:p w14:paraId="17CD135C" w14:textId="77777777" w:rsidR="00DA2956" w:rsidRPr="00451FD6" w:rsidRDefault="00DA2956">
            <w:pPr>
              <w:pStyle w:val="VAText"/>
              <w:jc w:val="right"/>
              <w:rPr>
                <w:rFonts w:asciiTheme="minorHAnsi" w:hAnsiTheme="minorHAnsi"/>
                <w:b/>
                <w:szCs w:val="18"/>
              </w:rPr>
            </w:pPr>
          </w:p>
        </w:tc>
        <w:tc>
          <w:tcPr>
            <w:tcW w:w="341" w:type="pct"/>
            <w:tcBorders>
              <w:top w:val="single" w:sz="12" w:space="0" w:color="492581" w:themeColor="accent1"/>
              <w:bottom w:val="single" w:sz="12" w:space="0" w:color="492581" w:themeColor="accent1"/>
            </w:tcBorders>
            <w:vAlign w:val="bottom"/>
          </w:tcPr>
          <w:p w14:paraId="316C75E2" w14:textId="77777777" w:rsidR="00DA2956" w:rsidRPr="00451FD6" w:rsidRDefault="00DA2956">
            <w:pPr>
              <w:pStyle w:val="VAText"/>
              <w:jc w:val="right"/>
              <w:rPr>
                <w:rFonts w:asciiTheme="minorHAnsi" w:hAnsiTheme="minorHAnsi"/>
                <w:b/>
                <w:szCs w:val="18"/>
              </w:rPr>
            </w:pPr>
            <w:r w:rsidRPr="00451FD6">
              <w:rPr>
                <w:rFonts w:asciiTheme="minorHAnsi" w:hAnsiTheme="minorHAnsi"/>
                <w:b/>
                <w:szCs w:val="18"/>
              </w:rPr>
              <w:t>2023</w:t>
            </w:r>
          </w:p>
          <w:p w14:paraId="28F32131" w14:textId="77777777" w:rsidR="00DA2956" w:rsidRPr="00451FD6" w:rsidRDefault="00DA2956">
            <w:pPr>
              <w:pStyle w:val="VAText"/>
              <w:jc w:val="right"/>
              <w:rPr>
                <w:rFonts w:asciiTheme="minorHAnsi" w:hAnsiTheme="minorHAnsi"/>
                <w:b/>
                <w:szCs w:val="18"/>
              </w:rPr>
            </w:pPr>
            <w:r w:rsidRPr="00451FD6">
              <w:rPr>
                <w:rFonts w:asciiTheme="minorHAnsi" w:hAnsiTheme="minorHAnsi"/>
                <w:b/>
                <w:szCs w:val="18"/>
              </w:rPr>
              <w:t>$’000</w:t>
            </w:r>
          </w:p>
        </w:tc>
      </w:tr>
      <w:tr w:rsidR="00DA2956" w:rsidRPr="00451FD6" w14:paraId="025A76D2" w14:textId="77777777" w:rsidTr="00BB7B27">
        <w:trPr>
          <w:cantSplit/>
          <w:trHeight w:val="314"/>
        </w:trPr>
        <w:tc>
          <w:tcPr>
            <w:tcW w:w="3301" w:type="pct"/>
            <w:gridSpan w:val="2"/>
            <w:tcBorders>
              <w:top w:val="single" w:sz="12" w:space="0" w:color="492581" w:themeColor="accent1"/>
            </w:tcBorders>
          </w:tcPr>
          <w:p w14:paraId="31740FC2" w14:textId="77777777" w:rsidR="00DA2956" w:rsidRPr="00451FD6" w:rsidRDefault="00DA2956">
            <w:pPr>
              <w:pStyle w:val="VAText"/>
              <w:spacing w:before="40" w:after="40"/>
              <w:rPr>
                <w:rFonts w:asciiTheme="minorHAnsi" w:hAnsiTheme="minorHAnsi"/>
                <w:b/>
                <w:i/>
                <w:iCs/>
                <w:szCs w:val="18"/>
              </w:rPr>
            </w:pPr>
            <w:r w:rsidRPr="00451FD6">
              <w:rPr>
                <w:rFonts w:asciiTheme="minorHAnsi" w:hAnsiTheme="minorHAnsi"/>
                <w:i/>
                <w:iCs/>
                <w:szCs w:val="18"/>
              </w:rPr>
              <w:t xml:space="preserve">The figures below are included in the Authority’s Operating Statement </w:t>
            </w:r>
          </w:p>
        </w:tc>
        <w:tc>
          <w:tcPr>
            <w:tcW w:w="783" w:type="pct"/>
            <w:tcBorders>
              <w:top w:val="single" w:sz="12" w:space="0" w:color="492581" w:themeColor="accent1"/>
            </w:tcBorders>
          </w:tcPr>
          <w:p w14:paraId="4C8D5008" w14:textId="77777777" w:rsidR="00DA2956" w:rsidRPr="00451FD6" w:rsidRDefault="00DA2956">
            <w:pPr>
              <w:pStyle w:val="VAText"/>
              <w:jc w:val="right"/>
              <w:rPr>
                <w:rFonts w:asciiTheme="minorHAnsi" w:hAnsiTheme="minorHAnsi"/>
                <w:b/>
                <w:szCs w:val="18"/>
              </w:rPr>
            </w:pPr>
          </w:p>
        </w:tc>
        <w:tc>
          <w:tcPr>
            <w:tcW w:w="575" w:type="pct"/>
            <w:tcBorders>
              <w:top w:val="single" w:sz="12" w:space="0" w:color="492581" w:themeColor="accent1"/>
            </w:tcBorders>
          </w:tcPr>
          <w:p w14:paraId="6444127A" w14:textId="77777777" w:rsidR="00DA2956" w:rsidRPr="00451FD6" w:rsidRDefault="00DA2956">
            <w:pPr>
              <w:pStyle w:val="VAText"/>
              <w:jc w:val="right"/>
              <w:rPr>
                <w:rFonts w:asciiTheme="minorHAnsi" w:hAnsiTheme="minorHAnsi"/>
                <w:b/>
                <w:szCs w:val="18"/>
              </w:rPr>
            </w:pPr>
          </w:p>
        </w:tc>
        <w:tc>
          <w:tcPr>
            <w:tcW w:w="341" w:type="pct"/>
            <w:tcBorders>
              <w:top w:val="single" w:sz="12" w:space="0" w:color="492581" w:themeColor="accent1"/>
            </w:tcBorders>
          </w:tcPr>
          <w:p w14:paraId="2285CEC7" w14:textId="77777777" w:rsidR="00DA2956" w:rsidRPr="00451FD6" w:rsidRDefault="00DA2956">
            <w:pPr>
              <w:pStyle w:val="VAText"/>
              <w:jc w:val="right"/>
              <w:rPr>
                <w:rFonts w:asciiTheme="minorHAnsi" w:hAnsiTheme="minorHAnsi"/>
                <w:b/>
                <w:szCs w:val="18"/>
              </w:rPr>
            </w:pPr>
          </w:p>
        </w:tc>
      </w:tr>
      <w:tr w:rsidR="00DA2956" w:rsidRPr="00451FD6" w14:paraId="7F59145C" w14:textId="77777777" w:rsidTr="00BB7B27">
        <w:trPr>
          <w:cantSplit/>
          <w:trHeight w:val="226"/>
        </w:trPr>
        <w:tc>
          <w:tcPr>
            <w:tcW w:w="2982" w:type="pct"/>
          </w:tcPr>
          <w:p w14:paraId="638D178D" w14:textId="77777777" w:rsidR="00DA2956" w:rsidRPr="00451FD6" w:rsidRDefault="00DA2956">
            <w:pPr>
              <w:pStyle w:val="VAText"/>
              <w:tabs>
                <w:tab w:val="left" w:pos="459"/>
              </w:tabs>
              <w:rPr>
                <w:rFonts w:asciiTheme="minorHAnsi" w:hAnsiTheme="minorHAnsi"/>
                <w:b/>
                <w:szCs w:val="18"/>
                <w:vertAlign w:val="superscript"/>
              </w:rPr>
            </w:pPr>
            <w:r w:rsidRPr="00451FD6">
              <w:rPr>
                <w:rFonts w:asciiTheme="minorHAnsi" w:hAnsiTheme="minorHAnsi"/>
                <w:b/>
                <w:szCs w:val="18"/>
              </w:rPr>
              <w:t>Revenue:</w:t>
            </w:r>
          </w:p>
        </w:tc>
        <w:tc>
          <w:tcPr>
            <w:tcW w:w="320" w:type="pct"/>
          </w:tcPr>
          <w:p w14:paraId="36CD5E15" w14:textId="77777777" w:rsidR="00DA2956" w:rsidRPr="00451FD6" w:rsidRDefault="00DA2956">
            <w:pPr>
              <w:pStyle w:val="VAText"/>
              <w:tabs>
                <w:tab w:val="right" w:pos="742"/>
              </w:tabs>
              <w:jc w:val="center"/>
              <w:rPr>
                <w:rFonts w:asciiTheme="minorHAnsi" w:hAnsiTheme="minorHAnsi"/>
                <w:b/>
                <w:bCs/>
                <w:szCs w:val="18"/>
              </w:rPr>
            </w:pPr>
          </w:p>
        </w:tc>
        <w:tc>
          <w:tcPr>
            <w:tcW w:w="783" w:type="pct"/>
          </w:tcPr>
          <w:p w14:paraId="7F9F1EA5" w14:textId="77777777" w:rsidR="00DA2956" w:rsidRPr="00451FD6" w:rsidRDefault="00DA2956">
            <w:pPr>
              <w:pStyle w:val="VAText"/>
              <w:jc w:val="right"/>
              <w:rPr>
                <w:rFonts w:asciiTheme="minorHAnsi" w:hAnsiTheme="minorHAnsi"/>
                <w:b/>
                <w:szCs w:val="18"/>
              </w:rPr>
            </w:pPr>
          </w:p>
        </w:tc>
        <w:tc>
          <w:tcPr>
            <w:tcW w:w="575" w:type="pct"/>
          </w:tcPr>
          <w:p w14:paraId="1667AA0A" w14:textId="77777777" w:rsidR="00DA2956" w:rsidRPr="00451FD6" w:rsidRDefault="00DA2956">
            <w:pPr>
              <w:pStyle w:val="VAText"/>
              <w:jc w:val="right"/>
              <w:rPr>
                <w:rFonts w:asciiTheme="minorHAnsi" w:hAnsiTheme="minorHAnsi"/>
                <w:b/>
                <w:szCs w:val="18"/>
              </w:rPr>
            </w:pPr>
          </w:p>
        </w:tc>
        <w:tc>
          <w:tcPr>
            <w:tcW w:w="341" w:type="pct"/>
          </w:tcPr>
          <w:p w14:paraId="21F2EC1F" w14:textId="77777777" w:rsidR="00DA2956" w:rsidRPr="00451FD6" w:rsidRDefault="00DA2956">
            <w:pPr>
              <w:pStyle w:val="VAText"/>
              <w:jc w:val="right"/>
              <w:rPr>
                <w:rFonts w:asciiTheme="minorHAnsi" w:hAnsiTheme="minorHAnsi"/>
                <w:b/>
                <w:szCs w:val="18"/>
              </w:rPr>
            </w:pPr>
          </w:p>
        </w:tc>
      </w:tr>
      <w:tr w:rsidR="00DA2956" w:rsidRPr="00451FD6" w14:paraId="7DC9B54C" w14:textId="77777777" w:rsidTr="00BB7B27">
        <w:trPr>
          <w:cantSplit/>
          <w:trHeight w:val="226"/>
        </w:trPr>
        <w:tc>
          <w:tcPr>
            <w:tcW w:w="2982" w:type="pct"/>
          </w:tcPr>
          <w:p w14:paraId="176F08FB" w14:textId="77777777" w:rsidR="00DA2956" w:rsidRPr="00451FD6" w:rsidRDefault="00DA2956">
            <w:pPr>
              <w:pStyle w:val="VAText"/>
              <w:rPr>
                <w:rFonts w:asciiTheme="minorHAnsi" w:hAnsiTheme="minorHAnsi"/>
                <w:bCs/>
                <w:szCs w:val="18"/>
                <w:vertAlign w:val="superscript"/>
              </w:rPr>
            </w:pPr>
            <w:r w:rsidRPr="00451FD6">
              <w:rPr>
                <w:rFonts w:asciiTheme="minorHAnsi" w:hAnsiTheme="minorHAnsi"/>
                <w:bCs/>
                <w:szCs w:val="18"/>
              </w:rPr>
              <w:t xml:space="preserve">Appropriation </w:t>
            </w:r>
            <w:r>
              <w:rPr>
                <w:rFonts w:asciiTheme="minorHAnsi" w:hAnsiTheme="minorHAnsi"/>
                <w:bCs/>
                <w:szCs w:val="18"/>
              </w:rPr>
              <w:t>F</w:t>
            </w:r>
            <w:r w:rsidRPr="00451FD6">
              <w:rPr>
                <w:rFonts w:asciiTheme="minorHAnsi" w:hAnsiTheme="minorHAnsi"/>
                <w:bCs/>
                <w:szCs w:val="18"/>
              </w:rPr>
              <w:t>unding</w:t>
            </w:r>
            <w:r>
              <w:rPr>
                <w:rFonts w:asciiTheme="minorHAnsi" w:hAnsiTheme="minorHAnsi"/>
                <w:bCs/>
                <w:szCs w:val="18"/>
              </w:rPr>
              <w:t xml:space="preserve"> </w:t>
            </w:r>
            <w:r w:rsidRPr="001D02AD">
              <w:rPr>
                <w:rFonts w:asciiTheme="minorHAnsi" w:hAnsiTheme="minorHAnsi"/>
                <w:bCs/>
                <w:szCs w:val="18"/>
                <w:vertAlign w:val="superscript"/>
              </w:rPr>
              <w:t>a</w:t>
            </w:r>
          </w:p>
        </w:tc>
        <w:tc>
          <w:tcPr>
            <w:tcW w:w="320" w:type="pct"/>
          </w:tcPr>
          <w:p w14:paraId="19B84CE5" w14:textId="77777777" w:rsidR="00DA2956" w:rsidRPr="00451FD6" w:rsidRDefault="00DA2956">
            <w:pPr>
              <w:pStyle w:val="VAText"/>
              <w:tabs>
                <w:tab w:val="right" w:pos="742"/>
              </w:tabs>
              <w:jc w:val="center"/>
              <w:rPr>
                <w:rFonts w:asciiTheme="minorHAnsi" w:hAnsiTheme="minorHAnsi"/>
                <w:szCs w:val="18"/>
              </w:rPr>
            </w:pPr>
            <w:r w:rsidRPr="00451FD6">
              <w:rPr>
                <w:rFonts w:asciiTheme="minorHAnsi" w:hAnsiTheme="minorHAnsi"/>
                <w:szCs w:val="18"/>
              </w:rPr>
              <w:t>8</w:t>
            </w:r>
          </w:p>
        </w:tc>
        <w:tc>
          <w:tcPr>
            <w:tcW w:w="783" w:type="pct"/>
          </w:tcPr>
          <w:p w14:paraId="4E6A9A26"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248</w:t>
            </w:r>
          </w:p>
        </w:tc>
        <w:tc>
          <w:tcPr>
            <w:tcW w:w="575" w:type="pct"/>
          </w:tcPr>
          <w:p w14:paraId="6AA87D0B" w14:textId="77777777" w:rsidR="00DA2956" w:rsidRPr="00451FD6" w:rsidRDefault="00DA2956">
            <w:pPr>
              <w:pStyle w:val="VAText"/>
              <w:jc w:val="right"/>
              <w:rPr>
                <w:rFonts w:asciiTheme="minorHAnsi" w:hAnsiTheme="minorHAnsi"/>
                <w:bCs/>
                <w:szCs w:val="18"/>
              </w:rPr>
            </w:pPr>
          </w:p>
        </w:tc>
        <w:tc>
          <w:tcPr>
            <w:tcW w:w="341" w:type="pct"/>
          </w:tcPr>
          <w:p w14:paraId="5CD1F5A5" w14:textId="77777777" w:rsidR="00DA2956" w:rsidRPr="00451FD6" w:rsidRDefault="00DA2956">
            <w:pPr>
              <w:pStyle w:val="VAText"/>
              <w:jc w:val="right"/>
              <w:rPr>
                <w:rFonts w:asciiTheme="minorHAnsi" w:hAnsiTheme="minorHAnsi"/>
                <w:bCs/>
                <w:szCs w:val="18"/>
              </w:rPr>
            </w:pPr>
            <w:r w:rsidRPr="00451FD6">
              <w:rPr>
                <w:rFonts w:asciiTheme="minorHAnsi" w:hAnsiTheme="minorHAnsi"/>
                <w:bCs/>
                <w:szCs w:val="18"/>
              </w:rPr>
              <w:t>201</w:t>
            </w:r>
          </w:p>
        </w:tc>
      </w:tr>
      <w:tr w:rsidR="00DA2956" w:rsidRPr="00451FD6" w14:paraId="127AD2D0" w14:textId="77777777" w:rsidTr="00BB7B27">
        <w:trPr>
          <w:cantSplit/>
          <w:trHeight w:val="226"/>
        </w:trPr>
        <w:tc>
          <w:tcPr>
            <w:tcW w:w="2982" w:type="pct"/>
          </w:tcPr>
          <w:p w14:paraId="3E3D1633" w14:textId="77777777" w:rsidR="00DA2956" w:rsidRPr="00451FD6" w:rsidRDefault="00DA2956">
            <w:pPr>
              <w:pStyle w:val="VAText"/>
              <w:rPr>
                <w:rFonts w:asciiTheme="minorHAnsi" w:hAnsiTheme="minorHAnsi"/>
                <w:bCs/>
                <w:szCs w:val="18"/>
              </w:rPr>
            </w:pPr>
            <w:r>
              <w:rPr>
                <w:rFonts w:asciiTheme="minorHAnsi" w:hAnsiTheme="minorHAnsi"/>
                <w:bCs/>
                <w:szCs w:val="18"/>
              </w:rPr>
              <w:t xml:space="preserve">Gross Earned Premiums </w:t>
            </w:r>
            <w:r>
              <w:rPr>
                <w:rFonts w:asciiTheme="minorHAnsi" w:hAnsiTheme="minorHAnsi"/>
                <w:bCs/>
                <w:szCs w:val="18"/>
                <w:vertAlign w:val="superscript"/>
              </w:rPr>
              <w:t>b</w:t>
            </w:r>
          </w:p>
        </w:tc>
        <w:tc>
          <w:tcPr>
            <w:tcW w:w="320" w:type="pct"/>
          </w:tcPr>
          <w:p w14:paraId="48898A74" w14:textId="77777777" w:rsidR="00DA2956" w:rsidRPr="00451FD6" w:rsidRDefault="00DA2956">
            <w:pPr>
              <w:pStyle w:val="VAText"/>
              <w:tabs>
                <w:tab w:val="right" w:pos="742"/>
              </w:tabs>
              <w:jc w:val="center"/>
              <w:rPr>
                <w:rFonts w:asciiTheme="minorHAnsi" w:hAnsiTheme="minorHAnsi"/>
                <w:szCs w:val="18"/>
              </w:rPr>
            </w:pPr>
            <w:r>
              <w:rPr>
                <w:rFonts w:asciiTheme="minorHAnsi" w:hAnsiTheme="minorHAnsi"/>
                <w:szCs w:val="18"/>
              </w:rPr>
              <w:t>8</w:t>
            </w:r>
          </w:p>
        </w:tc>
        <w:tc>
          <w:tcPr>
            <w:tcW w:w="783" w:type="pct"/>
            <w:tcBorders>
              <w:bottom w:val="single" w:sz="4" w:space="0" w:color="auto"/>
            </w:tcBorders>
          </w:tcPr>
          <w:p w14:paraId="5F915B81" w14:textId="77777777" w:rsidR="00DA2956" w:rsidRDefault="00DA2956">
            <w:pPr>
              <w:pStyle w:val="VAText"/>
              <w:jc w:val="right"/>
              <w:rPr>
                <w:rFonts w:asciiTheme="minorHAnsi" w:hAnsiTheme="minorHAnsi"/>
                <w:bCs/>
                <w:szCs w:val="18"/>
              </w:rPr>
            </w:pPr>
            <w:r>
              <w:rPr>
                <w:rFonts w:asciiTheme="minorHAnsi" w:hAnsiTheme="minorHAnsi"/>
                <w:bCs/>
                <w:szCs w:val="18"/>
              </w:rPr>
              <w:t>869</w:t>
            </w:r>
          </w:p>
        </w:tc>
        <w:tc>
          <w:tcPr>
            <w:tcW w:w="575" w:type="pct"/>
            <w:tcBorders>
              <w:bottom w:val="single" w:sz="4" w:space="0" w:color="auto"/>
            </w:tcBorders>
          </w:tcPr>
          <w:p w14:paraId="66705C1F" w14:textId="77777777" w:rsidR="00DA2956" w:rsidRPr="00451FD6" w:rsidRDefault="00DA2956">
            <w:pPr>
              <w:pStyle w:val="VAText"/>
              <w:jc w:val="right"/>
              <w:rPr>
                <w:rFonts w:asciiTheme="minorHAnsi" w:hAnsiTheme="minorHAnsi"/>
                <w:bCs/>
                <w:szCs w:val="18"/>
              </w:rPr>
            </w:pPr>
          </w:p>
        </w:tc>
        <w:tc>
          <w:tcPr>
            <w:tcW w:w="341" w:type="pct"/>
            <w:tcBorders>
              <w:bottom w:val="single" w:sz="4" w:space="0" w:color="auto"/>
            </w:tcBorders>
          </w:tcPr>
          <w:p w14:paraId="7F8AFF8D"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w:t>
            </w:r>
          </w:p>
        </w:tc>
      </w:tr>
      <w:tr w:rsidR="00DA2956" w:rsidRPr="00451FD6" w14:paraId="3A002774" w14:textId="77777777" w:rsidTr="00BB7B27">
        <w:trPr>
          <w:cantSplit/>
          <w:trHeight w:val="226"/>
        </w:trPr>
        <w:tc>
          <w:tcPr>
            <w:tcW w:w="2982" w:type="pct"/>
          </w:tcPr>
          <w:p w14:paraId="0CF64284" w14:textId="77777777" w:rsidR="00DA2956" w:rsidRPr="00AC4384" w:rsidRDefault="00DA2956">
            <w:pPr>
              <w:pStyle w:val="VAText"/>
              <w:rPr>
                <w:rFonts w:asciiTheme="minorHAnsi" w:hAnsiTheme="minorHAnsi"/>
                <w:b/>
                <w:szCs w:val="18"/>
              </w:rPr>
            </w:pPr>
            <w:r w:rsidRPr="00AC4384">
              <w:rPr>
                <w:rFonts w:asciiTheme="minorHAnsi" w:hAnsiTheme="minorHAnsi"/>
                <w:b/>
                <w:szCs w:val="18"/>
              </w:rPr>
              <w:t>Total Revenue</w:t>
            </w:r>
          </w:p>
        </w:tc>
        <w:tc>
          <w:tcPr>
            <w:tcW w:w="320" w:type="pct"/>
          </w:tcPr>
          <w:p w14:paraId="5E628A55" w14:textId="77777777" w:rsidR="00DA2956" w:rsidRPr="00451FD6" w:rsidRDefault="00DA2956">
            <w:pPr>
              <w:pStyle w:val="VAText"/>
              <w:tabs>
                <w:tab w:val="right" w:pos="742"/>
              </w:tabs>
              <w:jc w:val="center"/>
              <w:rPr>
                <w:rFonts w:asciiTheme="minorHAnsi" w:hAnsiTheme="minorHAnsi"/>
                <w:szCs w:val="18"/>
              </w:rPr>
            </w:pPr>
          </w:p>
        </w:tc>
        <w:tc>
          <w:tcPr>
            <w:tcW w:w="783" w:type="pct"/>
            <w:tcBorders>
              <w:top w:val="single" w:sz="4" w:space="0" w:color="auto"/>
              <w:bottom w:val="single" w:sz="4" w:space="0" w:color="auto"/>
            </w:tcBorders>
          </w:tcPr>
          <w:p w14:paraId="0561CA8E" w14:textId="77777777" w:rsidR="00DA2956" w:rsidRPr="00451FD6" w:rsidRDefault="00DA2956">
            <w:pPr>
              <w:pStyle w:val="VAText"/>
              <w:tabs>
                <w:tab w:val="right" w:pos="742"/>
              </w:tabs>
              <w:jc w:val="right"/>
              <w:rPr>
                <w:rFonts w:asciiTheme="minorHAnsi" w:hAnsiTheme="minorHAnsi"/>
                <w:b/>
                <w:bCs/>
                <w:szCs w:val="18"/>
              </w:rPr>
            </w:pPr>
            <w:r>
              <w:rPr>
                <w:rFonts w:asciiTheme="minorHAnsi" w:hAnsiTheme="minorHAnsi"/>
                <w:b/>
                <w:bCs/>
                <w:szCs w:val="18"/>
              </w:rPr>
              <w:t>1,116</w:t>
            </w:r>
          </w:p>
        </w:tc>
        <w:tc>
          <w:tcPr>
            <w:tcW w:w="575" w:type="pct"/>
            <w:tcBorders>
              <w:top w:val="single" w:sz="4" w:space="0" w:color="auto"/>
              <w:bottom w:val="single" w:sz="4" w:space="0" w:color="auto"/>
            </w:tcBorders>
          </w:tcPr>
          <w:p w14:paraId="13A45DBD" w14:textId="77777777" w:rsidR="00DA2956" w:rsidRPr="00451FD6" w:rsidRDefault="00DA2956">
            <w:pPr>
              <w:pStyle w:val="VAText"/>
              <w:tabs>
                <w:tab w:val="right" w:pos="742"/>
              </w:tabs>
              <w:jc w:val="right"/>
              <w:rPr>
                <w:rFonts w:asciiTheme="minorHAnsi" w:hAnsiTheme="minorHAnsi"/>
                <w:b/>
                <w:bCs/>
                <w:szCs w:val="18"/>
              </w:rPr>
            </w:pPr>
          </w:p>
        </w:tc>
        <w:tc>
          <w:tcPr>
            <w:tcW w:w="341" w:type="pct"/>
            <w:tcBorders>
              <w:top w:val="single" w:sz="4" w:space="0" w:color="auto"/>
              <w:bottom w:val="single" w:sz="4" w:space="0" w:color="auto"/>
            </w:tcBorders>
          </w:tcPr>
          <w:p w14:paraId="23ACDF53" w14:textId="77777777" w:rsidR="00DA2956" w:rsidRPr="00451FD6" w:rsidRDefault="00DA2956">
            <w:pPr>
              <w:pStyle w:val="VAText"/>
              <w:tabs>
                <w:tab w:val="right" w:pos="742"/>
              </w:tabs>
              <w:jc w:val="right"/>
              <w:rPr>
                <w:rFonts w:asciiTheme="minorHAnsi" w:hAnsiTheme="minorHAnsi"/>
                <w:b/>
                <w:bCs/>
                <w:szCs w:val="18"/>
              </w:rPr>
            </w:pPr>
            <w:r w:rsidRPr="00451FD6">
              <w:rPr>
                <w:rFonts w:asciiTheme="minorHAnsi" w:hAnsiTheme="minorHAnsi"/>
                <w:b/>
                <w:bCs/>
                <w:szCs w:val="18"/>
              </w:rPr>
              <w:t>201</w:t>
            </w:r>
          </w:p>
        </w:tc>
      </w:tr>
      <w:tr w:rsidR="00DA2956" w:rsidRPr="00451FD6" w14:paraId="1CC2DFAB" w14:textId="77777777" w:rsidTr="00BB7B27">
        <w:trPr>
          <w:cantSplit/>
          <w:trHeight w:val="226"/>
        </w:trPr>
        <w:tc>
          <w:tcPr>
            <w:tcW w:w="2982" w:type="pct"/>
          </w:tcPr>
          <w:p w14:paraId="32F65EBD" w14:textId="77777777" w:rsidR="00DA2956" w:rsidRPr="00451FD6" w:rsidRDefault="00DA2956">
            <w:pPr>
              <w:pStyle w:val="VAText"/>
              <w:rPr>
                <w:rFonts w:asciiTheme="minorHAnsi" w:hAnsiTheme="minorHAnsi"/>
                <w:bCs/>
                <w:szCs w:val="18"/>
              </w:rPr>
            </w:pPr>
          </w:p>
        </w:tc>
        <w:tc>
          <w:tcPr>
            <w:tcW w:w="320" w:type="pct"/>
          </w:tcPr>
          <w:p w14:paraId="309D4B15" w14:textId="77777777" w:rsidR="00DA2956" w:rsidRPr="00451FD6" w:rsidRDefault="00DA2956">
            <w:pPr>
              <w:pStyle w:val="VAText"/>
              <w:tabs>
                <w:tab w:val="right" w:pos="742"/>
              </w:tabs>
              <w:jc w:val="center"/>
              <w:rPr>
                <w:rFonts w:asciiTheme="minorHAnsi" w:hAnsiTheme="minorHAnsi"/>
                <w:szCs w:val="18"/>
              </w:rPr>
            </w:pPr>
          </w:p>
        </w:tc>
        <w:tc>
          <w:tcPr>
            <w:tcW w:w="783" w:type="pct"/>
            <w:tcBorders>
              <w:top w:val="single" w:sz="4" w:space="0" w:color="auto"/>
            </w:tcBorders>
          </w:tcPr>
          <w:p w14:paraId="1D5636FA" w14:textId="77777777" w:rsidR="00DA2956" w:rsidRDefault="00DA2956">
            <w:pPr>
              <w:pStyle w:val="VAText"/>
              <w:tabs>
                <w:tab w:val="right" w:pos="742"/>
              </w:tabs>
              <w:jc w:val="right"/>
              <w:rPr>
                <w:rFonts w:asciiTheme="minorHAnsi" w:hAnsiTheme="minorHAnsi"/>
                <w:b/>
                <w:bCs/>
                <w:szCs w:val="18"/>
              </w:rPr>
            </w:pPr>
          </w:p>
        </w:tc>
        <w:tc>
          <w:tcPr>
            <w:tcW w:w="575" w:type="pct"/>
            <w:tcBorders>
              <w:top w:val="single" w:sz="4" w:space="0" w:color="auto"/>
            </w:tcBorders>
          </w:tcPr>
          <w:p w14:paraId="0F87E034" w14:textId="77777777" w:rsidR="00DA2956" w:rsidRPr="00451FD6" w:rsidRDefault="00DA2956">
            <w:pPr>
              <w:pStyle w:val="VAText"/>
              <w:tabs>
                <w:tab w:val="right" w:pos="742"/>
              </w:tabs>
              <w:jc w:val="right"/>
              <w:rPr>
                <w:rFonts w:asciiTheme="minorHAnsi" w:hAnsiTheme="minorHAnsi"/>
                <w:b/>
                <w:bCs/>
                <w:szCs w:val="18"/>
              </w:rPr>
            </w:pPr>
          </w:p>
        </w:tc>
        <w:tc>
          <w:tcPr>
            <w:tcW w:w="341" w:type="pct"/>
            <w:tcBorders>
              <w:top w:val="single" w:sz="4" w:space="0" w:color="auto"/>
            </w:tcBorders>
          </w:tcPr>
          <w:p w14:paraId="6AB0D406" w14:textId="77777777" w:rsidR="00DA2956" w:rsidRPr="00451FD6" w:rsidRDefault="00DA2956">
            <w:pPr>
              <w:pStyle w:val="VAText"/>
              <w:tabs>
                <w:tab w:val="right" w:pos="742"/>
              </w:tabs>
              <w:jc w:val="right"/>
              <w:rPr>
                <w:rFonts w:asciiTheme="minorHAnsi" w:hAnsiTheme="minorHAnsi"/>
                <w:b/>
                <w:bCs/>
                <w:szCs w:val="18"/>
              </w:rPr>
            </w:pPr>
          </w:p>
        </w:tc>
      </w:tr>
      <w:tr w:rsidR="00DA2956" w:rsidRPr="00451FD6" w14:paraId="7FA94E6E" w14:textId="77777777" w:rsidTr="00BB7B27">
        <w:trPr>
          <w:cantSplit/>
          <w:trHeight w:val="226"/>
        </w:trPr>
        <w:tc>
          <w:tcPr>
            <w:tcW w:w="2982" w:type="pct"/>
          </w:tcPr>
          <w:p w14:paraId="7B0B75C4" w14:textId="77777777" w:rsidR="00DA2956" w:rsidRPr="00451FD6" w:rsidRDefault="00DA2956">
            <w:pPr>
              <w:pStyle w:val="VAText"/>
              <w:tabs>
                <w:tab w:val="left" w:pos="459"/>
              </w:tabs>
              <w:rPr>
                <w:rFonts w:asciiTheme="minorHAnsi" w:hAnsiTheme="minorHAnsi"/>
                <w:b/>
                <w:szCs w:val="18"/>
              </w:rPr>
            </w:pPr>
            <w:r w:rsidRPr="00451FD6">
              <w:rPr>
                <w:rFonts w:asciiTheme="minorHAnsi" w:hAnsiTheme="minorHAnsi"/>
                <w:b/>
                <w:szCs w:val="18"/>
              </w:rPr>
              <w:t>Expenses</w:t>
            </w:r>
          </w:p>
        </w:tc>
        <w:tc>
          <w:tcPr>
            <w:tcW w:w="320" w:type="pct"/>
          </w:tcPr>
          <w:p w14:paraId="01B1C775" w14:textId="77777777" w:rsidR="00DA2956" w:rsidRPr="00451FD6" w:rsidRDefault="00DA2956">
            <w:pPr>
              <w:pStyle w:val="VAText"/>
              <w:jc w:val="center"/>
              <w:rPr>
                <w:rFonts w:asciiTheme="minorHAnsi" w:hAnsiTheme="minorHAnsi"/>
                <w:szCs w:val="18"/>
              </w:rPr>
            </w:pPr>
          </w:p>
        </w:tc>
        <w:tc>
          <w:tcPr>
            <w:tcW w:w="783" w:type="pct"/>
          </w:tcPr>
          <w:p w14:paraId="1C3D92AC" w14:textId="77777777" w:rsidR="00DA2956" w:rsidRPr="00451FD6" w:rsidRDefault="00DA2956">
            <w:pPr>
              <w:pStyle w:val="VAText"/>
              <w:jc w:val="right"/>
              <w:rPr>
                <w:rFonts w:asciiTheme="minorHAnsi" w:hAnsiTheme="minorHAnsi"/>
                <w:b/>
                <w:szCs w:val="18"/>
              </w:rPr>
            </w:pPr>
          </w:p>
        </w:tc>
        <w:tc>
          <w:tcPr>
            <w:tcW w:w="575" w:type="pct"/>
          </w:tcPr>
          <w:p w14:paraId="013088B0" w14:textId="77777777" w:rsidR="00DA2956" w:rsidRPr="00451FD6" w:rsidRDefault="00DA2956">
            <w:pPr>
              <w:pStyle w:val="VAText"/>
              <w:jc w:val="right"/>
              <w:rPr>
                <w:rFonts w:asciiTheme="minorHAnsi" w:hAnsiTheme="minorHAnsi"/>
                <w:b/>
                <w:szCs w:val="18"/>
              </w:rPr>
            </w:pPr>
          </w:p>
        </w:tc>
        <w:tc>
          <w:tcPr>
            <w:tcW w:w="341" w:type="pct"/>
          </w:tcPr>
          <w:p w14:paraId="3DF874E5" w14:textId="77777777" w:rsidR="00DA2956" w:rsidRPr="00451FD6" w:rsidRDefault="00DA2956">
            <w:pPr>
              <w:pStyle w:val="VAText"/>
              <w:jc w:val="right"/>
              <w:rPr>
                <w:rFonts w:asciiTheme="minorHAnsi" w:hAnsiTheme="minorHAnsi"/>
                <w:b/>
                <w:szCs w:val="18"/>
              </w:rPr>
            </w:pPr>
          </w:p>
        </w:tc>
      </w:tr>
      <w:tr w:rsidR="00DA2956" w:rsidRPr="00451FD6" w14:paraId="15D5F2B8" w14:textId="77777777" w:rsidTr="00BB7B27">
        <w:trPr>
          <w:cantSplit/>
          <w:trHeight w:val="226"/>
        </w:trPr>
        <w:tc>
          <w:tcPr>
            <w:tcW w:w="2982" w:type="pct"/>
          </w:tcPr>
          <w:p w14:paraId="1D32C414" w14:textId="77777777" w:rsidR="00DA2956" w:rsidRPr="00451FD6" w:rsidRDefault="00DA2956">
            <w:pPr>
              <w:pStyle w:val="VAText"/>
              <w:rPr>
                <w:rFonts w:asciiTheme="minorHAnsi" w:hAnsiTheme="minorHAnsi"/>
                <w:szCs w:val="18"/>
              </w:rPr>
            </w:pPr>
            <w:r>
              <w:rPr>
                <w:rFonts w:asciiTheme="minorHAnsi" w:hAnsiTheme="minorHAnsi"/>
                <w:szCs w:val="18"/>
              </w:rPr>
              <w:t xml:space="preserve">Claims Expense </w:t>
            </w:r>
            <w:r>
              <w:rPr>
                <w:rFonts w:asciiTheme="minorHAnsi" w:hAnsiTheme="minorHAnsi"/>
                <w:bCs/>
                <w:szCs w:val="18"/>
                <w:vertAlign w:val="superscript"/>
              </w:rPr>
              <w:t>c</w:t>
            </w:r>
          </w:p>
        </w:tc>
        <w:tc>
          <w:tcPr>
            <w:tcW w:w="320" w:type="pct"/>
          </w:tcPr>
          <w:p w14:paraId="3F98FF51" w14:textId="77777777" w:rsidR="00DA2956" w:rsidRPr="00451FD6" w:rsidRDefault="00DA2956">
            <w:pPr>
              <w:pStyle w:val="VAText"/>
              <w:jc w:val="center"/>
              <w:rPr>
                <w:rFonts w:asciiTheme="minorHAnsi" w:hAnsiTheme="minorHAnsi"/>
                <w:szCs w:val="18"/>
              </w:rPr>
            </w:pPr>
            <w:r>
              <w:rPr>
                <w:rFonts w:asciiTheme="minorHAnsi" w:hAnsiTheme="minorHAnsi"/>
                <w:szCs w:val="18"/>
              </w:rPr>
              <w:t>8</w:t>
            </w:r>
          </w:p>
        </w:tc>
        <w:tc>
          <w:tcPr>
            <w:tcW w:w="783" w:type="pct"/>
          </w:tcPr>
          <w:p w14:paraId="6B87AE46"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3,365</w:t>
            </w:r>
          </w:p>
        </w:tc>
        <w:tc>
          <w:tcPr>
            <w:tcW w:w="575" w:type="pct"/>
          </w:tcPr>
          <w:p w14:paraId="4F35AA31" w14:textId="77777777" w:rsidR="00DA2956" w:rsidRPr="00451FD6" w:rsidRDefault="00DA2956">
            <w:pPr>
              <w:pStyle w:val="VAText"/>
              <w:jc w:val="right"/>
              <w:rPr>
                <w:rFonts w:asciiTheme="minorHAnsi" w:hAnsiTheme="minorHAnsi"/>
                <w:bCs/>
                <w:szCs w:val="18"/>
              </w:rPr>
            </w:pPr>
          </w:p>
        </w:tc>
        <w:tc>
          <w:tcPr>
            <w:tcW w:w="341" w:type="pct"/>
          </w:tcPr>
          <w:p w14:paraId="58CEEFE4"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w:t>
            </w:r>
          </w:p>
        </w:tc>
      </w:tr>
      <w:tr w:rsidR="00DA2956" w:rsidRPr="00451FD6" w14:paraId="6D09FFB4" w14:textId="77777777" w:rsidTr="00BB7B27">
        <w:trPr>
          <w:cantSplit/>
          <w:trHeight w:val="226"/>
        </w:trPr>
        <w:tc>
          <w:tcPr>
            <w:tcW w:w="2982" w:type="pct"/>
          </w:tcPr>
          <w:p w14:paraId="4BCD3E1B" w14:textId="77777777" w:rsidR="00DA2956" w:rsidRPr="00451FD6" w:rsidRDefault="00DA2956">
            <w:pPr>
              <w:pStyle w:val="VAText"/>
              <w:rPr>
                <w:rFonts w:asciiTheme="minorHAnsi" w:hAnsiTheme="minorHAnsi"/>
                <w:szCs w:val="18"/>
              </w:rPr>
            </w:pPr>
            <w:r>
              <w:rPr>
                <w:rFonts w:asciiTheme="minorHAnsi" w:hAnsiTheme="minorHAnsi"/>
                <w:szCs w:val="18"/>
              </w:rPr>
              <w:t xml:space="preserve">Actuarial Services </w:t>
            </w:r>
            <w:r>
              <w:rPr>
                <w:rFonts w:asciiTheme="minorHAnsi" w:hAnsiTheme="minorHAnsi"/>
                <w:bCs/>
                <w:szCs w:val="18"/>
                <w:vertAlign w:val="superscript"/>
              </w:rPr>
              <w:t>d</w:t>
            </w:r>
          </w:p>
        </w:tc>
        <w:tc>
          <w:tcPr>
            <w:tcW w:w="320" w:type="pct"/>
          </w:tcPr>
          <w:p w14:paraId="1BD473AB" w14:textId="77777777" w:rsidR="00DA2956" w:rsidRPr="00451FD6" w:rsidRDefault="00DA2956">
            <w:pPr>
              <w:pStyle w:val="VAText"/>
              <w:jc w:val="center"/>
              <w:rPr>
                <w:rFonts w:asciiTheme="minorHAnsi" w:hAnsiTheme="minorHAnsi"/>
                <w:szCs w:val="18"/>
              </w:rPr>
            </w:pPr>
            <w:r>
              <w:rPr>
                <w:rFonts w:asciiTheme="minorHAnsi" w:hAnsiTheme="minorHAnsi"/>
                <w:szCs w:val="18"/>
              </w:rPr>
              <w:t>10</w:t>
            </w:r>
          </w:p>
        </w:tc>
        <w:tc>
          <w:tcPr>
            <w:tcW w:w="783" w:type="pct"/>
          </w:tcPr>
          <w:p w14:paraId="40662324"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77</w:t>
            </w:r>
          </w:p>
        </w:tc>
        <w:tc>
          <w:tcPr>
            <w:tcW w:w="575" w:type="pct"/>
          </w:tcPr>
          <w:p w14:paraId="295EE283" w14:textId="77777777" w:rsidR="00DA2956" w:rsidRPr="00451FD6" w:rsidRDefault="00DA2956">
            <w:pPr>
              <w:pStyle w:val="VAText"/>
              <w:jc w:val="right"/>
              <w:rPr>
                <w:rFonts w:asciiTheme="minorHAnsi" w:hAnsiTheme="minorHAnsi"/>
                <w:bCs/>
                <w:szCs w:val="18"/>
              </w:rPr>
            </w:pPr>
          </w:p>
        </w:tc>
        <w:tc>
          <w:tcPr>
            <w:tcW w:w="341" w:type="pct"/>
          </w:tcPr>
          <w:p w14:paraId="38248B8A"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w:t>
            </w:r>
          </w:p>
        </w:tc>
      </w:tr>
      <w:tr w:rsidR="00DA2956" w:rsidRPr="00451FD6" w14:paraId="669BEED1" w14:textId="77777777" w:rsidTr="00BB7B27">
        <w:trPr>
          <w:cantSplit/>
          <w:trHeight w:val="226"/>
        </w:trPr>
        <w:tc>
          <w:tcPr>
            <w:tcW w:w="2982" w:type="pct"/>
          </w:tcPr>
          <w:p w14:paraId="33A37CAD" w14:textId="77777777" w:rsidR="00DA2956" w:rsidRPr="00451FD6" w:rsidRDefault="00DA2956">
            <w:pPr>
              <w:pStyle w:val="VAText"/>
              <w:rPr>
                <w:rFonts w:asciiTheme="minorHAnsi" w:hAnsiTheme="minorHAnsi"/>
                <w:szCs w:val="18"/>
              </w:rPr>
            </w:pPr>
            <w:r w:rsidRPr="00451FD6">
              <w:rPr>
                <w:rFonts w:asciiTheme="minorHAnsi" w:hAnsiTheme="minorHAnsi"/>
                <w:szCs w:val="18"/>
              </w:rPr>
              <w:t>Employee Expenses</w:t>
            </w:r>
            <w:r>
              <w:rPr>
                <w:rFonts w:asciiTheme="minorHAnsi" w:hAnsiTheme="minorHAnsi"/>
                <w:szCs w:val="18"/>
              </w:rPr>
              <w:t xml:space="preserve"> </w:t>
            </w:r>
            <w:r w:rsidRPr="000441BC">
              <w:rPr>
                <w:rFonts w:asciiTheme="minorHAnsi" w:hAnsiTheme="minorHAnsi"/>
                <w:bCs/>
                <w:szCs w:val="18"/>
                <w:vertAlign w:val="superscript"/>
              </w:rPr>
              <w:t>e</w:t>
            </w:r>
          </w:p>
        </w:tc>
        <w:tc>
          <w:tcPr>
            <w:tcW w:w="320" w:type="pct"/>
          </w:tcPr>
          <w:p w14:paraId="21F2BC0F" w14:textId="77777777" w:rsidR="00DA2956" w:rsidRPr="00451FD6" w:rsidRDefault="00DA2956">
            <w:pPr>
              <w:pStyle w:val="VAText"/>
              <w:jc w:val="center"/>
              <w:rPr>
                <w:rFonts w:asciiTheme="minorHAnsi" w:hAnsiTheme="minorHAnsi"/>
                <w:szCs w:val="18"/>
              </w:rPr>
            </w:pPr>
            <w:r w:rsidRPr="00451FD6">
              <w:rPr>
                <w:rFonts w:asciiTheme="minorHAnsi" w:hAnsiTheme="minorHAnsi"/>
                <w:szCs w:val="18"/>
              </w:rPr>
              <w:t>9</w:t>
            </w:r>
          </w:p>
        </w:tc>
        <w:tc>
          <w:tcPr>
            <w:tcW w:w="783" w:type="pct"/>
          </w:tcPr>
          <w:p w14:paraId="782562AA"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39</w:t>
            </w:r>
          </w:p>
        </w:tc>
        <w:tc>
          <w:tcPr>
            <w:tcW w:w="575" w:type="pct"/>
          </w:tcPr>
          <w:p w14:paraId="4D46FE15" w14:textId="77777777" w:rsidR="00DA2956" w:rsidRPr="00451FD6" w:rsidRDefault="00DA2956">
            <w:pPr>
              <w:pStyle w:val="VAText"/>
              <w:jc w:val="right"/>
              <w:rPr>
                <w:rFonts w:asciiTheme="minorHAnsi" w:hAnsiTheme="minorHAnsi"/>
                <w:bCs/>
                <w:szCs w:val="18"/>
              </w:rPr>
            </w:pPr>
          </w:p>
        </w:tc>
        <w:tc>
          <w:tcPr>
            <w:tcW w:w="341" w:type="pct"/>
          </w:tcPr>
          <w:p w14:paraId="378E3BE1" w14:textId="77777777" w:rsidR="00DA2956" w:rsidRPr="00451FD6" w:rsidRDefault="00DA2956">
            <w:pPr>
              <w:pStyle w:val="VAText"/>
              <w:jc w:val="right"/>
              <w:rPr>
                <w:rFonts w:asciiTheme="minorHAnsi" w:hAnsiTheme="minorHAnsi"/>
                <w:bCs/>
                <w:szCs w:val="18"/>
              </w:rPr>
            </w:pPr>
            <w:r w:rsidRPr="00451FD6">
              <w:rPr>
                <w:rFonts w:asciiTheme="minorHAnsi" w:hAnsiTheme="minorHAnsi"/>
                <w:bCs/>
                <w:szCs w:val="18"/>
              </w:rPr>
              <w:t>92</w:t>
            </w:r>
          </w:p>
        </w:tc>
      </w:tr>
      <w:tr w:rsidR="00DA2956" w:rsidRPr="00451FD6" w14:paraId="3C357218" w14:textId="77777777" w:rsidTr="00BB7B27">
        <w:trPr>
          <w:cantSplit/>
          <w:trHeight w:val="226"/>
        </w:trPr>
        <w:tc>
          <w:tcPr>
            <w:tcW w:w="2982" w:type="pct"/>
          </w:tcPr>
          <w:p w14:paraId="0725BE17" w14:textId="77777777" w:rsidR="00DA2956" w:rsidRPr="00451FD6" w:rsidRDefault="00DA2956">
            <w:pPr>
              <w:pStyle w:val="VAText"/>
              <w:rPr>
                <w:rFonts w:asciiTheme="minorHAnsi" w:hAnsiTheme="minorHAnsi"/>
                <w:szCs w:val="18"/>
              </w:rPr>
            </w:pPr>
            <w:r w:rsidRPr="00451FD6">
              <w:rPr>
                <w:rFonts w:asciiTheme="minorHAnsi" w:hAnsiTheme="minorHAnsi"/>
                <w:szCs w:val="18"/>
              </w:rPr>
              <w:t>Consulting</w:t>
            </w:r>
            <w:r>
              <w:rPr>
                <w:rFonts w:asciiTheme="minorHAnsi" w:hAnsiTheme="minorHAnsi"/>
                <w:szCs w:val="18"/>
              </w:rPr>
              <w:t xml:space="preserve"> </w:t>
            </w:r>
            <w:r w:rsidRPr="00393413">
              <w:rPr>
                <w:rFonts w:asciiTheme="minorHAnsi" w:hAnsiTheme="minorHAnsi"/>
                <w:bCs/>
                <w:szCs w:val="18"/>
                <w:vertAlign w:val="superscript"/>
              </w:rPr>
              <w:t>e</w:t>
            </w:r>
          </w:p>
        </w:tc>
        <w:tc>
          <w:tcPr>
            <w:tcW w:w="320" w:type="pct"/>
          </w:tcPr>
          <w:p w14:paraId="4DFA3CFD" w14:textId="77777777" w:rsidR="00DA2956" w:rsidRPr="00451FD6" w:rsidRDefault="00DA2956">
            <w:pPr>
              <w:pStyle w:val="VAText"/>
              <w:jc w:val="center"/>
              <w:rPr>
                <w:rFonts w:asciiTheme="minorHAnsi" w:hAnsiTheme="minorHAnsi"/>
                <w:szCs w:val="18"/>
              </w:rPr>
            </w:pPr>
            <w:r w:rsidRPr="00451FD6">
              <w:rPr>
                <w:rFonts w:asciiTheme="minorHAnsi" w:hAnsiTheme="minorHAnsi"/>
                <w:szCs w:val="18"/>
              </w:rPr>
              <w:t>10</w:t>
            </w:r>
          </w:p>
        </w:tc>
        <w:tc>
          <w:tcPr>
            <w:tcW w:w="783" w:type="pct"/>
          </w:tcPr>
          <w:p w14:paraId="14029E70"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w:t>
            </w:r>
          </w:p>
        </w:tc>
        <w:tc>
          <w:tcPr>
            <w:tcW w:w="575" w:type="pct"/>
          </w:tcPr>
          <w:p w14:paraId="4384F113" w14:textId="77777777" w:rsidR="00DA2956" w:rsidRPr="00451FD6" w:rsidRDefault="00DA2956">
            <w:pPr>
              <w:pStyle w:val="VAText"/>
              <w:jc w:val="right"/>
              <w:rPr>
                <w:rFonts w:asciiTheme="minorHAnsi" w:hAnsiTheme="minorHAnsi"/>
                <w:bCs/>
                <w:szCs w:val="18"/>
              </w:rPr>
            </w:pPr>
          </w:p>
        </w:tc>
        <w:tc>
          <w:tcPr>
            <w:tcW w:w="341" w:type="pct"/>
          </w:tcPr>
          <w:p w14:paraId="5E213D31" w14:textId="77777777" w:rsidR="00DA2956" w:rsidRPr="00451FD6" w:rsidRDefault="00DA2956">
            <w:pPr>
              <w:pStyle w:val="VAText"/>
              <w:jc w:val="right"/>
              <w:rPr>
                <w:rFonts w:asciiTheme="minorHAnsi" w:hAnsiTheme="minorHAnsi"/>
                <w:bCs/>
                <w:szCs w:val="18"/>
              </w:rPr>
            </w:pPr>
            <w:r w:rsidRPr="00451FD6">
              <w:rPr>
                <w:rFonts w:asciiTheme="minorHAnsi" w:hAnsiTheme="minorHAnsi"/>
                <w:bCs/>
                <w:szCs w:val="18"/>
              </w:rPr>
              <w:t>100</w:t>
            </w:r>
          </w:p>
        </w:tc>
      </w:tr>
      <w:tr w:rsidR="00DA2956" w:rsidRPr="00451FD6" w14:paraId="2A41129C" w14:textId="77777777" w:rsidTr="00BB7B27">
        <w:trPr>
          <w:cantSplit/>
          <w:trHeight w:val="238"/>
        </w:trPr>
        <w:tc>
          <w:tcPr>
            <w:tcW w:w="2982" w:type="pct"/>
          </w:tcPr>
          <w:p w14:paraId="6966CEC5" w14:textId="77777777" w:rsidR="00DA2956" w:rsidRPr="00451FD6" w:rsidRDefault="00DA2956">
            <w:pPr>
              <w:pStyle w:val="VAText"/>
              <w:rPr>
                <w:rFonts w:asciiTheme="minorHAnsi" w:hAnsiTheme="minorHAnsi"/>
                <w:szCs w:val="18"/>
              </w:rPr>
            </w:pPr>
            <w:r w:rsidRPr="00451FD6">
              <w:rPr>
                <w:rFonts w:asciiTheme="minorHAnsi" w:hAnsiTheme="minorHAnsi"/>
                <w:szCs w:val="18"/>
              </w:rPr>
              <w:t xml:space="preserve">Legal Expenses </w:t>
            </w:r>
          </w:p>
        </w:tc>
        <w:tc>
          <w:tcPr>
            <w:tcW w:w="320" w:type="pct"/>
          </w:tcPr>
          <w:p w14:paraId="2817436B" w14:textId="77777777" w:rsidR="00DA2956" w:rsidRPr="00451FD6" w:rsidRDefault="00DA2956">
            <w:pPr>
              <w:pStyle w:val="VAText"/>
              <w:jc w:val="center"/>
              <w:rPr>
                <w:rFonts w:asciiTheme="minorHAnsi" w:hAnsiTheme="minorHAnsi"/>
                <w:szCs w:val="18"/>
              </w:rPr>
            </w:pPr>
            <w:r w:rsidRPr="00451FD6">
              <w:rPr>
                <w:rFonts w:asciiTheme="minorHAnsi" w:hAnsiTheme="minorHAnsi"/>
                <w:szCs w:val="18"/>
              </w:rPr>
              <w:t>10</w:t>
            </w:r>
          </w:p>
        </w:tc>
        <w:tc>
          <w:tcPr>
            <w:tcW w:w="783" w:type="pct"/>
            <w:tcBorders>
              <w:bottom w:val="single" w:sz="4" w:space="0" w:color="auto"/>
            </w:tcBorders>
          </w:tcPr>
          <w:p w14:paraId="1F823045" w14:textId="77777777" w:rsidR="00DA2956" w:rsidRPr="00451FD6" w:rsidRDefault="00DA2956">
            <w:pPr>
              <w:pStyle w:val="VAText"/>
              <w:jc w:val="right"/>
              <w:rPr>
                <w:rFonts w:asciiTheme="minorHAnsi" w:hAnsiTheme="minorHAnsi"/>
                <w:bCs/>
                <w:szCs w:val="18"/>
              </w:rPr>
            </w:pPr>
            <w:r>
              <w:rPr>
                <w:rFonts w:asciiTheme="minorHAnsi" w:hAnsiTheme="minorHAnsi"/>
                <w:bCs/>
                <w:szCs w:val="18"/>
              </w:rPr>
              <w:t>12</w:t>
            </w:r>
          </w:p>
        </w:tc>
        <w:tc>
          <w:tcPr>
            <w:tcW w:w="575" w:type="pct"/>
          </w:tcPr>
          <w:p w14:paraId="60829D15" w14:textId="77777777" w:rsidR="00DA2956" w:rsidRPr="00451FD6" w:rsidRDefault="00DA2956">
            <w:pPr>
              <w:pStyle w:val="VAText"/>
              <w:jc w:val="right"/>
              <w:rPr>
                <w:rFonts w:asciiTheme="minorHAnsi" w:hAnsiTheme="minorHAnsi"/>
                <w:bCs/>
                <w:szCs w:val="18"/>
              </w:rPr>
            </w:pPr>
          </w:p>
        </w:tc>
        <w:tc>
          <w:tcPr>
            <w:tcW w:w="341" w:type="pct"/>
          </w:tcPr>
          <w:p w14:paraId="0DD11C8D" w14:textId="77777777" w:rsidR="00DA2956" w:rsidRPr="00451FD6" w:rsidRDefault="00DA2956">
            <w:pPr>
              <w:pStyle w:val="VAText"/>
              <w:jc w:val="right"/>
              <w:rPr>
                <w:rFonts w:asciiTheme="minorHAnsi" w:hAnsiTheme="minorHAnsi"/>
                <w:bCs/>
                <w:szCs w:val="18"/>
              </w:rPr>
            </w:pPr>
            <w:r w:rsidRPr="00451FD6">
              <w:rPr>
                <w:rFonts w:asciiTheme="minorHAnsi" w:hAnsiTheme="minorHAnsi"/>
                <w:bCs/>
                <w:szCs w:val="18"/>
              </w:rPr>
              <w:t>9</w:t>
            </w:r>
          </w:p>
        </w:tc>
      </w:tr>
      <w:tr w:rsidR="00DA2956" w:rsidRPr="00451FD6" w14:paraId="74653866" w14:textId="77777777" w:rsidTr="00BB7B27">
        <w:trPr>
          <w:cantSplit/>
          <w:trHeight w:val="226"/>
        </w:trPr>
        <w:tc>
          <w:tcPr>
            <w:tcW w:w="2982" w:type="pct"/>
          </w:tcPr>
          <w:p w14:paraId="1D73A5CB" w14:textId="77777777" w:rsidR="00DA2956" w:rsidRPr="00AC4384" w:rsidRDefault="00DA2956">
            <w:pPr>
              <w:pStyle w:val="VAText"/>
              <w:rPr>
                <w:rFonts w:asciiTheme="minorHAnsi" w:hAnsiTheme="minorHAnsi"/>
                <w:b/>
                <w:szCs w:val="18"/>
              </w:rPr>
            </w:pPr>
            <w:r w:rsidRPr="00AC4384">
              <w:rPr>
                <w:rFonts w:asciiTheme="minorHAnsi" w:hAnsiTheme="minorHAnsi"/>
                <w:b/>
                <w:szCs w:val="18"/>
              </w:rPr>
              <w:t>Total Expenses</w:t>
            </w:r>
          </w:p>
        </w:tc>
        <w:tc>
          <w:tcPr>
            <w:tcW w:w="320" w:type="pct"/>
          </w:tcPr>
          <w:p w14:paraId="78AC1C48" w14:textId="77777777" w:rsidR="00DA2956" w:rsidRPr="00451FD6" w:rsidRDefault="00DA2956">
            <w:pPr>
              <w:pStyle w:val="VAText"/>
              <w:jc w:val="center"/>
              <w:rPr>
                <w:rFonts w:asciiTheme="minorHAnsi" w:hAnsiTheme="minorHAnsi"/>
                <w:b/>
                <w:szCs w:val="18"/>
              </w:rPr>
            </w:pPr>
          </w:p>
        </w:tc>
        <w:tc>
          <w:tcPr>
            <w:tcW w:w="783" w:type="pct"/>
            <w:tcBorders>
              <w:top w:val="single" w:sz="4" w:space="0" w:color="auto"/>
              <w:bottom w:val="single" w:sz="2" w:space="0" w:color="auto"/>
            </w:tcBorders>
          </w:tcPr>
          <w:p w14:paraId="7DC5F78E" w14:textId="77777777" w:rsidR="00DA2956" w:rsidRPr="00451FD6" w:rsidRDefault="00DA2956">
            <w:pPr>
              <w:pStyle w:val="VAText"/>
              <w:jc w:val="right"/>
              <w:rPr>
                <w:rFonts w:asciiTheme="minorHAnsi" w:hAnsiTheme="minorHAnsi"/>
                <w:b/>
                <w:szCs w:val="18"/>
              </w:rPr>
            </w:pPr>
            <w:r>
              <w:rPr>
                <w:rFonts w:asciiTheme="minorHAnsi" w:hAnsiTheme="minorHAnsi"/>
                <w:b/>
                <w:szCs w:val="18"/>
              </w:rPr>
              <w:t>3,492</w:t>
            </w:r>
          </w:p>
        </w:tc>
        <w:tc>
          <w:tcPr>
            <w:tcW w:w="575" w:type="pct"/>
            <w:tcBorders>
              <w:top w:val="single" w:sz="4" w:space="0" w:color="auto"/>
              <w:bottom w:val="single" w:sz="2" w:space="0" w:color="auto"/>
            </w:tcBorders>
          </w:tcPr>
          <w:p w14:paraId="2EB6F71A" w14:textId="77777777" w:rsidR="00DA2956" w:rsidRPr="00451FD6" w:rsidRDefault="00DA2956">
            <w:pPr>
              <w:pStyle w:val="VAText"/>
              <w:jc w:val="right"/>
              <w:rPr>
                <w:rFonts w:asciiTheme="minorHAnsi" w:hAnsiTheme="minorHAnsi"/>
                <w:b/>
                <w:szCs w:val="18"/>
              </w:rPr>
            </w:pPr>
          </w:p>
        </w:tc>
        <w:tc>
          <w:tcPr>
            <w:tcW w:w="341" w:type="pct"/>
            <w:tcBorders>
              <w:top w:val="single" w:sz="4" w:space="0" w:color="auto"/>
              <w:bottom w:val="single" w:sz="2" w:space="0" w:color="auto"/>
            </w:tcBorders>
          </w:tcPr>
          <w:p w14:paraId="3C32654E" w14:textId="77777777" w:rsidR="00DA2956" w:rsidRPr="00451FD6" w:rsidRDefault="00DA2956">
            <w:pPr>
              <w:pStyle w:val="VAText"/>
              <w:jc w:val="right"/>
              <w:rPr>
                <w:rFonts w:asciiTheme="minorHAnsi" w:hAnsiTheme="minorHAnsi"/>
                <w:b/>
                <w:szCs w:val="18"/>
              </w:rPr>
            </w:pPr>
            <w:r w:rsidRPr="00451FD6">
              <w:rPr>
                <w:rFonts w:asciiTheme="minorHAnsi" w:hAnsiTheme="minorHAnsi"/>
                <w:b/>
                <w:szCs w:val="18"/>
              </w:rPr>
              <w:t>201</w:t>
            </w:r>
          </w:p>
        </w:tc>
      </w:tr>
      <w:tr w:rsidR="00DA2956" w:rsidRPr="00451FD6" w14:paraId="20CC714C" w14:textId="77777777" w:rsidTr="00BB7B27">
        <w:trPr>
          <w:cantSplit/>
          <w:trHeight w:val="226"/>
        </w:trPr>
        <w:tc>
          <w:tcPr>
            <w:tcW w:w="2982" w:type="pct"/>
          </w:tcPr>
          <w:p w14:paraId="6A31A3CD" w14:textId="77777777" w:rsidR="00DA2956" w:rsidRPr="00AC4384" w:rsidRDefault="00DA2956">
            <w:pPr>
              <w:pStyle w:val="VAText"/>
              <w:rPr>
                <w:rFonts w:asciiTheme="minorHAnsi" w:hAnsiTheme="minorHAnsi"/>
                <w:b/>
                <w:szCs w:val="18"/>
              </w:rPr>
            </w:pPr>
          </w:p>
        </w:tc>
        <w:tc>
          <w:tcPr>
            <w:tcW w:w="320" w:type="pct"/>
          </w:tcPr>
          <w:p w14:paraId="0D65EE54" w14:textId="77777777" w:rsidR="00DA2956" w:rsidRPr="00451FD6" w:rsidRDefault="00DA2956">
            <w:pPr>
              <w:pStyle w:val="VAText"/>
              <w:jc w:val="center"/>
              <w:rPr>
                <w:rFonts w:asciiTheme="minorHAnsi" w:hAnsiTheme="minorHAnsi"/>
                <w:b/>
                <w:szCs w:val="18"/>
              </w:rPr>
            </w:pPr>
          </w:p>
        </w:tc>
        <w:tc>
          <w:tcPr>
            <w:tcW w:w="783" w:type="pct"/>
            <w:tcBorders>
              <w:top w:val="single" w:sz="4" w:space="0" w:color="auto"/>
              <w:bottom w:val="single" w:sz="2" w:space="0" w:color="auto"/>
            </w:tcBorders>
          </w:tcPr>
          <w:p w14:paraId="1A74D3DA" w14:textId="77777777" w:rsidR="00DA2956" w:rsidRDefault="00DA2956">
            <w:pPr>
              <w:pStyle w:val="VAText"/>
              <w:jc w:val="right"/>
              <w:rPr>
                <w:rFonts w:asciiTheme="minorHAnsi" w:hAnsiTheme="minorHAnsi"/>
                <w:b/>
                <w:szCs w:val="18"/>
              </w:rPr>
            </w:pPr>
          </w:p>
        </w:tc>
        <w:tc>
          <w:tcPr>
            <w:tcW w:w="575" w:type="pct"/>
            <w:tcBorders>
              <w:top w:val="single" w:sz="4" w:space="0" w:color="auto"/>
              <w:bottom w:val="single" w:sz="2" w:space="0" w:color="auto"/>
            </w:tcBorders>
          </w:tcPr>
          <w:p w14:paraId="0EF002AD" w14:textId="77777777" w:rsidR="00DA2956" w:rsidRPr="00451FD6" w:rsidRDefault="00DA2956">
            <w:pPr>
              <w:pStyle w:val="VAText"/>
              <w:jc w:val="right"/>
              <w:rPr>
                <w:rFonts w:asciiTheme="minorHAnsi" w:hAnsiTheme="minorHAnsi"/>
                <w:b/>
                <w:szCs w:val="18"/>
              </w:rPr>
            </w:pPr>
          </w:p>
        </w:tc>
        <w:tc>
          <w:tcPr>
            <w:tcW w:w="341" w:type="pct"/>
            <w:tcBorders>
              <w:top w:val="single" w:sz="4" w:space="0" w:color="auto"/>
              <w:bottom w:val="single" w:sz="2" w:space="0" w:color="auto"/>
            </w:tcBorders>
          </w:tcPr>
          <w:p w14:paraId="28A36E55" w14:textId="77777777" w:rsidR="00DA2956" w:rsidRPr="00451FD6" w:rsidRDefault="00DA2956">
            <w:pPr>
              <w:pStyle w:val="VAText"/>
              <w:jc w:val="right"/>
              <w:rPr>
                <w:rFonts w:asciiTheme="minorHAnsi" w:hAnsiTheme="minorHAnsi"/>
                <w:b/>
                <w:szCs w:val="18"/>
              </w:rPr>
            </w:pPr>
          </w:p>
        </w:tc>
      </w:tr>
      <w:tr w:rsidR="00DA2956" w:rsidRPr="00451FD6" w14:paraId="560F8DAF" w14:textId="77777777" w:rsidTr="00BB7B27">
        <w:trPr>
          <w:cantSplit/>
          <w:trHeight w:val="238"/>
        </w:trPr>
        <w:tc>
          <w:tcPr>
            <w:tcW w:w="2982" w:type="pct"/>
          </w:tcPr>
          <w:p w14:paraId="5E232FD9" w14:textId="77777777" w:rsidR="00DA2956" w:rsidRPr="00451FD6" w:rsidRDefault="00DA2956">
            <w:pPr>
              <w:pStyle w:val="VAText"/>
              <w:rPr>
                <w:rFonts w:asciiTheme="minorHAnsi" w:hAnsiTheme="minorHAnsi"/>
                <w:b/>
                <w:bCs/>
                <w:szCs w:val="18"/>
              </w:rPr>
            </w:pPr>
            <w:r w:rsidRPr="00451FD6">
              <w:rPr>
                <w:rFonts w:asciiTheme="minorHAnsi" w:hAnsiTheme="minorHAnsi" w:cs="Source Sans Pro SemiBold"/>
                <w:b/>
                <w:bCs/>
                <w:color w:val="000000"/>
                <w:szCs w:val="18"/>
              </w:rPr>
              <w:t>Operating Result</w:t>
            </w:r>
          </w:p>
        </w:tc>
        <w:tc>
          <w:tcPr>
            <w:tcW w:w="320" w:type="pct"/>
          </w:tcPr>
          <w:p w14:paraId="06EF7D5D" w14:textId="77777777" w:rsidR="00DA2956" w:rsidRPr="00451FD6" w:rsidRDefault="00DA2956">
            <w:pPr>
              <w:pStyle w:val="VAText"/>
              <w:jc w:val="center"/>
              <w:rPr>
                <w:rFonts w:asciiTheme="minorHAnsi" w:hAnsiTheme="minorHAnsi"/>
                <w:b/>
                <w:bCs/>
                <w:szCs w:val="18"/>
              </w:rPr>
            </w:pPr>
          </w:p>
        </w:tc>
        <w:tc>
          <w:tcPr>
            <w:tcW w:w="783" w:type="pct"/>
            <w:tcBorders>
              <w:top w:val="single" w:sz="2" w:space="0" w:color="auto"/>
              <w:bottom w:val="single" w:sz="2" w:space="0" w:color="auto"/>
            </w:tcBorders>
          </w:tcPr>
          <w:p w14:paraId="2CA910FC" w14:textId="77777777" w:rsidR="00DA2956" w:rsidRPr="00451FD6" w:rsidRDefault="00DA2956">
            <w:pPr>
              <w:pStyle w:val="VAText"/>
              <w:jc w:val="right"/>
              <w:rPr>
                <w:rFonts w:asciiTheme="minorHAnsi" w:hAnsiTheme="minorHAnsi"/>
                <w:b/>
                <w:bCs/>
                <w:szCs w:val="18"/>
              </w:rPr>
            </w:pPr>
            <w:r>
              <w:rPr>
                <w:rFonts w:asciiTheme="minorHAnsi" w:hAnsiTheme="minorHAnsi"/>
                <w:b/>
                <w:bCs/>
                <w:szCs w:val="18"/>
              </w:rPr>
              <w:t>(2,375)</w:t>
            </w:r>
          </w:p>
        </w:tc>
        <w:tc>
          <w:tcPr>
            <w:tcW w:w="575" w:type="pct"/>
            <w:tcBorders>
              <w:top w:val="single" w:sz="2" w:space="0" w:color="auto"/>
              <w:bottom w:val="single" w:sz="2" w:space="0" w:color="auto"/>
            </w:tcBorders>
          </w:tcPr>
          <w:p w14:paraId="6CFD4FDD" w14:textId="77777777" w:rsidR="00DA2956" w:rsidRPr="00451FD6" w:rsidRDefault="00DA2956">
            <w:pPr>
              <w:pStyle w:val="VAText"/>
              <w:jc w:val="right"/>
              <w:rPr>
                <w:rFonts w:asciiTheme="minorHAnsi" w:hAnsiTheme="minorHAnsi"/>
                <w:b/>
                <w:bCs/>
                <w:szCs w:val="18"/>
              </w:rPr>
            </w:pPr>
          </w:p>
        </w:tc>
        <w:tc>
          <w:tcPr>
            <w:tcW w:w="341" w:type="pct"/>
            <w:tcBorders>
              <w:top w:val="single" w:sz="2" w:space="0" w:color="auto"/>
              <w:bottom w:val="single" w:sz="2" w:space="0" w:color="auto"/>
            </w:tcBorders>
          </w:tcPr>
          <w:p w14:paraId="4CEDB397" w14:textId="77777777" w:rsidR="00DA2956" w:rsidRPr="00451FD6" w:rsidRDefault="00DA2956">
            <w:pPr>
              <w:pStyle w:val="VAText"/>
              <w:jc w:val="right"/>
              <w:rPr>
                <w:rFonts w:asciiTheme="minorHAnsi" w:hAnsiTheme="minorHAnsi"/>
                <w:b/>
                <w:bCs/>
                <w:szCs w:val="18"/>
              </w:rPr>
            </w:pPr>
            <w:r w:rsidRPr="00451FD6">
              <w:rPr>
                <w:rFonts w:asciiTheme="minorHAnsi" w:hAnsiTheme="minorHAnsi"/>
                <w:b/>
                <w:bCs/>
                <w:szCs w:val="18"/>
              </w:rPr>
              <w:t>-</w:t>
            </w:r>
          </w:p>
        </w:tc>
      </w:tr>
    </w:tbl>
    <w:p w14:paraId="2E929589" w14:textId="77777777" w:rsidR="00C410C1" w:rsidRPr="00451FD6" w:rsidRDefault="00C410C1" w:rsidP="00C410C1">
      <w:pPr>
        <w:pStyle w:val="BodyText"/>
        <w:spacing w:after="140" w:line="211" w:lineRule="atLeast"/>
        <w:rPr>
          <w:rFonts w:cs="Source Sans Pro Light"/>
          <w:color w:val="000000"/>
          <w:sz w:val="22"/>
          <w:szCs w:val="22"/>
        </w:rPr>
      </w:pPr>
    </w:p>
    <w:tbl>
      <w:tblPr>
        <w:tblW w:w="5000" w:type="pct"/>
        <w:tblLook w:val="0000" w:firstRow="0" w:lastRow="0" w:firstColumn="0" w:lastColumn="0" w:noHBand="0" w:noVBand="0"/>
      </w:tblPr>
      <w:tblGrid>
        <w:gridCol w:w="5376"/>
        <w:gridCol w:w="748"/>
        <w:gridCol w:w="1358"/>
        <w:gridCol w:w="1732"/>
      </w:tblGrid>
      <w:tr w:rsidR="00C410C1" w:rsidRPr="00451FD6" w14:paraId="716A5AA8" w14:textId="77777777" w:rsidTr="00854DF5">
        <w:trPr>
          <w:cantSplit/>
          <w:trHeight w:val="443"/>
        </w:trPr>
        <w:tc>
          <w:tcPr>
            <w:tcW w:w="2917" w:type="pct"/>
            <w:tcBorders>
              <w:top w:val="single" w:sz="12" w:space="0" w:color="492581" w:themeColor="accent1"/>
              <w:bottom w:val="single" w:sz="12" w:space="0" w:color="492581" w:themeColor="accent1"/>
            </w:tcBorders>
            <w:vAlign w:val="bottom"/>
          </w:tcPr>
          <w:p w14:paraId="487F6EAD" w14:textId="77777777" w:rsidR="00C410C1" w:rsidRPr="00451FD6" w:rsidRDefault="00C410C1">
            <w:pPr>
              <w:pStyle w:val="VAText"/>
              <w:rPr>
                <w:rFonts w:asciiTheme="minorHAnsi" w:hAnsiTheme="minorHAnsi"/>
                <w:b/>
                <w:bCs/>
                <w:sz w:val="22"/>
                <w:szCs w:val="22"/>
              </w:rPr>
            </w:pPr>
            <w:r w:rsidRPr="00451FD6">
              <w:rPr>
                <w:rFonts w:asciiTheme="minorHAnsi" w:hAnsiTheme="minorHAnsi"/>
                <w:b/>
                <w:sz w:val="22"/>
                <w:szCs w:val="22"/>
              </w:rPr>
              <w:t>Balance Sheet</w:t>
            </w:r>
          </w:p>
        </w:tc>
        <w:tc>
          <w:tcPr>
            <w:tcW w:w="406" w:type="pct"/>
            <w:tcBorders>
              <w:top w:val="single" w:sz="12" w:space="0" w:color="492581" w:themeColor="accent1"/>
              <w:bottom w:val="single" w:sz="12" w:space="0" w:color="492581" w:themeColor="accent1"/>
            </w:tcBorders>
            <w:vAlign w:val="bottom"/>
          </w:tcPr>
          <w:p w14:paraId="5BC5CEBE" w14:textId="77777777" w:rsidR="00C410C1" w:rsidRPr="00451FD6" w:rsidRDefault="00C410C1">
            <w:pPr>
              <w:pStyle w:val="VAText"/>
              <w:jc w:val="center"/>
              <w:rPr>
                <w:rFonts w:asciiTheme="minorHAnsi" w:hAnsiTheme="minorHAnsi"/>
                <w:b/>
                <w:szCs w:val="18"/>
              </w:rPr>
            </w:pPr>
            <w:r w:rsidRPr="00451FD6">
              <w:rPr>
                <w:rFonts w:asciiTheme="minorHAnsi" w:hAnsiTheme="minorHAnsi"/>
                <w:b/>
                <w:szCs w:val="18"/>
              </w:rPr>
              <w:t>Note</w:t>
            </w:r>
          </w:p>
          <w:p w14:paraId="4E993E71" w14:textId="77777777" w:rsidR="00C410C1" w:rsidRPr="00451FD6" w:rsidRDefault="00C410C1">
            <w:pPr>
              <w:pStyle w:val="VAText"/>
              <w:jc w:val="center"/>
              <w:rPr>
                <w:rFonts w:asciiTheme="minorHAnsi" w:hAnsiTheme="minorHAnsi"/>
                <w:b/>
                <w:szCs w:val="18"/>
              </w:rPr>
            </w:pPr>
            <w:r w:rsidRPr="00451FD6">
              <w:rPr>
                <w:rFonts w:asciiTheme="minorHAnsi" w:hAnsiTheme="minorHAnsi"/>
                <w:b/>
                <w:szCs w:val="18"/>
              </w:rPr>
              <w:t>No.</w:t>
            </w:r>
          </w:p>
        </w:tc>
        <w:tc>
          <w:tcPr>
            <w:tcW w:w="737" w:type="pct"/>
            <w:tcBorders>
              <w:top w:val="single" w:sz="12" w:space="0" w:color="492581" w:themeColor="accent1"/>
              <w:bottom w:val="single" w:sz="12" w:space="0" w:color="492581" w:themeColor="accent1"/>
            </w:tcBorders>
          </w:tcPr>
          <w:p w14:paraId="67FD52B6" w14:textId="77777777" w:rsidR="00C410C1" w:rsidRPr="00451FD6" w:rsidRDefault="00C410C1">
            <w:pPr>
              <w:pStyle w:val="VAText"/>
              <w:jc w:val="right"/>
              <w:rPr>
                <w:rFonts w:asciiTheme="minorHAnsi" w:hAnsiTheme="minorHAnsi"/>
                <w:b/>
                <w:szCs w:val="18"/>
              </w:rPr>
            </w:pPr>
            <w:r w:rsidRPr="00451FD6">
              <w:rPr>
                <w:rFonts w:asciiTheme="minorHAnsi" w:hAnsiTheme="minorHAnsi"/>
                <w:b/>
                <w:szCs w:val="18"/>
              </w:rPr>
              <w:t>2024</w:t>
            </w:r>
          </w:p>
          <w:p w14:paraId="7C5AEBE7" w14:textId="77777777" w:rsidR="00C410C1" w:rsidRPr="00451FD6" w:rsidRDefault="00C410C1">
            <w:pPr>
              <w:pStyle w:val="VAText"/>
              <w:jc w:val="right"/>
              <w:rPr>
                <w:rFonts w:asciiTheme="minorHAnsi" w:hAnsiTheme="minorHAnsi"/>
                <w:b/>
                <w:szCs w:val="18"/>
              </w:rPr>
            </w:pPr>
            <w:r w:rsidRPr="00451FD6">
              <w:rPr>
                <w:rFonts w:asciiTheme="minorHAnsi" w:hAnsiTheme="minorHAnsi"/>
                <w:b/>
                <w:szCs w:val="18"/>
              </w:rPr>
              <w:t>$’000</w:t>
            </w:r>
          </w:p>
        </w:tc>
        <w:tc>
          <w:tcPr>
            <w:tcW w:w="940" w:type="pct"/>
            <w:tcBorders>
              <w:top w:val="single" w:sz="12" w:space="0" w:color="492581" w:themeColor="accent1"/>
              <w:bottom w:val="single" w:sz="12" w:space="0" w:color="492581" w:themeColor="accent1"/>
            </w:tcBorders>
            <w:vAlign w:val="bottom"/>
          </w:tcPr>
          <w:p w14:paraId="4718EA50" w14:textId="77777777" w:rsidR="00C410C1" w:rsidRPr="00451FD6" w:rsidRDefault="00C410C1">
            <w:pPr>
              <w:pStyle w:val="VAText"/>
              <w:jc w:val="right"/>
              <w:rPr>
                <w:rFonts w:asciiTheme="minorHAnsi" w:hAnsiTheme="minorHAnsi"/>
                <w:b/>
                <w:szCs w:val="18"/>
              </w:rPr>
            </w:pPr>
            <w:r w:rsidRPr="00451FD6">
              <w:rPr>
                <w:rFonts w:asciiTheme="minorHAnsi" w:hAnsiTheme="minorHAnsi"/>
                <w:b/>
                <w:szCs w:val="18"/>
              </w:rPr>
              <w:t>2023</w:t>
            </w:r>
          </w:p>
          <w:p w14:paraId="21E1E066" w14:textId="77777777" w:rsidR="00C410C1" w:rsidRPr="00451FD6" w:rsidRDefault="00C410C1">
            <w:pPr>
              <w:pStyle w:val="VAText"/>
              <w:jc w:val="right"/>
              <w:rPr>
                <w:rFonts w:asciiTheme="minorHAnsi" w:hAnsiTheme="minorHAnsi"/>
                <w:b/>
                <w:szCs w:val="18"/>
              </w:rPr>
            </w:pPr>
            <w:r w:rsidRPr="00451FD6">
              <w:rPr>
                <w:rFonts w:asciiTheme="minorHAnsi" w:hAnsiTheme="minorHAnsi"/>
                <w:b/>
                <w:szCs w:val="18"/>
              </w:rPr>
              <w:t>$’000</w:t>
            </w:r>
          </w:p>
        </w:tc>
      </w:tr>
      <w:tr w:rsidR="00C410C1" w:rsidRPr="00451FD6" w14:paraId="60F5F365" w14:textId="77777777" w:rsidTr="00854DF5">
        <w:trPr>
          <w:cantSplit/>
          <w:trHeight w:val="305"/>
        </w:trPr>
        <w:tc>
          <w:tcPr>
            <w:tcW w:w="3323" w:type="pct"/>
            <w:gridSpan w:val="2"/>
            <w:tcBorders>
              <w:top w:val="single" w:sz="12" w:space="0" w:color="492581" w:themeColor="accent1"/>
            </w:tcBorders>
          </w:tcPr>
          <w:p w14:paraId="1824C250" w14:textId="77777777" w:rsidR="00C410C1" w:rsidRPr="00451FD6" w:rsidRDefault="00C410C1">
            <w:pPr>
              <w:pStyle w:val="VAText"/>
              <w:spacing w:before="40" w:after="40"/>
              <w:rPr>
                <w:rFonts w:asciiTheme="minorHAnsi" w:hAnsiTheme="minorHAnsi"/>
                <w:b/>
                <w:i/>
                <w:iCs/>
                <w:szCs w:val="18"/>
              </w:rPr>
            </w:pPr>
            <w:r w:rsidRPr="00451FD6">
              <w:rPr>
                <w:rFonts w:asciiTheme="minorHAnsi" w:hAnsiTheme="minorHAnsi"/>
                <w:i/>
                <w:iCs/>
                <w:szCs w:val="18"/>
              </w:rPr>
              <w:t xml:space="preserve">The figures below are included in the Authority’s Operating Statement </w:t>
            </w:r>
          </w:p>
        </w:tc>
        <w:tc>
          <w:tcPr>
            <w:tcW w:w="737" w:type="pct"/>
            <w:tcBorders>
              <w:top w:val="single" w:sz="12" w:space="0" w:color="492581" w:themeColor="accent1"/>
            </w:tcBorders>
          </w:tcPr>
          <w:p w14:paraId="553F4476" w14:textId="77777777" w:rsidR="00C410C1" w:rsidRPr="00451FD6" w:rsidRDefault="00C410C1">
            <w:pPr>
              <w:pStyle w:val="VAText"/>
              <w:jc w:val="right"/>
              <w:rPr>
                <w:rFonts w:asciiTheme="minorHAnsi" w:hAnsiTheme="minorHAnsi"/>
                <w:b/>
                <w:szCs w:val="18"/>
              </w:rPr>
            </w:pPr>
          </w:p>
        </w:tc>
        <w:tc>
          <w:tcPr>
            <w:tcW w:w="940" w:type="pct"/>
            <w:tcBorders>
              <w:top w:val="single" w:sz="12" w:space="0" w:color="492581" w:themeColor="accent1"/>
            </w:tcBorders>
          </w:tcPr>
          <w:p w14:paraId="7732550E" w14:textId="77777777" w:rsidR="00C410C1" w:rsidRPr="00451FD6" w:rsidRDefault="00C410C1">
            <w:pPr>
              <w:pStyle w:val="VAText"/>
              <w:jc w:val="right"/>
              <w:rPr>
                <w:rFonts w:asciiTheme="minorHAnsi" w:hAnsiTheme="minorHAnsi"/>
                <w:b/>
                <w:szCs w:val="18"/>
              </w:rPr>
            </w:pPr>
          </w:p>
        </w:tc>
      </w:tr>
      <w:tr w:rsidR="00C410C1" w:rsidRPr="00451FD6" w14:paraId="2F0FCF7E" w14:textId="77777777">
        <w:trPr>
          <w:cantSplit/>
          <w:trHeight w:val="229"/>
        </w:trPr>
        <w:tc>
          <w:tcPr>
            <w:tcW w:w="2917" w:type="pct"/>
          </w:tcPr>
          <w:p w14:paraId="56874687" w14:textId="77777777" w:rsidR="00C410C1" w:rsidRPr="00451FD6" w:rsidRDefault="00C410C1">
            <w:pPr>
              <w:pStyle w:val="VAText"/>
              <w:tabs>
                <w:tab w:val="left" w:pos="459"/>
              </w:tabs>
              <w:rPr>
                <w:rFonts w:asciiTheme="minorHAnsi" w:hAnsiTheme="minorHAnsi"/>
                <w:b/>
                <w:szCs w:val="18"/>
                <w:vertAlign w:val="superscript"/>
              </w:rPr>
            </w:pPr>
            <w:r w:rsidRPr="00451FD6">
              <w:rPr>
                <w:rFonts w:asciiTheme="minorHAnsi" w:hAnsiTheme="minorHAnsi"/>
                <w:b/>
                <w:szCs w:val="18"/>
              </w:rPr>
              <w:t>Assets</w:t>
            </w:r>
          </w:p>
        </w:tc>
        <w:tc>
          <w:tcPr>
            <w:tcW w:w="406" w:type="pct"/>
          </w:tcPr>
          <w:p w14:paraId="1EA984E8" w14:textId="77777777" w:rsidR="00C410C1" w:rsidRPr="00451FD6" w:rsidRDefault="00C410C1">
            <w:pPr>
              <w:pStyle w:val="VAText"/>
              <w:tabs>
                <w:tab w:val="right" w:pos="742"/>
              </w:tabs>
              <w:jc w:val="center"/>
              <w:rPr>
                <w:rFonts w:asciiTheme="minorHAnsi" w:hAnsiTheme="minorHAnsi"/>
                <w:b/>
                <w:bCs/>
                <w:szCs w:val="18"/>
              </w:rPr>
            </w:pPr>
          </w:p>
        </w:tc>
        <w:tc>
          <w:tcPr>
            <w:tcW w:w="737" w:type="pct"/>
          </w:tcPr>
          <w:p w14:paraId="685C8648" w14:textId="77777777" w:rsidR="00C410C1" w:rsidRPr="00451FD6" w:rsidRDefault="00C410C1">
            <w:pPr>
              <w:pStyle w:val="VAText"/>
              <w:jc w:val="right"/>
              <w:rPr>
                <w:rFonts w:asciiTheme="minorHAnsi" w:hAnsiTheme="minorHAnsi"/>
                <w:b/>
                <w:szCs w:val="18"/>
              </w:rPr>
            </w:pPr>
          </w:p>
        </w:tc>
        <w:tc>
          <w:tcPr>
            <w:tcW w:w="940" w:type="pct"/>
          </w:tcPr>
          <w:p w14:paraId="4098555E" w14:textId="77777777" w:rsidR="00C410C1" w:rsidRPr="00451FD6" w:rsidRDefault="00C410C1">
            <w:pPr>
              <w:pStyle w:val="VAText"/>
              <w:jc w:val="right"/>
              <w:rPr>
                <w:rFonts w:asciiTheme="minorHAnsi" w:hAnsiTheme="minorHAnsi"/>
                <w:b/>
                <w:szCs w:val="18"/>
              </w:rPr>
            </w:pPr>
          </w:p>
        </w:tc>
      </w:tr>
      <w:tr w:rsidR="00C410C1" w:rsidRPr="00451FD6" w14:paraId="2D73012D" w14:textId="77777777">
        <w:trPr>
          <w:cantSplit/>
          <w:trHeight w:val="229"/>
        </w:trPr>
        <w:tc>
          <w:tcPr>
            <w:tcW w:w="2917" w:type="pct"/>
          </w:tcPr>
          <w:p w14:paraId="0C97CE2C" w14:textId="77777777" w:rsidR="00C410C1" w:rsidRPr="00451FD6" w:rsidRDefault="00C410C1">
            <w:pPr>
              <w:pStyle w:val="VAText"/>
              <w:rPr>
                <w:rFonts w:asciiTheme="minorHAnsi" w:hAnsiTheme="minorHAnsi"/>
                <w:bCs/>
                <w:szCs w:val="18"/>
                <w:vertAlign w:val="superscript"/>
              </w:rPr>
            </w:pPr>
            <w:r w:rsidRPr="00451FD6">
              <w:rPr>
                <w:rFonts w:asciiTheme="minorHAnsi" w:hAnsiTheme="minorHAnsi"/>
                <w:bCs/>
                <w:szCs w:val="18"/>
              </w:rPr>
              <w:t xml:space="preserve">Cash </w:t>
            </w:r>
            <w:r>
              <w:rPr>
                <w:rFonts w:asciiTheme="minorHAnsi" w:hAnsiTheme="minorHAnsi"/>
                <w:bCs/>
                <w:szCs w:val="18"/>
                <w:vertAlign w:val="superscript"/>
              </w:rPr>
              <w:t>b</w:t>
            </w:r>
          </w:p>
        </w:tc>
        <w:tc>
          <w:tcPr>
            <w:tcW w:w="406" w:type="pct"/>
          </w:tcPr>
          <w:p w14:paraId="36CD26B5" w14:textId="77777777" w:rsidR="00C410C1" w:rsidRPr="00451FD6" w:rsidRDefault="00C410C1">
            <w:pPr>
              <w:pStyle w:val="VAText"/>
              <w:tabs>
                <w:tab w:val="right" w:pos="742"/>
              </w:tabs>
              <w:jc w:val="center"/>
              <w:rPr>
                <w:rFonts w:asciiTheme="minorHAnsi" w:hAnsiTheme="minorHAnsi"/>
                <w:szCs w:val="18"/>
              </w:rPr>
            </w:pPr>
            <w:r>
              <w:rPr>
                <w:rFonts w:asciiTheme="minorHAnsi" w:hAnsiTheme="minorHAnsi"/>
                <w:szCs w:val="18"/>
              </w:rPr>
              <w:t>8</w:t>
            </w:r>
          </w:p>
        </w:tc>
        <w:tc>
          <w:tcPr>
            <w:tcW w:w="737" w:type="pct"/>
            <w:tcBorders>
              <w:bottom w:val="single" w:sz="4" w:space="0" w:color="auto"/>
            </w:tcBorders>
          </w:tcPr>
          <w:p w14:paraId="7752B47C"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869</w:t>
            </w:r>
          </w:p>
        </w:tc>
        <w:tc>
          <w:tcPr>
            <w:tcW w:w="940" w:type="pct"/>
          </w:tcPr>
          <w:p w14:paraId="3AE2E4DF" w14:textId="77777777" w:rsidR="00C410C1" w:rsidRPr="00451FD6" w:rsidRDefault="00C410C1">
            <w:pPr>
              <w:pStyle w:val="VAText"/>
              <w:jc w:val="right"/>
              <w:rPr>
                <w:rFonts w:asciiTheme="minorHAnsi" w:hAnsiTheme="minorHAnsi"/>
                <w:bCs/>
                <w:szCs w:val="18"/>
              </w:rPr>
            </w:pPr>
            <w:r w:rsidRPr="00451FD6">
              <w:rPr>
                <w:rFonts w:asciiTheme="minorHAnsi" w:hAnsiTheme="minorHAnsi"/>
                <w:bCs/>
                <w:szCs w:val="18"/>
              </w:rPr>
              <w:t>248</w:t>
            </w:r>
          </w:p>
        </w:tc>
      </w:tr>
      <w:tr w:rsidR="00C410C1" w:rsidRPr="00451FD6" w14:paraId="571B7863" w14:textId="77777777">
        <w:trPr>
          <w:cantSplit/>
          <w:trHeight w:val="213"/>
        </w:trPr>
        <w:tc>
          <w:tcPr>
            <w:tcW w:w="2917" w:type="pct"/>
          </w:tcPr>
          <w:p w14:paraId="3000DDBC" w14:textId="77777777" w:rsidR="00C410C1" w:rsidRPr="00451FD6" w:rsidRDefault="00C410C1">
            <w:pPr>
              <w:pStyle w:val="VAText"/>
              <w:rPr>
                <w:rFonts w:asciiTheme="minorHAnsi" w:hAnsiTheme="minorHAnsi"/>
                <w:b/>
                <w:szCs w:val="18"/>
              </w:rPr>
            </w:pPr>
            <w:r>
              <w:rPr>
                <w:rFonts w:asciiTheme="minorHAnsi" w:hAnsiTheme="minorHAnsi"/>
                <w:b/>
                <w:szCs w:val="18"/>
              </w:rPr>
              <w:t>Total Assets</w:t>
            </w:r>
          </w:p>
        </w:tc>
        <w:tc>
          <w:tcPr>
            <w:tcW w:w="406" w:type="pct"/>
          </w:tcPr>
          <w:p w14:paraId="2C474C97" w14:textId="77777777" w:rsidR="00C410C1" w:rsidRPr="00451FD6" w:rsidRDefault="00C410C1">
            <w:pPr>
              <w:pStyle w:val="VAText"/>
              <w:tabs>
                <w:tab w:val="right" w:pos="742"/>
              </w:tabs>
              <w:jc w:val="center"/>
              <w:rPr>
                <w:rFonts w:asciiTheme="minorHAnsi" w:hAnsiTheme="minorHAnsi"/>
                <w:szCs w:val="18"/>
              </w:rPr>
            </w:pPr>
          </w:p>
        </w:tc>
        <w:tc>
          <w:tcPr>
            <w:tcW w:w="737" w:type="pct"/>
            <w:tcBorders>
              <w:top w:val="single" w:sz="4" w:space="0" w:color="auto"/>
              <w:bottom w:val="single" w:sz="4" w:space="0" w:color="auto"/>
            </w:tcBorders>
          </w:tcPr>
          <w:p w14:paraId="465207C9" w14:textId="77777777" w:rsidR="00C410C1" w:rsidRPr="00451FD6" w:rsidRDefault="00C410C1">
            <w:pPr>
              <w:pStyle w:val="VAText"/>
              <w:tabs>
                <w:tab w:val="right" w:pos="742"/>
              </w:tabs>
              <w:jc w:val="right"/>
              <w:rPr>
                <w:rFonts w:asciiTheme="minorHAnsi" w:hAnsiTheme="minorHAnsi"/>
                <w:b/>
                <w:bCs/>
                <w:szCs w:val="18"/>
              </w:rPr>
            </w:pPr>
            <w:r>
              <w:rPr>
                <w:rFonts w:asciiTheme="minorHAnsi" w:hAnsiTheme="minorHAnsi"/>
                <w:b/>
                <w:bCs/>
                <w:szCs w:val="18"/>
              </w:rPr>
              <w:t>869</w:t>
            </w:r>
          </w:p>
        </w:tc>
        <w:tc>
          <w:tcPr>
            <w:tcW w:w="940" w:type="pct"/>
            <w:tcBorders>
              <w:top w:val="single" w:sz="4" w:space="0" w:color="auto"/>
              <w:bottom w:val="single" w:sz="4" w:space="0" w:color="auto"/>
            </w:tcBorders>
          </w:tcPr>
          <w:p w14:paraId="54017612" w14:textId="77777777" w:rsidR="00C410C1" w:rsidRPr="00451FD6" w:rsidRDefault="00C410C1">
            <w:pPr>
              <w:pStyle w:val="VAText"/>
              <w:tabs>
                <w:tab w:val="right" w:pos="742"/>
              </w:tabs>
              <w:jc w:val="right"/>
              <w:rPr>
                <w:rFonts w:asciiTheme="minorHAnsi" w:hAnsiTheme="minorHAnsi"/>
                <w:b/>
                <w:bCs/>
                <w:szCs w:val="18"/>
              </w:rPr>
            </w:pPr>
            <w:r w:rsidRPr="00451FD6">
              <w:rPr>
                <w:rFonts w:asciiTheme="minorHAnsi" w:hAnsiTheme="minorHAnsi"/>
                <w:b/>
                <w:bCs/>
                <w:szCs w:val="18"/>
              </w:rPr>
              <w:t>248</w:t>
            </w:r>
          </w:p>
        </w:tc>
      </w:tr>
      <w:tr w:rsidR="00C410C1" w:rsidRPr="00451FD6" w14:paraId="757D8C4F" w14:textId="77777777">
        <w:trPr>
          <w:cantSplit/>
          <w:trHeight w:val="213"/>
        </w:trPr>
        <w:tc>
          <w:tcPr>
            <w:tcW w:w="2917" w:type="pct"/>
          </w:tcPr>
          <w:p w14:paraId="53E664BA" w14:textId="77777777" w:rsidR="00C410C1" w:rsidRDefault="00C410C1">
            <w:pPr>
              <w:pStyle w:val="VAText"/>
              <w:rPr>
                <w:rFonts w:asciiTheme="minorHAnsi" w:hAnsiTheme="minorHAnsi"/>
                <w:b/>
                <w:szCs w:val="18"/>
              </w:rPr>
            </w:pPr>
          </w:p>
        </w:tc>
        <w:tc>
          <w:tcPr>
            <w:tcW w:w="406" w:type="pct"/>
          </w:tcPr>
          <w:p w14:paraId="48B30996" w14:textId="77777777" w:rsidR="00C410C1" w:rsidRPr="00451FD6" w:rsidRDefault="00C410C1">
            <w:pPr>
              <w:pStyle w:val="VAText"/>
              <w:tabs>
                <w:tab w:val="right" w:pos="742"/>
              </w:tabs>
              <w:jc w:val="center"/>
              <w:rPr>
                <w:rFonts w:asciiTheme="minorHAnsi" w:hAnsiTheme="minorHAnsi"/>
                <w:szCs w:val="18"/>
              </w:rPr>
            </w:pPr>
          </w:p>
        </w:tc>
        <w:tc>
          <w:tcPr>
            <w:tcW w:w="737" w:type="pct"/>
            <w:tcBorders>
              <w:top w:val="single" w:sz="4" w:space="0" w:color="auto"/>
            </w:tcBorders>
          </w:tcPr>
          <w:p w14:paraId="1783AD6A" w14:textId="77777777" w:rsidR="00C410C1" w:rsidRDefault="00C410C1">
            <w:pPr>
              <w:pStyle w:val="VAText"/>
              <w:tabs>
                <w:tab w:val="right" w:pos="742"/>
              </w:tabs>
              <w:jc w:val="right"/>
              <w:rPr>
                <w:rFonts w:asciiTheme="minorHAnsi" w:hAnsiTheme="minorHAnsi"/>
                <w:b/>
                <w:bCs/>
                <w:szCs w:val="18"/>
              </w:rPr>
            </w:pPr>
          </w:p>
        </w:tc>
        <w:tc>
          <w:tcPr>
            <w:tcW w:w="940" w:type="pct"/>
            <w:tcBorders>
              <w:top w:val="single" w:sz="4" w:space="0" w:color="auto"/>
            </w:tcBorders>
          </w:tcPr>
          <w:p w14:paraId="31A080E5" w14:textId="77777777" w:rsidR="00C410C1" w:rsidRPr="00451FD6" w:rsidRDefault="00C410C1">
            <w:pPr>
              <w:pStyle w:val="VAText"/>
              <w:tabs>
                <w:tab w:val="right" w:pos="742"/>
              </w:tabs>
              <w:jc w:val="right"/>
              <w:rPr>
                <w:rFonts w:asciiTheme="minorHAnsi" w:hAnsiTheme="minorHAnsi"/>
                <w:b/>
                <w:bCs/>
                <w:szCs w:val="18"/>
              </w:rPr>
            </w:pPr>
          </w:p>
        </w:tc>
      </w:tr>
      <w:tr w:rsidR="00C410C1" w:rsidRPr="00451FD6" w14:paraId="2E3C84AA" w14:textId="77777777">
        <w:trPr>
          <w:cantSplit/>
          <w:trHeight w:val="213"/>
        </w:trPr>
        <w:tc>
          <w:tcPr>
            <w:tcW w:w="2917" w:type="pct"/>
          </w:tcPr>
          <w:p w14:paraId="6C7C9899" w14:textId="77777777" w:rsidR="00C410C1" w:rsidRPr="00451FD6" w:rsidRDefault="00C410C1">
            <w:pPr>
              <w:pStyle w:val="VAText"/>
              <w:tabs>
                <w:tab w:val="left" w:pos="459"/>
              </w:tabs>
              <w:rPr>
                <w:rFonts w:asciiTheme="minorHAnsi" w:hAnsiTheme="minorHAnsi"/>
                <w:b/>
                <w:szCs w:val="18"/>
              </w:rPr>
            </w:pPr>
            <w:r w:rsidRPr="00451FD6">
              <w:rPr>
                <w:rFonts w:asciiTheme="minorHAnsi" w:hAnsiTheme="minorHAnsi"/>
                <w:b/>
                <w:szCs w:val="18"/>
              </w:rPr>
              <w:t>Liabilit</w:t>
            </w:r>
            <w:r>
              <w:rPr>
                <w:rFonts w:asciiTheme="minorHAnsi" w:hAnsiTheme="minorHAnsi"/>
                <w:b/>
                <w:szCs w:val="18"/>
              </w:rPr>
              <w:t>ies</w:t>
            </w:r>
          </w:p>
        </w:tc>
        <w:tc>
          <w:tcPr>
            <w:tcW w:w="406" w:type="pct"/>
          </w:tcPr>
          <w:p w14:paraId="02F726FD" w14:textId="77777777" w:rsidR="00C410C1" w:rsidRPr="00451FD6" w:rsidRDefault="00C410C1">
            <w:pPr>
              <w:pStyle w:val="VAText"/>
              <w:jc w:val="center"/>
              <w:rPr>
                <w:rFonts w:asciiTheme="minorHAnsi" w:hAnsiTheme="minorHAnsi"/>
                <w:szCs w:val="18"/>
              </w:rPr>
            </w:pPr>
          </w:p>
        </w:tc>
        <w:tc>
          <w:tcPr>
            <w:tcW w:w="737" w:type="pct"/>
          </w:tcPr>
          <w:p w14:paraId="5E9F5FB2" w14:textId="77777777" w:rsidR="00C410C1" w:rsidRPr="00451FD6" w:rsidRDefault="00C410C1">
            <w:pPr>
              <w:pStyle w:val="VAText"/>
              <w:jc w:val="right"/>
              <w:rPr>
                <w:rFonts w:asciiTheme="minorHAnsi" w:hAnsiTheme="minorHAnsi"/>
                <w:b/>
                <w:szCs w:val="18"/>
              </w:rPr>
            </w:pPr>
          </w:p>
        </w:tc>
        <w:tc>
          <w:tcPr>
            <w:tcW w:w="940" w:type="pct"/>
          </w:tcPr>
          <w:p w14:paraId="23271AD1" w14:textId="77777777" w:rsidR="00C410C1" w:rsidRPr="00451FD6" w:rsidRDefault="00C410C1">
            <w:pPr>
              <w:pStyle w:val="VAText"/>
              <w:jc w:val="right"/>
              <w:rPr>
                <w:rFonts w:asciiTheme="minorHAnsi" w:hAnsiTheme="minorHAnsi"/>
                <w:b/>
                <w:szCs w:val="18"/>
              </w:rPr>
            </w:pPr>
          </w:p>
        </w:tc>
      </w:tr>
      <w:tr w:rsidR="00C410C1" w:rsidRPr="00451FD6" w14:paraId="70BC65CD" w14:textId="77777777">
        <w:trPr>
          <w:cantSplit/>
          <w:trHeight w:val="229"/>
        </w:trPr>
        <w:tc>
          <w:tcPr>
            <w:tcW w:w="2917" w:type="pct"/>
          </w:tcPr>
          <w:p w14:paraId="62BA4533" w14:textId="77777777" w:rsidR="00C410C1" w:rsidRPr="00451FD6" w:rsidRDefault="00C410C1">
            <w:pPr>
              <w:pStyle w:val="VAText"/>
              <w:rPr>
                <w:rFonts w:asciiTheme="minorHAnsi" w:hAnsiTheme="minorHAnsi"/>
                <w:szCs w:val="18"/>
              </w:rPr>
            </w:pPr>
            <w:r w:rsidRPr="00451FD6">
              <w:rPr>
                <w:rFonts w:asciiTheme="minorHAnsi" w:hAnsiTheme="minorHAnsi"/>
                <w:szCs w:val="18"/>
              </w:rPr>
              <w:t>Revenue Received in Advance</w:t>
            </w:r>
            <w:r>
              <w:rPr>
                <w:rFonts w:asciiTheme="minorHAnsi" w:hAnsiTheme="minorHAnsi"/>
                <w:szCs w:val="18"/>
              </w:rPr>
              <w:t xml:space="preserve"> </w:t>
            </w:r>
            <w:r>
              <w:rPr>
                <w:rFonts w:asciiTheme="minorHAnsi" w:hAnsiTheme="minorHAnsi"/>
                <w:bCs/>
                <w:szCs w:val="18"/>
                <w:vertAlign w:val="superscript"/>
              </w:rPr>
              <w:t>a</w:t>
            </w:r>
          </w:p>
        </w:tc>
        <w:tc>
          <w:tcPr>
            <w:tcW w:w="406" w:type="pct"/>
          </w:tcPr>
          <w:p w14:paraId="1EFD8E65" w14:textId="77777777" w:rsidR="00C410C1" w:rsidRPr="00451FD6" w:rsidRDefault="00C410C1">
            <w:pPr>
              <w:pStyle w:val="VAText"/>
              <w:jc w:val="center"/>
              <w:rPr>
                <w:rFonts w:asciiTheme="minorHAnsi" w:hAnsiTheme="minorHAnsi"/>
                <w:szCs w:val="18"/>
              </w:rPr>
            </w:pPr>
            <w:r w:rsidRPr="00451FD6">
              <w:rPr>
                <w:rFonts w:asciiTheme="minorHAnsi" w:hAnsiTheme="minorHAnsi"/>
                <w:szCs w:val="18"/>
              </w:rPr>
              <w:t>1</w:t>
            </w:r>
            <w:r>
              <w:rPr>
                <w:rFonts w:asciiTheme="minorHAnsi" w:hAnsiTheme="minorHAnsi"/>
                <w:szCs w:val="18"/>
              </w:rPr>
              <w:t>7</w:t>
            </w:r>
          </w:p>
        </w:tc>
        <w:tc>
          <w:tcPr>
            <w:tcW w:w="737" w:type="pct"/>
          </w:tcPr>
          <w:p w14:paraId="004C7C81"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w:t>
            </w:r>
          </w:p>
        </w:tc>
        <w:tc>
          <w:tcPr>
            <w:tcW w:w="940" w:type="pct"/>
          </w:tcPr>
          <w:p w14:paraId="1151231A" w14:textId="77777777" w:rsidR="00C410C1" w:rsidRPr="00451FD6" w:rsidRDefault="00C410C1">
            <w:pPr>
              <w:pStyle w:val="VAText"/>
              <w:jc w:val="right"/>
              <w:rPr>
                <w:rFonts w:asciiTheme="minorHAnsi" w:hAnsiTheme="minorHAnsi"/>
                <w:bCs/>
                <w:szCs w:val="18"/>
              </w:rPr>
            </w:pPr>
            <w:r w:rsidRPr="00451FD6">
              <w:rPr>
                <w:rFonts w:asciiTheme="minorHAnsi" w:hAnsiTheme="minorHAnsi"/>
                <w:bCs/>
                <w:szCs w:val="18"/>
              </w:rPr>
              <w:t>248</w:t>
            </w:r>
          </w:p>
        </w:tc>
      </w:tr>
      <w:tr w:rsidR="00C410C1" w:rsidRPr="00451FD6" w14:paraId="34884881" w14:textId="77777777">
        <w:trPr>
          <w:cantSplit/>
          <w:trHeight w:val="229"/>
        </w:trPr>
        <w:tc>
          <w:tcPr>
            <w:tcW w:w="2917" w:type="pct"/>
          </w:tcPr>
          <w:p w14:paraId="069A4B04" w14:textId="77777777" w:rsidR="00C410C1" w:rsidRPr="00FD34E2" w:rsidRDefault="00C410C1">
            <w:pPr>
              <w:pStyle w:val="VAText"/>
              <w:rPr>
                <w:rFonts w:asciiTheme="minorHAnsi" w:hAnsiTheme="minorHAnsi"/>
                <w:szCs w:val="18"/>
              </w:rPr>
            </w:pPr>
            <w:r w:rsidRPr="00FD34E2">
              <w:rPr>
                <w:rFonts w:asciiTheme="minorHAnsi" w:hAnsiTheme="minorHAnsi"/>
                <w:szCs w:val="18"/>
              </w:rPr>
              <w:t>Other Liability (Accrued Expenses)</w:t>
            </w:r>
            <w:r>
              <w:rPr>
                <w:rFonts w:asciiTheme="minorHAnsi" w:hAnsiTheme="minorHAnsi"/>
                <w:szCs w:val="18"/>
              </w:rPr>
              <w:t xml:space="preserve"> </w:t>
            </w:r>
            <w:r>
              <w:rPr>
                <w:rFonts w:asciiTheme="minorHAnsi" w:hAnsiTheme="minorHAnsi"/>
                <w:bCs/>
                <w:szCs w:val="18"/>
                <w:vertAlign w:val="superscript"/>
              </w:rPr>
              <w:t>d</w:t>
            </w:r>
          </w:p>
        </w:tc>
        <w:tc>
          <w:tcPr>
            <w:tcW w:w="406" w:type="pct"/>
          </w:tcPr>
          <w:p w14:paraId="683C808A" w14:textId="77777777" w:rsidR="00C410C1" w:rsidRPr="00451FD6" w:rsidRDefault="00C410C1">
            <w:pPr>
              <w:pStyle w:val="VAText"/>
              <w:jc w:val="center"/>
              <w:rPr>
                <w:rFonts w:asciiTheme="minorHAnsi" w:hAnsiTheme="minorHAnsi"/>
                <w:szCs w:val="18"/>
              </w:rPr>
            </w:pPr>
            <w:r>
              <w:rPr>
                <w:rFonts w:asciiTheme="minorHAnsi" w:hAnsiTheme="minorHAnsi"/>
                <w:szCs w:val="18"/>
              </w:rPr>
              <w:t>17</w:t>
            </w:r>
          </w:p>
        </w:tc>
        <w:tc>
          <w:tcPr>
            <w:tcW w:w="737" w:type="pct"/>
          </w:tcPr>
          <w:p w14:paraId="741C0ECA"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77</w:t>
            </w:r>
          </w:p>
        </w:tc>
        <w:tc>
          <w:tcPr>
            <w:tcW w:w="940" w:type="pct"/>
          </w:tcPr>
          <w:p w14:paraId="7370415B"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w:t>
            </w:r>
          </w:p>
        </w:tc>
      </w:tr>
      <w:tr w:rsidR="00C410C1" w:rsidRPr="00451FD6" w14:paraId="61CC3E1C" w14:textId="77777777">
        <w:trPr>
          <w:cantSplit/>
          <w:trHeight w:val="213"/>
        </w:trPr>
        <w:tc>
          <w:tcPr>
            <w:tcW w:w="2917" w:type="pct"/>
          </w:tcPr>
          <w:p w14:paraId="6B524DDC" w14:textId="77777777" w:rsidR="00C410C1" w:rsidRPr="00451FD6" w:rsidRDefault="00C410C1">
            <w:pPr>
              <w:pStyle w:val="VAText"/>
              <w:rPr>
                <w:rFonts w:asciiTheme="minorHAnsi" w:hAnsiTheme="minorHAnsi"/>
                <w:szCs w:val="18"/>
              </w:rPr>
            </w:pPr>
            <w:r w:rsidRPr="00FD34E2">
              <w:rPr>
                <w:rFonts w:asciiTheme="minorHAnsi" w:hAnsiTheme="minorHAnsi"/>
                <w:szCs w:val="18"/>
              </w:rPr>
              <w:t>Current Outstanding Claims Liabilities</w:t>
            </w:r>
            <w:r>
              <w:rPr>
                <w:rFonts w:asciiTheme="minorHAnsi" w:hAnsiTheme="minorHAnsi"/>
                <w:szCs w:val="18"/>
              </w:rPr>
              <w:t xml:space="preserve"> </w:t>
            </w:r>
            <w:r>
              <w:rPr>
                <w:rFonts w:asciiTheme="minorHAnsi" w:hAnsiTheme="minorHAnsi"/>
                <w:bCs/>
                <w:szCs w:val="18"/>
                <w:vertAlign w:val="superscript"/>
              </w:rPr>
              <w:t>c</w:t>
            </w:r>
          </w:p>
        </w:tc>
        <w:tc>
          <w:tcPr>
            <w:tcW w:w="406" w:type="pct"/>
          </w:tcPr>
          <w:p w14:paraId="4F81D853" w14:textId="77777777" w:rsidR="00C410C1" w:rsidRPr="00451FD6" w:rsidRDefault="00C410C1">
            <w:pPr>
              <w:pStyle w:val="VAText"/>
              <w:jc w:val="center"/>
              <w:rPr>
                <w:rFonts w:asciiTheme="minorHAnsi" w:hAnsiTheme="minorHAnsi"/>
                <w:szCs w:val="18"/>
              </w:rPr>
            </w:pPr>
            <w:r>
              <w:rPr>
                <w:rFonts w:asciiTheme="minorHAnsi" w:hAnsiTheme="minorHAnsi"/>
                <w:szCs w:val="18"/>
              </w:rPr>
              <w:t>17</w:t>
            </w:r>
          </w:p>
        </w:tc>
        <w:tc>
          <w:tcPr>
            <w:tcW w:w="737" w:type="pct"/>
          </w:tcPr>
          <w:p w14:paraId="4354B51B"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33</w:t>
            </w:r>
          </w:p>
        </w:tc>
        <w:tc>
          <w:tcPr>
            <w:tcW w:w="940" w:type="pct"/>
          </w:tcPr>
          <w:p w14:paraId="23B49531"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w:t>
            </w:r>
          </w:p>
        </w:tc>
      </w:tr>
      <w:tr w:rsidR="00C410C1" w:rsidRPr="00451FD6" w14:paraId="347FB45C" w14:textId="77777777">
        <w:trPr>
          <w:cantSplit/>
          <w:trHeight w:val="229"/>
        </w:trPr>
        <w:tc>
          <w:tcPr>
            <w:tcW w:w="2917" w:type="pct"/>
          </w:tcPr>
          <w:p w14:paraId="737792AF" w14:textId="77777777" w:rsidR="00C410C1" w:rsidRPr="00451FD6" w:rsidRDefault="00C410C1">
            <w:pPr>
              <w:pStyle w:val="VAText"/>
              <w:rPr>
                <w:rFonts w:asciiTheme="minorHAnsi" w:hAnsiTheme="minorHAnsi"/>
                <w:szCs w:val="18"/>
              </w:rPr>
            </w:pPr>
            <w:r w:rsidRPr="00FD34E2">
              <w:rPr>
                <w:rFonts w:asciiTheme="minorHAnsi" w:hAnsiTheme="minorHAnsi"/>
                <w:szCs w:val="18"/>
              </w:rPr>
              <w:t>Non-Current Outstanding Claims Liabilities</w:t>
            </w:r>
            <w:r>
              <w:rPr>
                <w:rFonts w:asciiTheme="minorHAnsi" w:hAnsiTheme="minorHAnsi"/>
                <w:szCs w:val="18"/>
              </w:rPr>
              <w:t xml:space="preserve"> </w:t>
            </w:r>
            <w:r>
              <w:rPr>
                <w:rFonts w:asciiTheme="minorHAnsi" w:hAnsiTheme="minorHAnsi"/>
                <w:bCs/>
                <w:szCs w:val="18"/>
                <w:vertAlign w:val="superscript"/>
              </w:rPr>
              <w:t>c</w:t>
            </w:r>
          </w:p>
        </w:tc>
        <w:tc>
          <w:tcPr>
            <w:tcW w:w="406" w:type="pct"/>
          </w:tcPr>
          <w:p w14:paraId="4D432D99" w14:textId="77777777" w:rsidR="00C410C1" w:rsidRPr="00451FD6" w:rsidRDefault="00C410C1">
            <w:pPr>
              <w:pStyle w:val="VAText"/>
              <w:jc w:val="center"/>
              <w:rPr>
                <w:rFonts w:asciiTheme="minorHAnsi" w:hAnsiTheme="minorHAnsi"/>
                <w:szCs w:val="18"/>
              </w:rPr>
            </w:pPr>
            <w:r>
              <w:rPr>
                <w:rFonts w:asciiTheme="minorHAnsi" w:hAnsiTheme="minorHAnsi"/>
                <w:szCs w:val="18"/>
              </w:rPr>
              <w:t>17</w:t>
            </w:r>
          </w:p>
        </w:tc>
        <w:tc>
          <w:tcPr>
            <w:tcW w:w="737" w:type="pct"/>
          </w:tcPr>
          <w:p w14:paraId="25392152"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3,331</w:t>
            </w:r>
          </w:p>
        </w:tc>
        <w:tc>
          <w:tcPr>
            <w:tcW w:w="940" w:type="pct"/>
          </w:tcPr>
          <w:p w14:paraId="1BC01F5B" w14:textId="77777777" w:rsidR="00C410C1" w:rsidRPr="00451FD6" w:rsidRDefault="00C410C1">
            <w:pPr>
              <w:pStyle w:val="VAText"/>
              <w:jc w:val="right"/>
              <w:rPr>
                <w:rFonts w:asciiTheme="minorHAnsi" w:hAnsiTheme="minorHAnsi"/>
                <w:bCs/>
                <w:szCs w:val="18"/>
              </w:rPr>
            </w:pPr>
            <w:r>
              <w:rPr>
                <w:rFonts w:asciiTheme="minorHAnsi" w:hAnsiTheme="minorHAnsi"/>
                <w:bCs/>
                <w:szCs w:val="18"/>
              </w:rPr>
              <w:t>-</w:t>
            </w:r>
          </w:p>
        </w:tc>
      </w:tr>
      <w:tr w:rsidR="00C410C1" w:rsidRPr="00451FD6" w14:paraId="0F5D4559" w14:textId="77777777">
        <w:trPr>
          <w:cantSplit/>
          <w:trHeight w:val="213"/>
        </w:trPr>
        <w:tc>
          <w:tcPr>
            <w:tcW w:w="2917" w:type="pct"/>
          </w:tcPr>
          <w:p w14:paraId="22370025" w14:textId="77777777" w:rsidR="00C410C1" w:rsidRPr="00AC4384" w:rsidRDefault="00C410C1">
            <w:pPr>
              <w:pStyle w:val="VAText"/>
              <w:rPr>
                <w:rFonts w:asciiTheme="minorHAnsi" w:hAnsiTheme="minorHAnsi"/>
                <w:b/>
                <w:szCs w:val="18"/>
              </w:rPr>
            </w:pPr>
            <w:r w:rsidRPr="00AC4384">
              <w:rPr>
                <w:rFonts w:asciiTheme="minorHAnsi" w:hAnsiTheme="minorHAnsi"/>
                <w:b/>
                <w:szCs w:val="18"/>
              </w:rPr>
              <w:t>Total Liabilities</w:t>
            </w:r>
          </w:p>
        </w:tc>
        <w:tc>
          <w:tcPr>
            <w:tcW w:w="406" w:type="pct"/>
          </w:tcPr>
          <w:p w14:paraId="330D534C" w14:textId="77777777" w:rsidR="00C410C1" w:rsidRPr="00451FD6" w:rsidRDefault="00C410C1">
            <w:pPr>
              <w:pStyle w:val="VAText"/>
              <w:jc w:val="center"/>
              <w:rPr>
                <w:rFonts w:asciiTheme="minorHAnsi" w:hAnsiTheme="minorHAnsi"/>
                <w:b/>
                <w:szCs w:val="18"/>
              </w:rPr>
            </w:pPr>
          </w:p>
        </w:tc>
        <w:tc>
          <w:tcPr>
            <w:tcW w:w="737" w:type="pct"/>
            <w:tcBorders>
              <w:top w:val="single" w:sz="4" w:space="0" w:color="auto"/>
              <w:bottom w:val="single" w:sz="2" w:space="0" w:color="auto"/>
            </w:tcBorders>
          </w:tcPr>
          <w:p w14:paraId="21416BDE" w14:textId="77777777" w:rsidR="00C410C1" w:rsidRPr="00451FD6" w:rsidRDefault="00C410C1">
            <w:pPr>
              <w:pStyle w:val="VAText"/>
              <w:jc w:val="right"/>
              <w:rPr>
                <w:rFonts w:asciiTheme="minorHAnsi" w:hAnsiTheme="minorHAnsi"/>
                <w:b/>
                <w:szCs w:val="18"/>
              </w:rPr>
            </w:pPr>
            <w:r>
              <w:rPr>
                <w:rFonts w:asciiTheme="minorHAnsi" w:hAnsiTheme="minorHAnsi"/>
                <w:b/>
                <w:szCs w:val="18"/>
              </w:rPr>
              <w:t>3,441</w:t>
            </w:r>
          </w:p>
        </w:tc>
        <w:tc>
          <w:tcPr>
            <w:tcW w:w="940" w:type="pct"/>
            <w:tcBorders>
              <w:top w:val="single" w:sz="4" w:space="0" w:color="auto"/>
              <w:bottom w:val="single" w:sz="2" w:space="0" w:color="auto"/>
            </w:tcBorders>
          </w:tcPr>
          <w:p w14:paraId="65D3F4A5" w14:textId="77777777" w:rsidR="00C410C1" w:rsidRPr="00451FD6" w:rsidRDefault="00C410C1">
            <w:pPr>
              <w:pStyle w:val="VAText"/>
              <w:jc w:val="right"/>
              <w:rPr>
                <w:rFonts w:asciiTheme="minorHAnsi" w:hAnsiTheme="minorHAnsi"/>
                <w:b/>
                <w:szCs w:val="18"/>
              </w:rPr>
            </w:pPr>
            <w:r w:rsidRPr="00451FD6">
              <w:rPr>
                <w:rFonts w:asciiTheme="minorHAnsi" w:hAnsiTheme="minorHAnsi"/>
                <w:b/>
                <w:szCs w:val="18"/>
              </w:rPr>
              <w:t>248</w:t>
            </w:r>
          </w:p>
        </w:tc>
      </w:tr>
      <w:tr w:rsidR="00C410C1" w:rsidRPr="00451FD6" w14:paraId="6DDCC739" w14:textId="77777777">
        <w:trPr>
          <w:cantSplit/>
          <w:trHeight w:val="213"/>
        </w:trPr>
        <w:tc>
          <w:tcPr>
            <w:tcW w:w="2917" w:type="pct"/>
          </w:tcPr>
          <w:p w14:paraId="083A0DED" w14:textId="77777777" w:rsidR="00C410C1" w:rsidRPr="00AC4384" w:rsidRDefault="00C410C1">
            <w:pPr>
              <w:pStyle w:val="VAText"/>
              <w:rPr>
                <w:rFonts w:asciiTheme="minorHAnsi" w:hAnsiTheme="minorHAnsi"/>
                <w:b/>
                <w:szCs w:val="18"/>
              </w:rPr>
            </w:pPr>
          </w:p>
        </w:tc>
        <w:tc>
          <w:tcPr>
            <w:tcW w:w="406" w:type="pct"/>
          </w:tcPr>
          <w:p w14:paraId="3634DF1E" w14:textId="77777777" w:rsidR="00C410C1" w:rsidRPr="00451FD6" w:rsidRDefault="00C410C1">
            <w:pPr>
              <w:pStyle w:val="VAText"/>
              <w:jc w:val="center"/>
              <w:rPr>
                <w:rFonts w:asciiTheme="minorHAnsi" w:hAnsiTheme="minorHAnsi"/>
                <w:b/>
                <w:szCs w:val="18"/>
              </w:rPr>
            </w:pPr>
          </w:p>
        </w:tc>
        <w:tc>
          <w:tcPr>
            <w:tcW w:w="737" w:type="pct"/>
            <w:tcBorders>
              <w:top w:val="single" w:sz="4" w:space="0" w:color="auto"/>
              <w:bottom w:val="single" w:sz="2" w:space="0" w:color="auto"/>
            </w:tcBorders>
          </w:tcPr>
          <w:p w14:paraId="25604736" w14:textId="77777777" w:rsidR="00C410C1" w:rsidRDefault="00C410C1">
            <w:pPr>
              <w:pStyle w:val="VAText"/>
              <w:jc w:val="right"/>
              <w:rPr>
                <w:rFonts w:asciiTheme="minorHAnsi" w:hAnsiTheme="minorHAnsi"/>
                <w:b/>
                <w:szCs w:val="18"/>
              </w:rPr>
            </w:pPr>
          </w:p>
        </w:tc>
        <w:tc>
          <w:tcPr>
            <w:tcW w:w="940" w:type="pct"/>
            <w:tcBorders>
              <w:top w:val="single" w:sz="4" w:space="0" w:color="auto"/>
              <w:bottom w:val="single" w:sz="2" w:space="0" w:color="auto"/>
            </w:tcBorders>
          </w:tcPr>
          <w:p w14:paraId="799896C4" w14:textId="77777777" w:rsidR="00C410C1" w:rsidRPr="00451FD6" w:rsidRDefault="00C410C1">
            <w:pPr>
              <w:pStyle w:val="VAText"/>
              <w:jc w:val="right"/>
              <w:rPr>
                <w:rFonts w:asciiTheme="minorHAnsi" w:hAnsiTheme="minorHAnsi"/>
                <w:b/>
                <w:szCs w:val="18"/>
              </w:rPr>
            </w:pPr>
          </w:p>
        </w:tc>
      </w:tr>
      <w:tr w:rsidR="00C410C1" w:rsidRPr="00451FD6" w14:paraId="7DCD198D" w14:textId="77777777" w:rsidTr="00BB7B27">
        <w:trPr>
          <w:cantSplit/>
          <w:trHeight w:val="229"/>
        </w:trPr>
        <w:tc>
          <w:tcPr>
            <w:tcW w:w="2917" w:type="pct"/>
            <w:tcBorders>
              <w:bottom w:val="single" w:sz="12" w:space="0" w:color="492581" w:themeColor="accent1"/>
            </w:tcBorders>
          </w:tcPr>
          <w:p w14:paraId="49D3D6CF" w14:textId="77777777" w:rsidR="00C410C1" w:rsidRPr="00451FD6" w:rsidRDefault="00C410C1">
            <w:pPr>
              <w:pStyle w:val="VAText"/>
              <w:rPr>
                <w:rFonts w:asciiTheme="minorHAnsi" w:hAnsiTheme="minorHAnsi"/>
                <w:b/>
                <w:bCs/>
                <w:szCs w:val="18"/>
              </w:rPr>
            </w:pPr>
            <w:r w:rsidRPr="00451FD6">
              <w:rPr>
                <w:rFonts w:asciiTheme="minorHAnsi" w:hAnsiTheme="minorHAnsi" w:cs="Source Sans Pro SemiBold"/>
                <w:b/>
                <w:bCs/>
                <w:color w:val="000000"/>
                <w:szCs w:val="18"/>
              </w:rPr>
              <w:t>Net Assets</w:t>
            </w:r>
            <w:r>
              <w:rPr>
                <w:rFonts w:asciiTheme="minorHAnsi" w:hAnsiTheme="minorHAnsi" w:cs="Source Sans Pro SemiBold"/>
                <w:b/>
                <w:bCs/>
                <w:color w:val="000000"/>
                <w:szCs w:val="18"/>
              </w:rPr>
              <w:t>/(Liabilities)</w:t>
            </w:r>
          </w:p>
        </w:tc>
        <w:tc>
          <w:tcPr>
            <w:tcW w:w="406" w:type="pct"/>
            <w:tcBorders>
              <w:bottom w:val="single" w:sz="12" w:space="0" w:color="492581" w:themeColor="accent1"/>
            </w:tcBorders>
          </w:tcPr>
          <w:p w14:paraId="5EE49BD6" w14:textId="77777777" w:rsidR="00C410C1" w:rsidRPr="00451FD6" w:rsidRDefault="00C410C1">
            <w:pPr>
              <w:pStyle w:val="VAText"/>
              <w:jc w:val="center"/>
              <w:rPr>
                <w:rFonts w:asciiTheme="minorHAnsi" w:hAnsiTheme="minorHAnsi"/>
                <w:b/>
                <w:bCs/>
                <w:szCs w:val="18"/>
              </w:rPr>
            </w:pPr>
          </w:p>
        </w:tc>
        <w:tc>
          <w:tcPr>
            <w:tcW w:w="737" w:type="pct"/>
            <w:tcBorders>
              <w:top w:val="single" w:sz="2" w:space="0" w:color="auto"/>
              <w:bottom w:val="single" w:sz="12" w:space="0" w:color="492581" w:themeColor="accent1"/>
            </w:tcBorders>
          </w:tcPr>
          <w:p w14:paraId="033B5C61" w14:textId="77777777" w:rsidR="00C410C1" w:rsidRPr="00451FD6" w:rsidRDefault="00C410C1">
            <w:pPr>
              <w:pStyle w:val="VAText"/>
              <w:jc w:val="right"/>
              <w:rPr>
                <w:rFonts w:asciiTheme="minorHAnsi" w:hAnsiTheme="minorHAnsi"/>
                <w:b/>
                <w:bCs/>
                <w:szCs w:val="18"/>
              </w:rPr>
            </w:pPr>
            <w:r>
              <w:rPr>
                <w:rFonts w:asciiTheme="minorHAnsi" w:hAnsiTheme="minorHAnsi"/>
                <w:b/>
                <w:bCs/>
                <w:szCs w:val="18"/>
              </w:rPr>
              <w:t>(2,572)</w:t>
            </w:r>
          </w:p>
        </w:tc>
        <w:tc>
          <w:tcPr>
            <w:tcW w:w="940" w:type="pct"/>
            <w:tcBorders>
              <w:top w:val="single" w:sz="2" w:space="0" w:color="auto"/>
              <w:bottom w:val="single" w:sz="12" w:space="0" w:color="492581" w:themeColor="accent1"/>
            </w:tcBorders>
          </w:tcPr>
          <w:p w14:paraId="17539D7A" w14:textId="77777777" w:rsidR="00C410C1" w:rsidRPr="00451FD6" w:rsidRDefault="00C410C1">
            <w:pPr>
              <w:pStyle w:val="VAText"/>
              <w:jc w:val="right"/>
              <w:rPr>
                <w:rFonts w:asciiTheme="minorHAnsi" w:hAnsiTheme="minorHAnsi"/>
                <w:b/>
                <w:bCs/>
                <w:szCs w:val="18"/>
              </w:rPr>
            </w:pPr>
            <w:r w:rsidRPr="00451FD6">
              <w:rPr>
                <w:rFonts w:asciiTheme="minorHAnsi" w:hAnsiTheme="minorHAnsi"/>
                <w:b/>
                <w:bCs/>
                <w:szCs w:val="18"/>
              </w:rPr>
              <w:t>-</w:t>
            </w:r>
          </w:p>
        </w:tc>
      </w:tr>
      <w:tr w:rsidR="00BB7B27" w:rsidRPr="00451FD6" w14:paraId="3BFE7343" w14:textId="77777777" w:rsidTr="00BB7B27">
        <w:trPr>
          <w:cantSplit/>
          <w:trHeight w:val="229"/>
        </w:trPr>
        <w:tc>
          <w:tcPr>
            <w:tcW w:w="2917" w:type="pct"/>
            <w:tcBorders>
              <w:top w:val="single" w:sz="12" w:space="0" w:color="492581" w:themeColor="accent1"/>
            </w:tcBorders>
          </w:tcPr>
          <w:p w14:paraId="06FB1440" w14:textId="77777777" w:rsidR="00BB7B27" w:rsidRPr="00451FD6" w:rsidRDefault="00BB7B27">
            <w:pPr>
              <w:pStyle w:val="VAText"/>
              <w:rPr>
                <w:rFonts w:asciiTheme="minorHAnsi" w:hAnsiTheme="minorHAnsi" w:cs="Source Sans Pro SemiBold"/>
                <w:b/>
                <w:bCs/>
                <w:color w:val="000000"/>
                <w:szCs w:val="18"/>
              </w:rPr>
            </w:pPr>
          </w:p>
        </w:tc>
        <w:tc>
          <w:tcPr>
            <w:tcW w:w="406" w:type="pct"/>
            <w:tcBorders>
              <w:top w:val="single" w:sz="12" w:space="0" w:color="492581" w:themeColor="accent1"/>
            </w:tcBorders>
          </w:tcPr>
          <w:p w14:paraId="69449FBB" w14:textId="77777777" w:rsidR="00BB7B27" w:rsidRPr="00451FD6" w:rsidRDefault="00BB7B27">
            <w:pPr>
              <w:pStyle w:val="VAText"/>
              <w:jc w:val="center"/>
              <w:rPr>
                <w:rFonts w:asciiTheme="minorHAnsi" w:hAnsiTheme="minorHAnsi"/>
                <w:b/>
                <w:bCs/>
                <w:szCs w:val="18"/>
              </w:rPr>
            </w:pPr>
          </w:p>
        </w:tc>
        <w:tc>
          <w:tcPr>
            <w:tcW w:w="737" w:type="pct"/>
            <w:tcBorders>
              <w:top w:val="single" w:sz="12" w:space="0" w:color="492581" w:themeColor="accent1"/>
            </w:tcBorders>
          </w:tcPr>
          <w:p w14:paraId="08B0C9E4" w14:textId="77777777" w:rsidR="00BB7B27" w:rsidRDefault="00BB7B27">
            <w:pPr>
              <w:pStyle w:val="VAText"/>
              <w:jc w:val="right"/>
              <w:rPr>
                <w:rFonts w:asciiTheme="minorHAnsi" w:hAnsiTheme="minorHAnsi"/>
                <w:b/>
                <w:bCs/>
                <w:szCs w:val="18"/>
              </w:rPr>
            </w:pPr>
          </w:p>
        </w:tc>
        <w:tc>
          <w:tcPr>
            <w:tcW w:w="940" w:type="pct"/>
            <w:tcBorders>
              <w:top w:val="single" w:sz="12" w:space="0" w:color="492581" w:themeColor="accent1"/>
            </w:tcBorders>
          </w:tcPr>
          <w:p w14:paraId="013DD419" w14:textId="77777777" w:rsidR="00BB7B27" w:rsidRPr="00451FD6" w:rsidRDefault="00BB7B27">
            <w:pPr>
              <w:pStyle w:val="VAText"/>
              <w:jc w:val="right"/>
              <w:rPr>
                <w:rFonts w:asciiTheme="minorHAnsi" w:hAnsiTheme="minorHAnsi"/>
                <w:b/>
                <w:bCs/>
                <w:szCs w:val="18"/>
              </w:rPr>
            </w:pPr>
          </w:p>
        </w:tc>
      </w:tr>
      <w:tr w:rsidR="00C410C1" w:rsidRPr="000014C1" w14:paraId="241215F8" w14:textId="77777777" w:rsidTr="00BB7B27">
        <w:trPr>
          <w:cantSplit/>
          <w:trHeight w:val="36"/>
        </w:trPr>
        <w:tc>
          <w:tcPr>
            <w:tcW w:w="5000" w:type="pct"/>
            <w:gridSpan w:val="4"/>
            <w:tcBorders>
              <w:bottom w:val="single" w:sz="12" w:space="0" w:color="492581" w:themeColor="accent1"/>
            </w:tcBorders>
          </w:tcPr>
          <w:p w14:paraId="405A2AF6" w14:textId="46891039" w:rsidR="00C410C1" w:rsidRPr="00BB7B27" w:rsidRDefault="00C410C1">
            <w:pPr>
              <w:pStyle w:val="BodyText"/>
              <w:spacing w:line="211" w:lineRule="atLeast"/>
              <w:rPr>
                <w:bCs/>
                <w:i/>
                <w:iCs/>
                <w:sz w:val="17"/>
                <w:szCs w:val="17"/>
              </w:rPr>
            </w:pPr>
            <w:r w:rsidRPr="00BB7B27">
              <w:rPr>
                <w:rFonts w:cs="Source Sans Pro Light"/>
                <w:color w:val="000000"/>
                <w:sz w:val="17"/>
                <w:szCs w:val="17"/>
                <w:vertAlign w:val="superscript"/>
              </w:rPr>
              <w:t>a</w:t>
            </w:r>
            <w:r w:rsidRPr="00BB7B27">
              <w:rPr>
                <w:rFonts w:cs="Source Sans Pro Light"/>
                <w:color w:val="000000"/>
                <w:sz w:val="17"/>
                <w:szCs w:val="17"/>
              </w:rPr>
              <w:t xml:space="preserve"> </w:t>
            </w:r>
            <w:r w:rsidRPr="00BB7B27">
              <w:rPr>
                <w:bCs/>
                <w:i/>
                <w:iCs/>
                <w:sz w:val="17"/>
                <w:szCs w:val="17"/>
              </w:rPr>
              <w:t xml:space="preserve">Physical and Sexual Abuse (PSA) Indemnity Scheme design and establishment funding is a Territory appropriation funded initiative for the initial scheme set up arrangements. In 2022-23, the Authority received total appropriation of $0.449 million and although these should have recognised as revenue in full, only $0.201 million was recorded as the remaining $0.248 million was recorded as revenue received in advance to reflect the amounts </w:t>
            </w:r>
            <w:proofErr w:type="gramStart"/>
            <w:r w:rsidRPr="00BB7B27">
              <w:rPr>
                <w:bCs/>
                <w:i/>
                <w:iCs/>
                <w:sz w:val="17"/>
                <w:szCs w:val="17"/>
              </w:rPr>
              <w:t>actually spent</w:t>
            </w:r>
            <w:proofErr w:type="gramEnd"/>
            <w:r w:rsidRPr="00BB7B27">
              <w:rPr>
                <w:bCs/>
                <w:i/>
                <w:iCs/>
                <w:sz w:val="17"/>
                <w:szCs w:val="17"/>
              </w:rPr>
              <w:t xml:space="preserve"> during the year. The $0.248 million was spent and has been recorded as revenue during the current financial year.</w:t>
            </w:r>
          </w:p>
          <w:p w14:paraId="5E2EF934" w14:textId="77777777" w:rsidR="00C410C1" w:rsidRPr="00BB7B27" w:rsidRDefault="00C410C1">
            <w:pPr>
              <w:pStyle w:val="BodyText"/>
              <w:spacing w:line="211" w:lineRule="atLeast"/>
              <w:rPr>
                <w:bCs/>
                <w:i/>
                <w:iCs/>
                <w:sz w:val="17"/>
                <w:szCs w:val="17"/>
              </w:rPr>
            </w:pPr>
            <w:r w:rsidRPr="00BB7B27">
              <w:rPr>
                <w:rFonts w:cs="Source Sans Pro Light"/>
                <w:color w:val="000000"/>
                <w:sz w:val="17"/>
                <w:szCs w:val="17"/>
                <w:vertAlign w:val="superscript"/>
              </w:rPr>
              <w:t xml:space="preserve">b </w:t>
            </w:r>
            <w:r w:rsidRPr="00BB7B27">
              <w:rPr>
                <w:bCs/>
                <w:i/>
                <w:iCs/>
                <w:sz w:val="17"/>
                <w:szCs w:val="17"/>
              </w:rPr>
              <w:t>PSA Indemnity Scheme operates on a cost recovery basis by collecting indemnity fees from CSD to meet the costs of future asset losses and legal liabilities. Cash balance is included and represented in ACTIA’s bank balance and this line item is only for presentation purpose.</w:t>
            </w:r>
          </w:p>
          <w:p w14:paraId="4B1B37ED" w14:textId="77777777" w:rsidR="00C410C1" w:rsidRPr="00BB7B27" w:rsidRDefault="00C410C1">
            <w:pPr>
              <w:pStyle w:val="BodyText"/>
              <w:spacing w:line="211" w:lineRule="atLeast"/>
              <w:rPr>
                <w:bCs/>
                <w:i/>
                <w:iCs/>
                <w:sz w:val="17"/>
                <w:szCs w:val="17"/>
              </w:rPr>
            </w:pPr>
            <w:r w:rsidRPr="00BB7B27">
              <w:rPr>
                <w:rFonts w:cs="Source Sans Pro Light"/>
                <w:color w:val="000000"/>
                <w:sz w:val="17"/>
                <w:szCs w:val="17"/>
                <w:vertAlign w:val="superscript"/>
              </w:rPr>
              <w:t>c</w:t>
            </w:r>
            <w:r w:rsidRPr="00BB7B27">
              <w:rPr>
                <w:bCs/>
                <w:i/>
                <w:iCs/>
                <w:sz w:val="17"/>
                <w:szCs w:val="17"/>
              </w:rPr>
              <w:t xml:space="preserve"> The first independent actuarial valuation of claims expenses and liabilities and liability adequacy test for the PSA scheme was undertaken as at 30 June 2024.</w:t>
            </w:r>
          </w:p>
          <w:p w14:paraId="6E3D587C" w14:textId="77777777" w:rsidR="00C410C1" w:rsidRPr="00BB7B27" w:rsidRDefault="00C410C1">
            <w:pPr>
              <w:pStyle w:val="BodyText"/>
              <w:spacing w:line="211" w:lineRule="atLeast"/>
              <w:rPr>
                <w:bCs/>
                <w:i/>
                <w:iCs/>
                <w:sz w:val="17"/>
                <w:szCs w:val="17"/>
              </w:rPr>
            </w:pPr>
            <w:r w:rsidRPr="00BB7B27">
              <w:rPr>
                <w:rFonts w:cs="Source Sans Pro Light"/>
                <w:color w:val="000000"/>
                <w:sz w:val="17"/>
                <w:szCs w:val="17"/>
                <w:vertAlign w:val="superscript"/>
              </w:rPr>
              <w:t xml:space="preserve">d </w:t>
            </w:r>
            <w:r w:rsidRPr="00BB7B27">
              <w:rPr>
                <w:bCs/>
                <w:i/>
                <w:iCs/>
                <w:sz w:val="17"/>
                <w:szCs w:val="17"/>
              </w:rPr>
              <w:t>Actuarial Costs in 2023-24 related to the scheme valuation work which was not conducted in 2022-23.</w:t>
            </w:r>
          </w:p>
          <w:p w14:paraId="427881A3" w14:textId="77777777" w:rsidR="00C410C1" w:rsidRPr="003025A8" w:rsidRDefault="00C410C1">
            <w:pPr>
              <w:pStyle w:val="BodyText"/>
              <w:spacing w:line="211" w:lineRule="atLeast"/>
              <w:rPr>
                <w:bCs/>
                <w:i/>
                <w:iCs/>
                <w:sz w:val="18"/>
                <w:szCs w:val="18"/>
              </w:rPr>
            </w:pPr>
            <w:r w:rsidRPr="00BB7B27">
              <w:rPr>
                <w:rFonts w:cs="Source Sans Pro Light"/>
                <w:color w:val="000000"/>
                <w:sz w:val="17"/>
                <w:szCs w:val="17"/>
                <w:vertAlign w:val="superscript"/>
              </w:rPr>
              <w:t>e</w:t>
            </w:r>
            <w:r w:rsidRPr="00BB7B27">
              <w:rPr>
                <w:bCs/>
                <w:i/>
                <w:iCs/>
                <w:sz w:val="17"/>
                <w:szCs w:val="17"/>
              </w:rPr>
              <w:t xml:space="preserve"> Employee resources to support Physical and Sexual Abuse Indemnity Scheme design and establishment has discontinued from September 2023.</w:t>
            </w:r>
          </w:p>
        </w:tc>
      </w:tr>
    </w:tbl>
    <w:p w14:paraId="1B37C2E7" w14:textId="7484BF3A" w:rsidR="003E5BF5" w:rsidRDefault="003E5BF5">
      <w:pPr>
        <w:spacing w:after="0"/>
        <w:sectPr w:rsidR="003E5BF5" w:rsidSect="00A06857">
          <w:headerReference w:type="default" r:id="rId60"/>
          <w:pgSz w:w="11907" w:h="16840" w:code="9"/>
          <w:pgMar w:top="1418" w:right="1275" w:bottom="1701" w:left="1418" w:header="567" w:footer="255" w:gutter="0"/>
          <w:cols w:space="720"/>
          <w:docGrid w:linePitch="326"/>
        </w:sectPr>
      </w:pPr>
    </w:p>
    <w:p w14:paraId="2D3807A5" w14:textId="6C86C77C" w:rsidR="003E5BF5" w:rsidRPr="005D025B" w:rsidRDefault="003E5BF5" w:rsidP="003E5BF5">
      <w:pPr>
        <w:pStyle w:val="Heading2"/>
      </w:pPr>
      <w:r w:rsidRPr="005D025B">
        <w:lastRenderedPageBreak/>
        <w:t>C.</w:t>
      </w:r>
      <w:r w:rsidR="00FF2A80">
        <w:t>3</w:t>
      </w:r>
      <w:r w:rsidRPr="005D025B">
        <w:t xml:space="preserve"> </w:t>
      </w:r>
      <w:r w:rsidR="00FF2A80">
        <w:t xml:space="preserve">Capital </w:t>
      </w:r>
      <w:r w:rsidR="00B567CA">
        <w:t>Works</w:t>
      </w:r>
    </w:p>
    <w:p w14:paraId="1F609AA0" w14:textId="77777777" w:rsidR="00E144E6" w:rsidRPr="005473B1" w:rsidRDefault="00E144E6" w:rsidP="00E144E6">
      <w:pPr>
        <w:spacing w:line="264" w:lineRule="auto"/>
        <w:rPr>
          <w:szCs w:val="22"/>
        </w:rPr>
      </w:pPr>
      <w:r w:rsidRPr="005473B1">
        <w:rPr>
          <w:szCs w:val="22"/>
        </w:rPr>
        <w:t>The Authority did not have capital works expenditure during the reporting year.</w:t>
      </w:r>
    </w:p>
    <w:p w14:paraId="17BEA0C0" w14:textId="0CACF15A" w:rsidR="003E5BF5" w:rsidRPr="001C4E66" w:rsidRDefault="003E5BF5" w:rsidP="00865D5A">
      <w:pPr>
        <w:pStyle w:val="Heading2"/>
        <w:rPr>
          <w:b w:val="0"/>
          <w:bCs/>
          <w:sz w:val="30"/>
          <w:szCs w:val="30"/>
        </w:rPr>
      </w:pPr>
      <w:r w:rsidRPr="005D025B">
        <w:t>C.</w:t>
      </w:r>
      <w:r w:rsidR="00E144E6">
        <w:t>4</w:t>
      </w:r>
      <w:r w:rsidRPr="005D025B">
        <w:t xml:space="preserve"> </w:t>
      </w:r>
      <w:r w:rsidR="00E144E6">
        <w:t>Asset Management</w:t>
      </w:r>
    </w:p>
    <w:p w14:paraId="0E11B9A9" w14:textId="621BA3D0" w:rsidR="005438FB" w:rsidRPr="005438FB" w:rsidRDefault="005438FB" w:rsidP="005438FB">
      <w:pPr>
        <w:pStyle w:val="Heading3"/>
        <w:keepNext w:val="0"/>
        <w:keepLines w:val="0"/>
        <w:spacing w:line="240" w:lineRule="auto"/>
        <w:rPr>
          <w:rFonts w:eastAsia="Times New Roman"/>
          <w:iCs/>
          <w:color w:val="492581" w:themeColor="accent1"/>
          <w:sz w:val="32"/>
          <w:szCs w:val="32"/>
        </w:rPr>
      </w:pPr>
      <w:bookmarkStart w:id="90" w:name="_Toc175546558"/>
      <w:bookmarkStart w:id="91" w:name="_Toc175546701"/>
      <w:bookmarkStart w:id="92" w:name="_Toc175547857"/>
      <w:bookmarkStart w:id="93" w:name="_Toc175548209"/>
      <w:bookmarkStart w:id="94" w:name="_Toc177807014"/>
      <w:bookmarkStart w:id="95" w:name="_Toc205625751"/>
      <w:bookmarkStart w:id="96" w:name="_Toc205625958"/>
      <w:bookmarkStart w:id="97" w:name="_Toc206823620"/>
      <w:bookmarkStart w:id="98" w:name="_Toc208030629"/>
      <w:bookmarkStart w:id="99" w:name="_Toc300835646"/>
      <w:bookmarkStart w:id="100" w:name="_Toc300835992"/>
      <w:bookmarkStart w:id="101" w:name="_Toc300836222"/>
      <w:bookmarkStart w:id="102" w:name="_Toc302656303"/>
      <w:bookmarkStart w:id="103" w:name="_Toc303238219"/>
      <w:bookmarkStart w:id="104" w:name="_Toc332718151"/>
      <w:r w:rsidRPr="009B6CCF">
        <w:rPr>
          <w:rFonts w:eastAsia="Times New Roman"/>
          <w:iCs/>
          <w:color w:val="492581" w:themeColor="accent1"/>
          <w:sz w:val="32"/>
          <w:szCs w:val="32"/>
        </w:rPr>
        <w:t>C.</w:t>
      </w:r>
      <w:r w:rsidR="00D8350E">
        <w:rPr>
          <w:rFonts w:eastAsia="Times New Roman"/>
          <w:iCs/>
          <w:color w:val="492581" w:themeColor="accent1"/>
          <w:sz w:val="32"/>
          <w:szCs w:val="32"/>
        </w:rPr>
        <w:t>4</w:t>
      </w:r>
      <w:r w:rsidRPr="009B6CCF">
        <w:rPr>
          <w:rFonts w:eastAsia="Times New Roman"/>
          <w:iCs/>
          <w:color w:val="492581" w:themeColor="accent1"/>
          <w:sz w:val="32"/>
          <w:szCs w:val="32"/>
        </w:rPr>
        <w:t>.1 A</w:t>
      </w:r>
      <w:r>
        <w:rPr>
          <w:rFonts w:eastAsia="Times New Roman"/>
          <w:iCs/>
          <w:color w:val="492581" w:themeColor="accent1"/>
          <w:sz w:val="32"/>
          <w:szCs w:val="32"/>
        </w:rPr>
        <w:t xml:space="preserve">ssets </w:t>
      </w:r>
      <w:r w:rsidR="00D8350E">
        <w:rPr>
          <w:rFonts w:eastAsia="Times New Roman"/>
          <w:iCs/>
          <w:color w:val="492581" w:themeColor="accent1"/>
          <w:sz w:val="32"/>
          <w:szCs w:val="32"/>
        </w:rPr>
        <w:t xml:space="preserve">Managed </w:t>
      </w:r>
    </w:p>
    <w:p w14:paraId="533C870D" w14:textId="3069EDAD" w:rsidR="003430F6" w:rsidRDefault="003430F6" w:rsidP="003430F6">
      <w:pPr>
        <w:spacing w:line="264" w:lineRule="auto"/>
        <w:rPr>
          <w:szCs w:val="22"/>
        </w:rPr>
      </w:pPr>
      <w:r w:rsidRPr="005473B1">
        <w:rPr>
          <w:szCs w:val="22"/>
        </w:rPr>
        <w:t xml:space="preserve">The Authority has no assets other than </w:t>
      </w:r>
      <w:r w:rsidR="00A575E4">
        <w:rPr>
          <w:szCs w:val="22"/>
        </w:rPr>
        <w:t>l</w:t>
      </w:r>
      <w:r w:rsidR="009775EE">
        <w:rPr>
          <w:szCs w:val="22"/>
        </w:rPr>
        <w:t xml:space="preserve">eased </w:t>
      </w:r>
      <w:r w:rsidRPr="005473B1">
        <w:rPr>
          <w:szCs w:val="22"/>
        </w:rPr>
        <w:t>furniture</w:t>
      </w:r>
      <w:r w:rsidR="009775EE">
        <w:rPr>
          <w:szCs w:val="22"/>
        </w:rPr>
        <w:t>,</w:t>
      </w:r>
      <w:r w:rsidRPr="005473B1">
        <w:rPr>
          <w:szCs w:val="22"/>
        </w:rPr>
        <w:t xml:space="preserve"> </w:t>
      </w:r>
      <w:r w:rsidR="009775EE">
        <w:rPr>
          <w:szCs w:val="22"/>
        </w:rPr>
        <w:t>f</w:t>
      </w:r>
      <w:r w:rsidRPr="005473B1">
        <w:rPr>
          <w:szCs w:val="22"/>
        </w:rPr>
        <w:t>ittings</w:t>
      </w:r>
      <w:r w:rsidR="009775EE">
        <w:rPr>
          <w:szCs w:val="22"/>
        </w:rPr>
        <w:t xml:space="preserve">, </w:t>
      </w:r>
      <w:proofErr w:type="gramStart"/>
      <w:r w:rsidR="009775EE">
        <w:rPr>
          <w:szCs w:val="22"/>
        </w:rPr>
        <w:t>laptops</w:t>
      </w:r>
      <w:proofErr w:type="gramEnd"/>
      <w:r w:rsidR="009775EE">
        <w:rPr>
          <w:szCs w:val="22"/>
        </w:rPr>
        <w:t xml:space="preserve"> </w:t>
      </w:r>
      <w:r w:rsidRPr="005473B1">
        <w:rPr>
          <w:szCs w:val="22"/>
        </w:rPr>
        <w:t xml:space="preserve">and </w:t>
      </w:r>
      <w:r w:rsidR="0005209A">
        <w:rPr>
          <w:szCs w:val="22"/>
        </w:rPr>
        <w:t xml:space="preserve">monetary </w:t>
      </w:r>
      <w:r w:rsidRPr="005473B1">
        <w:rPr>
          <w:szCs w:val="22"/>
        </w:rPr>
        <w:t>investments.</w:t>
      </w:r>
      <w:r>
        <w:rPr>
          <w:szCs w:val="22"/>
        </w:rPr>
        <w:t xml:space="preserve"> </w:t>
      </w:r>
      <w:r w:rsidRPr="005473B1">
        <w:rPr>
          <w:szCs w:val="22"/>
        </w:rPr>
        <w:t xml:space="preserve">The Authority has capacity to </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szCs w:val="22"/>
        </w:rPr>
        <w:t>invest funds over the medium and long term.</w:t>
      </w:r>
    </w:p>
    <w:p w14:paraId="2BC20DDE" w14:textId="43F2F1A1" w:rsidR="00D8350E" w:rsidRPr="005438FB" w:rsidRDefault="00D8350E" w:rsidP="00D8350E">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w:t>
      </w:r>
      <w:r>
        <w:rPr>
          <w:rFonts w:eastAsia="Times New Roman"/>
          <w:iCs/>
          <w:color w:val="492581" w:themeColor="accent1"/>
          <w:sz w:val="32"/>
          <w:szCs w:val="32"/>
        </w:rPr>
        <w:t>4</w:t>
      </w:r>
      <w:r w:rsidRPr="009B6CCF">
        <w:rPr>
          <w:rFonts w:eastAsia="Times New Roman"/>
          <w:iCs/>
          <w:color w:val="492581" w:themeColor="accent1"/>
          <w:sz w:val="32"/>
          <w:szCs w:val="32"/>
        </w:rPr>
        <w:t>.</w:t>
      </w:r>
      <w:r w:rsidR="00BA133C">
        <w:rPr>
          <w:rFonts w:eastAsia="Times New Roman"/>
          <w:iCs/>
          <w:color w:val="492581" w:themeColor="accent1"/>
          <w:sz w:val="32"/>
          <w:szCs w:val="32"/>
        </w:rPr>
        <w:t>2</w:t>
      </w:r>
      <w:r w:rsidRPr="009B6CCF">
        <w:rPr>
          <w:rFonts w:eastAsia="Times New Roman"/>
          <w:iCs/>
          <w:color w:val="492581" w:themeColor="accent1"/>
          <w:sz w:val="32"/>
          <w:szCs w:val="32"/>
        </w:rPr>
        <w:t xml:space="preserve"> </w:t>
      </w:r>
      <w:r w:rsidR="00AA195F">
        <w:rPr>
          <w:rFonts w:eastAsia="Times New Roman"/>
          <w:iCs/>
          <w:color w:val="492581" w:themeColor="accent1"/>
          <w:sz w:val="32"/>
          <w:szCs w:val="32"/>
        </w:rPr>
        <w:t xml:space="preserve">Office </w:t>
      </w:r>
      <w:r w:rsidR="00537019">
        <w:rPr>
          <w:rFonts w:eastAsia="Times New Roman"/>
          <w:iCs/>
          <w:color w:val="492581" w:themeColor="accent1"/>
          <w:sz w:val="32"/>
          <w:szCs w:val="32"/>
        </w:rPr>
        <w:t>Accommodation</w:t>
      </w:r>
      <w:r>
        <w:rPr>
          <w:rFonts w:eastAsia="Times New Roman"/>
          <w:iCs/>
          <w:color w:val="492581" w:themeColor="accent1"/>
          <w:sz w:val="32"/>
          <w:szCs w:val="32"/>
        </w:rPr>
        <w:t xml:space="preserve"> </w:t>
      </w:r>
    </w:p>
    <w:p w14:paraId="4E9AD949" w14:textId="36A75EAA" w:rsidR="00D8350E" w:rsidRPr="00C63CEC" w:rsidRDefault="00D8350E" w:rsidP="00D8350E">
      <w:pPr>
        <w:spacing w:line="264" w:lineRule="auto"/>
        <w:rPr>
          <w:szCs w:val="22"/>
        </w:rPr>
      </w:pPr>
      <w:r w:rsidRPr="005473B1">
        <w:rPr>
          <w:szCs w:val="22"/>
        </w:rPr>
        <w:t xml:space="preserve">The Authority </w:t>
      </w:r>
      <w:r w:rsidR="00F84260">
        <w:rPr>
          <w:szCs w:val="22"/>
        </w:rPr>
        <w:t xml:space="preserve">employs </w:t>
      </w:r>
      <w:r w:rsidR="00C63CEC">
        <w:rPr>
          <w:szCs w:val="22"/>
        </w:rPr>
        <w:t xml:space="preserve">33 </w:t>
      </w:r>
      <w:r w:rsidR="00537019">
        <w:rPr>
          <w:szCs w:val="22"/>
        </w:rPr>
        <w:t>employees</w:t>
      </w:r>
      <w:r w:rsidR="00C63CEC">
        <w:rPr>
          <w:szCs w:val="22"/>
        </w:rPr>
        <w:t xml:space="preserve"> occupying at </w:t>
      </w:r>
      <w:r w:rsidR="00537019">
        <w:rPr>
          <w:szCs w:val="22"/>
        </w:rPr>
        <w:t>Level 1, 220 London Circuit, Canberra.</w:t>
      </w:r>
    </w:p>
    <w:p w14:paraId="026A8015" w14:textId="37B1AB57" w:rsidR="000543C4" w:rsidRPr="00D35BC6" w:rsidRDefault="000543C4" w:rsidP="00D35BC6">
      <w:pPr>
        <w:pStyle w:val="Heading2"/>
      </w:pPr>
      <w:r w:rsidRPr="00D35BC6">
        <w:t>C.</w:t>
      </w:r>
      <w:r w:rsidR="002B4D7D" w:rsidRPr="00D35BC6">
        <w:t>5</w:t>
      </w:r>
      <w:r w:rsidRPr="00D35BC6">
        <w:t xml:space="preserve"> </w:t>
      </w:r>
      <w:r w:rsidR="002B4D7D" w:rsidRPr="00D35BC6">
        <w:t>G</w:t>
      </w:r>
      <w:r w:rsidR="008B7C01" w:rsidRPr="00D35BC6">
        <w:t>overnment Contracting</w:t>
      </w:r>
    </w:p>
    <w:p w14:paraId="6382362E" w14:textId="7B8731B2" w:rsidR="00A75A2F" w:rsidRPr="009B6CCF" w:rsidRDefault="00A75A2F"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C.5.1 Aboriginal and Torres Strait Islander Procuremen</w:t>
      </w:r>
      <w:r w:rsidR="00D35BC6" w:rsidRPr="009B6CCF">
        <w:rPr>
          <w:rFonts w:eastAsia="Times New Roman"/>
          <w:iCs/>
          <w:color w:val="492581" w:themeColor="accent1"/>
          <w:sz w:val="32"/>
          <w:szCs w:val="32"/>
        </w:rPr>
        <w:t>t</w:t>
      </w:r>
      <w:r w:rsidRPr="009B6CCF">
        <w:rPr>
          <w:rFonts w:eastAsia="Times New Roman"/>
          <w:iCs/>
          <w:color w:val="492581" w:themeColor="accent1"/>
          <w:sz w:val="32"/>
          <w:szCs w:val="32"/>
        </w:rPr>
        <w:t xml:space="preserve"> Policy</w:t>
      </w:r>
    </w:p>
    <w:p w14:paraId="156580D1" w14:textId="77777777" w:rsidR="00A75A2F" w:rsidRPr="000E2E21" w:rsidRDefault="00A75A2F" w:rsidP="00A75A2F">
      <w:pPr>
        <w:spacing w:line="264" w:lineRule="auto"/>
        <w:rPr>
          <w:szCs w:val="22"/>
        </w:rPr>
      </w:pPr>
      <w:r w:rsidRPr="005473B1">
        <w:rPr>
          <w:szCs w:val="22"/>
        </w:rPr>
        <w:t>The Authority</w:t>
      </w:r>
      <w:r>
        <w:rPr>
          <w:szCs w:val="22"/>
        </w:rPr>
        <w:t xml:space="preserve"> is</w:t>
      </w:r>
      <w:r w:rsidRPr="005473B1">
        <w:rPr>
          <w:szCs w:val="22"/>
        </w:rPr>
        <w:t xml:space="preserve"> part of CMTEDD</w:t>
      </w:r>
      <w:r>
        <w:rPr>
          <w:szCs w:val="22"/>
        </w:rPr>
        <w:t xml:space="preserve"> and a</w:t>
      </w:r>
      <w:r w:rsidRPr="005473B1">
        <w:rPr>
          <w:szCs w:val="22"/>
        </w:rPr>
        <w:t xml:space="preserve">s such, </w:t>
      </w:r>
      <w:r>
        <w:rPr>
          <w:szCs w:val="22"/>
        </w:rPr>
        <w:t xml:space="preserve">any performance measures relating to </w:t>
      </w:r>
      <w:r>
        <w:t>Aboriginal and Torres Strait Islander Enterprises</w:t>
      </w:r>
      <w:r>
        <w:rPr>
          <w:szCs w:val="22"/>
        </w:rPr>
        <w:t xml:space="preserve"> and any addressable spend for this reporting period is reported within the CMTEDD’s Annual Report. There were no </w:t>
      </w:r>
      <w:r>
        <w:t xml:space="preserve">Aboriginal and Torres Strait Islander Enterprises </w:t>
      </w:r>
      <w:r w:rsidRPr="000E2E21">
        <w:t>directly registered as suppliers with the Authority.</w:t>
      </w:r>
    </w:p>
    <w:p w14:paraId="11F4D492" w14:textId="744E1ACE" w:rsidR="00A75A2F" w:rsidRPr="009B6CCF" w:rsidRDefault="00A75A2F" w:rsidP="009B6CCF">
      <w:pPr>
        <w:pStyle w:val="Heading3"/>
        <w:keepNext w:val="0"/>
        <w:keepLines w:val="0"/>
        <w:spacing w:line="240" w:lineRule="auto"/>
        <w:rPr>
          <w:rFonts w:eastAsia="Times New Roman"/>
          <w:iCs/>
          <w:color w:val="492581" w:themeColor="accent1"/>
          <w:sz w:val="32"/>
          <w:szCs w:val="32"/>
        </w:rPr>
      </w:pPr>
      <w:r w:rsidRPr="009B6CCF">
        <w:rPr>
          <w:rFonts w:eastAsia="Times New Roman"/>
          <w:iCs/>
          <w:color w:val="492581" w:themeColor="accent1"/>
          <w:sz w:val="32"/>
          <w:szCs w:val="32"/>
        </w:rPr>
        <w:t>C.5.</w:t>
      </w:r>
      <w:r w:rsidR="00F12FDB">
        <w:rPr>
          <w:rFonts w:eastAsia="Times New Roman"/>
          <w:iCs/>
          <w:color w:val="492581" w:themeColor="accent1"/>
          <w:sz w:val="32"/>
          <w:szCs w:val="32"/>
        </w:rPr>
        <w:t>2</w:t>
      </w:r>
      <w:r w:rsidRPr="009B6CCF">
        <w:rPr>
          <w:rFonts w:eastAsia="Times New Roman"/>
          <w:iCs/>
          <w:color w:val="492581" w:themeColor="accent1"/>
          <w:sz w:val="32"/>
          <w:szCs w:val="32"/>
        </w:rPr>
        <w:t xml:space="preserve"> ACT Government Contracts Register</w:t>
      </w:r>
    </w:p>
    <w:p w14:paraId="788BA746" w14:textId="77777777" w:rsidR="00A75A2F" w:rsidRPr="005473B1" w:rsidRDefault="00A75A2F" w:rsidP="00A75A2F">
      <w:pPr>
        <w:spacing w:line="264" w:lineRule="auto"/>
        <w:rPr>
          <w:szCs w:val="22"/>
        </w:rPr>
      </w:pPr>
      <w:r w:rsidRPr="005473B1">
        <w:rPr>
          <w:szCs w:val="22"/>
        </w:rPr>
        <w:t xml:space="preserve">The Authority engages consultants to perform </w:t>
      </w:r>
      <w:proofErr w:type="gramStart"/>
      <w:r w:rsidRPr="005473B1">
        <w:rPr>
          <w:szCs w:val="22"/>
        </w:rPr>
        <w:t>a number of</w:t>
      </w:r>
      <w:proofErr w:type="gramEnd"/>
      <w:r w:rsidRPr="005473B1">
        <w:rPr>
          <w:szCs w:val="22"/>
        </w:rPr>
        <w:t xml:space="preserve"> specialised functions.</w:t>
      </w:r>
      <w:r>
        <w:rPr>
          <w:szCs w:val="22"/>
        </w:rPr>
        <w:t xml:space="preserve"> </w:t>
      </w:r>
      <w:r w:rsidRPr="005473B1">
        <w:rPr>
          <w:szCs w:val="22"/>
        </w:rPr>
        <w:t xml:space="preserve"> Consultants provide insurance broking services, risk management advice, actuarial services</w:t>
      </w:r>
      <w:r>
        <w:rPr>
          <w:szCs w:val="22"/>
        </w:rPr>
        <w:t>,</w:t>
      </w:r>
      <w:r w:rsidRPr="005473B1">
        <w:rPr>
          <w:szCs w:val="22"/>
        </w:rPr>
        <w:t xml:space="preserve"> and legal advice.</w:t>
      </w:r>
    </w:p>
    <w:p w14:paraId="209D1826" w14:textId="77777777" w:rsidR="00A75A2F" w:rsidRPr="005473B1" w:rsidRDefault="00A75A2F" w:rsidP="00A75A2F">
      <w:pPr>
        <w:spacing w:line="264" w:lineRule="auto"/>
        <w:rPr>
          <w:szCs w:val="22"/>
        </w:rPr>
      </w:pPr>
      <w:r w:rsidRPr="005473B1">
        <w:rPr>
          <w:szCs w:val="22"/>
        </w:rPr>
        <w:t>The procurement selection and management processes for all contractors</w:t>
      </w:r>
      <w:r>
        <w:rPr>
          <w:szCs w:val="22"/>
        </w:rPr>
        <w:t>,</w:t>
      </w:r>
      <w:r w:rsidRPr="005473B1">
        <w:rPr>
          <w:szCs w:val="22"/>
        </w:rPr>
        <w:t xml:space="preserve"> including consultants</w:t>
      </w:r>
      <w:r>
        <w:rPr>
          <w:szCs w:val="22"/>
        </w:rPr>
        <w:t>,</w:t>
      </w:r>
      <w:r w:rsidRPr="005473B1">
        <w:rPr>
          <w:szCs w:val="22"/>
        </w:rPr>
        <w:t xml:space="preserve"> complied with the </w:t>
      </w:r>
      <w:r w:rsidRPr="005473B1">
        <w:rPr>
          <w:i/>
          <w:iCs/>
          <w:szCs w:val="22"/>
        </w:rPr>
        <w:t>Government Procurement Act 2001</w:t>
      </w:r>
      <w:r w:rsidRPr="005473B1">
        <w:rPr>
          <w:szCs w:val="22"/>
        </w:rPr>
        <w:t xml:space="preserve"> and </w:t>
      </w:r>
      <w:r w:rsidRPr="007541D5">
        <w:rPr>
          <w:szCs w:val="22"/>
        </w:rPr>
        <w:t>the Government Procurement Regulation 2007</w:t>
      </w:r>
      <w:r w:rsidRPr="005473B1">
        <w:rPr>
          <w:szCs w:val="22"/>
        </w:rPr>
        <w:t>.</w:t>
      </w:r>
    </w:p>
    <w:p w14:paraId="2CDFACC2" w14:textId="77777777" w:rsidR="003F5E91" w:rsidRDefault="003F5E91" w:rsidP="003F5E91">
      <w:pPr>
        <w:pStyle w:val="BodyText"/>
      </w:pPr>
      <w:r>
        <w:t>The online ACT Government Contracts Register records contracts with suppliers of goods, services and works, with a value of $25,000 or more.</w:t>
      </w:r>
    </w:p>
    <w:p w14:paraId="1BF34BB2" w14:textId="0F1B0BF6" w:rsidR="003F5E91" w:rsidRDefault="003F5E91" w:rsidP="003F5E91">
      <w:pPr>
        <w:pStyle w:val="BodyText"/>
        <w:jc w:val="both"/>
      </w:pPr>
      <w:r>
        <w:t xml:space="preserve">A full search of </w:t>
      </w:r>
      <w:r w:rsidR="00D544A3">
        <w:t>ACT Insurance Authority</w:t>
      </w:r>
      <w:r w:rsidRPr="0036163A">
        <w:t xml:space="preserve"> </w:t>
      </w:r>
      <w:r>
        <w:t>contracts notified with an execution date from 1 July 202</w:t>
      </w:r>
      <w:r w:rsidR="0020634F">
        <w:t>3</w:t>
      </w:r>
      <w:r>
        <w:t xml:space="preserve"> to 30 June 202</w:t>
      </w:r>
      <w:r w:rsidR="0020634F">
        <w:t>4</w:t>
      </w:r>
      <w:r>
        <w:t xml:space="preserve"> can be made at </w:t>
      </w:r>
      <w:hyperlink r:id="rId61" w:history="1">
        <w:r w:rsidRPr="00EF3F96">
          <w:rPr>
            <w:rStyle w:val="Hyperlink"/>
          </w:rPr>
          <w:t>https://www.tenders.act.gov.au/contract/search</w:t>
        </w:r>
      </w:hyperlink>
      <w:r>
        <w:t>.</w:t>
      </w:r>
    </w:p>
    <w:p w14:paraId="0313282C" w14:textId="77777777" w:rsidR="00BB257A" w:rsidRDefault="00BB257A">
      <w:pPr>
        <w:spacing w:after="0" w:line="240" w:lineRule="auto"/>
        <w:rPr>
          <w:rFonts w:ascii="Arial" w:eastAsiaTheme="majorEastAsia" w:hAnsi="Arial" w:cs="Arial"/>
          <w:b/>
          <w:color w:val="262626" w:themeColor="text1" w:themeTint="D9"/>
          <w:sz w:val="40"/>
          <w:szCs w:val="40"/>
        </w:rPr>
      </w:pPr>
      <w:r>
        <w:br w:type="page"/>
      </w:r>
    </w:p>
    <w:p w14:paraId="2C79F418" w14:textId="0590121A" w:rsidR="000543C4" w:rsidRPr="005D025B" w:rsidRDefault="000543C4" w:rsidP="000543C4">
      <w:pPr>
        <w:pStyle w:val="Heading2"/>
      </w:pPr>
      <w:r w:rsidRPr="005D025B">
        <w:lastRenderedPageBreak/>
        <w:t>C.</w:t>
      </w:r>
      <w:r w:rsidR="00AD4E0F">
        <w:t>6</w:t>
      </w:r>
      <w:r w:rsidRPr="005D025B">
        <w:t xml:space="preserve"> Statement</w:t>
      </w:r>
      <w:r w:rsidR="00AD4E0F">
        <w:t xml:space="preserve"> of Performance</w:t>
      </w:r>
    </w:p>
    <w:p w14:paraId="61365F5F" w14:textId="185D4932" w:rsidR="003835D9" w:rsidRDefault="00076F56">
      <w:pPr>
        <w:spacing w:after="0"/>
      </w:pPr>
      <w:r w:rsidRPr="00D84E78">
        <w:t xml:space="preserve">The Authority’s Statement of Performance is reported on page </w:t>
      </w:r>
      <w:r w:rsidR="003F763A" w:rsidRPr="00D84E78">
        <w:t>102</w:t>
      </w:r>
      <w:r w:rsidRPr="00D84E78">
        <w:t xml:space="preserve"> of the </w:t>
      </w:r>
      <w:r w:rsidR="00323290" w:rsidRPr="00D84E78">
        <w:rPr>
          <w:i/>
        </w:rPr>
        <w:t>2023-24</w:t>
      </w:r>
      <w:r w:rsidRPr="00D84E78">
        <w:rPr>
          <w:i/>
        </w:rPr>
        <w:t xml:space="preserve"> ACT</w:t>
      </w:r>
      <w:r w:rsidRPr="5F56747C">
        <w:rPr>
          <w:i/>
        </w:rPr>
        <w:t xml:space="preserve"> Insurance Authority Annual Report. </w:t>
      </w:r>
      <w:r>
        <w:t xml:space="preserve"> Narrative on the performance measures is also included in B.2 Performance Analysis.</w:t>
      </w:r>
      <w:r w:rsidR="003835D9">
        <w:br w:type="page"/>
      </w:r>
    </w:p>
    <w:p w14:paraId="55B093EF" w14:textId="77777777" w:rsidR="00FA175E" w:rsidRPr="00FA175E" w:rsidRDefault="00FA175E" w:rsidP="008307B2">
      <w:pPr>
        <w:widowControl w:val="0"/>
        <w:autoSpaceDE w:val="0"/>
        <w:autoSpaceDN w:val="0"/>
        <w:spacing w:after="0" w:line="240" w:lineRule="auto"/>
        <w:ind w:left="105"/>
        <w:jc w:val="center"/>
        <w:rPr>
          <w:rFonts w:ascii="Times New Roman" w:eastAsia="Calibri" w:hAnsi="Calibri" w:cs="Calibri"/>
          <w:sz w:val="20"/>
          <w:szCs w:val="21"/>
          <w:lang w:val="en-US"/>
        </w:rPr>
      </w:pPr>
      <w:r w:rsidRPr="00623F03">
        <w:rPr>
          <w:rFonts w:ascii="Times New Roman" w:eastAsia="Calibri" w:hAnsi="Calibri" w:cs="Calibri"/>
          <w:noProof/>
          <w:sz w:val="20"/>
          <w:szCs w:val="21"/>
          <w:lang w:val="en-US"/>
        </w:rPr>
        <w:lastRenderedPageBreak/>
        <w:drawing>
          <wp:inline distT="0" distB="0" distL="0" distR="0" wp14:anchorId="2F3D62FC" wp14:editId="11BEDD96">
            <wp:extent cx="5678567" cy="658368"/>
            <wp:effectExtent l="0" t="0" r="0" b="0"/>
            <wp:docPr id="38" name="Picture 38" descr="ACT Audit office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CT Audit office letterhead"/>
                    <pic:cNvPicPr/>
                  </pic:nvPicPr>
                  <pic:blipFill>
                    <a:blip r:embed="rId62" cstate="print"/>
                    <a:stretch>
                      <a:fillRect/>
                    </a:stretch>
                  </pic:blipFill>
                  <pic:spPr>
                    <a:xfrm>
                      <a:off x="0" y="0"/>
                      <a:ext cx="5678567" cy="658368"/>
                    </a:xfrm>
                    <a:prstGeom prst="rect">
                      <a:avLst/>
                    </a:prstGeom>
                  </pic:spPr>
                </pic:pic>
              </a:graphicData>
            </a:graphic>
          </wp:inline>
        </w:drawing>
      </w:r>
    </w:p>
    <w:p w14:paraId="0984B28A" w14:textId="77777777" w:rsidR="00FA175E" w:rsidRPr="00FA175E" w:rsidRDefault="00FA175E" w:rsidP="00FA175E">
      <w:pPr>
        <w:widowControl w:val="0"/>
        <w:autoSpaceDE w:val="0"/>
        <w:autoSpaceDN w:val="0"/>
        <w:spacing w:before="225" w:after="0" w:line="240" w:lineRule="auto"/>
        <w:ind w:left="2063" w:right="1956"/>
        <w:jc w:val="center"/>
        <w:rPr>
          <w:rFonts w:ascii="Calibri" w:eastAsia="Calibri" w:hAnsi="Calibri" w:cs="Calibri"/>
          <w:b/>
          <w:bCs/>
          <w:sz w:val="27"/>
          <w:szCs w:val="27"/>
          <w:lang w:val="en-US"/>
        </w:rPr>
      </w:pPr>
      <w:r w:rsidRPr="00FA175E">
        <w:rPr>
          <w:rFonts w:ascii="Calibri" w:eastAsia="Calibri" w:hAnsi="Calibri" w:cs="Calibri"/>
          <w:b/>
          <w:bCs/>
          <w:sz w:val="27"/>
          <w:szCs w:val="27"/>
          <w:lang w:val="en-US"/>
        </w:rPr>
        <w:t>INDEPENDENT</w:t>
      </w:r>
      <w:r w:rsidRPr="00FA175E">
        <w:rPr>
          <w:rFonts w:ascii="Calibri" w:eastAsia="Calibri" w:hAnsi="Calibri" w:cs="Calibri"/>
          <w:b/>
          <w:bCs/>
          <w:spacing w:val="49"/>
          <w:sz w:val="27"/>
          <w:szCs w:val="27"/>
          <w:lang w:val="en-US"/>
        </w:rPr>
        <w:t xml:space="preserve"> </w:t>
      </w:r>
      <w:r w:rsidRPr="00FA175E">
        <w:rPr>
          <w:rFonts w:ascii="Calibri" w:eastAsia="Calibri" w:hAnsi="Calibri" w:cs="Calibri"/>
          <w:b/>
          <w:bCs/>
          <w:sz w:val="27"/>
          <w:szCs w:val="27"/>
          <w:lang w:val="en-US"/>
        </w:rPr>
        <w:t>LIMITED</w:t>
      </w:r>
      <w:r w:rsidRPr="00FA175E">
        <w:rPr>
          <w:rFonts w:ascii="Calibri" w:eastAsia="Calibri" w:hAnsi="Calibri" w:cs="Calibri"/>
          <w:b/>
          <w:bCs/>
          <w:spacing w:val="47"/>
          <w:sz w:val="27"/>
          <w:szCs w:val="27"/>
          <w:lang w:val="en-US"/>
        </w:rPr>
        <w:t xml:space="preserve"> </w:t>
      </w:r>
      <w:r w:rsidRPr="00FA175E">
        <w:rPr>
          <w:rFonts w:ascii="Calibri" w:eastAsia="Calibri" w:hAnsi="Calibri" w:cs="Calibri"/>
          <w:b/>
          <w:bCs/>
          <w:sz w:val="27"/>
          <w:szCs w:val="27"/>
          <w:lang w:val="en-US"/>
        </w:rPr>
        <w:t>ASSURANCE</w:t>
      </w:r>
      <w:r w:rsidRPr="00FA175E">
        <w:rPr>
          <w:rFonts w:ascii="Calibri" w:eastAsia="Calibri" w:hAnsi="Calibri" w:cs="Calibri"/>
          <w:b/>
          <w:bCs/>
          <w:spacing w:val="36"/>
          <w:sz w:val="27"/>
          <w:szCs w:val="27"/>
          <w:lang w:val="en-US"/>
        </w:rPr>
        <w:t xml:space="preserve"> </w:t>
      </w:r>
      <w:r w:rsidRPr="00FA175E">
        <w:rPr>
          <w:rFonts w:ascii="Calibri" w:eastAsia="Calibri" w:hAnsi="Calibri" w:cs="Calibri"/>
          <w:b/>
          <w:bCs/>
          <w:spacing w:val="-2"/>
          <w:sz w:val="27"/>
          <w:szCs w:val="27"/>
          <w:lang w:val="en-US"/>
        </w:rPr>
        <w:t>REPORT</w:t>
      </w:r>
    </w:p>
    <w:p w14:paraId="42C21F64" w14:textId="77777777" w:rsidR="00FA175E" w:rsidRPr="00623F03" w:rsidRDefault="00FA175E" w:rsidP="00FA175E">
      <w:pPr>
        <w:widowControl w:val="0"/>
        <w:autoSpaceDE w:val="0"/>
        <w:autoSpaceDN w:val="0"/>
        <w:spacing w:before="119" w:after="0" w:line="240" w:lineRule="auto"/>
        <w:ind w:left="241"/>
        <w:rPr>
          <w:rFonts w:ascii="Calibri" w:eastAsia="Calibri" w:hAnsi="Calibri" w:cs="Calibri"/>
          <w:b/>
          <w:szCs w:val="22"/>
          <w:lang w:val="en-US"/>
        </w:rPr>
      </w:pPr>
      <w:r w:rsidRPr="00623F03">
        <w:rPr>
          <w:rFonts w:ascii="Calibri" w:eastAsia="Calibri" w:hAnsi="Calibri" w:cs="Calibri"/>
          <w:b/>
          <w:szCs w:val="22"/>
          <w:lang w:val="en-US"/>
        </w:rPr>
        <w:t>To</w:t>
      </w:r>
      <w:r w:rsidRPr="00623F03">
        <w:rPr>
          <w:rFonts w:ascii="Calibri" w:eastAsia="Calibri" w:hAnsi="Calibri" w:cs="Calibri"/>
          <w:b/>
          <w:spacing w:val="10"/>
          <w:szCs w:val="22"/>
          <w:lang w:val="en-US"/>
        </w:rPr>
        <w:t xml:space="preserve"> </w:t>
      </w:r>
      <w:r w:rsidRPr="00623F03">
        <w:rPr>
          <w:rFonts w:ascii="Calibri" w:eastAsia="Calibri" w:hAnsi="Calibri" w:cs="Calibri"/>
          <w:b/>
          <w:szCs w:val="22"/>
          <w:lang w:val="en-US"/>
        </w:rPr>
        <w:t>the</w:t>
      </w:r>
      <w:r w:rsidRPr="00623F03">
        <w:rPr>
          <w:rFonts w:ascii="Calibri" w:eastAsia="Calibri" w:hAnsi="Calibri" w:cs="Calibri"/>
          <w:b/>
          <w:spacing w:val="7"/>
          <w:szCs w:val="22"/>
          <w:lang w:val="en-US"/>
        </w:rPr>
        <w:t xml:space="preserve"> </w:t>
      </w:r>
      <w:r w:rsidRPr="00623F03">
        <w:rPr>
          <w:rFonts w:ascii="Calibri" w:eastAsia="Calibri" w:hAnsi="Calibri" w:cs="Calibri"/>
          <w:b/>
          <w:szCs w:val="22"/>
          <w:lang w:val="en-US"/>
        </w:rPr>
        <w:t>Members</w:t>
      </w:r>
      <w:r w:rsidRPr="00623F03">
        <w:rPr>
          <w:rFonts w:ascii="Calibri" w:eastAsia="Calibri" w:hAnsi="Calibri" w:cs="Calibri"/>
          <w:b/>
          <w:spacing w:val="7"/>
          <w:szCs w:val="22"/>
          <w:lang w:val="en-US"/>
        </w:rPr>
        <w:t xml:space="preserve"> </w:t>
      </w:r>
      <w:r w:rsidRPr="00623F03">
        <w:rPr>
          <w:rFonts w:ascii="Calibri" w:eastAsia="Calibri" w:hAnsi="Calibri" w:cs="Calibri"/>
          <w:b/>
          <w:szCs w:val="22"/>
          <w:lang w:val="en-US"/>
        </w:rPr>
        <w:t>of</w:t>
      </w:r>
      <w:r w:rsidRPr="00623F03">
        <w:rPr>
          <w:rFonts w:ascii="Calibri" w:eastAsia="Calibri" w:hAnsi="Calibri" w:cs="Calibri"/>
          <w:b/>
          <w:spacing w:val="4"/>
          <w:szCs w:val="22"/>
          <w:lang w:val="en-US"/>
        </w:rPr>
        <w:t xml:space="preserve"> </w:t>
      </w:r>
      <w:r w:rsidRPr="00623F03">
        <w:rPr>
          <w:rFonts w:ascii="Calibri" w:eastAsia="Calibri" w:hAnsi="Calibri" w:cs="Calibri"/>
          <w:b/>
          <w:szCs w:val="22"/>
          <w:lang w:val="en-US"/>
        </w:rPr>
        <w:t>the</w:t>
      </w:r>
      <w:r w:rsidRPr="00623F03">
        <w:rPr>
          <w:rFonts w:ascii="Calibri" w:eastAsia="Calibri" w:hAnsi="Calibri" w:cs="Calibri"/>
          <w:b/>
          <w:spacing w:val="6"/>
          <w:szCs w:val="22"/>
          <w:lang w:val="en-US"/>
        </w:rPr>
        <w:t xml:space="preserve"> </w:t>
      </w:r>
      <w:r w:rsidRPr="00623F03">
        <w:rPr>
          <w:rFonts w:ascii="Calibri" w:eastAsia="Calibri" w:hAnsi="Calibri" w:cs="Calibri"/>
          <w:b/>
          <w:szCs w:val="22"/>
          <w:lang w:val="en-US"/>
        </w:rPr>
        <w:t>ACT</w:t>
      </w:r>
      <w:r w:rsidRPr="00623F03">
        <w:rPr>
          <w:rFonts w:ascii="Calibri" w:eastAsia="Calibri" w:hAnsi="Calibri" w:cs="Calibri"/>
          <w:b/>
          <w:spacing w:val="9"/>
          <w:szCs w:val="22"/>
          <w:lang w:val="en-US"/>
        </w:rPr>
        <w:t xml:space="preserve"> </w:t>
      </w:r>
      <w:r w:rsidRPr="00623F03">
        <w:rPr>
          <w:rFonts w:ascii="Calibri" w:eastAsia="Calibri" w:hAnsi="Calibri" w:cs="Calibri"/>
          <w:b/>
          <w:szCs w:val="22"/>
          <w:lang w:val="en-US"/>
        </w:rPr>
        <w:t>Legislative</w:t>
      </w:r>
      <w:r w:rsidRPr="00623F03">
        <w:rPr>
          <w:rFonts w:ascii="Calibri" w:eastAsia="Calibri" w:hAnsi="Calibri" w:cs="Calibri"/>
          <w:b/>
          <w:spacing w:val="7"/>
          <w:szCs w:val="22"/>
          <w:lang w:val="en-US"/>
        </w:rPr>
        <w:t xml:space="preserve"> </w:t>
      </w:r>
      <w:r w:rsidRPr="00623F03">
        <w:rPr>
          <w:rFonts w:ascii="Calibri" w:eastAsia="Calibri" w:hAnsi="Calibri" w:cs="Calibri"/>
          <w:b/>
          <w:spacing w:val="-2"/>
          <w:szCs w:val="22"/>
          <w:lang w:val="en-US"/>
        </w:rPr>
        <w:t>Assembly</w:t>
      </w:r>
    </w:p>
    <w:p w14:paraId="2C3B0F34" w14:textId="77777777" w:rsidR="00FA175E" w:rsidRPr="00623F03" w:rsidRDefault="00FA175E" w:rsidP="00FA175E">
      <w:pPr>
        <w:widowControl w:val="0"/>
        <w:autoSpaceDE w:val="0"/>
        <w:autoSpaceDN w:val="0"/>
        <w:spacing w:before="132" w:after="0" w:line="240" w:lineRule="auto"/>
        <w:ind w:left="241"/>
        <w:outlineLvl w:val="0"/>
        <w:rPr>
          <w:rFonts w:ascii="Calibri" w:eastAsia="Calibri" w:hAnsi="Calibri" w:cs="Calibri"/>
          <w:b/>
          <w:bCs/>
          <w:sz w:val="21"/>
          <w:szCs w:val="21"/>
          <w:lang w:val="en-US"/>
        </w:rPr>
      </w:pPr>
      <w:r w:rsidRPr="00623F03">
        <w:rPr>
          <w:rFonts w:ascii="Calibri" w:eastAsia="Calibri" w:hAnsi="Calibri" w:cs="Calibri"/>
          <w:b/>
          <w:bCs/>
          <w:spacing w:val="-2"/>
          <w:sz w:val="21"/>
          <w:szCs w:val="21"/>
          <w:lang w:val="en-US"/>
        </w:rPr>
        <w:t>Conclusion</w:t>
      </w:r>
    </w:p>
    <w:p w14:paraId="70C3097E" w14:textId="5E1F4304" w:rsidR="00FA175E" w:rsidRPr="00623F03" w:rsidRDefault="00FA175E" w:rsidP="00FA175E">
      <w:pPr>
        <w:widowControl w:val="0"/>
        <w:autoSpaceDE w:val="0"/>
        <w:autoSpaceDN w:val="0"/>
        <w:spacing w:before="128" w:after="0" w:line="259" w:lineRule="auto"/>
        <w:ind w:left="241" w:right="147"/>
        <w:jc w:val="both"/>
        <w:rPr>
          <w:rFonts w:ascii="Calibri" w:eastAsia="Calibri" w:hAnsi="Calibri" w:cs="Calibri"/>
          <w:sz w:val="21"/>
          <w:szCs w:val="21"/>
          <w:lang w:val="en-US"/>
        </w:rPr>
      </w:pPr>
      <w:r w:rsidRPr="00623F03">
        <w:rPr>
          <w:rFonts w:ascii="Calibri" w:eastAsia="Calibri" w:hAnsi="Calibri" w:cs="Calibri"/>
          <w:sz w:val="21"/>
          <w:szCs w:val="21"/>
          <w:lang w:val="en-US"/>
        </w:rPr>
        <w:t>I</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have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undertaken</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78"/>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73"/>
          <w:sz w:val="21"/>
          <w:szCs w:val="21"/>
          <w:lang w:val="en-US"/>
        </w:rPr>
        <w:t xml:space="preserve"> </w:t>
      </w:r>
      <w:r w:rsidRPr="00623F03">
        <w:rPr>
          <w:rFonts w:ascii="Calibri" w:eastAsia="Calibri" w:hAnsi="Calibri" w:cs="Calibri"/>
          <w:sz w:val="21"/>
          <w:szCs w:val="21"/>
          <w:lang w:val="en-US"/>
        </w:rPr>
        <w:t>on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72"/>
          <w:sz w:val="21"/>
          <w:szCs w:val="21"/>
          <w:lang w:val="en-US"/>
        </w:rPr>
        <w:t xml:space="preserve"> </w:t>
      </w:r>
      <w:r w:rsidRPr="00623F03">
        <w:rPr>
          <w:rFonts w:ascii="Calibri" w:eastAsia="Calibri" w:hAnsi="Calibri" w:cs="Calibri"/>
          <w:sz w:val="21"/>
          <w:szCs w:val="21"/>
          <w:lang w:val="en-US"/>
        </w:rPr>
        <w:t>statement</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performance</w:t>
      </w:r>
      <w:r w:rsidRPr="00623F03">
        <w:rPr>
          <w:rFonts w:ascii="Calibri" w:eastAsia="Calibri" w:hAnsi="Calibri" w:cs="Calibri"/>
          <w:spacing w:val="72"/>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 ACT Insurance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for the year ended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30 June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202</w:t>
      </w:r>
      <w:r w:rsidR="00623F03" w:rsidRPr="00623F03">
        <w:rPr>
          <w:rFonts w:ascii="Calibri" w:eastAsia="Calibri" w:hAnsi="Calibri" w:cs="Calibri"/>
          <w:sz w:val="21"/>
          <w:szCs w:val="21"/>
          <w:lang w:val="en-US"/>
        </w:rPr>
        <w:t>4</w:t>
      </w:r>
      <w:r w:rsidRPr="00623F03">
        <w:rPr>
          <w:rFonts w:ascii="Calibri" w:eastAsia="Calibri" w:hAnsi="Calibri" w:cs="Calibri"/>
          <w:sz w:val="21"/>
          <w:szCs w:val="21"/>
          <w:lang w:val="en-US"/>
        </w:rPr>
        <w:t>.</w:t>
      </w:r>
    </w:p>
    <w:p w14:paraId="05500B2E" w14:textId="67686166" w:rsidR="00FA175E" w:rsidRPr="00623F03" w:rsidRDefault="00FA175E" w:rsidP="00FA175E">
      <w:pPr>
        <w:widowControl w:val="0"/>
        <w:autoSpaceDE w:val="0"/>
        <w:autoSpaceDN w:val="0"/>
        <w:spacing w:before="107" w:after="0" w:line="252" w:lineRule="auto"/>
        <w:ind w:left="241" w:right="124"/>
        <w:jc w:val="both"/>
        <w:rPr>
          <w:rFonts w:ascii="Calibri" w:eastAsia="Calibri" w:hAnsi="Calibri" w:cs="Calibri"/>
          <w:sz w:val="21"/>
          <w:szCs w:val="21"/>
          <w:lang w:val="en-US"/>
        </w:rPr>
      </w:pPr>
      <w:r w:rsidRPr="00623F03">
        <w:rPr>
          <w:rFonts w:ascii="Calibri" w:eastAsia="Calibri" w:hAnsi="Calibri" w:cs="Calibri"/>
          <w:sz w:val="21"/>
          <w:szCs w:val="21"/>
          <w:lang w:val="en-US"/>
        </w:rPr>
        <w:t>Based on the procedures performed and evidence obtained, nothing has come to my attention to indicate</w:t>
      </w:r>
      <w:r w:rsidRPr="00623F03">
        <w:rPr>
          <w:rFonts w:ascii="Calibri" w:eastAsia="Calibri" w:hAnsi="Calibri" w:cs="Calibri"/>
          <w:spacing w:val="38"/>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results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accountability</w:t>
      </w:r>
      <w:r w:rsidRPr="00623F03">
        <w:rPr>
          <w:rFonts w:ascii="Calibri" w:eastAsia="Calibri" w:hAnsi="Calibri" w:cs="Calibri"/>
          <w:spacing w:val="34"/>
          <w:sz w:val="21"/>
          <w:szCs w:val="21"/>
          <w:lang w:val="en-US"/>
        </w:rPr>
        <w:t xml:space="preserve"> </w:t>
      </w:r>
      <w:r w:rsidRPr="00623F03">
        <w:rPr>
          <w:rFonts w:ascii="Calibri" w:eastAsia="Calibri" w:hAnsi="Calibri" w:cs="Calibri"/>
          <w:sz w:val="21"/>
          <w:szCs w:val="21"/>
          <w:lang w:val="en-US"/>
        </w:rPr>
        <w:t>indicators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reported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29"/>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for 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year ended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30 June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202</w:t>
      </w:r>
      <w:r w:rsidR="00623F03" w:rsidRPr="00623F03">
        <w:rPr>
          <w:rFonts w:ascii="Calibri" w:eastAsia="Calibri" w:hAnsi="Calibri" w:cs="Calibri"/>
          <w:sz w:val="21"/>
          <w:szCs w:val="21"/>
          <w:lang w:val="en-US"/>
        </w:rPr>
        <w:t>4</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 not in</w:t>
      </w:r>
      <w:r w:rsidRPr="00623F03">
        <w:rPr>
          <w:rFonts w:ascii="Calibri" w:eastAsia="Calibri" w:hAnsi="Calibri" w:cs="Calibri"/>
          <w:spacing w:val="39"/>
          <w:sz w:val="21"/>
          <w:szCs w:val="21"/>
          <w:lang w:val="en-US"/>
        </w:rPr>
        <w:t xml:space="preserve"> </w:t>
      </w:r>
      <w:r w:rsidRPr="00623F03">
        <w:rPr>
          <w:rFonts w:ascii="Calibri" w:eastAsia="Calibri" w:hAnsi="Calibri" w:cs="Calibri"/>
          <w:sz w:val="21"/>
          <w:szCs w:val="21"/>
          <w:lang w:val="en-US"/>
        </w:rPr>
        <w:t>agreement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with the Authority’s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records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or do not fairly reflect,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all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material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respects,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accordance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with</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 xml:space="preserve">the </w:t>
      </w:r>
      <w:r w:rsidRPr="00623F03">
        <w:rPr>
          <w:rFonts w:ascii="Calibri" w:eastAsia="Calibri" w:hAnsi="Calibri" w:cs="Calibri"/>
          <w:i/>
          <w:sz w:val="21"/>
          <w:szCs w:val="21"/>
          <w:lang w:val="en-US"/>
        </w:rPr>
        <w:t>Financial Management</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Act 1996</w:t>
      </w:r>
      <w:r w:rsidRPr="00623F03">
        <w:rPr>
          <w:rFonts w:ascii="Calibri" w:eastAsia="Calibri" w:hAnsi="Calibri" w:cs="Calibri"/>
          <w:sz w:val="21"/>
          <w:szCs w:val="21"/>
          <w:lang w:val="en-US"/>
        </w:rPr>
        <w:t>.</w:t>
      </w:r>
    </w:p>
    <w:p w14:paraId="6AC9A678" w14:textId="77777777" w:rsidR="00FA175E" w:rsidRPr="00623F03" w:rsidRDefault="00FA175E" w:rsidP="00FA175E">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Basis</w:t>
      </w:r>
      <w:r w:rsidRPr="00623F03">
        <w:rPr>
          <w:rFonts w:ascii="Calibri" w:eastAsia="Calibri" w:hAnsi="Calibri" w:cs="Calibri"/>
          <w:b/>
          <w:bCs/>
          <w:spacing w:val="28"/>
          <w:sz w:val="21"/>
          <w:szCs w:val="21"/>
          <w:lang w:val="en-US"/>
        </w:rPr>
        <w:t xml:space="preserve"> </w:t>
      </w:r>
      <w:r w:rsidRPr="00623F03">
        <w:rPr>
          <w:rFonts w:ascii="Calibri" w:eastAsia="Calibri" w:hAnsi="Calibri" w:cs="Calibri"/>
          <w:b/>
          <w:bCs/>
          <w:sz w:val="21"/>
          <w:szCs w:val="21"/>
          <w:lang w:val="en-US"/>
        </w:rPr>
        <w:t>for</w:t>
      </w:r>
      <w:r w:rsidRPr="00623F03">
        <w:rPr>
          <w:rFonts w:ascii="Calibri" w:eastAsia="Calibri" w:hAnsi="Calibri" w:cs="Calibri"/>
          <w:b/>
          <w:bCs/>
          <w:spacing w:val="-1"/>
          <w:sz w:val="21"/>
          <w:szCs w:val="21"/>
          <w:lang w:val="en-US"/>
        </w:rPr>
        <w:t xml:space="preserve"> </w:t>
      </w:r>
      <w:r w:rsidRPr="00623F03">
        <w:rPr>
          <w:rFonts w:ascii="Calibri" w:eastAsia="Calibri" w:hAnsi="Calibri" w:cs="Calibri"/>
          <w:b/>
          <w:bCs/>
          <w:spacing w:val="-2"/>
          <w:sz w:val="21"/>
          <w:szCs w:val="21"/>
          <w:lang w:val="en-US"/>
        </w:rPr>
        <w:t>conclusion</w:t>
      </w:r>
    </w:p>
    <w:p w14:paraId="550443BA" w14:textId="77777777" w:rsidR="00FA175E" w:rsidRPr="00623F03" w:rsidRDefault="00FA175E" w:rsidP="00FA175E">
      <w:pPr>
        <w:widowControl w:val="0"/>
        <w:autoSpaceDE w:val="0"/>
        <w:autoSpaceDN w:val="0"/>
        <w:spacing w:before="128" w:after="0" w:line="252" w:lineRule="auto"/>
        <w:ind w:left="241" w:right="138"/>
        <w:jc w:val="both"/>
        <w:rPr>
          <w:rFonts w:ascii="Calibri" w:eastAsia="Calibri" w:hAnsi="Calibri" w:cs="Calibri"/>
          <w:sz w:val="21"/>
          <w:szCs w:val="22"/>
          <w:lang w:val="en-US"/>
        </w:rPr>
      </w:pPr>
      <w:r w:rsidRPr="00623F03">
        <w:rPr>
          <w:rFonts w:ascii="Calibri" w:eastAsia="Calibri" w:hAnsi="Calibri" w:cs="Calibri"/>
          <w:sz w:val="21"/>
          <w:szCs w:val="22"/>
          <w:lang w:val="en-US"/>
        </w:rPr>
        <w:t>I</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have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conducted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engagement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accordance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Standard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Assurance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Engagements ASAE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3000</w:t>
      </w:r>
      <w:r w:rsidRPr="00623F03">
        <w:rPr>
          <w:rFonts w:ascii="Calibri" w:eastAsia="Calibri" w:hAnsi="Calibri" w:cs="Calibri"/>
          <w:spacing w:val="40"/>
          <w:sz w:val="21"/>
          <w:szCs w:val="22"/>
          <w:lang w:val="en-US"/>
        </w:rPr>
        <w:t xml:space="preserve"> </w:t>
      </w:r>
      <w:r w:rsidRPr="00623F03">
        <w:rPr>
          <w:rFonts w:ascii="Calibri" w:eastAsia="Calibri" w:hAnsi="Calibri" w:cs="Calibri"/>
          <w:i/>
          <w:sz w:val="21"/>
          <w:szCs w:val="22"/>
          <w:lang w:val="en-US"/>
        </w:rPr>
        <w:t>Assurance</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Engagements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Other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than</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Audits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Reviews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of</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Historical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Financial Information</w:t>
      </w:r>
      <w:r w:rsidRPr="00623F03">
        <w:rPr>
          <w:rFonts w:ascii="Calibri" w:eastAsia="Calibri" w:hAnsi="Calibri" w:cs="Calibri"/>
          <w:sz w:val="21"/>
          <w:szCs w:val="22"/>
          <w:lang w:val="en-US"/>
        </w:rPr>
        <w:t>.</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My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responsibilities</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under</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standard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legislation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are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described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 ‘Auditor-General’s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responsibilities’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section of this report.</w:t>
      </w:r>
    </w:p>
    <w:p w14:paraId="1FA71369" w14:textId="77777777" w:rsidR="00FA175E" w:rsidRPr="00623F03" w:rsidRDefault="00FA175E" w:rsidP="00FA175E">
      <w:pPr>
        <w:widowControl w:val="0"/>
        <w:autoSpaceDE w:val="0"/>
        <w:autoSpaceDN w:val="0"/>
        <w:spacing w:before="124" w:after="0" w:line="252" w:lineRule="auto"/>
        <w:ind w:left="241" w:right="136"/>
        <w:jc w:val="both"/>
        <w:rPr>
          <w:rFonts w:ascii="Calibri" w:eastAsia="Calibri" w:hAnsi="Calibri" w:cs="Calibri"/>
          <w:i/>
          <w:sz w:val="21"/>
          <w:szCs w:val="22"/>
          <w:lang w:val="en-US"/>
        </w:rPr>
      </w:pPr>
      <w:r w:rsidRPr="00623F03">
        <w:rPr>
          <w:rFonts w:ascii="Calibri" w:eastAsia="Calibri" w:hAnsi="Calibri" w:cs="Calibri"/>
          <w:sz w:val="21"/>
          <w:szCs w:val="22"/>
          <w:lang w:val="en-US"/>
        </w:rPr>
        <w:t>I have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complied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independence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other relevant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ethical requirements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relating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 assurance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engagements,</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ACT</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Audit</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Office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applies</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Australian</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Auditing</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Standard ASQM</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 xml:space="preserve">1 </w:t>
      </w:r>
      <w:r w:rsidRPr="00623F03">
        <w:rPr>
          <w:rFonts w:ascii="Calibri" w:eastAsia="Calibri" w:hAnsi="Calibri" w:cs="Calibri"/>
          <w:i/>
          <w:sz w:val="21"/>
          <w:szCs w:val="22"/>
          <w:lang w:val="en-US"/>
        </w:rPr>
        <w:t>Quality</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Management</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for Firms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that Perform</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Audits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Reviews of</w:t>
      </w:r>
      <w:r w:rsidRPr="00623F03">
        <w:rPr>
          <w:rFonts w:ascii="Calibri" w:eastAsia="Calibri" w:hAnsi="Calibri" w:cs="Calibri"/>
          <w:i/>
          <w:spacing w:val="38"/>
          <w:sz w:val="21"/>
          <w:szCs w:val="22"/>
          <w:lang w:val="en-US"/>
        </w:rPr>
        <w:t xml:space="preserve"> </w:t>
      </w:r>
      <w:r w:rsidRPr="00623F03">
        <w:rPr>
          <w:rFonts w:ascii="Calibri" w:eastAsia="Calibri" w:hAnsi="Calibri" w:cs="Calibri"/>
          <w:i/>
          <w:sz w:val="21"/>
          <w:szCs w:val="22"/>
          <w:lang w:val="en-US"/>
        </w:rPr>
        <w:t>Financial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Reports and Other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Financial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Information,</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Other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Assurance</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Related Services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Engagements.</w:t>
      </w:r>
    </w:p>
    <w:p w14:paraId="67A058A4" w14:textId="77777777" w:rsidR="00FA175E" w:rsidRPr="00623F03" w:rsidRDefault="00FA175E" w:rsidP="00FA175E">
      <w:pPr>
        <w:widowControl w:val="0"/>
        <w:autoSpaceDE w:val="0"/>
        <w:autoSpaceDN w:val="0"/>
        <w:spacing w:before="112"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I</w:t>
      </w:r>
      <w:r w:rsidRPr="00623F03">
        <w:rPr>
          <w:rFonts w:ascii="Calibri" w:eastAsia="Calibri" w:hAnsi="Calibri" w:cs="Calibri"/>
          <w:spacing w:val="-3"/>
          <w:sz w:val="21"/>
          <w:szCs w:val="21"/>
          <w:lang w:val="en-US"/>
        </w:rPr>
        <w:t xml:space="preserve"> </w:t>
      </w:r>
      <w:r w:rsidRPr="00623F03">
        <w:rPr>
          <w:rFonts w:ascii="Calibri" w:eastAsia="Calibri" w:hAnsi="Calibri" w:cs="Calibri"/>
          <w:sz w:val="21"/>
          <w:szCs w:val="21"/>
          <w:lang w:val="en-US"/>
        </w:rPr>
        <w:t>believe</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that</w:t>
      </w:r>
      <w:r w:rsidRPr="00623F03">
        <w:rPr>
          <w:rFonts w:ascii="Calibri" w:eastAsia="Calibri" w:hAnsi="Calibri" w:cs="Calibri"/>
          <w:spacing w:val="-8"/>
          <w:sz w:val="21"/>
          <w:szCs w:val="21"/>
          <w:lang w:val="en-US"/>
        </w:rPr>
        <w:t xml:space="preserve"> </w:t>
      </w:r>
      <w:r w:rsidRPr="00623F03">
        <w:rPr>
          <w:rFonts w:ascii="Calibri" w:eastAsia="Calibri" w:hAnsi="Calibri" w:cs="Calibri"/>
          <w:sz w:val="21"/>
          <w:szCs w:val="21"/>
          <w:lang w:val="en-US"/>
        </w:rPr>
        <w:t>sufficient</w:t>
      </w:r>
      <w:r w:rsidRPr="00623F03">
        <w:rPr>
          <w:rFonts w:ascii="Calibri" w:eastAsia="Calibri" w:hAnsi="Calibri" w:cs="Calibri"/>
          <w:spacing w:val="22"/>
          <w:sz w:val="21"/>
          <w:szCs w:val="21"/>
          <w:lang w:val="en-US"/>
        </w:rPr>
        <w:t xml:space="preserve"> </w:t>
      </w:r>
      <w:r w:rsidRPr="00623F03">
        <w:rPr>
          <w:rFonts w:ascii="Calibri" w:eastAsia="Calibri" w:hAnsi="Calibri" w:cs="Calibri"/>
          <w:sz w:val="21"/>
          <w:szCs w:val="21"/>
          <w:lang w:val="en-US"/>
        </w:rPr>
        <w:t>and</w:t>
      </w:r>
      <w:r w:rsidRPr="00623F03">
        <w:rPr>
          <w:rFonts w:ascii="Calibri" w:eastAsia="Calibri" w:hAnsi="Calibri" w:cs="Calibri"/>
          <w:spacing w:val="-1"/>
          <w:sz w:val="21"/>
          <w:szCs w:val="21"/>
          <w:lang w:val="en-US"/>
        </w:rPr>
        <w:t xml:space="preserve"> </w:t>
      </w:r>
      <w:r w:rsidRPr="00623F03">
        <w:rPr>
          <w:rFonts w:ascii="Calibri" w:eastAsia="Calibri" w:hAnsi="Calibri" w:cs="Calibri"/>
          <w:sz w:val="21"/>
          <w:szCs w:val="21"/>
          <w:lang w:val="en-US"/>
        </w:rPr>
        <w:t>appropriate</w:t>
      </w:r>
      <w:r w:rsidRPr="00623F03">
        <w:rPr>
          <w:rFonts w:ascii="Calibri" w:eastAsia="Calibri" w:hAnsi="Calibri" w:cs="Calibri"/>
          <w:spacing w:val="21"/>
          <w:sz w:val="21"/>
          <w:szCs w:val="21"/>
          <w:lang w:val="en-US"/>
        </w:rPr>
        <w:t xml:space="preserve"> </w:t>
      </w:r>
      <w:r w:rsidRPr="00623F03">
        <w:rPr>
          <w:rFonts w:ascii="Calibri" w:eastAsia="Calibri" w:hAnsi="Calibri" w:cs="Calibri"/>
          <w:sz w:val="21"/>
          <w:szCs w:val="21"/>
          <w:lang w:val="en-US"/>
        </w:rPr>
        <w:t>evidence</w:t>
      </w:r>
      <w:r w:rsidRPr="00623F03">
        <w:rPr>
          <w:rFonts w:ascii="Calibri" w:eastAsia="Calibri" w:hAnsi="Calibri" w:cs="Calibri"/>
          <w:spacing w:val="17"/>
          <w:sz w:val="21"/>
          <w:szCs w:val="21"/>
          <w:lang w:val="en-US"/>
        </w:rPr>
        <w:t xml:space="preserve"> </w:t>
      </w:r>
      <w:r w:rsidRPr="00623F03">
        <w:rPr>
          <w:rFonts w:ascii="Calibri" w:eastAsia="Calibri" w:hAnsi="Calibri" w:cs="Calibri"/>
          <w:sz w:val="21"/>
          <w:szCs w:val="21"/>
          <w:lang w:val="en-US"/>
        </w:rPr>
        <w:t>was</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obtained</w:t>
      </w:r>
      <w:r w:rsidRPr="00623F03">
        <w:rPr>
          <w:rFonts w:ascii="Calibri" w:eastAsia="Calibri" w:hAnsi="Calibri" w:cs="Calibri"/>
          <w:spacing w:val="12"/>
          <w:sz w:val="21"/>
          <w:szCs w:val="21"/>
          <w:lang w:val="en-US"/>
        </w:rPr>
        <w:t xml:space="preserve"> </w:t>
      </w:r>
      <w:r w:rsidRPr="00623F03">
        <w:rPr>
          <w:rFonts w:ascii="Calibri" w:eastAsia="Calibri" w:hAnsi="Calibri" w:cs="Calibri"/>
          <w:sz w:val="21"/>
          <w:szCs w:val="21"/>
          <w:lang w:val="en-US"/>
        </w:rPr>
        <w:t>to</w:t>
      </w:r>
      <w:r w:rsidRPr="00623F03">
        <w:rPr>
          <w:rFonts w:ascii="Calibri" w:eastAsia="Calibri" w:hAnsi="Calibri" w:cs="Calibri"/>
          <w:spacing w:val="-2"/>
          <w:sz w:val="21"/>
          <w:szCs w:val="21"/>
          <w:lang w:val="en-US"/>
        </w:rPr>
        <w:t xml:space="preserve"> </w:t>
      </w:r>
      <w:r w:rsidRPr="00623F03">
        <w:rPr>
          <w:rFonts w:ascii="Calibri" w:eastAsia="Calibri" w:hAnsi="Calibri" w:cs="Calibri"/>
          <w:sz w:val="21"/>
          <w:szCs w:val="21"/>
          <w:lang w:val="en-US"/>
        </w:rPr>
        <w:t>provide</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basis</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for</w:t>
      </w:r>
      <w:r w:rsidRPr="00623F03">
        <w:rPr>
          <w:rFonts w:ascii="Calibri" w:eastAsia="Calibri" w:hAnsi="Calibri" w:cs="Calibri"/>
          <w:spacing w:val="-3"/>
          <w:sz w:val="21"/>
          <w:szCs w:val="21"/>
          <w:lang w:val="en-US"/>
        </w:rPr>
        <w:t xml:space="preserve"> </w:t>
      </w:r>
      <w:r w:rsidRPr="00623F03">
        <w:rPr>
          <w:rFonts w:ascii="Calibri" w:eastAsia="Calibri" w:hAnsi="Calibri" w:cs="Calibri"/>
          <w:sz w:val="21"/>
          <w:szCs w:val="21"/>
          <w:lang w:val="en-US"/>
        </w:rPr>
        <w:t>my</w:t>
      </w:r>
      <w:r w:rsidRPr="00623F03">
        <w:rPr>
          <w:rFonts w:ascii="Calibri" w:eastAsia="Calibri" w:hAnsi="Calibri" w:cs="Calibri"/>
          <w:spacing w:val="2"/>
          <w:sz w:val="21"/>
          <w:szCs w:val="21"/>
          <w:lang w:val="en-US"/>
        </w:rPr>
        <w:t xml:space="preserve"> </w:t>
      </w:r>
      <w:r w:rsidRPr="00623F03">
        <w:rPr>
          <w:rFonts w:ascii="Calibri" w:eastAsia="Calibri" w:hAnsi="Calibri" w:cs="Calibri"/>
          <w:spacing w:val="-2"/>
          <w:sz w:val="21"/>
          <w:szCs w:val="21"/>
          <w:lang w:val="en-US"/>
        </w:rPr>
        <w:t>conclusion.</w:t>
      </w:r>
    </w:p>
    <w:p w14:paraId="0D757FF2" w14:textId="77777777" w:rsidR="00FA175E" w:rsidRPr="00623F03" w:rsidRDefault="00FA175E" w:rsidP="00FA175E">
      <w:pPr>
        <w:widowControl w:val="0"/>
        <w:autoSpaceDE w:val="0"/>
        <w:autoSpaceDN w:val="0"/>
        <w:spacing w:before="140"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Authority’s</w:t>
      </w:r>
      <w:r w:rsidRPr="00623F03">
        <w:rPr>
          <w:rFonts w:ascii="Calibri" w:eastAsia="Calibri" w:hAnsi="Calibri" w:cs="Calibri"/>
          <w:b/>
          <w:bCs/>
          <w:spacing w:val="18"/>
          <w:sz w:val="21"/>
          <w:szCs w:val="21"/>
          <w:lang w:val="en-US"/>
        </w:rPr>
        <w:t xml:space="preserve"> </w:t>
      </w:r>
      <w:r w:rsidRPr="00623F03">
        <w:rPr>
          <w:rFonts w:ascii="Calibri" w:eastAsia="Calibri" w:hAnsi="Calibri" w:cs="Calibri"/>
          <w:b/>
          <w:bCs/>
          <w:sz w:val="21"/>
          <w:szCs w:val="21"/>
          <w:lang w:val="en-US"/>
        </w:rPr>
        <w:t>responsibilities</w:t>
      </w:r>
      <w:r w:rsidRPr="00623F03">
        <w:rPr>
          <w:rFonts w:ascii="Calibri" w:eastAsia="Calibri" w:hAnsi="Calibri" w:cs="Calibri"/>
          <w:b/>
          <w:bCs/>
          <w:spacing w:val="58"/>
          <w:sz w:val="21"/>
          <w:szCs w:val="21"/>
          <w:lang w:val="en-US"/>
        </w:rPr>
        <w:t xml:space="preserve"> </w:t>
      </w:r>
      <w:r w:rsidRPr="00623F03">
        <w:rPr>
          <w:rFonts w:ascii="Calibri" w:eastAsia="Calibri" w:hAnsi="Calibri" w:cs="Calibri"/>
          <w:b/>
          <w:bCs/>
          <w:sz w:val="21"/>
          <w:szCs w:val="21"/>
          <w:lang w:val="en-US"/>
        </w:rPr>
        <w:t>for</w:t>
      </w:r>
      <w:r w:rsidRPr="00623F03">
        <w:rPr>
          <w:rFonts w:ascii="Calibri" w:eastAsia="Calibri" w:hAnsi="Calibri" w:cs="Calibri"/>
          <w:b/>
          <w:bCs/>
          <w:spacing w:val="15"/>
          <w:sz w:val="21"/>
          <w:szCs w:val="21"/>
          <w:lang w:val="en-US"/>
        </w:rPr>
        <w:t xml:space="preserve"> </w:t>
      </w:r>
      <w:r w:rsidRPr="00623F03">
        <w:rPr>
          <w:rFonts w:ascii="Calibri" w:eastAsia="Calibri" w:hAnsi="Calibri" w:cs="Calibri"/>
          <w:b/>
          <w:bCs/>
          <w:sz w:val="21"/>
          <w:szCs w:val="21"/>
          <w:lang w:val="en-US"/>
        </w:rPr>
        <w:t>the</w:t>
      </w:r>
      <w:r w:rsidRPr="00623F03">
        <w:rPr>
          <w:rFonts w:ascii="Calibri" w:eastAsia="Calibri" w:hAnsi="Calibri" w:cs="Calibri"/>
          <w:b/>
          <w:bCs/>
          <w:spacing w:val="11"/>
          <w:sz w:val="21"/>
          <w:szCs w:val="21"/>
          <w:lang w:val="en-US"/>
        </w:rPr>
        <w:t xml:space="preserve"> </w:t>
      </w:r>
      <w:r w:rsidRPr="00623F03">
        <w:rPr>
          <w:rFonts w:ascii="Calibri" w:eastAsia="Calibri" w:hAnsi="Calibri" w:cs="Calibri"/>
          <w:b/>
          <w:bCs/>
          <w:sz w:val="21"/>
          <w:szCs w:val="21"/>
          <w:lang w:val="en-US"/>
        </w:rPr>
        <w:t>statement</w:t>
      </w:r>
      <w:r w:rsidRPr="00623F03">
        <w:rPr>
          <w:rFonts w:ascii="Calibri" w:eastAsia="Calibri" w:hAnsi="Calibri" w:cs="Calibri"/>
          <w:b/>
          <w:bCs/>
          <w:spacing w:val="31"/>
          <w:sz w:val="21"/>
          <w:szCs w:val="21"/>
          <w:lang w:val="en-US"/>
        </w:rPr>
        <w:t xml:space="preserve"> </w:t>
      </w:r>
      <w:r w:rsidRPr="00623F03">
        <w:rPr>
          <w:rFonts w:ascii="Calibri" w:eastAsia="Calibri" w:hAnsi="Calibri" w:cs="Calibri"/>
          <w:b/>
          <w:bCs/>
          <w:sz w:val="21"/>
          <w:szCs w:val="21"/>
          <w:lang w:val="en-US"/>
        </w:rPr>
        <w:t>of</w:t>
      </w:r>
      <w:r w:rsidRPr="00623F03">
        <w:rPr>
          <w:rFonts w:ascii="Calibri" w:eastAsia="Calibri" w:hAnsi="Calibri" w:cs="Calibri"/>
          <w:b/>
          <w:bCs/>
          <w:spacing w:val="10"/>
          <w:sz w:val="21"/>
          <w:szCs w:val="21"/>
          <w:lang w:val="en-US"/>
        </w:rPr>
        <w:t xml:space="preserve"> </w:t>
      </w:r>
      <w:r w:rsidRPr="00623F03">
        <w:rPr>
          <w:rFonts w:ascii="Calibri" w:eastAsia="Calibri" w:hAnsi="Calibri" w:cs="Calibri"/>
          <w:b/>
          <w:bCs/>
          <w:spacing w:val="-2"/>
          <w:sz w:val="21"/>
          <w:szCs w:val="21"/>
          <w:lang w:val="en-US"/>
        </w:rPr>
        <w:t>performance</w:t>
      </w:r>
    </w:p>
    <w:p w14:paraId="6FBA1DC2" w14:textId="77777777" w:rsidR="00FA175E" w:rsidRPr="00623F03" w:rsidRDefault="00FA175E" w:rsidP="00FA175E">
      <w:pPr>
        <w:widowControl w:val="0"/>
        <w:autoSpaceDE w:val="0"/>
        <w:autoSpaceDN w:val="0"/>
        <w:spacing w:before="128"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The</w:t>
      </w:r>
      <w:r w:rsidRPr="00623F03">
        <w:rPr>
          <w:rFonts w:ascii="Calibri" w:eastAsia="Calibri" w:hAnsi="Calibri" w:cs="Calibri"/>
          <w:spacing w:val="14"/>
          <w:sz w:val="21"/>
          <w:szCs w:val="21"/>
          <w:lang w:val="en-US"/>
        </w:rPr>
        <w:t xml:space="preserve"> </w:t>
      </w:r>
      <w:r w:rsidRPr="00623F03">
        <w:rPr>
          <w:rFonts w:ascii="Calibri" w:eastAsia="Calibri" w:hAnsi="Calibri" w:cs="Calibri"/>
          <w:sz w:val="21"/>
          <w:szCs w:val="21"/>
          <w:lang w:val="en-US"/>
        </w:rPr>
        <w:t>Under</w:t>
      </w:r>
      <w:r w:rsidRPr="00623F03">
        <w:rPr>
          <w:rFonts w:ascii="Calibri" w:eastAsia="Calibri" w:hAnsi="Calibri" w:cs="Calibri"/>
          <w:spacing w:val="11"/>
          <w:sz w:val="21"/>
          <w:szCs w:val="21"/>
          <w:lang w:val="en-US"/>
        </w:rPr>
        <w:t xml:space="preserve"> </w:t>
      </w:r>
      <w:r w:rsidRPr="00623F03">
        <w:rPr>
          <w:rFonts w:ascii="Calibri" w:eastAsia="Calibri" w:hAnsi="Calibri" w:cs="Calibri"/>
          <w:sz w:val="21"/>
          <w:szCs w:val="21"/>
          <w:lang w:val="en-US"/>
        </w:rPr>
        <w:t>Treasurer</w:t>
      </w:r>
      <w:r w:rsidRPr="00623F03">
        <w:rPr>
          <w:rFonts w:ascii="Calibri" w:eastAsia="Calibri" w:hAnsi="Calibri" w:cs="Calibri"/>
          <w:spacing w:val="37"/>
          <w:sz w:val="21"/>
          <w:szCs w:val="21"/>
          <w:lang w:val="en-US"/>
        </w:rPr>
        <w:t xml:space="preserve"> </w:t>
      </w:r>
      <w:r w:rsidRPr="00623F03">
        <w:rPr>
          <w:rFonts w:ascii="Calibri" w:eastAsia="Calibri" w:hAnsi="Calibri" w:cs="Calibri"/>
          <w:sz w:val="21"/>
          <w:szCs w:val="21"/>
          <w:lang w:val="en-US"/>
        </w:rPr>
        <w:t>is</w:t>
      </w:r>
      <w:r w:rsidRPr="00623F03">
        <w:rPr>
          <w:rFonts w:ascii="Calibri" w:eastAsia="Calibri" w:hAnsi="Calibri" w:cs="Calibri"/>
          <w:spacing w:val="2"/>
          <w:sz w:val="21"/>
          <w:szCs w:val="21"/>
          <w:lang w:val="en-US"/>
        </w:rPr>
        <w:t xml:space="preserve"> </w:t>
      </w:r>
      <w:r w:rsidRPr="00623F03">
        <w:rPr>
          <w:rFonts w:ascii="Calibri" w:eastAsia="Calibri" w:hAnsi="Calibri" w:cs="Calibri"/>
          <w:sz w:val="21"/>
          <w:szCs w:val="21"/>
          <w:lang w:val="en-US"/>
        </w:rPr>
        <w:t>responsible</w:t>
      </w:r>
      <w:r w:rsidRPr="00623F03">
        <w:rPr>
          <w:rFonts w:ascii="Calibri" w:eastAsia="Calibri" w:hAnsi="Calibri" w:cs="Calibri"/>
          <w:spacing w:val="38"/>
          <w:sz w:val="21"/>
          <w:szCs w:val="21"/>
          <w:lang w:val="en-US"/>
        </w:rPr>
        <w:t xml:space="preserve"> </w:t>
      </w:r>
      <w:r w:rsidRPr="00623F03">
        <w:rPr>
          <w:rFonts w:ascii="Calibri" w:eastAsia="Calibri" w:hAnsi="Calibri" w:cs="Calibri"/>
          <w:spacing w:val="-4"/>
          <w:sz w:val="21"/>
          <w:szCs w:val="21"/>
          <w:lang w:val="en-US"/>
        </w:rPr>
        <w:t>for:</w:t>
      </w:r>
    </w:p>
    <w:p w14:paraId="52149A2E" w14:textId="77777777" w:rsidR="00FA175E" w:rsidRPr="00623F03" w:rsidRDefault="00FA175E" w:rsidP="00A36E9A">
      <w:pPr>
        <w:widowControl w:val="0"/>
        <w:numPr>
          <w:ilvl w:val="0"/>
          <w:numId w:val="42"/>
        </w:numPr>
        <w:tabs>
          <w:tab w:val="left" w:pos="804"/>
          <w:tab w:val="left" w:pos="806"/>
        </w:tabs>
        <w:autoSpaceDE w:val="0"/>
        <w:autoSpaceDN w:val="0"/>
        <w:spacing w:before="129" w:after="0" w:line="252" w:lineRule="auto"/>
        <w:ind w:right="152"/>
        <w:jc w:val="both"/>
        <w:rPr>
          <w:rFonts w:ascii="Calibri" w:eastAsia="Calibri" w:hAnsi="Calibri" w:cs="Calibri"/>
          <w:sz w:val="21"/>
          <w:szCs w:val="22"/>
          <w:lang w:val="en-US"/>
        </w:rPr>
      </w:pPr>
      <w:r w:rsidRPr="00623F03">
        <w:rPr>
          <w:rFonts w:ascii="Calibri" w:eastAsia="Calibri" w:hAnsi="Calibri" w:cs="Calibri"/>
          <w:sz w:val="21"/>
          <w:szCs w:val="22"/>
          <w:lang w:val="en-US"/>
        </w:rPr>
        <w:t>preparing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fairly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presenting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accordance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 xml:space="preserve">the </w:t>
      </w:r>
      <w:r w:rsidRPr="00623F03">
        <w:rPr>
          <w:rFonts w:ascii="Calibri" w:eastAsia="Calibri" w:hAnsi="Calibri" w:cs="Calibri"/>
          <w:i/>
          <w:sz w:val="21"/>
          <w:szCs w:val="22"/>
          <w:lang w:val="en-US"/>
        </w:rPr>
        <w:t xml:space="preserve">Financial Management Act 1996 </w:t>
      </w:r>
      <w:r w:rsidRPr="00623F03">
        <w:rPr>
          <w:rFonts w:ascii="Calibri" w:eastAsia="Calibri" w:hAnsi="Calibri" w:cs="Calibri"/>
          <w:sz w:val="21"/>
          <w:szCs w:val="22"/>
          <w:lang w:val="en-US"/>
        </w:rPr>
        <w:t xml:space="preserve">and </w:t>
      </w:r>
      <w:r w:rsidRPr="00623F03">
        <w:rPr>
          <w:rFonts w:ascii="Calibri" w:eastAsia="Calibri" w:hAnsi="Calibri" w:cs="Calibri"/>
          <w:i/>
          <w:sz w:val="21"/>
          <w:szCs w:val="22"/>
          <w:lang w:val="en-US"/>
        </w:rPr>
        <w:t>Financial Management (Statement of Performance Scrutiny) Guidelines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2019</w:t>
      </w:r>
      <w:r w:rsidRPr="00623F03">
        <w:rPr>
          <w:rFonts w:ascii="Calibri" w:eastAsia="Calibri" w:hAnsi="Calibri" w:cs="Calibri"/>
          <w:sz w:val="21"/>
          <w:szCs w:val="22"/>
          <w:lang w:val="en-US"/>
        </w:rPr>
        <w:t>; and</w:t>
      </w:r>
    </w:p>
    <w:p w14:paraId="7B6BB68A" w14:textId="77777777" w:rsidR="00FA175E" w:rsidRPr="00623F03" w:rsidRDefault="00FA175E" w:rsidP="00A36E9A">
      <w:pPr>
        <w:widowControl w:val="0"/>
        <w:numPr>
          <w:ilvl w:val="0"/>
          <w:numId w:val="42"/>
        </w:numPr>
        <w:tabs>
          <w:tab w:val="left" w:pos="804"/>
          <w:tab w:val="left" w:pos="806"/>
        </w:tabs>
        <w:autoSpaceDE w:val="0"/>
        <w:autoSpaceDN w:val="0"/>
        <w:spacing w:before="130" w:after="0" w:line="247" w:lineRule="auto"/>
        <w:ind w:right="155"/>
        <w:jc w:val="both"/>
        <w:rPr>
          <w:rFonts w:ascii="Calibri" w:eastAsia="Calibri" w:hAnsi="Calibri" w:cs="Calibri"/>
          <w:sz w:val="21"/>
          <w:szCs w:val="22"/>
          <w:lang w:val="en-US"/>
        </w:rPr>
      </w:pPr>
      <w:r w:rsidRPr="00623F03">
        <w:rPr>
          <w:rFonts w:ascii="Calibri" w:eastAsia="Calibri" w:hAnsi="Calibri" w:cs="Calibri"/>
          <w:sz w:val="21"/>
          <w:szCs w:val="22"/>
          <w:lang w:val="en-US"/>
        </w:rPr>
        <w:t>determining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 internal controls necessary for the preparation and fair presentation of the statement of performance so that the results of accountability indicators and accompanying information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are free from</w:t>
      </w:r>
      <w:r w:rsidRPr="00623F03">
        <w:rPr>
          <w:rFonts w:ascii="Calibri" w:eastAsia="Calibri" w:hAnsi="Calibri" w:cs="Calibri"/>
          <w:spacing w:val="32"/>
          <w:sz w:val="21"/>
          <w:szCs w:val="22"/>
          <w:lang w:val="en-US"/>
        </w:rPr>
        <w:t xml:space="preserve"> </w:t>
      </w:r>
      <w:r w:rsidRPr="00623F03">
        <w:rPr>
          <w:rFonts w:ascii="Calibri" w:eastAsia="Calibri" w:hAnsi="Calibri" w:cs="Calibri"/>
          <w:sz w:val="21"/>
          <w:szCs w:val="22"/>
          <w:lang w:val="en-US"/>
        </w:rPr>
        <w:t>material</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misstatements,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whether</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due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w:t>
      </w:r>
      <w:r w:rsidRPr="00623F03">
        <w:rPr>
          <w:rFonts w:ascii="Calibri" w:eastAsia="Calibri" w:hAnsi="Calibri" w:cs="Calibri"/>
          <w:spacing w:val="31"/>
          <w:sz w:val="21"/>
          <w:szCs w:val="22"/>
          <w:lang w:val="en-US"/>
        </w:rPr>
        <w:t xml:space="preserve"> </w:t>
      </w:r>
      <w:r w:rsidRPr="00623F03">
        <w:rPr>
          <w:rFonts w:ascii="Calibri" w:eastAsia="Calibri" w:hAnsi="Calibri" w:cs="Calibri"/>
          <w:sz w:val="21"/>
          <w:szCs w:val="22"/>
          <w:lang w:val="en-US"/>
        </w:rPr>
        <w:t>error</w:t>
      </w:r>
      <w:r w:rsidRPr="00623F03">
        <w:rPr>
          <w:rFonts w:ascii="Calibri" w:eastAsia="Calibri" w:hAnsi="Calibri" w:cs="Calibri"/>
          <w:spacing w:val="34"/>
          <w:sz w:val="21"/>
          <w:szCs w:val="22"/>
          <w:lang w:val="en-US"/>
        </w:rPr>
        <w:t xml:space="preserve"> </w:t>
      </w:r>
      <w:r w:rsidRPr="00623F03">
        <w:rPr>
          <w:rFonts w:ascii="Calibri" w:eastAsia="Calibri" w:hAnsi="Calibri" w:cs="Calibri"/>
          <w:sz w:val="21"/>
          <w:szCs w:val="22"/>
          <w:lang w:val="en-US"/>
        </w:rPr>
        <w:t>or fraud.</w:t>
      </w:r>
    </w:p>
    <w:p w14:paraId="6E46D88C" w14:textId="77777777" w:rsidR="00FA175E" w:rsidRPr="00623F03" w:rsidRDefault="00FA175E" w:rsidP="00FA175E">
      <w:pPr>
        <w:widowControl w:val="0"/>
        <w:autoSpaceDE w:val="0"/>
        <w:autoSpaceDN w:val="0"/>
        <w:spacing w:before="132"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Auditor-General’s</w:t>
      </w:r>
      <w:r w:rsidRPr="00623F03">
        <w:rPr>
          <w:rFonts w:ascii="Calibri" w:eastAsia="Calibri" w:hAnsi="Calibri" w:cs="Calibri"/>
          <w:b/>
          <w:bCs/>
          <w:spacing w:val="55"/>
          <w:sz w:val="21"/>
          <w:szCs w:val="21"/>
          <w:lang w:val="en-US"/>
        </w:rPr>
        <w:t xml:space="preserve"> </w:t>
      </w:r>
      <w:r w:rsidRPr="00623F03">
        <w:rPr>
          <w:rFonts w:ascii="Calibri" w:eastAsia="Calibri" w:hAnsi="Calibri" w:cs="Calibri"/>
          <w:b/>
          <w:bCs/>
          <w:spacing w:val="-2"/>
          <w:sz w:val="21"/>
          <w:szCs w:val="21"/>
          <w:lang w:val="en-US"/>
        </w:rPr>
        <w:t>responsibilities</w:t>
      </w:r>
    </w:p>
    <w:p w14:paraId="2EEE5BFC" w14:textId="77777777" w:rsidR="00FA175E" w:rsidRPr="00623F03" w:rsidRDefault="00FA175E" w:rsidP="00FA175E">
      <w:pPr>
        <w:widowControl w:val="0"/>
        <w:autoSpaceDE w:val="0"/>
        <w:autoSpaceDN w:val="0"/>
        <w:spacing w:before="128" w:after="0" w:line="252" w:lineRule="auto"/>
        <w:ind w:left="241" w:right="143"/>
        <w:jc w:val="both"/>
        <w:rPr>
          <w:rFonts w:ascii="Calibri" w:eastAsia="Calibri" w:hAnsi="Calibri" w:cs="Calibri"/>
          <w:sz w:val="21"/>
          <w:szCs w:val="22"/>
          <w:lang w:val="en-US"/>
        </w:rPr>
      </w:pPr>
      <w:r w:rsidRPr="00623F03">
        <w:rPr>
          <w:rFonts w:ascii="Calibri" w:eastAsia="Calibri" w:hAnsi="Calibri" w:cs="Calibri"/>
          <w:sz w:val="21"/>
          <w:szCs w:val="22"/>
          <w:lang w:val="en-US"/>
        </w:rPr>
        <w:t xml:space="preserve">Under the </w:t>
      </w:r>
      <w:r w:rsidRPr="00623F03">
        <w:rPr>
          <w:rFonts w:ascii="Calibri" w:eastAsia="Calibri" w:hAnsi="Calibri" w:cs="Calibri"/>
          <w:i/>
          <w:sz w:val="21"/>
          <w:szCs w:val="22"/>
          <w:lang w:val="en-US"/>
        </w:rPr>
        <w:t xml:space="preserve">Financial Management Act 1996 </w:t>
      </w:r>
      <w:r w:rsidRPr="00623F03">
        <w:rPr>
          <w:rFonts w:ascii="Calibri" w:eastAsia="Calibri" w:hAnsi="Calibri" w:cs="Calibri"/>
          <w:sz w:val="21"/>
          <w:szCs w:val="22"/>
          <w:lang w:val="en-US"/>
        </w:rPr>
        <w:t xml:space="preserve">and </w:t>
      </w:r>
      <w:r w:rsidRPr="00623F03">
        <w:rPr>
          <w:rFonts w:ascii="Calibri" w:eastAsia="Calibri" w:hAnsi="Calibri" w:cs="Calibri"/>
          <w:i/>
          <w:sz w:val="21"/>
          <w:szCs w:val="22"/>
          <w:lang w:val="en-US"/>
        </w:rPr>
        <w:t>Financial Management (Statement of Performance Scrutiny)</w:t>
      </w:r>
      <w:r w:rsidRPr="00623F03">
        <w:rPr>
          <w:rFonts w:ascii="Calibri" w:eastAsia="Calibri" w:hAnsi="Calibri" w:cs="Calibri"/>
          <w:i/>
          <w:spacing w:val="28"/>
          <w:sz w:val="21"/>
          <w:szCs w:val="22"/>
          <w:lang w:val="en-US"/>
        </w:rPr>
        <w:t xml:space="preserve"> </w:t>
      </w:r>
      <w:r w:rsidRPr="00623F03">
        <w:rPr>
          <w:rFonts w:ascii="Calibri" w:eastAsia="Calibri" w:hAnsi="Calibri" w:cs="Calibri"/>
          <w:i/>
          <w:sz w:val="21"/>
          <w:szCs w:val="22"/>
          <w:lang w:val="en-US"/>
        </w:rPr>
        <w:t>Guidelines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2019</w:t>
      </w:r>
      <w:r w:rsidRPr="00623F03">
        <w:rPr>
          <w:rFonts w:ascii="Calibri" w:eastAsia="Calibri" w:hAnsi="Calibri" w:cs="Calibri"/>
          <w:sz w:val="21"/>
          <w:szCs w:val="22"/>
          <w:lang w:val="en-US"/>
        </w:rPr>
        <w:t>, the</w:t>
      </w:r>
      <w:r w:rsidRPr="00623F03">
        <w:rPr>
          <w:rFonts w:ascii="Calibri" w:eastAsia="Calibri" w:hAnsi="Calibri" w:cs="Calibri"/>
          <w:spacing w:val="21"/>
          <w:sz w:val="21"/>
          <w:szCs w:val="22"/>
          <w:lang w:val="en-US"/>
        </w:rPr>
        <w:t xml:space="preserve"> </w:t>
      </w:r>
      <w:r w:rsidRPr="00623F03">
        <w:rPr>
          <w:rFonts w:ascii="Calibri" w:eastAsia="Calibri" w:hAnsi="Calibri" w:cs="Calibri"/>
          <w:sz w:val="21"/>
          <w:szCs w:val="22"/>
          <w:lang w:val="en-US"/>
        </w:rPr>
        <w:t>Auditor-General</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is responsible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for issuing</w:t>
      </w:r>
      <w:r w:rsidRPr="00623F03">
        <w:rPr>
          <w:rFonts w:ascii="Calibri" w:eastAsia="Calibri" w:hAnsi="Calibri" w:cs="Calibri"/>
          <w:spacing w:val="35"/>
          <w:sz w:val="21"/>
          <w:szCs w:val="22"/>
          <w:lang w:val="en-US"/>
        </w:rPr>
        <w:t xml:space="preserve"> </w:t>
      </w:r>
      <w:r w:rsidRPr="00623F03">
        <w:rPr>
          <w:rFonts w:ascii="Calibri" w:eastAsia="Calibri" w:hAnsi="Calibri" w:cs="Calibri"/>
          <w:sz w:val="21"/>
          <w:szCs w:val="22"/>
          <w:lang w:val="en-US"/>
        </w:rPr>
        <w:t>a limited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assurance</w:t>
      </w:r>
      <w:r w:rsidRPr="00623F03">
        <w:rPr>
          <w:rFonts w:ascii="Calibri" w:eastAsia="Calibri" w:hAnsi="Calibri" w:cs="Calibri"/>
          <w:spacing w:val="21"/>
          <w:sz w:val="21"/>
          <w:szCs w:val="22"/>
          <w:lang w:val="en-US"/>
        </w:rPr>
        <w:t xml:space="preserve"> </w:t>
      </w:r>
      <w:r w:rsidRPr="00623F03">
        <w:rPr>
          <w:rFonts w:ascii="Calibri" w:eastAsia="Calibri" w:hAnsi="Calibri" w:cs="Calibri"/>
          <w:sz w:val="21"/>
          <w:szCs w:val="22"/>
          <w:lang w:val="en-US"/>
        </w:rPr>
        <w:t>report on the 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the Authority.</w:t>
      </w:r>
    </w:p>
    <w:p w14:paraId="094BA665" w14:textId="77777777" w:rsidR="00FA175E" w:rsidRPr="00623F03" w:rsidRDefault="00FA175E" w:rsidP="00FA175E">
      <w:pPr>
        <w:widowControl w:val="0"/>
        <w:autoSpaceDE w:val="0"/>
        <w:autoSpaceDN w:val="0"/>
        <w:spacing w:before="117" w:after="0" w:line="252" w:lineRule="auto"/>
        <w:ind w:left="241" w:right="140"/>
        <w:jc w:val="both"/>
        <w:rPr>
          <w:rFonts w:ascii="Calibri" w:eastAsia="Calibri" w:hAnsi="Calibri" w:cs="Calibri"/>
          <w:sz w:val="21"/>
          <w:szCs w:val="21"/>
          <w:lang w:val="en-US"/>
        </w:rPr>
      </w:pPr>
      <w:r w:rsidRPr="00623F03">
        <w:rPr>
          <w:rFonts w:ascii="Calibri" w:eastAsia="Calibri" w:hAnsi="Calibri" w:cs="Calibri"/>
          <w:sz w:val="21"/>
          <w:szCs w:val="21"/>
          <w:lang w:val="en-US"/>
        </w:rPr>
        <w:t>My objective is to provide limited assurance on whether anything has come to my attention that indicates</w:t>
      </w:r>
      <w:r w:rsidRPr="00623F03">
        <w:rPr>
          <w:rFonts w:ascii="Calibri" w:eastAsia="Calibri" w:hAnsi="Calibri" w:cs="Calibri"/>
          <w:spacing w:val="39"/>
          <w:sz w:val="21"/>
          <w:szCs w:val="21"/>
          <w:lang w:val="en-US"/>
        </w:rPr>
        <w:t xml:space="preserve"> </w:t>
      </w:r>
      <w:r w:rsidRPr="00623F03">
        <w:rPr>
          <w:rFonts w:ascii="Calibri" w:eastAsia="Calibri" w:hAnsi="Calibri" w:cs="Calibri"/>
          <w:sz w:val="21"/>
          <w:szCs w:val="21"/>
          <w:lang w:val="en-US"/>
        </w:rPr>
        <w:t>the results</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of the accountability</w:t>
      </w:r>
      <w:r w:rsidRPr="00623F03">
        <w:rPr>
          <w:rFonts w:ascii="Calibri" w:eastAsia="Calibri" w:hAnsi="Calibri" w:cs="Calibri"/>
          <w:spacing w:val="35"/>
          <w:sz w:val="21"/>
          <w:szCs w:val="21"/>
          <w:lang w:val="en-US"/>
        </w:rPr>
        <w:t xml:space="preserve"> </w:t>
      </w:r>
      <w:r w:rsidRPr="00623F03">
        <w:rPr>
          <w:rFonts w:ascii="Calibri" w:eastAsia="Calibri" w:hAnsi="Calibri" w:cs="Calibri"/>
          <w:sz w:val="21"/>
          <w:szCs w:val="21"/>
          <w:lang w:val="en-US"/>
        </w:rPr>
        <w:t>indicators</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reported</w:t>
      </w:r>
      <w:r w:rsidRPr="00623F03">
        <w:rPr>
          <w:rFonts w:ascii="Calibri" w:eastAsia="Calibri" w:hAnsi="Calibri" w:cs="Calibri"/>
          <w:spacing w:val="30"/>
          <w:sz w:val="21"/>
          <w:szCs w:val="21"/>
          <w:lang w:val="en-US"/>
        </w:rPr>
        <w:t xml:space="preserve"> </w:t>
      </w:r>
      <w:r w:rsidRPr="00623F03">
        <w:rPr>
          <w:rFonts w:ascii="Calibri" w:eastAsia="Calibri" w:hAnsi="Calibri" w:cs="Calibri"/>
          <w:sz w:val="21"/>
          <w:szCs w:val="21"/>
          <w:lang w:val="en-US"/>
        </w:rPr>
        <w:t>in the statement</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of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 not in agreement with the Authority’s records or do not fairly reflect, in all material respects, the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 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 accordance with the</w:t>
      </w:r>
      <w:r w:rsidRPr="00623F03">
        <w:rPr>
          <w:rFonts w:ascii="Calibri" w:eastAsia="Calibri" w:hAnsi="Calibri" w:cs="Calibri"/>
          <w:spacing w:val="40"/>
          <w:sz w:val="21"/>
          <w:szCs w:val="21"/>
          <w:lang w:val="en-US"/>
        </w:rPr>
        <w:t xml:space="preserve"> </w:t>
      </w:r>
      <w:r w:rsidRPr="00623F03">
        <w:rPr>
          <w:rFonts w:ascii="Calibri" w:eastAsia="Calibri" w:hAnsi="Calibri" w:cs="Calibri"/>
          <w:i/>
          <w:sz w:val="21"/>
          <w:szCs w:val="21"/>
          <w:lang w:val="en-US"/>
        </w:rPr>
        <w:t>Financial</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Management</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Act 1996</w:t>
      </w:r>
      <w:r w:rsidRPr="00623F03">
        <w:rPr>
          <w:rFonts w:ascii="Calibri" w:eastAsia="Calibri" w:hAnsi="Calibri" w:cs="Calibri"/>
          <w:sz w:val="21"/>
          <w:szCs w:val="21"/>
          <w:lang w:val="en-US"/>
        </w:rPr>
        <w:t>.</w:t>
      </w:r>
    </w:p>
    <w:p w14:paraId="0EF1D4AF" w14:textId="77777777" w:rsidR="00FA175E" w:rsidRPr="00623F03" w:rsidRDefault="00FA175E" w:rsidP="008307B2">
      <w:pPr>
        <w:widowControl w:val="0"/>
        <w:autoSpaceDE w:val="0"/>
        <w:autoSpaceDN w:val="0"/>
        <w:spacing w:before="10" w:after="0" w:line="240" w:lineRule="auto"/>
        <w:jc w:val="center"/>
        <w:rPr>
          <w:rFonts w:ascii="Calibri" w:eastAsia="Calibri" w:hAnsi="Calibri" w:cs="Calibri"/>
          <w:sz w:val="10"/>
          <w:szCs w:val="21"/>
          <w:lang w:val="en-US"/>
        </w:rPr>
      </w:pPr>
      <w:r w:rsidRPr="00623F03">
        <w:rPr>
          <w:rFonts w:ascii="Calibri" w:eastAsia="Calibri" w:hAnsi="Calibri" w:cs="Calibri"/>
          <w:noProof/>
          <w:sz w:val="21"/>
          <w:szCs w:val="21"/>
          <w:lang w:val="en-US"/>
        </w:rPr>
        <w:drawing>
          <wp:inline distT="0" distB="0" distL="0" distR="0" wp14:anchorId="040E3D06" wp14:editId="24462DF5">
            <wp:extent cx="5549042" cy="485394"/>
            <wp:effectExtent l="0" t="0" r="0" b="0"/>
            <wp:docPr id="39" name="Picture 39" descr="ACT Audit office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CT Audit office letterhea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49042" cy="485394"/>
                    </a:xfrm>
                    <a:prstGeom prst="rect">
                      <a:avLst/>
                    </a:prstGeom>
                  </pic:spPr>
                </pic:pic>
              </a:graphicData>
            </a:graphic>
          </wp:inline>
        </w:drawing>
      </w:r>
    </w:p>
    <w:p w14:paraId="6E78E6DB" w14:textId="77777777" w:rsidR="00FA175E" w:rsidRPr="00623F03" w:rsidRDefault="00FA175E" w:rsidP="00FA175E">
      <w:pPr>
        <w:widowControl w:val="0"/>
        <w:autoSpaceDE w:val="0"/>
        <w:autoSpaceDN w:val="0"/>
        <w:spacing w:after="0" w:line="240" w:lineRule="auto"/>
        <w:rPr>
          <w:rFonts w:ascii="Calibri" w:eastAsia="Calibri" w:hAnsi="Calibri" w:cs="Calibri"/>
          <w:sz w:val="10"/>
          <w:szCs w:val="22"/>
          <w:lang w:val="en-US"/>
        </w:rPr>
        <w:sectPr w:rsidR="00FA175E" w:rsidRPr="00623F03" w:rsidSect="00FA175E">
          <w:headerReference w:type="default" r:id="rId63"/>
          <w:footerReference w:type="default" r:id="rId64"/>
          <w:pgSz w:w="11910" w:h="16840"/>
          <w:pgMar w:top="1020" w:right="1420" w:bottom="0" w:left="1320" w:header="720" w:footer="720" w:gutter="0"/>
          <w:cols w:space="720"/>
        </w:sectPr>
      </w:pPr>
    </w:p>
    <w:p w14:paraId="4CBF7455" w14:textId="77777777" w:rsidR="00797934" w:rsidRPr="00623F03" w:rsidRDefault="00797934" w:rsidP="00797934">
      <w:pPr>
        <w:widowControl w:val="0"/>
        <w:autoSpaceDE w:val="0"/>
        <w:autoSpaceDN w:val="0"/>
        <w:spacing w:before="45" w:after="0" w:line="252" w:lineRule="auto"/>
        <w:ind w:left="241" w:right="134"/>
        <w:jc w:val="both"/>
        <w:rPr>
          <w:rFonts w:ascii="Calibri" w:eastAsia="Calibri" w:hAnsi="Calibri" w:cs="Calibri"/>
          <w:sz w:val="21"/>
          <w:szCs w:val="21"/>
          <w:lang w:val="en-US"/>
        </w:rPr>
      </w:pPr>
      <w:r w:rsidRPr="00623F03">
        <w:rPr>
          <w:rFonts w:ascii="Calibri" w:eastAsia="Calibri" w:hAnsi="Calibri" w:cs="Calibri"/>
          <w:sz w:val="21"/>
          <w:szCs w:val="21"/>
          <w:lang w:val="en-US"/>
        </w:rPr>
        <w:lastRenderedPageBreak/>
        <w:t>In a limited assurance engagement, I perform procedures such as making inquiries with</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 xml:space="preserve">representatives of the Authority, performing analytical review </w:t>
      </w:r>
      <w:proofErr w:type="gramStart"/>
      <w:r w:rsidRPr="00623F03">
        <w:rPr>
          <w:rFonts w:ascii="Calibri" w:eastAsia="Calibri" w:hAnsi="Calibri" w:cs="Calibri"/>
          <w:sz w:val="21"/>
          <w:szCs w:val="21"/>
          <w:lang w:val="en-US"/>
        </w:rPr>
        <w:t>procedures</w:t>
      </w:r>
      <w:proofErr w:type="gramEnd"/>
      <w:r w:rsidRPr="00623F03">
        <w:rPr>
          <w:rFonts w:ascii="Calibri" w:eastAsia="Calibri" w:hAnsi="Calibri" w:cs="Calibri"/>
          <w:sz w:val="21"/>
          <w:szCs w:val="21"/>
          <w:lang w:val="en-US"/>
        </w:rPr>
        <w:t xml:space="preserve"> and examining selected evidence supporting the results of accountability indicators. The procedures used depend on my judgement,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including</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21"/>
          <w:sz w:val="21"/>
          <w:szCs w:val="21"/>
          <w:lang w:val="en-US"/>
        </w:rPr>
        <w:t xml:space="preserve"> </w:t>
      </w:r>
      <w:r w:rsidRPr="00623F03">
        <w:rPr>
          <w:rFonts w:ascii="Calibri" w:eastAsia="Calibri" w:hAnsi="Calibri" w:cs="Calibri"/>
          <w:sz w:val="21"/>
          <w:szCs w:val="21"/>
          <w:lang w:val="en-US"/>
        </w:rPr>
        <w:t>assessment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35"/>
          <w:sz w:val="21"/>
          <w:szCs w:val="21"/>
          <w:lang w:val="en-US"/>
        </w:rPr>
        <w:t xml:space="preserve"> </w:t>
      </w:r>
      <w:r w:rsidRPr="00623F03">
        <w:rPr>
          <w:rFonts w:ascii="Calibri" w:eastAsia="Calibri" w:hAnsi="Calibri" w:cs="Calibri"/>
          <w:sz w:val="21"/>
          <w:szCs w:val="21"/>
          <w:lang w:val="en-US"/>
        </w:rPr>
        <w:t>risks</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of material</w:t>
      </w:r>
      <w:r w:rsidRPr="00623F03">
        <w:rPr>
          <w:rFonts w:ascii="Calibri" w:eastAsia="Calibri" w:hAnsi="Calibri" w:cs="Calibri"/>
          <w:spacing w:val="33"/>
          <w:sz w:val="21"/>
          <w:szCs w:val="21"/>
          <w:lang w:val="en-US"/>
        </w:rPr>
        <w:t xml:space="preserve"> </w:t>
      </w:r>
      <w:r w:rsidRPr="00623F03">
        <w:rPr>
          <w:rFonts w:ascii="Calibri" w:eastAsia="Calibri" w:hAnsi="Calibri" w:cs="Calibri"/>
          <w:sz w:val="21"/>
          <w:szCs w:val="21"/>
          <w:lang w:val="en-US"/>
        </w:rPr>
        <w:t>misstatement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28"/>
          <w:sz w:val="21"/>
          <w:szCs w:val="21"/>
          <w:lang w:val="en-US"/>
        </w:rPr>
        <w:t xml:space="preserve"> </w:t>
      </w:r>
      <w:r w:rsidRPr="00623F03">
        <w:rPr>
          <w:rFonts w:ascii="Calibri" w:eastAsia="Calibri" w:hAnsi="Calibri" w:cs="Calibri"/>
          <w:sz w:val="21"/>
          <w:szCs w:val="21"/>
          <w:lang w:val="en-US"/>
        </w:rPr>
        <w:t>results</w:t>
      </w:r>
      <w:r w:rsidRPr="00623F03">
        <w:rPr>
          <w:rFonts w:ascii="Calibri" w:eastAsia="Calibri" w:hAnsi="Calibri" w:cs="Calibri"/>
          <w:spacing w:val="34"/>
          <w:sz w:val="21"/>
          <w:szCs w:val="21"/>
          <w:lang w:val="en-US"/>
        </w:rPr>
        <w:t xml:space="preserve"> </w:t>
      </w:r>
      <w:r w:rsidRPr="00623F03">
        <w:rPr>
          <w:rFonts w:ascii="Calibri" w:eastAsia="Calibri" w:hAnsi="Calibri" w:cs="Calibri"/>
          <w:sz w:val="21"/>
          <w:szCs w:val="21"/>
          <w:lang w:val="en-US"/>
        </w:rPr>
        <w:t>reported for the accountability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indicators.</w:t>
      </w:r>
    </w:p>
    <w:p w14:paraId="67DEBC70" w14:textId="77777777" w:rsidR="00797934" w:rsidRPr="00623F03" w:rsidRDefault="00797934" w:rsidP="00797934">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Limitations</w:t>
      </w:r>
      <w:r w:rsidRPr="00623F03">
        <w:rPr>
          <w:rFonts w:ascii="Calibri" w:eastAsia="Calibri" w:hAnsi="Calibri" w:cs="Calibri"/>
          <w:b/>
          <w:bCs/>
          <w:spacing w:val="31"/>
          <w:sz w:val="21"/>
          <w:szCs w:val="21"/>
          <w:lang w:val="en-US"/>
        </w:rPr>
        <w:t xml:space="preserve"> </w:t>
      </w:r>
      <w:r w:rsidRPr="00623F03">
        <w:rPr>
          <w:rFonts w:ascii="Calibri" w:eastAsia="Calibri" w:hAnsi="Calibri" w:cs="Calibri"/>
          <w:b/>
          <w:bCs/>
          <w:sz w:val="21"/>
          <w:szCs w:val="21"/>
          <w:lang w:val="en-US"/>
        </w:rPr>
        <w:t>on</w:t>
      </w:r>
      <w:r w:rsidRPr="00623F03">
        <w:rPr>
          <w:rFonts w:ascii="Calibri" w:eastAsia="Calibri" w:hAnsi="Calibri" w:cs="Calibri"/>
          <w:b/>
          <w:bCs/>
          <w:spacing w:val="12"/>
          <w:sz w:val="21"/>
          <w:szCs w:val="21"/>
          <w:lang w:val="en-US"/>
        </w:rPr>
        <w:t xml:space="preserve"> </w:t>
      </w:r>
      <w:r w:rsidRPr="00623F03">
        <w:rPr>
          <w:rFonts w:ascii="Calibri" w:eastAsia="Calibri" w:hAnsi="Calibri" w:cs="Calibri"/>
          <w:b/>
          <w:bCs/>
          <w:sz w:val="21"/>
          <w:szCs w:val="21"/>
          <w:lang w:val="en-US"/>
        </w:rPr>
        <w:t>the</w:t>
      </w:r>
      <w:r w:rsidRPr="00623F03">
        <w:rPr>
          <w:rFonts w:ascii="Calibri" w:eastAsia="Calibri" w:hAnsi="Calibri" w:cs="Calibri"/>
          <w:b/>
          <w:bCs/>
          <w:spacing w:val="5"/>
          <w:sz w:val="21"/>
          <w:szCs w:val="21"/>
          <w:lang w:val="en-US"/>
        </w:rPr>
        <w:t xml:space="preserve"> </w:t>
      </w:r>
      <w:r w:rsidRPr="00623F03">
        <w:rPr>
          <w:rFonts w:ascii="Calibri" w:eastAsia="Calibri" w:hAnsi="Calibri" w:cs="Calibri"/>
          <w:b/>
          <w:bCs/>
          <w:spacing w:val="-4"/>
          <w:sz w:val="21"/>
          <w:szCs w:val="21"/>
          <w:lang w:val="en-US"/>
        </w:rPr>
        <w:t>scope</w:t>
      </w:r>
    </w:p>
    <w:p w14:paraId="66F0138A" w14:textId="77777777" w:rsidR="00797934" w:rsidRPr="00623F03" w:rsidRDefault="00797934" w:rsidP="00797934">
      <w:pPr>
        <w:widowControl w:val="0"/>
        <w:autoSpaceDE w:val="0"/>
        <w:autoSpaceDN w:val="0"/>
        <w:spacing w:before="128" w:after="0" w:line="252" w:lineRule="auto"/>
        <w:ind w:left="241" w:right="135"/>
        <w:jc w:val="both"/>
        <w:rPr>
          <w:rFonts w:ascii="Calibri" w:eastAsia="Calibri" w:hAnsi="Calibri" w:cs="Calibri"/>
          <w:sz w:val="21"/>
          <w:szCs w:val="21"/>
          <w:lang w:val="en-US"/>
        </w:rPr>
      </w:pP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procedures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less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extent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those required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2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16"/>
          <w:sz w:val="21"/>
          <w:szCs w:val="21"/>
          <w:lang w:val="en-US"/>
        </w:rPr>
        <w:t xml:space="preserve"> </w:t>
      </w:r>
      <w:r w:rsidRPr="00623F03">
        <w:rPr>
          <w:rFonts w:ascii="Calibri" w:eastAsia="Calibri" w:hAnsi="Calibri" w:cs="Calibri"/>
          <w:sz w:val="21"/>
          <w:szCs w:val="21"/>
          <w:lang w:val="en-US"/>
        </w:rPr>
        <w:t>reasonable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and</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consequently</w:t>
      </w:r>
      <w:r w:rsidRPr="00623F03">
        <w:rPr>
          <w:rFonts w:ascii="Calibri" w:eastAsia="Calibri" w:hAnsi="Calibri" w:cs="Calibri"/>
          <w:spacing w:val="7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level</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of 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obtained is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substantially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lower</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would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have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been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obtained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reasonable 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been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Accordingly,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 do not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express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reasonable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 opinion on the 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performance.</w:t>
      </w:r>
    </w:p>
    <w:p w14:paraId="232A82D4" w14:textId="77777777" w:rsidR="00797934" w:rsidRPr="00623F03" w:rsidRDefault="00797934" w:rsidP="00797934">
      <w:pPr>
        <w:widowControl w:val="0"/>
        <w:autoSpaceDE w:val="0"/>
        <w:autoSpaceDN w:val="0"/>
        <w:spacing w:before="119"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This</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31"/>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does</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not</w:t>
      </w:r>
      <w:r w:rsidRPr="00623F03">
        <w:rPr>
          <w:rFonts w:ascii="Calibri" w:eastAsia="Calibri" w:hAnsi="Calibri" w:cs="Calibri"/>
          <w:spacing w:val="17"/>
          <w:sz w:val="21"/>
          <w:szCs w:val="21"/>
          <w:lang w:val="en-US"/>
        </w:rPr>
        <w:t xml:space="preserve"> </w:t>
      </w:r>
      <w:r w:rsidRPr="00623F03">
        <w:rPr>
          <w:rFonts w:ascii="Calibri" w:eastAsia="Calibri" w:hAnsi="Calibri" w:cs="Calibri"/>
          <w:sz w:val="21"/>
          <w:szCs w:val="21"/>
          <w:lang w:val="en-US"/>
        </w:rPr>
        <w:t>provide</w:t>
      </w:r>
      <w:r w:rsidRPr="00623F03">
        <w:rPr>
          <w:rFonts w:ascii="Calibri" w:eastAsia="Calibri" w:hAnsi="Calibri" w:cs="Calibri"/>
          <w:spacing w:val="31"/>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19"/>
          <w:sz w:val="21"/>
          <w:szCs w:val="21"/>
          <w:lang w:val="en-US"/>
        </w:rPr>
        <w:t xml:space="preserve"> </w:t>
      </w:r>
      <w:r w:rsidRPr="00623F03">
        <w:rPr>
          <w:rFonts w:ascii="Calibri" w:eastAsia="Calibri" w:hAnsi="Calibri" w:cs="Calibri"/>
          <w:sz w:val="21"/>
          <w:szCs w:val="21"/>
          <w:lang w:val="en-US"/>
        </w:rPr>
        <w:t>on</w:t>
      </w:r>
      <w:r w:rsidRPr="00623F03">
        <w:rPr>
          <w:rFonts w:ascii="Calibri" w:eastAsia="Calibri" w:hAnsi="Calibri" w:cs="Calibri"/>
          <w:spacing w:val="11"/>
          <w:sz w:val="21"/>
          <w:szCs w:val="21"/>
          <w:lang w:val="en-US"/>
        </w:rPr>
        <w:t xml:space="preserve"> </w:t>
      </w:r>
      <w:r w:rsidRPr="00623F03">
        <w:rPr>
          <w:rFonts w:ascii="Calibri" w:eastAsia="Calibri" w:hAnsi="Calibri" w:cs="Calibri"/>
          <w:spacing w:val="-4"/>
          <w:sz w:val="21"/>
          <w:szCs w:val="21"/>
          <w:lang w:val="en-US"/>
        </w:rPr>
        <w:t>the:</w:t>
      </w:r>
    </w:p>
    <w:p w14:paraId="30E9D5DC" w14:textId="77777777" w:rsidR="00797934" w:rsidRPr="00623F03" w:rsidRDefault="00797934" w:rsidP="00A36E9A">
      <w:pPr>
        <w:widowControl w:val="0"/>
        <w:numPr>
          <w:ilvl w:val="0"/>
          <w:numId w:val="42"/>
        </w:numPr>
        <w:tabs>
          <w:tab w:val="left" w:pos="806"/>
        </w:tabs>
        <w:autoSpaceDE w:val="0"/>
        <w:autoSpaceDN w:val="0"/>
        <w:spacing w:before="141" w:after="0" w:line="247" w:lineRule="auto"/>
        <w:ind w:right="150"/>
        <w:rPr>
          <w:rFonts w:ascii="Calibri" w:eastAsia="Calibri" w:hAnsi="Calibri" w:cs="Calibri"/>
          <w:sz w:val="21"/>
          <w:szCs w:val="22"/>
          <w:lang w:val="en-US"/>
        </w:rPr>
      </w:pPr>
      <w:r w:rsidRPr="00623F03">
        <w:rPr>
          <w:rFonts w:ascii="Calibri" w:eastAsia="Calibri" w:hAnsi="Calibri" w:cs="Calibri"/>
          <w:sz w:val="21"/>
          <w:szCs w:val="22"/>
          <w:lang w:val="en-US"/>
        </w:rPr>
        <w:t>relevance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or appropriateness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accountability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indicators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reported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or the related performance targets;</w:t>
      </w:r>
    </w:p>
    <w:p w14:paraId="15BE2068" w14:textId="77777777" w:rsidR="00797934" w:rsidRPr="00623F03" w:rsidRDefault="00797934" w:rsidP="00A36E9A">
      <w:pPr>
        <w:widowControl w:val="0"/>
        <w:numPr>
          <w:ilvl w:val="0"/>
          <w:numId w:val="42"/>
        </w:numPr>
        <w:tabs>
          <w:tab w:val="left" w:pos="806"/>
        </w:tabs>
        <w:autoSpaceDE w:val="0"/>
        <w:autoSpaceDN w:val="0"/>
        <w:spacing w:before="122" w:after="0" w:line="256" w:lineRule="auto"/>
        <w:ind w:right="155"/>
        <w:rPr>
          <w:rFonts w:ascii="Calibri" w:eastAsia="Calibri" w:hAnsi="Calibri" w:cs="Calibri"/>
          <w:sz w:val="21"/>
          <w:szCs w:val="22"/>
          <w:lang w:val="en-US"/>
        </w:rPr>
      </w:pPr>
      <w:r w:rsidRPr="00623F03">
        <w:rPr>
          <w:rFonts w:ascii="Calibri" w:eastAsia="Calibri" w:hAnsi="Calibri" w:cs="Calibri"/>
          <w:sz w:val="21"/>
          <w:szCs w:val="22"/>
          <w:lang w:val="en-US"/>
        </w:rPr>
        <w:t>accuracy</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of explanations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provided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for variations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between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actual</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targeted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performance due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 the often-subjective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nature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such explanations;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or</w:t>
      </w:r>
    </w:p>
    <w:p w14:paraId="39EDF432" w14:textId="77777777" w:rsidR="00797934" w:rsidRPr="00623F03" w:rsidRDefault="00797934" w:rsidP="00A36E9A">
      <w:pPr>
        <w:widowControl w:val="0"/>
        <w:numPr>
          <w:ilvl w:val="0"/>
          <w:numId w:val="42"/>
        </w:numPr>
        <w:tabs>
          <w:tab w:val="left" w:pos="805"/>
        </w:tabs>
        <w:autoSpaceDE w:val="0"/>
        <w:autoSpaceDN w:val="0"/>
        <w:spacing w:before="112" w:after="0" w:line="240" w:lineRule="auto"/>
        <w:ind w:left="805" w:hanging="564"/>
        <w:rPr>
          <w:rFonts w:ascii="Calibri" w:eastAsia="Calibri" w:hAnsi="Calibri" w:cs="Calibri"/>
          <w:sz w:val="21"/>
          <w:szCs w:val="22"/>
          <w:lang w:val="en-US"/>
        </w:rPr>
      </w:pPr>
      <w:r w:rsidRPr="00623F03">
        <w:rPr>
          <w:rFonts w:ascii="Calibri" w:eastAsia="Calibri" w:hAnsi="Calibri" w:cs="Calibri"/>
          <w:sz w:val="21"/>
          <w:szCs w:val="22"/>
          <w:lang w:val="en-US"/>
        </w:rPr>
        <w:t>adequacy</w:t>
      </w:r>
      <w:r w:rsidRPr="00623F03">
        <w:rPr>
          <w:rFonts w:ascii="Calibri" w:eastAsia="Calibri" w:hAnsi="Calibri" w:cs="Calibri"/>
          <w:spacing w:val="26"/>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9"/>
          <w:sz w:val="21"/>
          <w:szCs w:val="22"/>
          <w:lang w:val="en-US"/>
        </w:rPr>
        <w:t xml:space="preserve"> </w:t>
      </w:r>
      <w:r w:rsidRPr="00623F03">
        <w:rPr>
          <w:rFonts w:ascii="Calibri" w:eastAsia="Calibri" w:hAnsi="Calibri" w:cs="Calibri"/>
          <w:sz w:val="21"/>
          <w:szCs w:val="22"/>
          <w:lang w:val="en-US"/>
        </w:rPr>
        <w:t>controls</w:t>
      </w:r>
      <w:r w:rsidRPr="00623F03">
        <w:rPr>
          <w:rFonts w:ascii="Calibri" w:eastAsia="Calibri" w:hAnsi="Calibri" w:cs="Calibri"/>
          <w:spacing w:val="3"/>
          <w:sz w:val="21"/>
          <w:szCs w:val="22"/>
          <w:lang w:val="en-US"/>
        </w:rPr>
        <w:t xml:space="preserve"> </w:t>
      </w:r>
      <w:r w:rsidRPr="00623F03">
        <w:rPr>
          <w:rFonts w:ascii="Calibri" w:eastAsia="Calibri" w:hAnsi="Calibri" w:cs="Calibri"/>
          <w:sz w:val="21"/>
          <w:szCs w:val="22"/>
          <w:lang w:val="en-US"/>
        </w:rPr>
        <w:t>implemented</w:t>
      </w:r>
      <w:r w:rsidRPr="00623F03">
        <w:rPr>
          <w:rFonts w:ascii="Calibri" w:eastAsia="Calibri" w:hAnsi="Calibri" w:cs="Calibri"/>
          <w:spacing w:val="56"/>
          <w:sz w:val="21"/>
          <w:szCs w:val="22"/>
          <w:lang w:val="en-US"/>
        </w:rPr>
        <w:t xml:space="preserve"> </w:t>
      </w:r>
      <w:r w:rsidRPr="00623F03">
        <w:rPr>
          <w:rFonts w:ascii="Calibri" w:eastAsia="Calibri" w:hAnsi="Calibri" w:cs="Calibri"/>
          <w:sz w:val="21"/>
          <w:szCs w:val="22"/>
          <w:lang w:val="en-US"/>
        </w:rPr>
        <w:t>by</w:t>
      </w:r>
      <w:r w:rsidRPr="00623F03">
        <w:rPr>
          <w:rFonts w:ascii="Calibri" w:eastAsia="Calibri" w:hAnsi="Calibri" w:cs="Calibri"/>
          <w:spacing w:val="13"/>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17"/>
          <w:sz w:val="21"/>
          <w:szCs w:val="22"/>
          <w:lang w:val="en-US"/>
        </w:rPr>
        <w:t xml:space="preserve"> </w:t>
      </w:r>
      <w:r w:rsidRPr="00623F03">
        <w:rPr>
          <w:rFonts w:ascii="Calibri" w:eastAsia="Calibri" w:hAnsi="Calibri" w:cs="Calibri"/>
          <w:spacing w:val="-2"/>
          <w:sz w:val="21"/>
          <w:szCs w:val="22"/>
          <w:lang w:val="en-US"/>
        </w:rPr>
        <w:t>Authority.</w:t>
      </w:r>
    </w:p>
    <w:p w14:paraId="78BE07C4" w14:textId="77777777" w:rsidR="00797934" w:rsidRPr="00623F03" w:rsidRDefault="00797934" w:rsidP="00797934">
      <w:pPr>
        <w:widowControl w:val="0"/>
        <w:autoSpaceDE w:val="0"/>
        <w:autoSpaceDN w:val="0"/>
        <w:spacing w:after="0" w:line="240" w:lineRule="auto"/>
        <w:rPr>
          <w:rFonts w:ascii="Calibri" w:eastAsia="Calibri" w:hAnsi="Calibri" w:cs="Calibri"/>
          <w:sz w:val="20"/>
          <w:szCs w:val="21"/>
          <w:lang w:val="en-US"/>
        </w:rPr>
      </w:pPr>
    </w:p>
    <w:p w14:paraId="2D3CCFBC" w14:textId="77777777" w:rsidR="00797934" w:rsidRPr="00623F03" w:rsidRDefault="00797934" w:rsidP="000B5AF3">
      <w:pPr>
        <w:widowControl w:val="0"/>
        <w:autoSpaceDE w:val="0"/>
        <w:autoSpaceDN w:val="0"/>
        <w:spacing w:before="8" w:after="0" w:line="240" w:lineRule="auto"/>
        <w:ind w:firstLine="284"/>
        <w:rPr>
          <w:rFonts w:ascii="Calibri" w:eastAsia="Calibri" w:hAnsi="Calibri" w:cs="Calibri"/>
          <w:sz w:val="15"/>
          <w:szCs w:val="21"/>
          <w:lang w:val="en-US"/>
        </w:rPr>
      </w:pPr>
      <w:r w:rsidRPr="00623F03">
        <w:rPr>
          <w:rFonts w:ascii="Calibri" w:eastAsia="Calibri" w:hAnsi="Calibri" w:cs="Calibri"/>
          <w:noProof/>
          <w:sz w:val="21"/>
          <w:szCs w:val="21"/>
          <w:lang w:val="en-US"/>
        </w:rPr>
        <w:drawing>
          <wp:inline distT="0" distB="0" distL="0" distR="0" wp14:anchorId="3B5DF156" wp14:editId="0D1277B5">
            <wp:extent cx="583687" cy="500443"/>
            <wp:effectExtent l="0" t="0" r="6985" b="0"/>
            <wp:docPr id="41" name="Picture 4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Signature of Assistant Auditor Genera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687" cy="500443"/>
                    </a:xfrm>
                    <a:prstGeom prst="rect">
                      <a:avLst/>
                    </a:prstGeom>
                  </pic:spPr>
                </pic:pic>
              </a:graphicData>
            </a:graphic>
          </wp:inline>
        </w:drawing>
      </w:r>
    </w:p>
    <w:p w14:paraId="10FA1792" w14:textId="6172ACFC" w:rsidR="00797934" w:rsidRPr="00623F03" w:rsidRDefault="00797934" w:rsidP="00797934">
      <w:pPr>
        <w:widowControl w:val="0"/>
        <w:autoSpaceDE w:val="0"/>
        <w:autoSpaceDN w:val="0"/>
        <w:spacing w:before="57"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Ajay</w:t>
      </w:r>
      <w:r w:rsidRPr="00623F03">
        <w:rPr>
          <w:rFonts w:ascii="Calibri" w:eastAsia="Calibri" w:hAnsi="Calibri" w:cs="Calibri"/>
          <w:spacing w:val="12"/>
          <w:sz w:val="21"/>
          <w:szCs w:val="21"/>
          <w:lang w:val="en-US"/>
        </w:rPr>
        <w:t xml:space="preserve"> </w:t>
      </w:r>
      <w:r w:rsidRPr="00623F03">
        <w:rPr>
          <w:rFonts w:ascii="Calibri" w:eastAsia="Calibri" w:hAnsi="Calibri" w:cs="Calibri"/>
          <w:spacing w:val="-2"/>
          <w:sz w:val="21"/>
          <w:szCs w:val="21"/>
          <w:lang w:val="en-US"/>
        </w:rPr>
        <w:t>Sharma</w:t>
      </w:r>
      <w:r w:rsidR="00623F03">
        <w:rPr>
          <w:rFonts w:ascii="Calibri" w:eastAsia="Calibri" w:hAnsi="Calibri" w:cs="Calibri"/>
          <w:spacing w:val="-2"/>
          <w:sz w:val="21"/>
          <w:szCs w:val="21"/>
          <w:lang w:val="en-US"/>
        </w:rPr>
        <w:t xml:space="preserve"> PSM</w:t>
      </w:r>
    </w:p>
    <w:p w14:paraId="72B304D3" w14:textId="77777777" w:rsidR="00797934" w:rsidRPr="00623F03" w:rsidRDefault="00797934" w:rsidP="00797934">
      <w:pPr>
        <w:widowControl w:val="0"/>
        <w:autoSpaceDE w:val="0"/>
        <w:autoSpaceDN w:val="0"/>
        <w:spacing w:before="8" w:after="0" w:line="247" w:lineRule="auto"/>
        <w:ind w:left="241" w:right="5138"/>
        <w:rPr>
          <w:rFonts w:ascii="Calibri" w:eastAsia="Calibri" w:hAnsi="Calibri" w:cs="Calibri"/>
          <w:sz w:val="21"/>
          <w:szCs w:val="21"/>
          <w:lang w:val="en-US"/>
        </w:rPr>
      </w:pPr>
      <w:r w:rsidRPr="00623F03">
        <w:rPr>
          <w:rFonts w:ascii="Calibri" w:eastAsia="Calibri" w:hAnsi="Calibri" w:cs="Calibri"/>
          <w:sz w:val="21"/>
          <w:szCs w:val="21"/>
          <w:lang w:val="en-US"/>
        </w:rPr>
        <w:t>Assistant Auditor-General,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Financial Audit</w:t>
      </w:r>
    </w:p>
    <w:p w14:paraId="6566FF53" w14:textId="230B5D15" w:rsidR="00797934" w:rsidRPr="00797934" w:rsidRDefault="00797934" w:rsidP="00797934">
      <w:pPr>
        <w:widowControl w:val="0"/>
        <w:autoSpaceDE w:val="0"/>
        <w:autoSpaceDN w:val="0"/>
        <w:spacing w:before="8" w:after="0" w:line="247" w:lineRule="auto"/>
        <w:ind w:left="241" w:right="5138"/>
        <w:rPr>
          <w:rFonts w:ascii="Calibri" w:eastAsia="Calibri" w:hAnsi="Calibri" w:cs="Calibri"/>
          <w:sz w:val="21"/>
          <w:szCs w:val="21"/>
          <w:lang w:val="en-US"/>
        </w:rPr>
      </w:pPr>
      <w:r w:rsidRPr="00623F03">
        <w:rPr>
          <w:rFonts w:ascii="Calibri" w:eastAsia="Calibri" w:hAnsi="Calibri" w:cs="Calibri"/>
          <w:sz w:val="21"/>
          <w:szCs w:val="21"/>
          <w:lang w:val="en-US"/>
        </w:rPr>
        <w:t>2</w:t>
      </w:r>
      <w:r w:rsidR="00623F03">
        <w:rPr>
          <w:rFonts w:ascii="Calibri" w:eastAsia="Calibri" w:hAnsi="Calibri" w:cs="Calibri"/>
          <w:sz w:val="21"/>
          <w:szCs w:val="21"/>
          <w:lang w:val="en-US"/>
        </w:rPr>
        <w:t>7</w:t>
      </w:r>
      <w:r w:rsidRPr="00623F03">
        <w:rPr>
          <w:rFonts w:ascii="Calibri" w:eastAsia="Calibri" w:hAnsi="Calibri" w:cs="Calibri"/>
          <w:sz w:val="21"/>
          <w:szCs w:val="21"/>
          <w:lang w:val="en-US"/>
        </w:rPr>
        <w:t xml:space="preserve"> September</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202</w:t>
      </w:r>
      <w:r w:rsidR="00623F03">
        <w:rPr>
          <w:rFonts w:ascii="Calibri" w:eastAsia="Calibri" w:hAnsi="Calibri" w:cs="Calibri"/>
          <w:sz w:val="21"/>
          <w:szCs w:val="21"/>
          <w:lang w:val="en-US"/>
        </w:rPr>
        <w:t>4</w:t>
      </w:r>
    </w:p>
    <w:p w14:paraId="44F1660C" w14:textId="3391677B" w:rsidR="00EF43E7" w:rsidRDefault="00EF43E7" w:rsidP="00EF1EFD">
      <w:pPr>
        <w:spacing w:after="0" w:line="240" w:lineRule="auto"/>
        <w:ind w:firstLine="851"/>
      </w:pPr>
      <w:r>
        <w:br w:type="page"/>
      </w:r>
    </w:p>
    <w:p w14:paraId="5ECBAB0B" w14:textId="23900340"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lastRenderedPageBreak/>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STATEMENT OF PERFORMANCE FOR THE YEAR ENDED 30 JUNE 202</w:t>
      </w:r>
      <w:r w:rsidR="006310E1">
        <w:rPr>
          <w:rFonts w:ascii="Montserrat" w:hAnsi="Montserrat" w:cs="Montserrat"/>
          <w:color w:val="000000"/>
          <w:sz w:val="44"/>
          <w:szCs w:val="44"/>
        </w:rPr>
        <w:t>4</w:t>
      </w:r>
    </w:p>
    <w:p w14:paraId="466DA97A" w14:textId="77777777" w:rsidR="00284B69" w:rsidRPr="00695D17" w:rsidRDefault="00284B69" w:rsidP="009B6CCF">
      <w:pPr>
        <w:spacing w:before="240"/>
        <w:outlineLvl w:val="6"/>
        <w:rPr>
          <w:rFonts w:cs="Montserrat"/>
          <w:color w:val="000000"/>
          <w:sz w:val="40"/>
          <w:szCs w:val="40"/>
        </w:rPr>
      </w:pPr>
      <w:r w:rsidRPr="00695D17">
        <w:rPr>
          <w:rFonts w:cs="Montserrat"/>
          <w:color w:val="000000"/>
          <w:sz w:val="40"/>
          <w:szCs w:val="40"/>
        </w:rPr>
        <w:t>STATEMENT OF RESPONSIBILITY</w:t>
      </w:r>
    </w:p>
    <w:p w14:paraId="780B770C" w14:textId="77777777" w:rsidR="00284B69" w:rsidRPr="00695D17" w:rsidRDefault="00284B69" w:rsidP="00284B69">
      <w:pPr>
        <w:spacing w:after="160" w:line="259" w:lineRule="auto"/>
        <w:rPr>
          <w:rFonts w:cs="Montserrat"/>
          <w:color w:val="000000"/>
          <w:sz w:val="40"/>
          <w:szCs w:val="40"/>
        </w:rPr>
      </w:pPr>
    </w:p>
    <w:p w14:paraId="6AE2FD5F" w14:textId="77777777" w:rsidR="00284B69" w:rsidRPr="00695D17" w:rsidRDefault="00284B69" w:rsidP="00284B69">
      <w:pPr>
        <w:spacing w:after="160" w:line="259" w:lineRule="auto"/>
        <w:rPr>
          <w:rFonts w:cs="Montserrat"/>
          <w:color w:val="000000"/>
          <w:sz w:val="40"/>
          <w:szCs w:val="40"/>
        </w:rPr>
      </w:pPr>
    </w:p>
    <w:p w14:paraId="211F02A6" w14:textId="77777777" w:rsidR="00284B69" w:rsidRPr="00695D17" w:rsidRDefault="00284B69" w:rsidP="00284B69">
      <w:pPr>
        <w:spacing w:after="160" w:line="259" w:lineRule="auto"/>
        <w:rPr>
          <w:rFonts w:cs="Montserrat"/>
          <w:color w:val="000000"/>
          <w:sz w:val="40"/>
          <w:szCs w:val="40"/>
        </w:rPr>
      </w:pPr>
    </w:p>
    <w:p w14:paraId="3DB56BC1" w14:textId="33A1FCA3" w:rsidR="00284B69" w:rsidRDefault="00284B69" w:rsidP="00284B69">
      <w:r>
        <w:t xml:space="preserve">In our opinion, the Statement of Performance </w:t>
      </w:r>
      <w:proofErr w:type="gramStart"/>
      <w:r>
        <w:t>is in agreement</w:t>
      </w:r>
      <w:proofErr w:type="gramEnd"/>
      <w:r>
        <w:t xml:space="preserve"> with the ACT Insurance Authority’s records, and fairly reflects the service performance of the ACT Insurance Authority for the year ended 30 June 202</w:t>
      </w:r>
      <w:r w:rsidR="00A821A7">
        <w:t>4</w:t>
      </w:r>
      <w:r>
        <w:t>, and also fairly reflects the judgements exercised in preparing it.</w:t>
      </w:r>
    </w:p>
    <w:p w14:paraId="73F38F98" w14:textId="77777777" w:rsidR="00284B69" w:rsidRDefault="00284B69" w:rsidP="00284B69"/>
    <w:p w14:paraId="61D8BB2B" w14:textId="77777777" w:rsidR="00284B69" w:rsidRDefault="00284B69" w:rsidP="00284B69">
      <w:pPr>
        <w:spacing w:after="160" w:line="259" w:lineRule="auto"/>
        <w:rPr>
          <w:noProof/>
          <w:szCs w:val="22"/>
        </w:rPr>
      </w:pPr>
    </w:p>
    <w:p w14:paraId="529151B0" w14:textId="2D90B15E" w:rsidR="00284B69" w:rsidRDefault="00284B69" w:rsidP="00284B69">
      <w:pPr>
        <w:spacing w:after="160" w:line="259" w:lineRule="auto"/>
        <w:rPr>
          <w:noProof/>
          <w:szCs w:val="22"/>
        </w:rPr>
      </w:pP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p>
    <w:p w14:paraId="2BF7AA73" w14:textId="612518BA" w:rsidR="00284B69" w:rsidRPr="00695D17" w:rsidRDefault="00D44B43" w:rsidP="00284B69">
      <w:pPr>
        <w:spacing w:after="160" w:line="259" w:lineRule="auto"/>
        <w:rPr>
          <w:szCs w:val="22"/>
        </w:rPr>
      </w:pPr>
      <w:r>
        <w:rPr>
          <w:noProof/>
        </w:rPr>
        <w:drawing>
          <wp:inline distT="0" distB="0" distL="0" distR="0" wp14:anchorId="6374AFFA" wp14:editId="0E8FE337">
            <wp:extent cx="1683110" cy="714375"/>
            <wp:effectExtent l="0" t="0" r="0" b="0"/>
            <wp:docPr id="1341211286" name="Picture 1341211286"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Stuart Hocking, Under Treasurer"/>
                    <pic:cNvPicPr/>
                  </pic:nvPicPr>
                  <pic:blipFill>
                    <a:blip r:embed="rId52">
                      <a:extLst>
                        <a:ext uri="{28A0092B-C50C-407E-A947-70E740481C1C}">
                          <a14:useLocalDpi xmlns:a14="http://schemas.microsoft.com/office/drawing/2010/main" val="0"/>
                        </a:ext>
                      </a:extLst>
                    </a:blip>
                    <a:stretch>
                      <a:fillRect/>
                    </a:stretch>
                  </pic:blipFill>
                  <pic:spPr>
                    <a:xfrm>
                      <a:off x="0" y="0"/>
                      <a:ext cx="1683110" cy="714375"/>
                    </a:xfrm>
                    <a:prstGeom prst="rect">
                      <a:avLst/>
                    </a:prstGeom>
                  </pic:spPr>
                </pic:pic>
              </a:graphicData>
            </a:graphic>
          </wp:inline>
        </w:drawing>
      </w:r>
      <w:r w:rsidR="00284B69">
        <w:rPr>
          <w:noProof/>
          <w:szCs w:val="22"/>
        </w:rPr>
        <w:t xml:space="preserve">     </w:t>
      </w:r>
      <w:r w:rsidR="00284B69">
        <w:rPr>
          <w:noProof/>
          <w:szCs w:val="22"/>
        </w:rPr>
        <w:tab/>
      </w:r>
      <w:r w:rsidR="00284B69">
        <w:rPr>
          <w:noProof/>
          <w:szCs w:val="22"/>
        </w:rPr>
        <w:tab/>
      </w:r>
      <w:r w:rsidR="00284B69">
        <w:rPr>
          <w:noProof/>
          <w:szCs w:val="22"/>
        </w:rPr>
        <w:tab/>
      </w:r>
      <w:r w:rsidR="002B4BA1">
        <w:rPr>
          <w:noProof/>
          <w:szCs w:val="22"/>
        </w:rPr>
        <w:tab/>
      </w:r>
      <w:r w:rsidR="007A2F65">
        <w:rPr>
          <w:noProof/>
          <w:szCs w:val="22"/>
        </w:rPr>
        <w:t xml:space="preserve">        </w:t>
      </w:r>
      <w:r w:rsidR="002B4BA1">
        <w:rPr>
          <w:noProof/>
        </w:rPr>
        <w:drawing>
          <wp:inline distT="0" distB="0" distL="0" distR="0" wp14:anchorId="323C2EED" wp14:editId="49E110DD">
            <wp:extent cx="1350645" cy="654050"/>
            <wp:effectExtent l="0" t="0" r="1905" b="0"/>
            <wp:docPr id="1182945471" name="Picture 1182945471"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Penny Shields, General Manager ACTIA"/>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8018" cy="657697"/>
                    </a:xfrm>
                    <a:prstGeom prst="rect">
                      <a:avLst/>
                    </a:prstGeom>
                  </pic:spPr>
                </pic:pic>
              </a:graphicData>
            </a:graphic>
          </wp:inline>
        </w:drawing>
      </w:r>
    </w:p>
    <w:p w14:paraId="5752CBA0" w14:textId="77777777" w:rsidR="00284B69" w:rsidRDefault="00284B69" w:rsidP="00284B69">
      <w:pPr>
        <w:spacing w:after="0"/>
      </w:pPr>
      <w:r w:rsidRPr="00404C3B">
        <w:t>Stuart Hocking PSM</w:t>
      </w:r>
      <w:r>
        <w:tab/>
      </w:r>
      <w:r>
        <w:tab/>
      </w:r>
      <w:r>
        <w:tab/>
      </w:r>
      <w:r>
        <w:tab/>
      </w:r>
      <w:r>
        <w:tab/>
      </w:r>
      <w:r>
        <w:tab/>
      </w:r>
      <w:r>
        <w:tab/>
        <w:t xml:space="preserve"> Penny Shields</w:t>
      </w:r>
    </w:p>
    <w:p w14:paraId="1E5AAEC4" w14:textId="77777777" w:rsidR="00284B69" w:rsidRDefault="00284B69" w:rsidP="00284B69">
      <w:pPr>
        <w:tabs>
          <w:tab w:val="left" w:pos="6521"/>
        </w:tabs>
        <w:spacing w:after="0"/>
      </w:pPr>
      <w:r>
        <w:t>Under Treasurer</w:t>
      </w:r>
      <w:r>
        <w:tab/>
        <w:t>General Manager</w:t>
      </w:r>
    </w:p>
    <w:p w14:paraId="17EF4F6D" w14:textId="77777777" w:rsidR="00284B69" w:rsidRDefault="00284B69" w:rsidP="00284B69">
      <w:pPr>
        <w:tabs>
          <w:tab w:val="left" w:pos="6521"/>
        </w:tabs>
        <w:spacing w:after="0"/>
      </w:pPr>
      <w:r>
        <w:t xml:space="preserve">Chief Minister, </w:t>
      </w:r>
      <w:proofErr w:type="gramStart"/>
      <w:r>
        <w:t>Treasury</w:t>
      </w:r>
      <w:proofErr w:type="gramEnd"/>
      <w:r>
        <w:t xml:space="preserve"> and</w:t>
      </w:r>
      <w:r>
        <w:tab/>
        <w:t>ACT Insurance Authority</w:t>
      </w:r>
    </w:p>
    <w:p w14:paraId="52C6C13E" w14:textId="4A5ED3D5" w:rsidR="00284B69" w:rsidRDefault="00284B69" w:rsidP="00284B69">
      <w:pPr>
        <w:tabs>
          <w:tab w:val="left" w:pos="6521"/>
        </w:tabs>
        <w:spacing w:after="0"/>
      </w:pPr>
      <w:r>
        <w:t>Economic Development Directorate</w:t>
      </w:r>
      <w:r>
        <w:tab/>
      </w:r>
      <w:r w:rsidR="00D4211D" w:rsidRPr="007A2F65">
        <w:t>2</w:t>
      </w:r>
      <w:r w:rsidR="007A2F65" w:rsidRPr="007A2F65">
        <w:t>4</w:t>
      </w:r>
      <w:r w:rsidR="00D4211D" w:rsidRPr="007A2F65">
        <w:t xml:space="preserve"> September</w:t>
      </w:r>
      <w:r w:rsidRPr="007A2F65">
        <w:t xml:space="preserve"> 202</w:t>
      </w:r>
      <w:r w:rsidR="007A2F65" w:rsidRPr="007A2F65">
        <w:t>4</w:t>
      </w:r>
    </w:p>
    <w:p w14:paraId="2DF04DA7" w14:textId="77777777" w:rsidR="00284B69" w:rsidRDefault="00284B69" w:rsidP="00284B69">
      <w:pPr>
        <w:spacing w:after="0"/>
      </w:pPr>
      <w:r>
        <w:t>Delegate for the Chief Executive Officer</w:t>
      </w:r>
    </w:p>
    <w:p w14:paraId="76DFC93F" w14:textId="77777777" w:rsidR="00284B69" w:rsidRDefault="00284B69" w:rsidP="00284B69">
      <w:pPr>
        <w:spacing w:after="0"/>
      </w:pPr>
      <w:r>
        <w:t>ACT Insurance Authority</w:t>
      </w:r>
    </w:p>
    <w:p w14:paraId="02385DF7" w14:textId="319D7691" w:rsidR="00284B69" w:rsidRPr="00DF6862" w:rsidRDefault="00BE6BD3" w:rsidP="00284B69">
      <w:pPr>
        <w:spacing w:after="0"/>
      </w:pPr>
      <w:r w:rsidRPr="002B4BA1">
        <w:t>2</w:t>
      </w:r>
      <w:r w:rsidR="002B4BA1" w:rsidRPr="002B4BA1">
        <w:t>4</w:t>
      </w:r>
      <w:r w:rsidRPr="002B4BA1">
        <w:t xml:space="preserve"> September</w:t>
      </w:r>
      <w:r w:rsidR="00284B69" w:rsidRPr="002B4BA1">
        <w:t xml:space="preserve"> 202</w:t>
      </w:r>
      <w:r w:rsidR="002B4BA1" w:rsidRPr="002B4BA1">
        <w:t>4</w:t>
      </w:r>
      <w:r w:rsidR="00284B69" w:rsidRPr="0034608A">
        <w:rPr>
          <w:szCs w:val="22"/>
        </w:rPr>
        <w:br w:type="page"/>
      </w:r>
    </w:p>
    <w:p w14:paraId="47798BBF" w14:textId="0D83D2FD"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lastRenderedPageBreak/>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STATEMENT OF PERFORMANCE FOR THE YEAR ENDED 30 JUNE 202</w:t>
      </w:r>
      <w:r w:rsidR="00A821A7">
        <w:rPr>
          <w:rFonts w:ascii="Montserrat" w:hAnsi="Montserrat" w:cs="Montserrat"/>
          <w:color w:val="000000"/>
          <w:sz w:val="44"/>
          <w:szCs w:val="44"/>
        </w:rPr>
        <w:t>4</w:t>
      </w:r>
    </w:p>
    <w:p w14:paraId="1CF2EF04" w14:textId="31CDA6CC" w:rsidR="00284B69" w:rsidRDefault="00284B69" w:rsidP="009B6CCF">
      <w:pPr>
        <w:spacing w:before="240"/>
        <w:outlineLvl w:val="6"/>
        <w:rPr>
          <w:rFonts w:cs="Montserrat"/>
          <w:color w:val="000000"/>
          <w:sz w:val="40"/>
          <w:szCs w:val="40"/>
        </w:rPr>
      </w:pPr>
      <w:r w:rsidRPr="00CE57E4">
        <w:rPr>
          <w:rFonts w:cs="Montserrat"/>
          <w:color w:val="000000"/>
          <w:sz w:val="40"/>
          <w:szCs w:val="40"/>
        </w:rPr>
        <w:t xml:space="preserve">DESCRIPTION OF OBJECTIVES </w:t>
      </w:r>
    </w:p>
    <w:p w14:paraId="17D3CB10" w14:textId="77777777" w:rsidR="00B93DF8" w:rsidRDefault="00B93DF8" w:rsidP="009B6CCF">
      <w:pPr>
        <w:spacing w:before="240"/>
        <w:outlineLvl w:val="6"/>
        <w:rPr>
          <w:rFonts w:cs="Montserrat"/>
          <w:color w:val="000000"/>
          <w:sz w:val="40"/>
          <w:szCs w:val="40"/>
        </w:rPr>
      </w:pPr>
    </w:p>
    <w:p w14:paraId="34A71E3A" w14:textId="77777777" w:rsidR="00B93DF8" w:rsidRDefault="00B93DF8" w:rsidP="009B6CCF">
      <w:pPr>
        <w:spacing w:before="240"/>
        <w:outlineLvl w:val="6"/>
        <w:rPr>
          <w:rFonts w:cs="Montserrat"/>
          <w:color w:val="000000"/>
          <w:sz w:val="40"/>
          <w:szCs w:val="40"/>
        </w:rPr>
      </w:pPr>
    </w:p>
    <w:p w14:paraId="3F2BE8B2" w14:textId="77777777" w:rsidR="00B93DF8" w:rsidRPr="00CE57E4" w:rsidRDefault="00B93DF8" w:rsidP="009B6CCF">
      <w:pPr>
        <w:spacing w:before="240"/>
        <w:outlineLvl w:val="6"/>
        <w:rPr>
          <w:rFonts w:cs="Montserrat"/>
          <w:color w:val="000000"/>
          <w:sz w:val="40"/>
          <w:szCs w:val="40"/>
        </w:rPr>
      </w:pPr>
    </w:p>
    <w:p w14:paraId="2EC821A7" w14:textId="77777777" w:rsidR="00284B69" w:rsidRPr="00FE5A88" w:rsidRDefault="00284B69" w:rsidP="00284B69">
      <w:pPr>
        <w:pStyle w:val="Pa6"/>
        <w:spacing w:after="140"/>
        <w:rPr>
          <w:rFonts w:asciiTheme="minorHAnsi" w:hAnsiTheme="minorHAnsi" w:cs="Source Sans Pro SemiBold"/>
          <w:color w:val="000000"/>
        </w:rPr>
      </w:pPr>
      <w:r w:rsidRPr="00FE5A88">
        <w:rPr>
          <w:rFonts w:asciiTheme="minorHAnsi" w:hAnsiTheme="minorHAnsi" w:cs="Source Sans Pro Light"/>
          <w:color w:val="000000"/>
        </w:rPr>
        <w:t xml:space="preserve">The ACT Insurance Authority (the Authority) is established under the </w:t>
      </w:r>
      <w:r w:rsidRPr="00FE5A88">
        <w:rPr>
          <w:rFonts w:asciiTheme="minorHAnsi" w:hAnsiTheme="minorHAnsi" w:cs="Source Sans Pro Light"/>
          <w:i/>
          <w:color w:val="000000"/>
        </w:rPr>
        <w:t>Insurance Authority Act 2005</w:t>
      </w:r>
      <w:r w:rsidRPr="00FE5A88">
        <w:rPr>
          <w:rFonts w:asciiTheme="minorHAnsi" w:hAnsiTheme="minorHAnsi" w:cs="Source Sans Pro Light"/>
          <w:color w:val="000000"/>
        </w:rPr>
        <w:t xml:space="preserve">. </w:t>
      </w:r>
      <w:r w:rsidRPr="00FE5A88">
        <w:rPr>
          <w:rFonts w:asciiTheme="minorHAnsi" w:hAnsiTheme="minorHAnsi" w:cs="Source Sans Pro SemiBold"/>
          <w:bCs/>
          <w:color w:val="000000"/>
        </w:rPr>
        <w:t xml:space="preserve">The functions of the Authority are to: </w:t>
      </w:r>
    </w:p>
    <w:p w14:paraId="4EBFDC28" w14:textId="77777777" w:rsidR="00284B69" w:rsidRPr="00FE5A88" w:rsidRDefault="00284B69" w:rsidP="00A36E9A">
      <w:pPr>
        <w:pStyle w:val="Default"/>
        <w:numPr>
          <w:ilvl w:val="0"/>
          <w:numId w:val="19"/>
        </w:numPr>
        <w:spacing w:after="47"/>
        <w:ind w:left="720" w:hanging="360"/>
        <w:rPr>
          <w:rFonts w:asciiTheme="minorHAnsi" w:hAnsiTheme="minorHAnsi" w:cs="Source Sans Pro Light"/>
        </w:rPr>
      </w:pPr>
      <w:proofErr w:type="gramStart"/>
      <w:r w:rsidRPr="00FE5A88">
        <w:rPr>
          <w:rFonts w:asciiTheme="minorHAnsi" w:hAnsiTheme="minorHAnsi" w:cs="Source Sans Pro Light"/>
        </w:rPr>
        <w:t>carry on</w:t>
      </w:r>
      <w:proofErr w:type="gramEnd"/>
      <w:r w:rsidRPr="00FE5A88">
        <w:rPr>
          <w:rFonts w:asciiTheme="minorHAnsi" w:hAnsiTheme="minorHAnsi" w:cs="Source Sans Pro Light"/>
        </w:rPr>
        <w:t xml:space="preserve"> the business of insurer of Territory risks; </w:t>
      </w:r>
    </w:p>
    <w:p w14:paraId="316DD83A" w14:textId="77777777" w:rsidR="00284B69" w:rsidRPr="00FE5A88" w:rsidRDefault="00284B69" w:rsidP="00A36E9A">
      <w:pPr>
        <w:pStyle w:val="Default"/>
        <w:numPr>
          <w:ilvl w:val="0"/>
          <w:numId w:val="19"/>
        </w:numPr>
        <w:spacing w:after="47"/>
        <w:ind w:left="720" w:hanging="360"/>
        <w:rPr>
          <w:rFonts w:asciiTheme="minorHAnsi" w:hAnsiTheme="minorHAnsi" w:cs="Source Sans Pro Light"/>
        </w:rPr>
      </w:pPr>
      <w:r w:rsidRPr="00FE5A88">
        <w:rPr>
          <w:rFonts w:asciiTheme="minorHAnsi" w:hAnsiTheme="minorHAnsi" w:cs="Source Sans Pro Light"/>
        </w:rPr>
        <w:t xml:space="preserve">take out insurance of Territory risks with other entities; </w:t>
      </w:r>
    </w:p>
    <w:p w14:paraId="5E0CFFE9" w14:textId="77777777" w:rsidR="00284B69" w:rsidRPr="00FE5A88" w:rsidRDefault="00284B69" w:rsidP="00A36E9A">
      <w:pPr>
        <w:pStyle w:val="Default"/>
        <w:numPr>
          <w:ilvl w:val="0"/>
          <w:numId w:val="19"/>
        </w:numPr>
        <w:spacing w:after="47"/>
        <w:ind w:left="720" w:hanging="360"/>
        <w:rPr>
          <w:rFonts w:asciiTheme="minorHAnsi" w:hAnsiTheme="minorHAnsi" w:cs="Source Sans Pro Light"/>
        </w:rPr>
      </w:pPr>
      <w:r w:rsidRPr="00FE5A88">
        <w:rPr>
          <w:rFonts w:asciiTheme="minorHAnsi" w:hAnsiTheme="minorHAnsi" w:cs="Source Sans Pro Light"/>
        </w:rPr>
        <w:t xml:space="preserve">satisfy or settle claims in relation to Territory risks; </w:t>
      </w:r>
    </w:p>
    <w:p w14:paraId="33C27B7E" w14:textId="77777777" w:rsidR="00284B69" w:rsidRPr="00FE5A88" w:rsidRDefault="00284B69" w:rsidP="00A36E9A">
      <w:pPr>
        <w:pStyle w:val="Default"/>
        <w:numPr>
          <w:ilvl w:val="0"/>
          <w:numId w:val="19"/>
        </w:numPr>
        <w:spacing w:after="47"/>
        <w:ind w:left="720" w:hanging="360"/>
        <w:rPr>
          <w:rFonts w:asciiTheme="minorHAnsi" w:hAnsiTheme="minorHAnsi" w:cs="Source Sans Pro Light"/>
        </w:rPr>
      </w:pPr>
      <w:proofErr w:type="gramStart"/>
      <w:r w:rsidRPr="00FE5A88">
        <w:rPr>
          <w:rFonts w:asciiTheme="minorHAnsi" w:hAnsiTheme="minorHAnsi" w:cs="Source Sans Pro Light"/>
        </w:rPr>
        <w:t>take action</w:t>
      </w:r>
      <w:proofErr w:type="gramEnd"/>
      <w:r w:rsidRPr="00FE5A88">
        <w:rPr>
          <w:rFonts w:asciiTheme="minorHAnsi" w:hAnsiTheme="minorHAnsi" w:cs="Source Sans Pro Light"/>
        </w:rPr>
        <w:t xml:space="preserve">, with the Treasurer’s approval, for realising, enforcing, assigning or extinguishing of rights against third parties arising out of or in relation to its business, including, for example: </w:t>
      </w:r>
    </w:p>
    <w:p w14:paraId="47084F30" w14:textId="77777777" w:rsidR="00284B69" w:rsidRPr="00FE5A88" w:rsidRDefault="00284B69" w:rsidP="00A36E9A">
      <w:pPr>
        <w:pStyle w:val="Default"/>
        <w:numPr>
          <w:ilvl w:val="1"/>
          <w:numId w:val="18"/>
        </w:numPr>
        <w:spacing w:after="47"/>
        <w:ind w:left="1134" w:hanging="425"/>
        <w:rPr>
          <w:rFonts w:asciiTheme="minorHAnsi" w:hAnsiTheme="minorHAnsi" w:cs="Source Sans Pro Light"/>
        </w:rPr>
      </w:pPr>
      <w:r w:rsidRPr="00FE5A88">
        <w:rPr>
          <w:rFonts w:asciiTheme="minorHAnsi" w:hAnsiTheme="minorHAnsi" w:cs="Source Sans Pro Light"/>
        </w:rPr>
        <w:t xml:space="preserve">taking possession of, dealing </w:t>
      </w:r>
      <w:proofErr w:type="gramStart"/>
      <w:r w:rsidRPr="00FE5A88">
        <w:rPr>
          <w:rFonts w:asciiTheme="minorHAnsi" w:hAnsiTheme="minorHAnsi" w:cs="Source Sans Pro Light"/>
        </w:rPr>
        <w:t>with</w:t>
      </w:r>
      <w:proofErr w:type="gramEnd"/>
      <w:r w:rsidRPr="00FE5A88">
        <w:rPr>
          <w:rFonts w:asciiTheme="minorHAnsi" w:hAnsiTheme="minorHAnsi" w:cs="Source Sans Pro Light"/>
        </w:rPr>
        <w:t xml:space="preserve"> or disposing of, property; or </w:t>
      </w:r>
    </w:p>
    <w:p w14:paraId="24D2CA0B" w14:textId="77777777" w:rsidR="00284B69" w:rsidRPr="00FE5A88" w:rsidRDefault="00284B69" w:rsidP="00A36E9A">
      <w:pPr>
        <w:pStyle w:val="Default"/>
        <w:numPr>
          <w:ilvl w:val="1"/>
          <w:numId w:val="18"/>
        </w:numPr>
        <w:spacing w:after="47"/>
        <w:ind w:left="1134" w:hanging="425"/>
        <w:rPr>
          <w:rFonts w:asciiTheme="minorHAnsi" w:hAnsiTheme="minorHAnsi" w:cs="Source Sans Pro Light"/>
        </w:rPr>
      </w:pPr>
      <w:r w:rsidRPr="00FE5A88">
        <w:rPr>
          <w:rFonts w:asciiTheme="minorHAnsi" w:hAnsiTheme="minorHAnsi" w:cs="Source Sans Pro Light"/>
        </w:rPr>
        <w:t xml:space="preserve">carrying on a third party’s business as a going concern; </w:t>
      </w:r>
    </w:p>
    <w:p w14:paraId="459DC729" w14:textId="77777777" w:rsidR="00284B69" w:rsidRPr="00FE5A88" w:rsidRDefault="00284B69" w:rsidP="00A36E9A">
      <w:pPr>
        <w:pStyle w:val="Default"/>
        <w:numPr>
          <w:ilvl w:val="0"/>
          <w:numId w:val="20"/>
        </w:numPr>
        <w:spacing w:after="47"/>
        <w:ind w:left="720" w:hanging="360"/>
        <w:rPr>
          <w:rFonts w:asciiTheme="minorHAnsi" w:hAnsiTheme="minorHAnsi" w:cs="Source Sans Pro Light"/>
        </w:rPr>
      </w:pPr>
      <w:r w:rsidRPr="00FE5A88">
        <w:rPr>
          <w:rFonts w:asciiTheme="minorHAnsi" w:hAnsiTheme="minorHAnsi" w:cs="Source Sans Pro Light"/>
        </w:rPr>
        <w:t xml:space="preserve">develop and promote good practices for the management of Territory risks; and </w:t>
      </w:r>
    </w:p>
    <w:p w14:paraId="50EE4E74" w14:textId="77777777" w:rsidR="00284B69" w:rsidRPr="00FE5A88" w:rsidRDefault="00284B69" w:rsidP="00A36E9A">
      <w:pPr>
        <w:pStyle w:val="Default"/>
        <w:numPr>
          <w:ilvl w:val="0"/>
          <w:numId w:val="20"/>
        </w:numPr>
        <w:spacing w:after="120"/>
        <w:ind w:left="714" w:hanging="357"/>
        <w:rPr>
          <w:rFonts w:asciiTheme="minorHAnsi" w:hAnsiTheme="minorHAnsi" w:cs="Source Sans Pro Light"/>
        </w:rPr>
      </w:pPr>
      <w:r w:rsidRPr="00FE5A88">
        <w:rPr>
          <w:rFonts w:asciiTheme="minorHAnsi" w:hAnsiTheme="minorHAnsi" w:cs="Source Sans Pro Light"/>
        </w:rPr>
        <w:t xml:space="preserve">give advice to the Minister about insurance and the management of Territory risks. </w:t>
      </w:r>
    </w:p>
    <w:p w14:paraId="61449AD2" w14:textId="77777777" w:rsidR="00284B69" w:rsidRPr="00FE5A88" w:rsidRDefault="00284B69" w:rsidP="00284B69">
      <w:pPr>
        <w:pStyle w:val="Default"/>
        <w:spacing w:after="47"/>
        <w:ind w:firstLine="360"/>
        <w:rPr>
          <w:rFonts w:asciiTheme="minorHAnsi" w:hAnsiTheme="minorHAnsi" w:cs="Source Sans Pro Light"/>
        </w:rPr>
      </w:pPr>
    </w:p>
    <w:p w14:paraId="1FF44C99" w14:textId="77777777" w:rsidR="00284B69" w:rsidRPr="00FE5A88" w:rsidRDefault="00284B69" w:rsidP="00284B69">
      <w:pPr>
        <w:pStyle w:val="Default"/>
        <w:spacing w:after="47"/>
        <w:ind w:firstLine="360"/>
        <w:rPr>
          <w:rFonts w:asciiTheme="minorHAnsi" w:hAnsiTheme="minorHAnsi" w:cs="Source Sans Pro Light"/>
        </w:rPr>
      </w:pPr>
      <w:r w:rsidRPr="00FE5A88">
        <w:rPr>
          <w:rFonts w:asciiTheme="minorHAnsi" w:hAnsiTheme="minorHAnsi" w:cs="Source Sans Pro Light"/>
        </w:rPr>
        <w:t xml:space="preserve">The Authority also administers the: </w:t>
      </w:r>
    </w:p>
    <w:p w14:paraId="7A2B490B" w14:textId="77777777" w:rsidR="00284B69" w:rsidRPr="00FE5A88" w:rsidRDefault="00284B69" w:rsidP="00A36E9A">
      <w:pPr>
        <w:pStyle w:val="Default"/>
        <w:numPr>
          <w:ilvl w:val="0"/>
          <w:numId w:val="21"/>
        </w:numPr>
        <w:spacing w:after="47"/>
        <w:ind w:left="720" w:hanging="360"/>
        <w:rPr>
          <w:rFonts w:asciiTheme="minorHAnsi" w:hAnsiTheme="minorHAnsi" w:cs="Source Sans Pro Light"/>
        </w:rPr>
      </w:pPr>
      <w:r w:rsidRPr="00FE5A88">
        <w:rPr>
          <w:rFonts w:asciiTheme="minorHAnsi" w:hAnsiTheme="minorHAnsi" w:cs="Source Sans Pro Light"/>
        </w:rPr>
        <w:t xml:space="preserve">Office of the Nominal Defendant of the ACT, for claims against uninsured and/or unidentified vehicles for the Motor Accident Injuries Scheme; and </w:t>
      </w:r>
    </w:p>
    <w:p w14:paraId="699E256D" w14:textId="77777777" w:rsidR="00284B69" w:rsidRPr="00FE5A88" w:rsidRDefault="00284B69" w:rsidP="00A36E9A">
      <w:pPr>
        <w:pStyle w:val="Default"/>
        <w:numPr>
          <w:ilvl w:val="0"/>
          <w:numId w:val="21"/>
        </w:numPr>
        <w:spacing w:after="47"/>
        <w:ind w:left="720" w:hanging="360"/>
        <w:rPr>
          <w:rFonts w:asciiTheme="minorHAnsi" w:hAnsiTheme="minorHAnsi" w:cs="Source Sans Pro Light"/>
        </w:rPr>
      </w:pPr>
      <w:r w:rsidRPr="00FE5A88">
        <w:rPr>
          <w:rFonts w:asciiTheme="minorHAnsi" w:hAnsiTheme="minorHAnsi" w:cs="Source Sans Pro Light"/>
        </w:rPr>
        <w:t>Default Insurance Fund, for default claims under the ACT Private Workers’ Compensation Scheme.</w:t>
      </w:r>
    </w:p>
    <w:p w14:paraId="4B404EF6" w14:textId="67072D35" w:rsidR="005E7C89" w:rsidRPr="00FE5A88" w:rsidRDefault="00284B69" w:rsidP="00284B69">
      <w:pPr>
        <w:spacing w:after="0"/>
      </w:pPr>
      <w:r w:rsidRPr="00FE5A88">
        <w:rPr>
          <w:rFonts w:cs="Source Sans Pro Light"/>
          <w:color w:val="000000"/>
        </w:rPr>
        <w:t xml:space="preserve">Annual reports and financial statements for these two entities are available in the Chief Minister, Treasury and Economic Development Directorate </w:t>
      </w:r>
      <w:r w:rsidR="00323290">
        <w:rPr>
          <w:rFonts w:cs="Source Sans Pro Light"/>
          <w:color w:val="000000"/>
        </w:rPr>
        <w:t>2023-24</w:t>
      </w:r>
      <w:r w:rsidRPr="00FE5A88">
        <w:rPr>
          <w:rFonts w:cs="Source Sans Pro Light"/>
          <w:color w:val="000000"/>
        </w:rPr>
        <w:t xml:space="preserve"> Annual Report.</w:t>
      </w:r>
    </w:p>
    <w:p w14:paraId="3AD7D75C" w14:textId="77777777" w:rsidR="002C4079" w:rsidRDefault="002C4079">
      <w:pPr>
        <w:spacing w:after="0"/>
      </w:pPr>
    </w:p>
    <w:p w14:paraId="6885159F" w14:textId="5623EA14" w:rsidR="008B1D5E" w:rsidRDefault="008B1D5E">
      <w:pPr>
        <w:spacing w:after="0"/>
        <w:sectPr w:rsidR="008B1D5E" w:rsidSect="003109A8">
          <w:headerReference w:type="default" r:id="rId65"/>
          <w:footerReference w:type="default" r:id="rId66"/>
          <w:pgSz w:w="11907" w:h="16840" w:code="9"/>
          <w:pgMar w:top="1418" w:right="1417" w:bottom="1701" w:left="1418" w:header="567" w:footer="255" w:gutter="0"/>
          <w:cols w:space="720"/>
          <w:docGrid w:linePitch="326"/>
        </w:sectPr>
      </w:pPr>
    </w:p>
    <w:p w14:paraId="4B1C35C5" w14:textId="21749E17" w:rsidR="0024157C" w:rsidRPr="00281479" w:rsidRDefault="0024157C" w:rsidP="0024157C">
      <w:pPr>
        <w:autoSpaceDE w:val="0"/>
        <w:autoSpaceDN w:val="0"/>
        <w:adjustRightInd w:val="0"/>
        <w:spacing w:after="47"/>
        <w:rPr>
          <w:rFonts w:cs="Montserrat Semi Bold"/>
          <w:b/>
          <w:bCs/>
          <w:color w:val="000000"/>
          <w:sz w:val="34"/>
          <w:szCs w:val="34"/>
        </w:rPr>
      </w:pPr>
      <w:r w:rsidRPr="00281479">
        <w:rPr>
          <w:rFonts w:cs="Montserrat Semi Bold"/>
          <w:b/>
          <w:bCs/>
          <w:color w:val="000000"/>
          <w:sz w:val="34"/>
          <w:szCs w:val="34"/>
        </w:rPr>
        <w:lastRenderedPageBreak/>
        <w:t>ACT INSURANCE AUTHORITY STATEMENT OF PERFORMANCE</w:t>
      </w:r>
      <w:r w:rsidRPr="00281479">
        <w:rPr>
          <w:rFonts w:cs="Montserrat Semi Bold"/>
          <w:b/>
          <w:bCs/>
          <w:color w:val="000000"/>
          <w:sz w:val="34"/>
          <w:szCs w:val="34"/>
        </w:rPr>
        <w:br/>
      </w:r>
      <w:r w:rsidRPr="00281479">
        <w:rPr>
          <w:rFonts w:cs="Montserrat Semi Bold"/>
          <w:b/>
          <w:bCs/>
          <w:color w:val="000000"/>
          <w:sz w:val="28"/>
          <w:szCs w:val="28"/>
        </w:rPr>
        <w:t>FOR THE YEAR ENDED 30 JUNE 202</w:t>
      </w:r>
      <w:r w:rsidR="007A3A9D">
        <w:rPr>
          <w:rFonts w:cs="Montserrat Semi Bold"/>
          <w:b/>
          <w:bCs/>
          <w:color w:val="000000"/>
          <w:sz w:val="28"/>
          <w:szCs w:val="28"/>
        </w:rPr>
        <w:t>4</w:t>
      </w:r>
    </w:p>
    <w:tbl>
      <w:tblPr>
        <w:tblStyle w:val="ARTable"/>
        <w:tblW w:w="14742" w:type="dxa"/>
        <w:tblLayout w:type="fixed"/>
        <w:tblLook w:val="0020" w:firstRow="1" w:lastRow="0" w:firstColumn="0" w:lastColumn="0" w:noHBand="0" w:noVBand="0"/>
      </w:tblPr>
      <w:tblGrid>
        <w:gridCol w:w="1484"/>
        <w:gridCol w:w="3478"/>
        <w:gridCol w:w="1559"/>
        <w:gridCol w:w="1276"/>
        <w:gridCol w:w="992"/>
        <w:gridCol w:w="567"/>
        <w:gridCol w:w="5386"/>
      </w:tblGrid>
      <w:tr w:rsidR="0024157C" w:rsidRPr="00735C24" w14:paraId="67B8AF9F" w14:textId="77777777" w:rsidTr="00E30AC7">
        <w:trPr>
          <w:cnfStyle w:val="100000000000" w:firstRow="1" w:lastRow="0" w:firstColumn="0" w:lastColumn="0" w:oddVBand="0" w:evenVBand="0" w:oddHBand="0" w:evenHBand="0" w:firstRowFirstColumn="0" w:firstRowLastColumn="0" w:lastRowFirstColumn="0" w:lastRowLastColumn="0"/>
          <w:trHeight w:val="521"/>
        </w:trPr>
        <w:tc>
          <w:tcPr>
            <w:tcW w:w="1484" w:type="dxa"/>
            <w:vMerge w:val="restart"/>
            <w:tcBorders>
              <w:bottom w:val="single" w:sz="4" w:space="0" w:color="auto"/>
            </w:tcBorders>
            <w:vAlign w:val="bottom"/>
          </w:tcPr>
          <w:p w14:paraId="14479F0F"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Objective</w:t>
            </w:r>
            <w:bookmarkStart w:id="105" w:name="_Hlk46250859"/>
          </w:p>
        </w:tc>
        <w:tc>
          <w:tcPr>
            <w:tcW w:w="3478" w:type="dxa"/>
            <w:vMerge w:val="restart"/>
            <w:tcBorders>
              <w:bottom w:val="single" w:sz="4" w:space="0" w:color="auto"/>
            </w:tcBorders>
            <w:vAlign w:val="bottom"/>
          </w:tcPr>
          <w:p w14:paraId="1AADC9C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br/>
            </w:r>
            <w:r w:rsidRPr="00735C24">
              <w:rPr>
                <w:rFonts w:cstheme="minorHAnsi"/>
                <w:b/>
                <w:color w:val="FFFFFF" w:themeColor="background1"/>
                <w:sz w:val="20"/>
                <w:szCs w:val="20"/>
              </w:rPr>
              <w:br/>
              <w:t>Accountability Indicators</w:t>
            </w:r>
          </w:p>
        </w:tc>
        <w:tc>
          <w:tcPr>
            <w:tcW w:w="1559" w:type="dxa"/>
            <w:vMerge w:val="restart"/>
            <w:tcBorders>
              <w:bottom w:val="single" w:sz="4" w:space="0" w:color="auto"/>
            </w:tcBorders>
            <w:vAlign w:val="center"/>
          </w:tcPr>
          <w:p w14:paraId="1822D480" w14:textId="4D19CD31" w:rsidR="0024157C" w:rsidRPr="00735C24" w:rsidRDefault="0024157C">
            <w:pPr>
              <w:spacing w:after="40" w:line="259" w:lineRule="auto"/>
              <w:jc w:val="center"/>
              <w:rPr>
                <w:rFonts w:cstheme="minorHAnsi"/>
                <w:b/>
                <w:color w:val="FFFFFF" w:themeColor="background1"/>
                <w:sz w:val="20"/>
                <w:szCs w:val="20"/>
              </w:rPr>
            </w:pPr>
            <w:r w:rsidRPr="00735C24">
              <w:rPr>
                <w:rFonts w:cstheme="minorHAnsi"/>
                <w:b/>
                <w:color w:val="FFFFFF" w:themeColor="background1"/>
                <w:sz w:val="20"/>
                <w:szCs w:val="20"/>
              </w:rPr>
              <w:t>Original Target</w:t>
            </w:r>
            <w:r w:rsidRPr="00735C24">
              <w:rPr>
                <w:rFonts w:cstheme="minorHAnsi"/>
                <w:b/>
                <w:color w:val="FFFFFF" w:themeColor="background1"/>
                <w:sz w:val="20"/>
                <w:szCs w:val="20"/>
              </w:rPr>
              <w:br/>
            </w:r>
            <w:r w:rsidR="00323290">
              <w:rPr>
                <w:rFonts w:cstheme="minorHAnsi"/>
                <w:b/>
                <w:color w:val="FFFFFF" w:themeColor="background1"/>
                <w:sz w:val="20"/>
                <w:szCs w:val="20"/>
              </w:rPr>
              <w:t>2023-24</w:t>
            </w:r>
          </w:p>
        </w:tc>
        <w:tc>
          <w:tcPr>
            <w:tcW w:w="1276" w:type="dxa"/>
            <w:vMerge w:val="restart"/>
            <w:tcBorders>
              <w:bottom w:val="single" w:sz="4" w:space="0" w:color="auto"/>
            </w:tcBorders>
            <w:vAlign w:val="center"/>
          </w:tcPr>
          <w:p w14:paraId="0B3EF9FC" w14:textId="77A45B09" w:rsidR="0024157C" w:rsidRPr="00735C24" w:rsidRDefault="0024157C">
            <w:pPr>
              <w:spacing w:after="40" w:line="259" w:lineRule="auto"/>
              <w:jc w:val="center"/>
              <w:rPr>
                <w:rFonts w:cstheme="minorHAnsi"/>
                <w:b/>
                <w:color w:val="FFFFFF" w:themeColor="background1"/>
                <w:sz w:val="20"/>
                <w:szCs w:val="20"/>
              </w:rPr>
            </w:pPr>
            <w:r w:rsidRPr="00735C24">
              <w:rPr>
                <w:rFonts w:cstheme="minorHAnsi"/>
                <w:b/>
                <w:color w:val="FFFFFF" w:themeColor="background1"/>
                <w:sz w:val="20"/>
                <w:szCs w:val="20"/>
              </w:rPr>
              <w:t>Actual</w:t>
            </w:r>
            <w:r w:rsidRPr="00735C24">
              <w:rPr>
                <w:rFonts w:cstheme="minorHAnsi"/>
                <w:b/>
                <w:color w:val="FFFFFF" w:themeColor="background1"/>
                <w:sz w:val="20"/>
                <w:szCs w:val="20"/>
              </w:rPr>
              <w:br/>
              <w:t>Result</w:t>
            </w:r>
            <w:r w:rsidRPr="00735C24">
              <w:rPr>
                <w:rFonts w:cstheme="minorHAnsi"/>
                <w:b/>
                <w:color w:val="FFFFFF" w:themeColor="background1"/>
                <w:sz w:val="20"/>
                <w:szCs w:val="20"/>
              </w:rPr>
              <w:br/>
            </w:r>
            <w:r w:rsidR="00323290">
              <w:rPr>
                <w:rFonts w:cstheme="minorHAnsi"/>
                <w:b/>
                <w:color w:val="FFFFFF" w:themeColor="background1"/>
                <w:sz w:val="20"/>
                <w:szCs w:val="20"/>
              </w:rPr>
              <w:t>2023-24</w:t>
            </w:r>
          </w:p>
        </w:tc>
        <w:tc>
          <w:tcPr>
            <w:tcW w:w="1559" w:type="dxa"/>
            <w:gridSpan w:val="2"/>
            <w:vAlign w:val="center"/>
          </w:tcPr>
          <w:p w14:paraId="0A08F6F7" w14:textId="2439C819" w:rsidR="0024157C" w:rsidRPr="00735C24" w:rsidRDefault="00A71597" w:rsidP="00F83B2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24157C" w:rsidRPr="00735C24">
              <w:rPr>
                <w:rFonts w:cstheme="minorHAnsi"/>
                <w:b/>
                <w:color w:val="FFFFFF" w:themeColor="background1"/>
                <w:sz w:val="20"/>
                <w:szCs w:val="20"/>
              </w:rPr>
              <w:t>Variance</w:t>
            </w:r>
          </w:p>
        </w:tc>
        <w:tc>
          <w:tcPr>
            <w:tcW w:w="5386" w:type="dxa"/>
            <w:vMerge w:val="restart"/>
            <w:tcBorders>
              <w:bottom w:val="single" w:sz="4" w:space="0" w:color="auto"/>
            </w:tcBorders>
            <w:vAlign w:val="bottom"/>
          </w:tcPr>
          <w:p w14:paraId="14F720F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 xml:space="preserve">Explanation of Material Variances </w:t>
            </w:r>
            <w:r w:rsidRPr="00735C24">
              <w:rPr>
                <w:rFonts w:cstheme="minorHAnsi"/>
                <w:b/>
                <w:color w:val="FFFFFF" w:themeColor="background1"/>
                <w:sz w:val="20"/>
                <w:szCs w:val="20"/>
              </w:rPr>
              <w:br/>
              <w:t>(+/-10%)</w:t>
            </w:r>
          </w:p>
        </w:tc>
      </w:tr>
      <w:bookmarkEnd w:id="105"/>
      <w:tr w:rsidR="0024157C" w:rsidRPr="00553169" w14:paraId="2CC14870" w14:textId="77777777" w:rsidTr="00E30AC7">
        <w:trPr>
          <w:trHeight w:val="518"/>
        </w:trPr>
        <w:tc>
          <w:tcPr>
            <w:tcW w:w="1484" w:type="dxa"/>
            <w:vMerge/>
            <w:tcBorders>
              <w:top w:val="single" w:sz="4" w:space="0" w:color="auto"/>
            </w:tcBorders>
          </w:tcPr>
          <w:p w14:paraId="33364553"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Borders>
              <w:top w:val="single" w:sz="4" w:space="0" w:color="auto"/>
            </w:tcBorders>
          </w:tcPr>
          <w:p w14:paraId="440E3D78" w14:textId="77777777" w:rsidR="0024157C" w:rsidRPr="00553169" w:rsidRDefault="0024157C">
            <w:pPr>
              <w:spacing w:before="80" w:after="80" w:line="259" w:lineRule="auto"/>
              <w:jc w:val="center"/>
              <w:rPr>
                <w:rFonts w:cstheme="minorHAnsi"/>
                <w:b/>
                <w:sz w:val="18"/>
                <w:szCs w:val="18"/>
                <w:highlight w:val="yellow"/>
              </w:rPr>
            </w:pPr>
          </w:p>
        </w:tc>
        <w:tc>
          <w:tcPr>
            <w:tcW w:w="1559" w:type="dxa"/>
            <w:vMerge/>
            <w:tcBorders>
              <w:top w:val="single" w:sz="4" w:space="0" w:color="auto"/>
            </w:tcBorders>
          </w:tcPr>
          <w:p w14:paraId="715906E6" w14:textId="77777777" w:rsidR="0024157C" w:rsidRPr="00553169" w:rsidRDefault="0024157C">
            <w:pPr>
              <w:spacing w:before="80" w:after="80" w:line="259" w:lineRule="auto"/>
              <w:jc w:val="center"/>
              <w:rPr>
                <w:rFonts w:cstheme="minorHAnsi"/>
                <w:b/>
                <w:sz w:val="18"/>
                <w:szCs w:val="18"/>
                <w:highlight w:val="yellow"/>
              </w:rPr>
            </w:pPr>
          </w:p>
        </w:tc>
        <w:tc>
          <w:tcPr>
            <w:tcW w:w="1276" w:type="dxa"/>
            <w:vMerge/>
            <w:tcBorders>
              <w:top w:val="single" w:sz="4" w:space="0" w:color="auto"/>
            </w:tcBorders>
          </w:tcPr>
          <w:p w14:paraId="7F6A8B61" w14:textId="77777777" w:rsidR="0024157C" w:rsidRPr="00553169" w:rsidRDefault="0024157C">
            <w:pPr>
              <w:spacing w:before="80" w:after="80" w:line="259" w:lineRule="auto"/>
              <w:jc w:val="center"/>
              <w:rPr>
                <w:rFonts w:cstheme="minorHAnsi"/>
                <w:b/>
                <w:sz w:val="18"/>
                <w:szCs w:val="18"/>
                <w:highlight w:val="yellow"/>
              </w:rPr>
            </w:pPr>
          </w:p>
        </w:tc>
        <w:tc>
          <w:tcPr>
            <w:tcW w:w="992" w:type="dxa"/>
            <w:shd w:val="clear" w:color="auto" w:fill="492581" w:themeFill="accent1"/>
            <w:vAlign w:val="center"/>
          </w:tcPr>
          <w:p w14:paraId="357202BF"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Amount</w:t>
            </w:r>
          </w:p>
        </w:tc>
        <w:tc>
          <w:tcPr>
            <w:tcW w:w="567" w:type="dxa"/>
            <w:shd w:val="clear" w:color="auto" w:fill="492581" w:themeFill="accent1"/>
            <w:vAlign w:val="center"/>
          </w:tcPr>
          <w:p w14:paraId="71E032A0"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w:t>
            </w:r>
          </w:p>
        </w:tc>
        <w:tc>
          <w:tcPr>
            <w:tcW w:w="5386" w:type="dxa"/>
            <w:vMerge/>
            <w:tcBorders>
              <w:top w:val="single" w:sz="4" w:space="0" w:color="auto"/>
            </w:tcBorders>
            <w:shd w:val="clear" w:color="auto" w:fill="auto"/>
          </w:tcPr>
          <w:p w14:paraId="41030AC7" w14:textId="77777777" w:rsidR="0024157C" w:rsidRPr="00553169" w:rsidRDefault="0024157C">
            <w:pPr>
              <w:spacing w:before="80" w:after="80" w:line="259" w:lineRule="auto"/>
              <w:jc w:val="center"/>
              <w:rPr>
                <w:rFonts w:cstheme="minorHAnsi"/>
                <w:b/>
                <w:sz w:val="18"/>
                <w:szCs w:val="18"/>
                <w:highlight w:val="yellow"/>
              </w:rPr>
            </w:pPr>
          </w:p>
        </w:tc>
      </w:tr>
      <w:tr w:rsidR="0024157C" w:rsidRPr="00553169" w14:paraId="395F2853" w14:textId="77777777" w:rsidTr="00623F03">
        <w:trPr>
          <w:cnfStyle w:val="000000010000" w:firstRow="0" w:lastRow="0" w:firstColumn="0" w:lastColumn="0" w:oddVBand="0" w:evenVBand="0" w:oddHBand="0" w:evenHBand="1" w:firstRowFirstColumn="0" w:firstRowLastColumn="0" w:lastRowFirstColumn="0" w:lastRowLastColumn="0"/>
          <w:trHeight w:val="306"/>
        </w:trPr>
        <w:tc>
          <w:tcPr>
            <w:tcW w:w="1484" w:type="dxa"/>
            <w:vMerge w:val="restart"/>
            <w:shd w:val="clear" w:color="auto" w:fill="D9D9D9" w:themeFill="background1" w:themeFillShade="D9"/>
          </w:tcPr>
          <w:p w14:paraId="0E04C9DB" w14:textId="77777777" w:rsidR="0024157C" w:rsidRPr="00553169" w:rsidRDefault="0024157C">
            <w:pPr>
              <w:autoSpaceDE w:val="0"/>
              <w:autoSpaceDN w:val="0"/>
              <w:adjustRightInd w:val="0"/>
              <w:spacing w:before="80" w:after="80" w:line="259" w:lineRule="auto"/>
              <w:rPr>
                <w:rFonts w:cstheme="minorHAnsi"/>
                <w:sz w:val="18"/>
                <w:szCs w:val="18"/>
                <w:highlight w:val="yellow"/>
              </w:rPr>
            </w:pPr>
            <w:bookmarkStart w:id="106" w:name="_Hlk46250705"/>
            <w:r w:rsidRPr="00844BE3">
              <w:rPr>
                <w:rFonts w:cstheme="minorHAnsi"/>
                <w:color w:val="000000"/>
                <w:sz w:val="18"/>
                <w:szCs w:val="18"/>
              </w:rPr>
              <w:t>Carry on the business of insurer of territory risks</w:t>
            </w:r>
          </w:p>
        </w:tc>
        <w:tc>
          <w:tcPr>
            <w:tcW w:w="3478" w:type="dxa"/>
            <w:shd w:val="clear" w:color="auto" w:fill="F2F2F2" w:themeFill="background1" w:themeFillShade="F2"/>
          </w:tcPr>
          <w:p w14:paraId="68C08FE0" w14:textId="77777777" w:rsidR="0024157C" w:rsidRPr="00844BE3" w:rsidRDefault="0024157C" w:rsidP="00A36E9A">
            <w:pPr>
              <w:numPr>
                <w:ilvl w:val="0"/>
                <w:numId w:val="17"/>
              </w:numPr>
              <w:spacing w:before="80" w:after="80" w:line="259" w:lineRule="auto"/>
              <w:ind w:left="462" w:hanging="284"/>
              <w:rPr>
                <w:rFonts w:cstheme="minorHAnsi"/>
                <w:sz w:val="18"/>
                <w:szCs w:val="18"/>
              </w:rPr>
            </w:pPr>
            <w:r w:rsidRPr="00844BE3">
              <w:rPr>
                <w:rFonts w:cstheme="minorHAnsi"/>
                <w:sz w:val="18"/>
                <w:szCs w:val="18"/>
              </w:rPr>
              <w:t xml:space="preserve"> Results from the annual customer satisfaction survey: </w:t>
            </w:r>
          </w:p>
          <w:p w14:paraId="3E5C82DB" w14:textId="77777777" w:rsidR="0024157C" w:rsidRPr="00844BE3" w:rsidRDefault="0024157C">
            <w:pPr>
              <w:spacing w:before="80" w:after="80" w:line="259" w:lineRule="auto"/>
              <w:ind w:left="462"/>
              <w:rPr>
                <w:rFonts w:cstheme="minorHAnsi"/>
                <w:sz w:val="18"/>
                <w:szCs w:val="18"/>
              </w:rPr>
            </w:pPr>
            <w:r w:rsidRPr="00844BE3">
              <w:rPr>
                <w:rFonts w:cstheme="minorHAnsi"/>
                <w:sz w:val="18"/>
                <w:szCs w:val="18"/>
              </w:rPr>
              <w:t xml:space="preserve">- Overall customer satisfaction with the Authority </w:t>
            </w:r>
          </w:p>
        </w:tc>
        <w:tc>
          <w:tcPr>
            <w:tcW w:w="1559" w:type="dxa"/>
            <w:shd w:val="clear" w:color="auto" w:fill="F2F2F2" w:themeFill="background1" w:themeFillShade="F2"/>
          </w:tcPr>
          <w:p w14:paraId="00726599" w14:textId="72056AC5" w:rsidR="0024157C" w:rsidRPr="00844BE3" w:rsidRDefault="0024157C" w:rsidP="000C46C4">
            <w:pPr>
              <w:numPr>
                <w:ilvl w:val="12"/>
                <w:numId w:val="0"/>
              </w:numPr>
              <w:spacing w:after="80"/>
              <w:jc w:val="center"/>
              <w:rPr>
                <w:rFonts w:cstheme="minorHAnsi"/>
                <w:sz w:val="18"/>
                <w:szCs w:val="18"/>
              </w:rPr>
            </w:pPr>
            <w:r w:rsidRPr="00844BE3">
              <w:rPr>
                <w:rFonts w:cs="Calibri"/>
                <w:sz w:val="18"/>
                <w:szCs w:val="18"/>
                <w:bdr w:val="nil"/>
              </w:rPr>
              <w:t>80%</w:t>
            </w:r>
          </w:p>
        </w:tc>
        <w:tc>
          <w:tcPr>
            <w:tcW w:w="1276" w:type="dxa"/>
            <w:shd w:val="clear" w:color="auto" w:fill="F2F2F2" w:themeFill="background1" w:themeFillShade="F2"/>
          </w:tcPr>
          <w:p w14:paraId="3FB03DFA" w14:textId="77777777" w:rsidR="0024157C" w:rsidRPr="00291DE8" w:rsidRDefault="0024157C">
            <w:pPr>
              <w:spacing w:before="80" w:after="80" w:line="259" w:lineRule="auto"/>
              <w:jc w:val="center"/>
              <w:rPr>
                <w:rFonts w:cstheme="minorHAnsi"/>
                <w:sz w:val="18"/>
                <w:szCs w:val="18"/>
              </w:rPr>
            </w:pPr>
            <w:r w:rsidRPr="00291DE8">
              <w:rPr>
                <w:rFonts w:cs="Calibri"/>
                <w:sz w:val="18"/>
                <w:szCs w:val="18"/>
              </w:rPr>
              <w:t>8</w:t>
            </w:r>
            <w:r>
              <w:rPr>
                <w:rFonts w:cs="Calibri"/>
                <w:sz w:val="18"/>
                <w:szCs w:val="18"/>
              </w:rPr>
              <w:t>2</w:t>
            </w:r>
            <w:r w:rsidRPr="00291DE8">
              <w:rPr>
                <w:rFonts w:cs="Calibri"/>
                <w:sz w:val="18"/>
                <w:szCs w:val="18"/>
              </w:rPr>
              <w:t>%</w:t>
            </w:r>
          </w:p>
        </w:tc>
        <w:tc>
          <w:tcPr>
            <w:tcW w:w="992" w:type="dxa"/>
            <w:shd w:val="clear" w:color="auto" w:fill="F2F2F2" w:themeFill="background1" w:themeFillShade="F2"/>
          </w:tcPr>
          <w:p w14:paraId="67467DC8" w14:textId="77777777" w:rsidR="0024157C" w:rsidRPr="00291DE8" w:rsidRDefault="0024157C">
            <w:pPr>
              <w:spacing w:before="80" w:after="80" w:line="259" w:lineRule="auto"/>
              <w:jc w:val="center"/>
              <w:rPr>
                <w:rFonts w:cstheme="minorHAnsi"/>
                <w:sz w:val="18"/>
                <w:szCs w:val="18"/>
              </w:rPr>
            </w:pPr>
            <w:r>
              <w:rPr>
                <w:rFonts w:cstheme="minorHAnsi"/>
                <w:sz w:val="18"/>
                <w:szCs w:val="18"/>
              </w:rPr>
              <w:t>2</w:t>
            </w:r>
            <w:r w:rsidRPr="00291DE8">
              <w:rPr>
                <w:rFonts w:cstheme="minorHAnsi"/>
                <w:sz w:val="18"/>
                <w:szCs w:val="18"/>
              </w:rPr>
              <w:t>%</w:t>
            </w:r>
          </w:p>
        </w:tc>
        <w:tc>
          <w:tcPr>
            <w:tcW w:w="567" w:type="dxa"/>
            <w:shd w:val="clear" w:color="auto" w:fill="F2F2F2" w:themeFill="background1" w:themeFillShade="F2"/>
          </w:tcPr>
          <w:p w14:paraId="16543E6C" w14:textId="77777777" w:rsidR="0024157C" w:rsidRPr="00291DE8" w:rsidRDefault="0024157C">
            <w:pPr>
              <w:spacing w:before="80" w:after="80" w:line="259" w:lineRule="auto"/>
              <w:jc w:val="center"/>
              <w:rPr>
                <w:rFonts w:cstheme="minorHAnsi"/>
                <w:sz w:val="18"/>
                <w:szCs w:val="18"/>
              </w:rPr>
            </w:pPr>
            <w:r>
              <w:rPr>
                <w:rFonts w:cstheme="minorHAnsi"/>
                <w:sz w:val="18"/>
                <w:szCs w:val="18"/>
              </w:rPr>
              <w:t>3</w:t>
            </w:r>
          </w:p>
        </w:tc>
        <w:tc>
          <w:tcPr>
            <w:tcW w:w="5386" w:type="dxa"/>
            <w:shd w:val="clear" w:color="auto" w:fill="F2F2F2" w:themeFill="background1" w:themeFillShade="F2"/>
          </w:tcPr>
          <w:p w14:paraId="38EB63C4" w14:textId="77777777" w:rsidR="0024157C" w:rsidRPr="00553169" w:rsidRDefault="0024157C">
            <w:pPr>
              <w:spacing w:before="80" w:after="80" w:line="259" w:lineRule="auto"/>
              <w:rPr>
                <w:rFonts w:cstheme="minorHAnsi"/>
                <w:sz w:val="18"/>
                <w:szCs w:val="18"/>
                <w:highlight w:val="yellow"/>
              </w:rPr>
            </w:pPr>
          </w:p>
        </w:tc>
      </w:tr>
      <w:tr w:rsidR="0024157C" w:rsidRPr="00553169" w14:paraId="0EE3CE2B" w14:textId="77777777" w:rsidTr="00776B6E">
        <w:trPr>
          <w:trHeight w:val="547"/>
        </w:trPr>
        <w:tc>
          <w:tcPr>
            <w:tcW w:w="1484" w:type="dxa"/>
            <w:vMerge/>
            <w:shd w:val="clear" w:color="auto" w:fill="D9D9D9" w:themeFill="background1" w:themeFillShade="D9"/>
          </w:tcPr>
          <w:p w14:paraId="129AD4FE" w14:textId="77777777" w:rsidR="0024157C" w:rsidRPr="00553169" w:rsidRDefault="0024157C">
            <w:pPr>
              <w:spacing w:before="80" w:after="80" w:line="259" w:lineRule="auto"/>
              <w:rPr>
                <w:rFonts w:cstheme="minorHAnsi"/>
                <w:sz w:val="18"/>
                <w:szCs w:val="18"/>
                <w:highlight w:val="yellow"/>
              </w:rPr>
            </w:pPr>
          </w:p>
        </w:tc>
        <w:tc>
          <w:tcPr>
            <w:tcW w:w="3478" w:type="dxa"/>
          </w:tcPr>
          <w:p w14:paraId="58E9C9C5" w14:textId="77777777" w:rsidR="0024157C" w:rsidRPr="00E44678" w:rsidRDefault="0024157C" w:rsidP="00A36E9A">
            <w:pPr>
              <w:numPr>
                <w:ilvl w:val="0"/>
                <w:numId w:val="17"/>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Maintain the Authority’s funding ratio as outlined in the Authority’s Capital Management Plan.</w:t>
            </w:r>
          </w:p>
        </w:tc>
        <w:tc>
          <w:tcPr>
            <w:tcW w:w="1559" w:type="dxa"/>
          </w:tcPr>
          <w:p w14:paraId="1BEE7EEF" w14:textId="22A2CE94" w:rsidR="0024157C" w:rsidRPr="00CE0F3A" w:rsidRDefault="0024157C">
            <w:pPr>
              <w:numPr>
                <w:ilvl w:val="12"/>
                <w:numId w:val="0"/>
              </w:numPr>
              <w:spacing w:before="80" w:after="80" w:line="259" w:lineRule="auto"/>
              <w:jc w:val="center"/>
              <w:rPr>
                <w:rFonts w:cstheme="minorHAnsi"/>
                <w:sz w:val="18"/>
                <w:szCs w:val="18"/>
              </w:rPr>
            </w:pPr>
            <w:r w:rsidRPr="00CE0F3A">
              <w:rPr>
                <w:rFonts w:cs="Calibri"/>
                <w:sz w:val="18"/>
                <w:szCs w:val="18"/>
              </w:rPr>
              <w:t>1</w:t>
            </w:r>
            <w:r w:rsidR="007A3A9D">
              <w:rPr>
                <w:rFonts w:cs="Calibri"/>
                <w:sz w:val="18"/>
                <w:szCs w:val="18"/>
              </w:rPr>
              <w:t>2</w:t>
            </w:r>
            <w:r w:rsidR="0010318F">
              <w:rPr>
                <w:rFonts w:cs="Calibri"/>
                <w:sz w:val="18"/>
                <w:szCs w:val="18"/>
              </w:rPr>
              <w:t>0</w:t>
            </w:r>
            <w:r w:rsidRPr="00CE0F3A">
              <w:rPr>
                <w:rFonts w:cs="Calibri"/>
                <w:sz w:val="18"/>
                <w:szCs w:val="18"/>
              </w:rPr>
              <w:t>%</w:t>
            </w:r>
          </w:p>
        </w:tc>
        <w:tc>
          <w:tcPr>
            <w:tcW w:w="1276" w:type="dxa"/>
          </w:tcPr>
          <w:p w14:paraId="27884DAC" w14:textId="2FECCFC4" w:rsidR="0024157C" w:rsidRPr="00913579" w:rsidRDefault="0024157C">
            <w:pPr>
              <w:spacing w:before="80" w:after="80" w:line="259" w:lineRule="auto"/>
              <w:jc w:val="center"/>
              <w:rPr>
                <w:rFonts w:cstheme="minorHAnsi"/>
                <w:sz w:val="18"/>
                <w:szCs w:val="18"/>
              </w:rPr>
            </w:pPr>
            <w:r w:rsidRPr="00913579">
              <w:rPr>
                <w:rFonts w:cs="Calibri"/>
                <w:sz w:val="18"/>
                <w:szCs w:val="18"/>
              </w:rPr>
              <w:t>1</w:t>
            </w:r>
            <w:r w:rsidR="00DE71FB" w:rsidRPr="00913579">
              <w:rPr>
                <w:rFonts w:cs="Calibri"/>
                <w:sz w:val="18"/>
                <w:szCs w:val="18"/>
              </w:rPr>
              <w:t>12</w:t>
            </w:r>
            <w:r w:rsidRPr="00913579">
              <w:rPr>
                <w:rFonts w:cs="Calibri"/>
                <w:sz w:val="18"/>
                <w:szCs w:val="18"/>
              </w:rPr>
              <w:t>%</w:t>
            </w:r>
          </w:p>
        </w:tc>
        <w:tc>
          <w:tcPr>
            <w:tcW w:w="992" w:type="dxa"/>
          </w:tcPr>
          <w:p w14:paraId="331897D3" w14:textId="581A34FC" w:rsidR="0024157C" w:rsidRPr="00913579" w:rsidRDefault="0024157C">
            <w:pPr>
              <w:spacing w:before="80" w:after="80" w:line="259" w:lineRule="auto"/>
              <w:jc w:val="center"/>
              <w:rPr>
                <w:rFonts w:cstheme="minorHAnsi"/>
                <w:sz w:val="18"/>
                <w:szCs w:val="18"/>
              </w:rPr>
            </w:pPr>
            <w:r w:rsidRPr="00913579">
              <w:rPr>
                <w:rFonts w:cs="Calibri"/>
                <w:sz w:val="18"/>
                <w:szCs w:val="18"/>
              </w:rPr>
              <w:t>(</w:t>
            </w:r>
            <w:r w:rsidR="00EA4B36" w:rsidRPr="00913579">
              <w:rPr>
                <w:rFonts w:cs="Calibri"/>
                <w:sz w:val="18"/>
                <w:szCs w:val="18"/>
              </w:rPr>
              <w:t>8</w:t>
            </w:r>
            <w:r w:rsidRPr="00913579">
              <w:rPr>
                <w:rFonts w:cs="Calibri"/>
                <w:sz w:val="18"/>
                <w:szCs w:val="18"/>
              </w:rPr>
              <w:t>)</w:t>
            </w:r>
          </w:p>
        </w:tc>
        <w:tc>
          <w:tcPr>
            <w:tcW w:w="567" w:type="dxa"/>
          </w:tcPr>
          <w:p w14:paraId="51855969" w14:textId="2BFF6836" w:rsidR="0024157C" w:rsidRPr="00913579" w:rsidRDefault="0024157C">
            <w:pPr>
              <w:spacing w:before="80" w:after="80" w:line="259" w:lineRule="auto"/>
              <w:jc w:val="center"/>
              <w:rPr>
                <w:rFonts w:cstheme="minorHAnsi"/>
                <w:sz w:val="18"/>
                <w:szCs w:val="18"/>
              </w:rPr>
            </w:pPr>
            <w:r w:rsidRPr="00913579">
              <w:rPr>
                <w:rFonts w:cs="Calibri"/>
                <w:sz w:val="18"/>
                <w:szCs w:val="18"/>
              </w:rPr>
              <w:t>(</w:t>
            </w:r>
            <w:r w:rsidR="002E01B4" w:rsidRPr="00913579">
              <w:rPr>
                <w:rFonts w:cs="Calibri"/>
                <w:sz w:val="18"/>
                <w:szCs w:val="18"/>
              </w:rPr>
              <w:t>7</w:t>
            </w:r>
            <w:r w:rsidRPr="00913579">
              <w:rPr>
                <w:rFonts w:cs="Calibri"/>
                <w:sz w:val="18"/>
                <w:szCs w:val="18"/>
              </w:rPr>
              <w:t>)</w:t>
            </w:r>
          </w:p>
        </w:tc>
        <w:tc>
          <w:tcPr>
            <w:tcW w:w="5386" w:type="dxa"/>
          </w:tcPr>
          <w:p w14:paraId="03C3F03C" w14:textId="1D318F55" w:rsidR="0024157C" w:rsidRPr="007A3A9D" w:rsidRDefault="005B16D3">
            <w:pPr>
              <w:spacing w:before="80" w:after="80" w:line="259" w:lineRule="auto"/>
              <w:rPr>
                <w:rFonts w:cstheme="minorHAnsi"/>
                <w:sz w:val="18"/>
                <w:szCs w:val="18"/>
                <w:highlight w:val="yellow"/>
              </w:rPr>
            </w:pPr>
            <w:r w:rsidRPr="005B16D3">
              <w:rPr>
                <w:rFonts w:cstheme="minorHAnsi"/>
                <w:sz w:val="18"/>
                <w:szCs w:val="18"/>
              </w:rPr>
              <w:t>The Authority’s 30 June 2024 capital funding ratio is within the targeted range of 100-120 per cent in the Authority’s Capital Management Plan for 2023-24.  The decrease in funding ratio of 7% from the budgeted target of 120% is mainly due to the increase in outstanding claims liabilities related to deteriorating claims experience in both the medical malpractice and property insurance classes.</w:t>
            </w:r>
          </w:p>
        </w:tc>
      </w:tr>
      <w:tr w:rsidR="002D7A42" w:rsidRPr="00553169" w14:paraId="183B9B14" w14:textId="77777777" w:rsidTr="00776B6E">
        <w:trPr>
          <w:cnfStyle w:val="000000010000" w:firstRow="0" w:lastRow="0" w:firstColumn="0" w:lastColumn="0" w:oddVBand="0" w:evenVBand="0" w:oddHBand="0" w:evenHBand="1" w:firstRowFirstColumn="0" w:firstRowLastColumn="0" w:lastRowFirstColumn="0" w:lastRowLastColumn="0"/>
          <w:trHeight w:val="304"/>
        </w:trPr>
        <w:tc>
          <w:tcPr>
            <w:tcW w:w="1484" w:type="dxa"/>
            <w:vMerge/>
            <w:shd w:val="clear" w:color="auto" w:fill="D9D9D9" w:themeFill="background1" w:themeFillShade="D9"/>
          </w:tcPr>
          <w:p w14:paraId="54690D14" w14:textId="77777777" w:rsidR="0024157C" w:rsidRPr="00553169" w:rsidRDefault="0024157C">
            <w:pPr>
              <w:spacing w:before="80" w:after="80" w:line="259" w:lineRule="auto"/>
              <w:rPr>
                <w:rFonts w:cstheme="minorHAnsi"/>
                <w:sz w:val="18"/>
                <w:szCs w:val="18"/>
                <w:highlight w:val="yellow"/>
              </w:rPr>
            </w:pPr>
          </w:p>
        </w:tc>
        <w:tc>
          <w:tcPr>
            <w:tcW w:w="3478" w:type="dxa"/>
            <w:shd w:val="clear" w:color="auto" w:fill="F2F2F2" w:themeFill="background1" w:themeFillShade="F2"/>
          </w:tcPr>
          <w:p w14:paraId="5D27A0B7" w14:textId="77777777" w:rsidR="0024157C" w:rsidRPr="00E44678" w:rsidRDefault="0024157C" w:rsidP="00A36E9A">
            <w:pPr>
              <w:numPr>
                <w:ilvl w:val="0"/>
                <w:numId w:val="17"/>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General and administrative expense as a percentage of total annual premium revenue.</w:t>
            </w:r>
          </w:p>
        </w:tc>
        <w:tc>
          <w:tcPr>
            <w:tcW w:w="1559" w:type="dxa"/>
            <w:shd w:val="clear" w:color="auto" w:fill="F2F2F2" w:themeFill="background1" w:themeFillShade="F2"/>
          </w:tcPr>
          <w:p w14:paraId="544D6E43" w14:textId="77777777" w:rsidR="0024157C" w:rsidRPr="00D16C5D" w:rsidRDefault="0024157C">
            <w:pPr>
              <w:numPr>
                <w:ilvl w:val="12"/>
                <w:numId w:val="0"/>
              </w:numPr>
              <w:spacing w:before="80" w:after="80" w:line="259" w:lineRule="auto"/>
              <w:jc w:val="center"/>
              <w:rPr>
                <w:rFonts w:cstheme="minorHAnsi"/>
                <w:sz w:val="18"/>
                <w:szCs w:val="18"/>
              </w:rPr>
            </w:pPr>
            <w:r w:rsidRPr="00D16C5D">
              <w:rPr>
                <w:rFonts w:cstheme="minorHAnsi"/>
                <w:sz w:val="18"/>
                <w:szCs w:val="18"/>
              </w:rPr>
              <w:t>10%</w:t>
            </w:r>
          </w:p>
        </w:tc>
        <w:tc>
          <w:tcPr>
            <w:tcW w:w="1276" w:type="dxa"/>
            <w:shd w:val="clear" w:color="auto" w:fill="F2F2F2" w:themeFill="background1" w:themeFillShade="F2"/>
          </w:tcPr>
          <w:p w14:paraId="398BDBC1" w14:textId="52A8E503" w:rsidR="0024157C" w:rsidRPr="00913579" w:rsidRDefault="000067C9">
            <w:pPr>
              <w:spacing w:before="80" w:after="80" w:line="259" w:lineRule="auto"/>
              <w:jc w:val="center"/>
              <w:rPr>
                <w:rFonts w:cstheme="minorHAnsi"/>
                <w:sz w:val="18"/>
                <w:szCs w:val="18"/>
              </w:rPr>
            </w:pPr>
            <w:r w:rsidRPr="00913579">
              <w:rPr>
                <w:rFonts w:cstheme="minorHAnsi"/>
                <w:sz w:val="18"/>
                <w:szCs w:val="18"/>
              </w:rPr>
              <w:t>7</w:t>
            </w:r>
            <w:r w:rsidR="0024157C" w:rsidRPr="00913579">
              <w:rPr>
                <w:rFonts w:cstheme="minorHAnsi"/>
                <w:sz w:val="18"/>
                <w:szCs w:val="18"/>
              </w:rPr>
              <w:t>%</w:t>
            </w:r>
          </w:p>
        </w:tc>
        <w:tc>
          <w:tcPr>
            <w:tcW w:w="992" w:type="dxa"/>
            <w:shd w:val="clear" w:color="auto" w:fill="F2F2F2" w:themeFill="background1" w:themeFillShade="F2"/>
          </w:tcPr>
          <w:p w14:paraId="457A45AB" w14:textId="754FE03F" w:rsidR="0024157C" w:rsidRPr="00913579" w:rsidRDefault="0024157C">
            <w:pPr>
              <w:spacing w:before="80" w:after="80" w:line="259" w:lineRule="auto"/>
              <w:jc w:val="center"/>
              <w:rPr>
                <w:rFonts w:cstheme="minorHAnsi"/>
                <w:sz w:val="18"/>
                <w:szCs w:val="18"/>
              </w:rPr>
            </w:pPr>
            <w:r w:rsidRPr="00913579">
              <w:rPr>
                <w:rFonts w:cstheme="minorHAnsi"/>
                <w:sz w:val="18"/>
                <w:szCs w:val="18"/>
              </w:rPr>
              <w:t>(</w:t>
            </w:r>
            <w:r w:rsidR="000067C9" w:rsidRPr="00913579">
              <w:rPr>
                <w:rFonts w:cstheme="minorHAnsi"/>
                <w:sz w:val="18"/>
                <w:szCs w:val="18"/>
              </w:rPr>
              <w:t>3</w:t>
            </w:r>
            <w:r w:rsidRPr="00913579">
              <w:rPr>
                <w:rFonts w:cstheme="minorHAnsi"/>
                <w:sz w:val="18"/>
                <w:szCs w:val="18"/>
              </w:rPr>
              <w:t>)</w:t>
            </w:r>
          </w:p>
        </w:tc>
        <w:tc>
          <w:tcPr>
            <w:tcW w:w="567" w:type="dxa"/>
            <w:shd w:val="clear" w:color="auto" w:fill="F2F2F2" w:themeFill="background1" w:themeFillShade="F2"/>
          </w:tcPr>
          <w:p w14:paraId="7ECF80B1" w14:textId="4B6287FB" w:rsidR="0024157C" w:rsidRPr="00913579" w:rsidRDefault="0024157C">
            <w:pPr>
              <w:spacing w:before="80" w:after="80" w:line="259" w:lineRule="auto"/>
              <w:jc w:val="center"/>
              <w:rPr>
                <w:rFonts w:cstheme="minorHAnsi"/>
                <w:sz w:val="18"/>
                <w:szCs w:val="18"/>
              </w:rPr>
            </w:pPr>
            <w:r w:rsidRPr="00913579">
              <w:rPr>
                <w:rFonts w:cstheme="minorHAnsi"/>
                <w:sz w:val="18"/>
                <w:szCs w:val="18"/>
              </w:rPr>
              <w:t>(</w:t>
            </w:r>
            <w:r w:rsidR="00D428F1" w:rsidRPr="00913579">
              <w:rPr>
                <w:rFonts w:cstheme="minorHAnsi"/>
                <w:sz w:val="18"/>
                <w:szCs w:val="18"/>
              </w:rPr>
              <w:t>30</w:t>
            </w:r>
            <w:r w:rsidRPr="00913579">
              <w:rPr>
                <w:rFonts w:cstheme="minorHAnsi"/>
                <w:sz w:val="18"/>
                <w:szCs w:val="18"/>
              </w:rPr>
              <w:t>)</w:t>
            </w:r>
          </w:p>
        </w:tc>
        <w:tc>
          <w:tcPr>
            <w:tcW w:w="5386" w:type="dxa"/>
            <w:shd w:val="clear" w:color="auto" w:fill="F2F2F2" w:themeFill="background1" w:themeFillShade="F2"/>
          </w:tcPr>
          <w:p w14:paraId="798902C1" w14:textId="5C265949" w:rsidR="0024157C" w:rsidRPr="007A3A9D" w:rsidRDefault="000F48A5" w:rsidP="009B6CCF">
            <w:pPr>
              <w:spacing w:before="80" w:after="80" w:line="259" w:lineRule="auto"/>
              <w:rPr>
                <w:rFonts w:cstheme="minorHAnsi"/>
                <w:sz w:val="18"/>
                <w:szCs w:val="18"/>
                <w:highlight w:val="yellow"/>
              </w:rPr>
            </w:pPr>
            <w:r w:rsidRPr="000F48A5">
              <w:rPr>
                <w:rFonts w:cstheme="minorHAnsi"/>
                <w:sz w:val="18"/>
                <w:szCs w:val="18"/>
              </w:rPr>
              <w:t>The Authority maintained a sound control on employee expenses and relevant supplies and services during the year, with both employee expenses and supplies and services spending below budget. Gross Premium has increased mainly due to deteriorating claims experience and the cost of the Territory’s reinsurance program.</w:t>
            </w:r>
          </w:p>
        </w:tc>
      </w:tr>
      <w:bookmarkEnd w:id="106"/>
    </w:tbl>
    <w:p w14:paraId="3732FB9F" w14:textId="4D06B501" w:rsidR="0024157C" w:rsidRPr="00553169" w:rsidRDefault="0024157C" w:rsidP="0024157C">
      <w:pPr>
        <w:spacing w:after="160" w:line="259" w:lineRule="auto"/>
        <w:rPr>
          <w:rFonts w:cs="Montserrat Semi Bold"/>
          <w:b/>
          <w:bCs/>
          <w:color w:val="000000"/>
          <w:sz w:val="34"/>
          <w:szCs w:val="34"/>
          <w:highlight w:val="yellow"/>
        </w:rPr>
      </w:pPr>
    </w:p>
    <w:p w14:paraId="6B2D402D" w14:textId="77777777" w:rsidR="007B2984" w:rsidRDefault="007B2984">
      <w:pPr>
        <w:spacing w:after="0" w:line="240" w:lineRule="auto"/>
        <w:rPr>
          <w:rFonts w:cs="Montserrat Semi Bold"/>
          <w:b/>
          <w:bCs/>
          <w:color w:val="000000"/>
          <w:sz w:val="34"/>
          <w:szCs w:val="34"/>
        </w:rPr>
      </w:pPr>
      <w:r>
        <w:rPr>
          <w:rFonts w:cs="Montserrat Semi Bold"/>
          <w:b/>
          <w:bCs/>
          <w:color w:val="000000"/>
          <w:sz w:val="34"/>
          <w:szCs w:val="34"/>
        </w:rPr>
        <w:br w:type="page"/>
      </w:r>
    </w:p>
    <w:p w14:paraId="39EBCAC5" w14:textId="0803A867" w:rsidR="0024157C" w:rsidRPr="00E44678" w:rsidRDefault="0024157C" w:rsidP="0024157C">
      <w:pPr>
        <w:autoSpaceDE w:val="0"/>
        <w:autoSpaceDN w:val="0"/>
        <w:adjustRightInd w:val="0"/>
        <w:spacing w:after="47"/>
        <w:rPr>
          <w:rFonts w:cs="Montserrat Semi Bold"/>
          <w:b/>
          <w:bCs/>
          <w:color w:val="000000"/>
          <w:sz w:val="34"/>
          <w:szCs w:val="34"/>
        </w:rPr>
      </w:pPr>
      <w:r w:rsidRPr="00E44678">
        <w:rPr>
          <w:rFonts w:cs="Montserrat Semi Bold"/>
          <w:b/>
          <w:bCs/>
          <w:color w:val="000000"/>
          <w:sz w:val="34"/>
          <w:szCs w:val="34"/>
        </w:rPr>
        <w:lastRenderedPageBreak/>
        <w:t>ACT INSURANCE AUTHORITY STATEMENT OF PERFORMANCE</w:t>
      </w:r>
      <w:r w:rsidRPr="00E44678">
        <w:rPr>
          <w:rFonts w:cs="Montserrat Semi Bold"/>
          <w:b/>
          <w:bCs/>
          <w:color w:val="000000"/>
          <w:sz w:val="34"/>
          <w:szCs w:val="34"/>
        </w:rPr>
        <w:br/>
      </w:r>
      <w:r w:rsidRPr="00E44678">
        <w:rPr>
          <w:rFonts w:cs="Montserrat Semi Bold"/>
          <w:b/>
          <w:bCs/>
          <w:color w:val="000000"/>
          <w:sz w:val="28"/>
          <w:szCs w:val="28"/>
        </w:rPr>
        <w:t>FOR THE YEAR ENDED 30 JUNE 202</w:t>
      </w:r>
      <w:r w:rsidR="004C66E8">
        <w:rPr>
          <w:rFonts w:cs="Montserrat Semi Bold"/>
          <w:b/>
          <w:bCs/>
          <w:color w:val="000000"/>
          <w:sz w:val="28"/>
          <w:szCs w:val="28"/>
        </w:rPr>
        <w:t>4</w:t>
      </w:r>
    </w:p>
    <w:tbl>
      <w:tblPr>
        <w:tblStyle w:val="ARTable"/>
        <w:tblW w:w="14742" w:type="dxa"/>
        <w:tblLayout w:type="fixed"/>
        <w:tblLook w:val="0020" w:firstRow="1" w:lastRow="0" w:firstColumn="0" w:lastColumn="0" w:noHBand="0" w:noVBand="0"/>
      </w:tblPr>
      <w:tblGrid>
        <w:gridCol w:w="1484"/>
        <w:gridCol w:w="3478"/>
        <w:gridCol w:w="1701"/>
        <w:gridCol w:w="992"/>
        <w:gridCol w:w="572"/>
        <w:gridCol w:w="562"/>
        <w:gridCol w:w="567"/>
        <w:gridCol w:w="5386"/>
      </w:tblGrid>
      <w:tr w:rsidR="0024157C" w:rsidRPr="00B71879" w14:paraId="11CA086B" w14:textId="77777777" w:rsidTr="004A4DED">
        <w:trPr>
          <w:cnfStyle w:val="100000000000" w:firstRow="1" w:lastRow="0" w:firstColumn="0" w:lastColumn="0" w:oddVBand="0" w:evenVBand="0" w:oddHBand="0" w:evenHBand="0" w:firstRowFirstColumn="0" w:firstRowLastColumn="0" w:lastRowFirstColumn="0" w:lastRowLastColumn="0"/>
          <w:trHeight w:val="522"/>
        </w:trPr>
        <w:tc>
          <w:tcPr>
            <w:tcW w:w="1484" w:type="dxa"/>
            <w:vMerge w:val="restart"/>
            <w:vAlign w:val="bottom"/>
          </w:tcPr>
          <w:p w14:paraId="25CEB066"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478" w:type="dxa"/>
            <w:vMerge w:val="restart"/>
            <w:vAlign w:val="bottom"/>
          </w:tcPr>
          <w:p w14:paraId="055201D0"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701" w:type="dxa"/>
            <w:vMerge w:val="restart"/>
            <w:vAlign w:val="center"/>
          </w:tcPr>
          <w:p w14:paraId="361C4A5A" w14:textId="4F2CF5D0" w:rsidR="0024157C" w:rsidRPr="00B71879" w:rsidRDefault="0024157C" w:rsidP="00E30AC7">
            <w:pPr>
              <w:spacing w:after="0" w:line="259" w:lineRule="auto"/>
              <w:jc w:val="center"/>
              <w:rPr>
                <w:rFonts w:cstheme="minorHAnsi"/>
                <w:b/>
                <w:color w:val="FFFFFF" w:themeColor="background1"/>
                <w:sz w:val="20"/>
                <w:szCs w:val="20"/>
              </w:rPr>
            </w:pPr>
            <w:r w:rsidRPr="00B71879">
              <w:rPr>
                <w:rFonts w:cstheme="minorHAnsi"/>
                <w:b/>
                <w:color w:val="FFFFFF" w:themeColor="background1"/>
                <w:sz w:val="20"/>
                <w:szCs w:val="20"/>
              </w:rPr>
              <w:t>Original Target</w:t>
            </w:r>
            <w:r w:rsidRPr="00B71879">
              <w:rPr>
                <w:rFonts w:cstheme="minorHAnsi"/>
                <w:b/>
                <w:color w:val="FFFFFF" w:themeColor="background1"/>
                <w:sz w:val="20"/>
                <w:szCs w:val="20"/>
              </w:rPr>
              <w:br/>
            </w:r>
            <w:r w:rsidR="00323290">
              <w:rPr>
                <w:rFonts w:cstheme="minorHAnsi"/>
                <w:b/>
                <w:color w:val="FFFFFF" w:themeColor="background1"/>
                <w:sz w:val="20"/>
                <w:szCs w:val="20"/>
              </w:rPr>
              <w:t>2023-24</w:t>
            </w:r>
          </w:p>
        </w:tc>
        <w:tc>
          <w:tcPr>
            <w:tcW w:w="992" w:type="dxa"/>
            <w:vMerge w:val="restart"/>
            <w:vAlign w:val="center"/>
          </w:tcPr>
          <w:p w14:paraId="765D249A" w14:textId="28927444" w:rsidR="0024157C" w:rsidRPr="00B71879" w:rsidRDefault="0024157C" w:rsidP="00E30AC7">
            <w:pPr>
              <w:spacing w:after="0" w:line="259" w:lineRule="auto"/>
              <w:jc w:val="center"/>
              <w:rPr>
                <w:rFonts w:cstheme="minorHAnsi"/>
                <w:b/>
                <w:color w:val="FFFFFF" w:themeColor="background1"/>
                <w:sz w:val="20"/>
                <w:szCs w:val="20"/>
              </w:rPr>
            </w:pPr>
            <w:r w:rsidRPr="00B71879">
              <w:rPr>
                <w:rFonts w:cstheme="minorHAnsi"/>
                <w:b/>
                <w:color w:val="FFFFFF" w:themeColor="background1"/>
                <w:sz w:val="20"/>
                <w:szCs w:val="20"/>
              </w:rPr>
              <w:t>Actual</w:t>
            </w:r>
            <w:r w:rsidRPr="00B71879">
              <w:rPr>
                <w:rFonts w:cstheme="minorHAnsi"/>
                <w:b/>
                <w:color w:val="FFFFFF" w:themeColor="background1"/>
                <w:sz w:val="20"/>
                <w:szCs w:val="20"/>
              </w:rPr>
              <w:br/>
              <w:t>Result</w:t>
            </w:r>
            <w:r w:rsidRPr="00B71879">
              <w:rPr>
                <w:rFonts w:cstheme="minorHAnsi"/>
                <w:b/>
                <w:color w:val="FFFFFF" w:themeColor="background1"/>
                <w:sz w:val="20"/>
                <w:szCs w:val="20"/>
              </w:rPr>
              <w:br/>
            </w:r>
            <w:r w:rsidR="00323290">
              <w:rPr>
                <w:rFonts w:cstheme="minorHAnsi"/>
                <w:b/>
                <w:color w:val="FFFFFF" w:themeColor="background1"/>
                <w:sz w:val="20"/>
                <w:szCs w:val="20"/>
              </w:rPr>
              <w:t>2023-24</w:t>
            </w:r>
          </w:p>
        </w:tc>
        <w:tc>
          <w:tcPr>
            <w:tcW w:w="1701" w:type="dxa"/>
            <w:gridSpan w:val="3"/>
            <w:vAlign w:val="center"/>
          </w:tcPr>
          <w:p w14:paraId="6E5213D7" w14:textId="0087AE89" w:rsidR="0024157C" w:rsidRPr="00B71879" w:rsidRDefault="009E5B40" w:rsidP="00E30AC7">
            <w:pPr>
              <w:spacing w:after="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386" w:type="dxa"/>
            <w:vMerge w:val="restart"/>
            <w:vAlign w:val="bottom"/>
          </w:tcPr>
          <w:p w14:paraId="5DD00E86"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24157C" w:rsidRPr="00553169" w14:paraId="3203818F" w14:textId="77777777" w:rsidTr="004A4DED">
        <w:trPr>
          <w:trHeight w:val="374"/>
        </w:trPr>
        <w:tc>
          <w:tcPr>
            <w:tcW w:w="1484" w:type="dxa"/>
            <w:vMerge/>
          </w:tcPr>
          <w:p w14:paraId="0EB1AD44"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Pr>
          <w:p w14:paraId="5150CC9D" w14:textId="77777777" w:rsidR="0024157C" w:rsidRPr="00553169" w:rsidRDefault="0024157C">
            <w:pPr>
              <w:spacing w:before="80" w:after="80" w:line="259" w:lineRule="auto"/>
              <w:jc w:val="center"/>
              <w:rPr>
                <w:rFonts w:cstheme="minorHAnsi"/>
                <w:b/>
                <w:sz w:val="18"/>
                <w:szCs w:val="18"/>
                <w:highlight w:val="yellow"/>
              </w:rPr>
            </w:pPr>
          </w:p>
        </w:tc>
        <w:tc>
          <w:tcPr>
            <w:tcW w:w="1701" w:type="dxa"/>
            <w:vMerge/>
          </w:tcPr>
          <w:p w14:paraId="23C684BE" w14:textId="77777777" w:rsidR="0024157C" w:rsidRPr="00553169" w:rsidRDefault="0024157C">
            <w:pPr>
              <w:spacing w:before="80" w:after="80" w:line="259" w:lineRule="auto"/>
              <w:jc w:val="center"/>
              <w:rPr>
                <w:rFonts w:cstheme="minorHAnsi"/>
                <w:b/>
                <w:sz w:val="18"/>
                <w:szCs w:val="18"/>
                <w:highlight w:val="yellow"/>
              </w:rPr>
            </w:pPr>
          </w:p>
        </w:tc>
        <w:tc>
          <w:tcPr>
            <w:tcW w:w="992" w:type="dxa"/>
            <w:vMerge/>
          </w:tcPr>
          <w:p w14:paraId="11DF4179" w14:textId="77777777" w:rsidR="0024157C" w:rsidRPr="00553169" w:rsidRDefault="0024157C">
            <w:pPr>
              <w:spacing w:before="80" w:after="80" w:line="259" w:lineRule="auto"/>
              <w:jc w:val="center"/>
              <w:rPr>
                <w:rFonts w:cstheme="minorHAnsi"/>
                <w:b/>
                <w:sz w:val="18"/>
                <w:szCs w:val="18"/>
                <w:highlight w:val="yellow"/>
              </w:rPr>
            </w:pPr>
          </w:p>
        </w:tc>
        <w:tc>
          <w:tcPr>
            <w:tcW w:w="1134" w:type="dxa"/>
            <w:gridSpan w:val="2"/>
            <w:shd w:val="clear" w:color="auto" w:fill="492581" w:themeFill="accent1"/>
            <w:vAlign w:val="center"/>
          </w:tcPr>
          <w:p w14:paraId="3CDF6745" w14:textId="77777777" w:rsidR="0024157C" w:rsidRPr="00B71879" w:rsidRDefault="0024157C" w:rsidP="00A90229">
            <w:pPr>
              <w:spacing w:before="80" w:after="80" w:line="259" w:lineRule="auto"/>
              <w:jc w:val="center"/>
              <w:rPr>
                <w:rFonts w:cstheme="minorHAnsi"/>
                <w:b/>
                <w:sz w:val="20"/>
                <w:szCs w:val="20"/>
              </w:rPr>
            </w:pPr>
            <w:r w:rsidRPr="00B71879">
              <w:rPr>
                <w:rFonts w:cstheme="minorHAnsi"/>
                <w:b/>
                <w:sz w:val="20"/>
                <w:szCs w:val="20"/>
              </w:rPr>
              <w:t>Amount</w:t>
            </w:r>
          </w:p>
        </w:tc>
        <w:tc>
          <w:tcPr>
            <w:tcW w:w="567" w:type="dxa"/>
            <w:shd w:val="clear" w:color="auto" w:fill="492581" w:themeFill="accent1"/>
            <w:vAlign w:val="center"/>
          </w:tcPr>
          <w:p w14:paraId="61899144"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386" w:type="dxa"/>
            <w:vMerge/>
          </w:tcPr>
          <w:p w14:paraId="7596B750" w14:textId="77777777" w:rsidR="0024157C" w:rsidRPr="00553169" w:rsidRDefault="0024157C">
            <w:pPr>
              <w:spacing w:before="80" w:after="80" w:line="259" w:lineRule="auto"/>
              <w:jc w:val="center"/>
              <w:rPr>
                <w:rFonts w:cstheme="minorHAnsi"/>
                <w:b/>
                <w:sz w:val="18"/>
                <w:szCs w:val="18"/>
                <w:highlight w:val="yellow"/>
              </w:rPr>
            </w:pPr>
          </w:p>
        </w:tc>
      </w:tr>
      <w:tr w:rsidR="00F5362D" w:rsidRPr="00553169" w14:paraId="106C3057" w14:textId="77777777" w:rsidTr="00623F03">
        <w:trPr>
          <w:cnfStyle w:val="000000010000" w:firstRow="0" w:lastRow="0" w:firstColumn="0" w:lastColumn="0" w:oddVBand="0" w:evenVBand="0" w:oddHBand="0" w:evenHBand="1" w:firstRowFirstColumn="0" w:firstRowLastColumn="0" w:lastRowFirstColumn="0" w:lastRowLastColumn="0"/>
          <w:trHeight w:val="2098"/>
        </w:trPr>
        <w:tc>
          <w:tcPr>
            <w:tcW w:w="1484" w:type="dxa"/>
            <w:shd w:val="clear" w:color="auto" w:fill="D9D9D9" w:themeFill="background1" w:themeFillShade="D9"/>
          </w:tcPr>
          <w:p w14:paraId="3C66267C" w14:textId="5910195A" w:rsidR="00F5362D" w:rsidRPr="00E44678" w:rsidRDefault="00F5362D" w:rsidP="00F5362D">
            <w:pPr>
              <w:autoSpaceDE w:val="0"/>
              <w:autoSpaceDN w:val="0"/>
              <w:adjustRightInd w:val="0"/>
              <w:spacing w:before="80" w:after="80" w:line="259" w:lineRule="auto"/>
              <w:rPr>
                <w:sz w:val="18"/>
                <w:szCs w:val="18"/>
              </w:rPr>
            </w:pPr>
            <w:r w:rsidRPr="00844BE3">
              <w:rPr>
                <w:rFonts w:cstheme="minorHAnsi"/>
                <w:color w:val="000000"/>
                <w:sz w:val="18"/>
                <w:szCs w:val="18"/>
              </w:rPr>
              <w:t>Carry on the business of insurer of territory risks</w:t>
            </w:r>
          </w:p>
        </w:tc>
        <w:tc>
          <w:tcPr>
            <w:tcW w:w="3478" w:type="dxa"/>
            <w:shd w:val="clear" w:color="auto" w:fill="auto"/>
          </w:tcPr>
          <w:p w14:paraId="35DF304D" w14:textId="1987070B" w:rsidR="00F5362D" w:rsidRPr="00E44678" w:rsidRDefault="00F5362D" w:rsidP="00A36E9A">
            <w:pPr>
              <w:numPr>
                <w:ilvl w:val="0"/>
                <w:numId w:val="17"/>
              </w:numPr>
              <w:spacing w:before="80" w:after="80" w:line="259" w:lineRule="auto"/>
              <w:ind w:left="462" w:hanging="284"/>
              <w:rPr>
                <w:rFonts w:cstheme="minorHAnsi"/>
                <w:sz w:val="18"/>
                <w:szCs w:val="18"/>
              </w:rPr>
            </w:pPr>
            <w:r w:rsidRPr="00E44678">
              <w:rPr>
                <w:rFonts w:cstheme="minorHAnsi"/>
                <w:sz w:val="18"/>
                <w:szCs w:val="18"/>
              </w:rPr>
              <w:t>The average number of days to process settlement of claims payments from the day all required documents are received from the agency.</w:t>
            </w:r>
          </w:p>
        </w:tc>
        <w:tc>
          <w:tcPr>
            <w:tcW w:w="1701" w:type="dxa"/>
            <w:shd w:val="clear" w:color="auto" w:fill="auto"/>
          </w:tcPr>
          <w:p w14:paraId="4E4CB7DD" w14:textId="08F0B723" w:rsidR="00F5362D" w:rsidRPr="000D7D70" w:rsidRDefault="00F5362D" w:rsidP="00F5362D">
            <w:pPr>
              <w:numPr>
                <w:ilvl w:val="12"/>
                <w:numId w:val="0"/>
              </w:numPr>
              <w:spacing w:before="80" w:after="80" w:line="259" w:lineRule="auto"/>
              <w:jc w:val="center"/>
              <w:rPr>
                <w:rFonts w:cstheme="minorHAnsi"/>
                <w:sz w:val="18"/>
                <w:szCs w:val="18"/>
              </w:rPr>
            </w:pPr>
            <w:r w:rsidRPr="000D7D70">
              <w:rPr>
                <w:rFonts w:cstheme="minorHAnsi"/>
                <w:sz w:val="18"/>
                <w:szCs w:val="18"/>
              </w:rPr>
              <w:t>14 days</w:t>
            </w:r>
          </w:p>
        </w:tc>
        <w:tc>
          <w:tcPr>
            <w:tcW w:w="1564" w:type="dxa"/>
            <w:gridSpan w:val="2"/>
            <w:shd w:val="clear" w:color="auto" w:fill="auto"/>
          </w:tcPr>
          <w:p w14:paraId="70367478" w14:textId="79A5C323" w:rsidR="00F5362D" w:rsidRPr="00913579" w:rsidRDefault="00AB1646" w:rsidP="00F5362D">
            <w:pPr>
              <w:spacing w:before="80" w:after="80" w:line="259" w:lineRule="auto"/>
              <w:jc w:val="center"/>
              <w:rPr>
                <w:rFonts w:cstheme="minorHAnsi"/>
                <w:sz w:val="18"/>
                <w:szCs w:val="18"/>
              </w:rPr>
            </w:pPr>
            <w:r w:rsidRPr="00913579">
              <w:rPr>
                <w:rFonts w:cstheme="minorHAnsi"/>
                <w:sz w:val="18"/>
                <w:szCs w:val="18"/>
              </w:rPr>
              <w:t>21</w:t>
            </w:r>
            <w:r w:rsidR="00F5362D" w:rsidRPr="00913579">
              <w:rPr>
                <w:rFonts w:cstheme="minorHAnsi"/>
                <w:sz w:val="18"/>
                <w:szCs w:val="18"/>
              </w:rPr>
              <w:t xml:space="preserve"> days</w:t>
            </w:r>
          </w:p>
        </w:tc>
        <w:tc>
          <w:tcPr>
            <w:tcW w:w="562" w:type="dxa"/>
            <w:shd w:val="clear" w:color="auto" w:fill="auto"/>
          </w:tcPr>
          <w:p w14:paraId="741F21F7" w14:textId="673C1637" w:rsidR="00F5362D" w:rsidRPr="00913579" w:rsidRDefault="007C321E" w:rsidP="00F5362D">
            <w:pPr>
              <w:spacing w:before="80" w:after="80" w:line="259" w:lineRule="auto"/>
              <w:jc w:val="center"/>
              <w:rPr>
                <w:sz w:val="18"/>
                <w:szCs w:val="18"/>
              </w:rPr>
            </w:pPr>
            <w:r w:rsidRPr="00913579">
              <w:rPr>
                <w:sz w:val="18"/>
                <w:szCs w:val="18"/>
              </w:rPr>
              <w:t>7</w:t>
            </w:r>
          </w:p>
        </w:tc>
        <w:tc>
          <w:tcPr>
            <w:tcW w:w="567" w:type="dxa"/>
            <w:shd w:val="clear" w:color="auto" w:fill="auto"/>
          </w:tcPr>
          <w:p w14:paraId="69670307" w14:textId="10D858F2" w:rsidR="00F5362D" w:rsidRPr="00913579" w:rsidRDefault="00842C54" w:rsidP="00F5362D">
            <w:pPr>
              <w:spacing w:before="80" w:after="80" w:line="259" w:lineRule="auto"/>
              <w:jc w:val="center"/>
              <w:rPr>
                <w:sz w:val="18"/>
                <w:szCs w:val="18"/>
              </w:rPr>
            </w:pPr>
            <w:r w:rsidRPr="00913579">
              <w:rPr>
                <w:sz w:val="18"/>
                <w:szCs w:val="18"/>
              </w:rPr>
              <w:t>50</w:t>
            </w:r>
          </w:p>
        </w:tc>
        <w:tc>
          <w:tcPr>
            <w:tcW w:w="5386" w:type="dxa"/>
            <w:shd w:val="clear" w:color="auto" w:fill="auto"/>
          </w:tcPr>
          <w:p w14:paraId="2FEC1EF3" w14:textId="71371859" w:rsidR="00F5362D" w:rsidRPr="0094568F" w:rsidRDefault="009C06F8" w:rsidP="00F5362D">
            <w:pPr>
              <w:spacing w:before="80" w:after="80" w:line="259" w:lineRule="auto"/>
              <w:rPr>
                <w:rFonts w:cstheme="minorHAnsi"/>
                <w:sz w:val="18"/>
                <w:szCs w:val="18"/>
                <w:highlight w:val="yellow"/>
              </w:rPr>
            </w:pPr>
            <w:r w:rsidRPr="009C06F8">
              <w:rPr>
                <w:rFonts w:cstheme="minorHAnsi"/>
                <w:sz w:val="18"/>
                <w:szCs w:val="18"/>
              </w:rPr>
              <w:t xml:space="preserve">Longer average payment days is mainly due to a substantially large volume of historical claims settled and finalised during the 2023-24 year. The Authority ensured all payments were processed and paid in a timely manner as per settlement terms, court orders, and any other payment requests from the ACT Government Solicitor’s Office. Most of the settlement terms allow more than 14 days payment terms. The Authority did not incur any fines, </w:t>
            </w:r>
            <w:proofErr w:type="gramStart"/>
            <w:r w:rsidRPr="009C06F8">
              <w:rPr>
                <w:rFonts w:cstheme="minorHAnsi"/>
                <w:sz w:val="18"/>
                <w:szCs w:val="18"/>
              </w:rPr>
              <w:t>interest</w:t>
            </w:r>
            <w:proofErr w:type="gramEnd"/>
            <w:r w:rsidRPr="009C06F8">
              <w:rPr>
                <w:rFonts w:cstheme="minorHAnsi"/>
                <w:sz w:val="18"/>
                <w:szCs w:val="18"/>
              </w:rPr>
              <w:t xml:space="preserve"> or penalties for settlement payments during the year.</w:t>
            </w:r>
          </w:p>
        </w:tc>
      </w:tr>
      <w:tr w:rsidR="00F54324" w:rsidRPr="00553169" w14:paraId="21FB3E80" w14:textId="77777777" w:rsidTr="00623F03">
        <w:trPr>
          <w:trHeight w:val="1418"/>
        </w:trPr>
        <w:tc>
          <w:tcPr>
            <w:tcW w:w="1484" w:type="dxa"/>
            <w:vMerge w:val="restart"/>
            <w:shd w:val="clear" w:color="auto" w:fill="D9D9D9" w:themeFill="background1" w:themeFillShade="D9"/>
          </w:tcPr>
          <w:p w14:paraId="4B8E0A6A" w14:textId="77777777" w:rsidR="00BC4A5E" w:rsidRPr="00E44678" w:rsidRDefault="00BC4A5E" w:rsidP="00BC4A5E">
            <w:pPr>
              <w:autoSpaceDE w:val="0"/>
              <w:autoSpaceDN w:val="0"/>
              <w:adjustRightInd w:val="0"/>
              <w:spacing w:before="80" w:after="80" w:line="259" w:lineRule="auto"/>
              <w:rPr>
                <w:rFonts w:cstheme="minorHAnsi"/>
                <w:sz w:val="18"/>
                <w:szCs w:val="18"/>
              </w:rPr>
            </w:pPr>
            <w:r w:rsidRPr="00E44678">
              <w:rPr>
                <w:sz w:val="18"/>
                <w:szCs w:val="18"/>
              </w:rPr>
              <w:t>Take out insurance of territory risks with other entities</w:t>
            </w:r>
          </w:p>
        </w:tc>
        <w:tc>
          <w:tcPr>
            <w:tcW w:w="3478" w:type="dxa"/>
            <w:shd w:val="clear" w:color="auto" w:fill="F2F2F2" w:themeFill="background1" w:themeFillShade="F2"/>
          </w:tcPr>
          <w:p w14:paraId="23325894" w14:textId="023CB92D" w:rsidR="00BC4A5E" w:rsidRPr="00D76D24" w:rsidRDefault="00BC4A5E" w:rsidP="00A36E9A">
            <w:pPr>
              <w:numPr>
                <w:ilvl w:val="0"/>
                <w:numId w:val="17"/>
              </w:numPr>
              <w:spacing w:before="80" w:after="80" w:line="259" w:lineRule="auto"/>
              <w:ind w:left="462" w:hanging="284"/>
              <w:rPr>
                <w:rFonts w:cstheme="minorHAnsi"/>
                <w:sz w:val="18"/>
                <w:szCs w:val="18"/>
              </w:rPr>
            </w:pPr>
            <w:r w:rsidRPr="00D76D24">
              <w:rPr>
                <w:rFonts w:cstheme="minorHAnsi"/>
                <w:sz w:val="18"/>
                <w:szCs w:val="18"/>
              </w:rPr>
              <w:t xml:space="preserve">Complete Property Loss Control Surveys undertaken at </w:t>
            </w:r>
            <w:proofErr w:type="gramStart"/>
            <w:r w:rsidRPr="00D76D24">
              <w:rPr>
                <w:rFonts w:cstheme="minorHAnsi"/>
                <w:sz w:val="18"/>
                <w:szCs w:val="18"/>
              </w:rPr>
              <w:t>a number of</w:t>
            </w:r>
            <w:proofErr w:type="gramEnd"/>
            <w:r w:rsidRPr="00D76D24">
              <w:rPr>
                <w:rFonts w:cstheme="minorHAnsi"/>
                <w:sz w:val="18"/>
                <w:szCs w:val="18"/>
              </w:rPr>
              <w:t xml:space="preserve"> selected Territory locations.</w:t>
            </w:r>
          </w:p>
        </w:tc>
        <w:tc>
          <w:tcPr>
            <w:tcW w:w="1701" w:type="dxa"/>
            <w:shd w:val="clear" w:color="auto" w:fill="F2F2F2" w:themeFill="background1" w:themeFillShade="F2"/>
          </w:tcPr>
          <w:p w14:paraId="1E417C2D" w14:textId="4C9F2F39" w:rsidR="00BC4A5E" w:rsidRPr="000D7D70" w:rsidRDefault="00BC4A5E" w:rsidP="0094568F">
            <w:pPr>
              <w:numPr>
                <w:ilvl w:val="12"/>
                <w:numId w:val="0"/>
              </w:numPr>
              <w:spacing w:after="80"/>
              <w:jc w:val="center"/>
              <w:rPr>
                <w:rFonts w:cstheme="minorHAnsi"/>
                <w:sz w:val="18"/>
                <w:szCs w:val="18"/>
              </w:rPr>
            </w:pPr>
            <w:r w:rsidRPr="000D7D70">
              <w:rPr>
                <w:rFonts w:cs="Calibri"/>
                <w:sz w:val="18"/>
                <w:szCs w:val="18"/>
                <w:bdr w:val="nil"/>
              </w:rPr>
              <w:t>8</w:t>
            </w:r>
          </w:p>
        </w:tc>
        <w:tc>
          <w:tcPr>
            <w:tcW w:w="1564" w:type="dxa"/>
            <w:gridSpan w:val="2"/>
            <w:shd w:val="clear" w:color="auto" w:fill="F2F2F2" w:themeFill="background1" w:themeFillShade="F2"/>
          </w:tcPr>
          <w:p w14:paraId="51457BBA" w14:textId="23C9A876" w:rsidR="00BC4A5E" w:rsidRPr="00206381" w:rsidRDefault="00BC4A5E" w:rsidP="00BC4A5E">
            <w:pPr>
              <w:spacing w:before="80" w:after="80" w:line="259" w:lineRule="auto"/>
              <w:jc w:val="center"/>
              <w:rPr>
                <w:rFonts w:cstheme="minorHAnsi"/>
                <w:sz w:val="18"/>
                <w:szCs w:val="18"/>
              </w:rPr>
            </w:pPr>
            <w:r w:rsidRPr="00206381">
              <w:rPr>
                <w:rFonts w:cs="Calibri"/>
                <w:sz w:val="18"/>
                <w:szCs w:val="18"/>
              </w:rPr>
              <w:t>8</w:t>
            </w:r>
          </w:p>
        </w:tc>
        <w:tc>
          <w:tcPr>
            <w:tcW w:w="562" w:type="dxa"/>
            <w:shd w:val="clear" w:color="auto" w:fill="F2F2F2" w:themeFill="background1" w:themeFillShade="F2"/>
          </w:tcPr>
          <w:p w14:paraId="71A85CF1" w14:textId="20EE0DC8" w:rsidR="00BC4A5E" w:rsidRPr="00206381" w:rsidRDefault="00206381" w:rsidP="00BC4A5E">
            <w:pPr>
              <w:spacing w:before="80" w:after="80" w:line="259" w:lineRule="auto"/>
              <w:jc w:val="center"/>
              <w:rPr>
                <w:sz w:val="18"/>
                <w:szCs w:val="18"/>
              </w:rPr>
            </w:pPr>
            <w:r>
              <w:rPr>
                <w:sz w:val="18"/>
                <w:szCs w:val="18"/>
              </w:rPr>
              <w:t>-</w:t>
            </w:r>
          </w:p>
        </w:tc>
        <w:tc>
          <w:tcPr>
            <w:tcW w:w="567" w:type="dxa"/>
            <w:shd w:val="clear" w:color="auto" w:fill="F2F2F2" w:themeFill="background1" w:themeFillShade="F2"/>
          </w:tcPr>
          <w:p w14:paraId="6302899A" w14:textId="1E228970" w:rsidR="00BC4A5E" w:rsidRPr="00206381" w:rsidRDefault="00206381" w:rsidP="00BC4A5E">
            <w:pPr>
              <w:spacing w:before="80" w:after="80" w:line="259" w:lineRule="auto"/>
              <w:jc w:val="center"/>
              <w:rPr>
                <w:sz w:val="18"/>
                <w:szCs w:val="18"/>
              </w:rPr>
            </w:pPr>
            <w:r>
              <w:rPr>
                <w:sz w:val="18"/>
                <w:szCs w:val="18"/>
              </w:rPr>
              <w:t>-</w:t>
            </w:r>
          </w:p>
        </w:tc>
        <w:tc>
          <w:tcPr>
            <w:tcW w:w="5386" w:type="dxa"/>
            <w:shd w:val="clear" w:color="auto" w:fill="F2F2F2" w:themeFill="background1" w:themeFillShade="F2"/>
          </w:tcPr>
          <w:p w14:paraId="7365C31E" w14:textId="4AFBFEF0" w:rsidR="00BC4A5E" w:rsidRPr="00553169" w:rsidRDefault="00BC4A5E" w:rsidP="00BC4A5E">
            <w:pPr>
              <w:spacing w:before="80" w:after="80" w:line="259" w:lineRule="auto"/>
              <w:rPr>
                <w:rFonts w:cstheme="minorHAnsi"/>
                <w:sz w:val="18"/>
                <w:szCs w:val="18"/>
                <w:highlight w:val="yellow"/>
              </w:rPr>
            </w:pPr>
          </w:p>
        </w:tc>
      </w:tr>
      <w:tr w:rsidR="00BC4A5E" w:rsidRPr="00553169" w14:paraId="7882D833" w14:textId="77777777" w:rsidTr="00623F03">
        <w:trPr>
          <w:cnfStyle w:val="000000010000" w:firstRow="0" w:lastRow="0" w:firstColumn="0" w:lastColumn="0" w:oddVBand="0" w:evenVBand="0" w:oddHBand="0" w:evenHBand="1" w:firstRowFirstColumn="0" w:firstRowLastColumn="0" w:lastRowFirstColumn="0" w:lastRowLastColumn="0"/>
          <w:trHeight w:val="1376"/>
        </w:trPr>
        <w:tc>
          <w:tcPr>
            <w:tcW w:w="1484" w:type="dxa"/>
            <w:vMerge/>
          </w:tcPr>
          <w:p w14:paraId="3E997DDB" w14:textId="77777777" w:rsidR="0024157C" w:rsidRPr="00553169" w:rsidRDefault="0024157C">
            <w:pPr>
              <w:spacing w:before="80" w:after="80" w:line="259" w:lineRule="auto"/>
              <w:rPr>
                <w:rFonts w:cstheme="minorHAnsi"/>
                <w:sz w:val="18"/>
                <w:szCs w:val="18"/>
                <w:highlight w:val="yellow"/>
              </w:rPr>
            </w:pPr>
          </w:p>
        </w:tc>
        <w:tc>
          <w:tcPr>
            <w:tcW w:w="3478" w:type="dxa"/>
            <w:shd w:val="clear" w:color="auto" w:fill="auto"/>
          </w:tcPr>
          <w:p w14:paraId="217E0DBB" w14:textId="77777777" w:rsidR="0024157C" w:rsidRPr="00D76D24" w:rsidRDefault="0024157C" w:rsidP="00A36E9A">
            <w:pPr>
              <w:numPr>
                <w:ilvl w:val="0"/>
                <w:numId w:val="17"/>
              </w:numPr>
              <w:pBdr>
                <w:top w:val="nil"/>
                <w:left w:val="nil"/>
                <w:bottom w:val="nil"/>
                <w:right w:val="nil"/>
                <w:between w:val="nil"/>
                <w:bar w:val="nil"/>
              </w:pBdr>
              <w:spacing w:before="80" w:after="80" w:line="259" w:lineRule="auto"/>
              <w:ind w:left="462" w:hanging="284"/>
              <w:rPr>
                <w:rFonts w:cstheme="minorHAnsi"/>
                <w:sz w:val="18"/>
                <w:szCs w:val="18"/>
              </w:rPr>
            </w:pPr>
            <w:r w:rsidRPr="00D76D24">
              <w:rPr>
                <w:rFonts w:cstheme="minorHAnsi"/>
                <w:sz w:val="18"/>
                <w:szCs w:val="18"/>
              </w:rPr>
              <w:t xml:space="preserve">Hold </w:t>
            </w:r>
            <w:bookmarkStart w:id="107" w:name="_Hlk78287626"/>
            <w:r w:rsidRPr="00D76D24">
              <w:rPr>
                <w:rFonts w:cstheme="minorHAnsi"/>
                <w:sz w:val="18"/>
                <w:szCs w:val="18"/>
              </w:rPr>
              <w:t>quarterly reviews of all public liability and medical malpractice claims to assess the claim management strategy for matters where the Territory’s reserve exceeds $250,000.</w:t>
            </w:r>
            <w:bookmarkEnd w:id="107"/>
          </w:p>
        </w:tc>
        <w:tc>
          <w:tcPr>
            <w:tcW w:w="1701" w:type="dxa"/>
            <w:shd w:val="clear" w:color="auto" w:fill="auto"/>
          </w:tcPr>
          <w:p w14:paraId="7BE18A3C" w14:textId="77777777" w:rsidR="0024157C" w:rsidRPr="00D76D24" w:rsidRDefault="0024157C">
            <w:pPr>
              <w:numPr>
                <w:ilvl w:val="12"/>
                <w:numId w:val="0"/>
              </w:numPr>
              <w:spacing w:before="80" w:after="80" w:line="259" w:lineRule="auto"/>
              <w:jc w:val="center"/>
              <w:rPr>
                <w:rFonts w:cstheme="minorHAnsi"/>
                <w:sz w:val="18"/>
                <w:szCs w:val="18"/>
              </w:rPr>
            </w:pPr>
            <w:r w:rsidRPr="00D76D24">
              <w:rPr>
                <w:rFonts w:cs="Calibri"/>
                <w:sz w:val="18"/>
                <w:szCs w:val="18"/>
              </w:rPr>
              <w:t>4</w:t>
            </w:r>
          </w:p>
        </w:tc>
        <w:tc>
          <w:tcPr>
            <w:tcW w:w="1564" w:type="dxa"/>
            <w:gridSpan w:val="2"/>
            <w:shd w:val="clear" w:color="auto" w:fill="auto"/>
          </w:tcPr>
          <w:p w14:paraId="16810EB2" w14:textId="77777777" w:rsidR="0024157C" w:rsidRPr="00206381" w:rsidRDefault="0024157C">
            <w:pPr>
              <w:spacing w:before="80" w:after="80" w:line="259" w:lineRule="auto"/>
              <w:jc w:val="center"/>
              <w:rPr>
                <w:rFonts w:cstheme="minorHAnsi"/>
                <w:sz w:val="18"/>
                <w:szCs w:val="18"/>
              </w:rPr>
            </w:pPr>
            <w:r w:rsidRPr="00206381">
              <w:rPr>
                <w:rFonts w:cs="Calibri"/>
                <w:sz w:val="18"/>
                <w:szCs w:val="18"/>
              </w:rPr>
              <w:t>4</w:t>
            </w:r>
          </w:p>
        </w:tc>
        <w:tc>
          <w:tcPr>
            <w:tcW w:w="562" w:type="dxa"/>
            <w:shd w:val="clear" w:color="auto" w:fill="auto"/>
          </w:tcPr>
          <w:p w14:paraId="701D6F8B" w14:textId="77777777" w:rsidR="0024157C" w:rsidRPr="00206381" w:rsidRDefault="0024157C">
            <w:pPr>
              <w:spacing w:before="80" w:after="80" w:line="259" w:lineRule="auto"/>
              <w:jc w:val="center"/>
              <w:rPr>
                <w:rFonts w:cstheme="minorHAnsi"/>
                <w:sz w:val="18"/>
                <w:szCs w:val="18"/>
              </w:rPr>
            </w:pPr>
            <w:r w:rsidRPr="00206381">
              <w:rPr>
                <w:rFonts w:cs="Calibri"/>
                <w:sz w:val="18"/>
                <w:szCs w:val="18"/>
              </w:rPr>
              <w:t>-</w:t>
            </w:r>
          </w:p>
        </w:tc>
        <w:tc>
          <w:tcPr>
            <w:tcW w:w="567" w:type="dxa"/>
            <w:shd w:val="clear" w:color="auto" w:fill="auto"/>
          </w:tcPr>
          <w:p w14:paraId="344D2022" w14:textId="77777777" w:rsidR="0024157C" w:rsidRPr="00206381" w:rsidRDefault="0024157C">
            <w:pPr>
              <w:spacing w:before="80" w:after="80" w:line="259" w:lineRule="auto"/>
              <w:jc w:val="center"/>
              <w:rPr>
                <w:rFonts w:cstheme="minorHAnsi"/>
                <w:sz w:val="18"/>
                <w:szCs w:val="18"/>
              </w:rPr>
            </w:pPr>
            <w:r w:rsidRPr="00206381">
              <w:rPr>
                <w:rFonts w:cs="Calibri"/>
                <w:sz w:val="18"/>
                <w:szCs w:val="18"/>
              </w:rPr>
              <w:t>-</w:t>
            </w:r>
          </w:p>
        </w:tc>
        <w:tc>
          <w:tcPr>
            <w:tcW w:w="5386" w:type="dxa"/>
            <w:shd w:val="clear" w:color="auto" w:fill="auto"/>
          </w:tcPr>
          <w:p w14:paraId="0DD67CEA" w14:textId="77777777" w:rsidR="0024157C" w:rsidRPr="00553169" w:rsidRDefault="0024157C">
            <w:pPr>
              <w:spacing w:before="80" w:after="80" w:line="259" w:lineRule="auto"/>
              <w:rPr>
                <w:rFonts w:cstheme="minorHAnsi"/>
                <w:sz w:val="18"/>
                <w:szCs w:val="18"/>
                <w:highlight w:val="yellow"/>
              </w:rPr>
            </w:pPr>
          </w:p>
        </w:tc>
      </w:tr>
    </w:tbl>
    <w:p w14:paraId="4EAD0966" w14:textId="4111BE69" w:rsidR="0024157C" w:rsidRPr="00553169" w:rsidRDefault="0024157C" w:rsidP="0024157C">
      <w:pPr>
        <w:spacing w:after="160" w:line="259" w:lineRule="auto"/>
        <w:rPr>
          <w:rFonts w:cs="Montserrat Semi Bold"/>
          <w:b/>
          <w:bCs/>
          <w:color w:val="000000"/>
          <w:sz w:val="34"/>
          <w:szCs w:val="34"/>
          <w:highlight w:val="yellow"/>
        </w:rPr>
      </w:pPr>
    </w:p>
    <w:p w14:paraId="16782846" w14:textId="77777777" w:rsidR="004F6D58" w:rsidRDefault="004F6D58">
      <w:pPr>
        <w:spacing w:after="0" w:line="240" w:lineRule="auto"/>
        <w:rPr>
          <w:rFonts w:cs="Montserrat Semi Bold"/>
          <w:b/>
          <w:bCs/>
          <w:color w:val="000000"/>
          <w:sz w:val="34"/>
          <w:szCs w:val="34"/>
        </w:rPr>
      </w:pPr>
      <w:r>
        <w:rPr>
          <w:rFonts w:cs="Montserrat Semi Bold"/>
          <w:b/>
          <w:bCs/>
          <w:color w:val="000000"/>
          <w:sz w:val="34"/>
          <w:szCs w:val="34"/>
        </w:rPr>
        <w:br w:type="page"/>
      </w:r>
    </w:p>
    <w:p w14:paraId="5F4E650B" w14:textId="292BF58F" w:rsidR="0024157C" w:rsidRPr="00D76D24" w:rsidRDefault="0024157C" w:rsidP="0024157C">
      <w:pPr>
        <w:autoSpaceDE w:val="0"/>
        <w:autoSpaceDN w:val="0"/>
        <w:adjustRightInd w:val="0"/>
        <w:spacing w:after="47"/>
        <w:rPr>
          <w:rFonts w:cs="Montserrat Semi Bold"/>
          <w:b/>
          <w:bCs/>
          <w:color w:val="000000"/>
          <w:sz w:val="34"/>
          <w:szCs w:val="34"/>
        </w:rPr>
      </w:pPr>
      <w:r w:rsidRPr="00D76D24">
        <w:rPr>
          <w:rFonts w:cs="Montserrat Semi Bold"/>
          <w:b/>
          <w:bCs/>
          <w:color w:val="000000"/>
          <w:sz w:val="34"/>
          <w:szCs w:val="34"/>
        </w:rPr>
        <w:lastRenderedPageBreak/>
        <w:t>ACT INSURANCE AUTHORITY STATEMENT OF PERFORMANCE</w:t>
      </w:r>
      <w:r w:rsidRPr="00D76D24">
        <w:rPr>
          <w:rFonts w:cs="Montserrat Semi Bold"/>
          <w:b/>
          <w:bCs/>
          <w:color w:val="000000"/>
          <w:sz w:val="34"/>
          <w:szCs w:val="34"/>
        </w:rPr>
        <w:br/>
      </w:r>
      <w:r w:rsidRPr="00D76D24">
        <w:rPr>
          <w:rFonts w:cs="Montserrat Semi Bold"/>
          <w:b/>
          <w:bCs/>
          <w:color w:val="000000"/>
          <w:sz w:val="28"/>
          <w:szCs w:val="28"/>
        </w:rPr>
        <w:t>FOR THE YEAR ENDED 30 JUNE 202</w:t>
      </w:r>
      <w:r w:rsidR="002462F3">
        <w:rPr>
          <w:rFonts w:cs="Montserrat Semi Bold"/>
          <w:b/>
          <w:bCs/>
          <w:color w:val="000000"/>
          <w:sz w:val="28"/>
          <w:szCs w:val="28"/>
        </w:rPr>
        <w:t>4</w:t>
      </w:r>
    </w:p>
    <w:tbl>
      <w:tblPr>
        <w:tblStyle w:val="ARTable"/>
        <w:tblW w:w="14742" w:type="dxa"/>
        <w:tblLayout w:type="fixed"/>
        <w:tblLook w:val="0020" w:firstRow="1" w:lastRow="0" w:firstColumn="0" w:lastColumn="0" w:noHBand="0" w:noVBand="0"/>
      </w:tblPr>
      <w:tblGrid>
        <w:gridCol w:w="1484"/>
        <w:gridCol w:w="3619"/>
        <w:gridCol w:w="1560"/>
        <w:gridCol w:w="346"/>
        <w:gridCol w:w="788"/>
        <w:gridCol w:w="430"/>
        <w:gridCol w:w="704"/>
        <w:gridCol w:w="425"/>
        <w:gridCol w:w="104"/>
        <w:gridCol w:w="5282"/>
      </w:tblGrid>
      <w:tr w:rsidR="0024157C" w:rsidRPr="00B71879" w14:paraId="589AB31D" w14:textId="77777777" w:rsidTr="00A0709A">
        <w:trPr>
          <w:cnfStyle w:val="100000000000" w:firstRow="1" w:lastRow="0" w:firstColumn="0" w:lastColumn="0" w:oddVBand="0" w:evenVBand="0" w:oddHBand="0" w:evenHBand="0" w:firstRowFirstColumn="0" w:firstRowLastColumn="0" w:lastRowFirstColumn="0" w:lastRowLastColumn="0"/>
          <w:trHeight w:val="522"/>
        </w:trPr>
        <w:tc>
          <w:tcPr>
            <w:tcW w:w="1484" w:type="dxa"/>
            <w:vMerge w:val="restart"/>
            <w:vAlign w:val="bottom"/>
          </w:tcPr>
          <w:p w14:paraId="5D8752C7"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619" w:type="dxa"/>
            <w:vMerge w:val="restart"/>
            <w:vAlign w:val="bottom"/>
          </w:tcPr>
          <w:p w14:paraId="2B7F78D5"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560" w:type="dxa"/>
            <w:vMerge w:val="restart"/>
            <w:vAlign w:val="center"/>
          </w:tcPr>
          <w:p w14:paraId="544B435E" w14:textId="6790121A"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Original Target</w:t>
            </w:r>
            <w:r w:rsidRPr="00B71879">
              <w:rPr>
                <w:rFonts w:cstheme="minorHAnsi"/>
                <w:b/>
                <w:color w:val="FFFFFF" w:themeColor="background1"/>
                <w:sz w:val="20"/>
                <w:szCs w:val="20"/>
              </w:rPr>
              <w:br/>
            </w:r>
            <w:r w:rsidR="00323290">
              <w:rPr>
                <w:rFonts w:cstheme="minorHAnsi"/>
                <w:b/>
                <w:color w:val="FFFFFF" w:themeColor="background1"/>
                <w:sz w:val="20"/>
                <w:szCs w:val="20"/>
              </w:rPr>
              <w:t>2023-24</w:t>
            </w:r>
          </w:p>
        </w:tc>
        <w:tc>
          <w:tcPr>
            <w:tcW w:w="1134" w:type="dxa"/>
            <w:gridSpan w:val="2"/>
            <w:vMerge w:val="restart"/>
            <w:vAlign w:val="center"/>
          </w:tcPr>
          <w:p w14:paraId="66644BA2" w14:textId="094277EF" w:rsidR="0024157C" w:rsidRPr="00B71879" w:rsidRDefault="0024157C">
            <w:pPr>
              <w:spacing w:after="40" w:line="259" w:lineRule="auto"/>
              <w:jc w:val="center"/>
              <w:rPr>
                <w:rFonts w:cstheme="minorHAnsi"/>
                <w:b/>
                <w:color w:val="FFFFFF" w:themeColor="background1"/>
                <w:sz w:val="20"/>
                <w:szCs w:val="20"/>
              </w:rPr>
            </w:pPr>
            <w:r w:rsidRPr="00B71879">
              <w:rPr>
                <w:rFonts w:cstheme="minorHAnsi"/>
                <w:b/>
                <w:color w:val="FFFFFF" w:themeColor="background1"/>
                <w:sz w:val="20"/>
                <w:szCs w:val="20"/>
              </w:rPr>
              <w:t>Actual</w:t>
            </w:r>
            <w:r w:rsidRPr="00B71879">
              <w:rPr>
                <w:rFonts w:cstheme="minorHAnsi"/>
                <w:b/>
                <w:color w:val="FFFFFF" w:themeColor="background1"/>
                <w:sz w:val="20"/>
                <w:szCs w:val="20"/>
              </w:rPr>
              <w:br/>
              <w:t>Result</w:t>
            </w:r>
            <w:r w:rsidRPr="00B71879">
              <w:rPr>
                <w:rFonts w:cstheme="minorHAnsi"/>
                <w:b/>
                <w:color w:val="FFFFFF" w:themeColor="background1"/>
                <w:sz w:val="20"/>
                <w:szCs w:val="20"/>
              </w:rPr>
              <w:br/>
            </w:r>
            <w:r w:rsidR="00323290">
              <w:rPr>
                <w:rFonts w:cstheme="minorHAnsi"/>
                <w:b/>
                <w:color w:val="FFFFFF" w:themeColor="background1"/>
                <w:sz w:val="20"/>
                <w:szCs w:val="20"/>
              </w:rPr>
              <w:t>2023-24</w:t>
            </w:r>
          </w:p>
        </w:tc>
        <w:tc>
          <w:tcPr>
            <w:tcW w:w="1559" w:type="dxa"/>
            <w:gridSpan w:val="3"/>
            <w:vAlign w:val="center"/>
          </w:tcPr>
          <w:p w14:paraId="30B66191" w14:textId="53E49014" w:rsidR="0024157C" w:rsidRPr="00B71879" w:rsidRDefault="00C15E00" w:rsidP="00C15E0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386" w:type="dxa"/>
            <w:gridSpan w:val="2"/>
            <w:vAlign w:val="bottom"/>
          </w:tcPr>
          <w:p w14:paraId="5FC9B7BD" w14:textId="409A93CC" w:rsidR="0024157C" w:rsidRPr="00B71879" w:rsidRDefault="0024157C">
            <w:pPr>
              <w:spacing w:after="40" w:line="259" w:lineRule="auto"/>
              <w:rPr>
                <w:rFonts w:cstheme="minorHAnsi"/>
                <w:b/>
                <w:color w:val="FFFFFF" w:themeColor="background1"/>
                <w:sz w:val="20"/>
                <w:szCs w:val="20"/>
              </w:rPr>
            </w:pPr>
          </w:p>
        </w:tc>
      </w:tr>
      <w:tr w:rsidR="0024157C" w:rsidRPr="00553169" w14:paraId="26F9DEFF" w14:textId="77777777" w:rsidTr="004508C5">
        <w:trPr>
          <w:trHeight w:val="643"/>
        </w:trPr>
        <w:tc>
          <w:tcPr>
            <w:tcW w:w="1484" w:type="dxa"/>
            <w:vMerge/>
          </w:tcPr>
          <w:p w14:paraId="41D63720" w14:textId="77777777" w:rsidR="0024157C" w:rsidRPr="00D76D24" w:rsidRDefault="0024157C">
            <w:pPr>
              <w:spacing w:before="80" w:after="80" w:line="259" w:lineRule="auto"/>
              <w:jc w:val="center"/>
              <w:rPr>
                <w:rFonts w:cstheme="minorHAnsi"/>
                <w:b/>
                <w:sz w:val="18"/>
                <w:szCs w:val="18"/>
              </w:rPr>
            </w:pPr>
          </w:p>
        </w:tc>
        <w:tc>
          <w:tcPr>
            <w:tcW w:w="3619" w:type="dxa"/>
            <w:vMerge/>
          </w:tcPr>
          <w:p w14:paraId="520DAD6D" w14:textId="77777777" w:rsidR="0024157C" w:rsidRPr="00D76D24" w:rsidRDefault="0024157C">
            <w:pPr>
              <w:spacing w:before="80" w:after="80" w:line="259" w:lineRule="auto"/>
              <w:jc w:val="center"/>
              <w:rPr>
                <w:rFonts w:cstheme="minorHAnsi"/>
                <w:b/>
                <w:sz w:val="18"/>
                <w:szCs w:val="18"/>
              </w:rPr>
            </w:pPr>
          </w:p>
        </w:tc>
        <w:tc>
          <w:tcPr>
            <w:tcW w:w="1560" w:type="dxa"/>
            <w:vMerge/>
          </w:tcPr>
          <w:p w14:paraId="71C31087" w14:textId="77777777" w:rsidR="0024157C" w:rsidRPr="00D76D24" w:rsidRDefault="0024157C">
            <w:pPr>
              <w:spacing w:before="80" w:after="80" w:line="259" w:lineRule="auto"/>
              <w:jc w:val="center"/>
              <w:rPr>
                <w:rFonts w:cstheme="minorHAnsi"/>
                <w:b/>
                <w:sz w:val="18"/>
                <w:szCs w:val="18"/>
              </w:rPr>
            </w:pPr>
          </w:p>
        </w:tc>
        <w:tc>
          <w:tcPr>
            <w:tcW w:w="1134" w:type="dxa"/>
            <w:gridSpan w:val="2"/>
            <w:vMerge/>
          </w:tcPr>
          <w:p w14:paraId="635DF464" w14:textId="77777777" w:rsidR="0024157C" w:rsidRPr="00D76D24" w:rsidRDefault="0024157C">
            <w:pPr>
              <w:spacing w:before="80" w:after="80" w:line="259" w:lineRule="auto"/>
              <w:jc w:val="center"/>
              <w:rPr>
                <w:rFonts w:cstheme="minorHAnsi"/>
                <w:b/>
                <w:sz w:val="18"/>
                <w:szCs w:val="18"/>
              </w:rPr>
            </w:pPr>
          </w:p>
        </w:tc>
        <w:tc>
          <w:tcPr>
            <w:tcW w:w="1134" w:type="dxa"/>
            <w:gridSpan w:val="2"/>
            <w:shd w:val="clear" w:color="auto" w:fill="492581" w:themeFill="accent1"/>
            <w:vAlign w:val="center"/>
          </w:tcPr>
          <w:p w14:paraId="26758928" w14:textId="4B860AD6" w:rsidR="0024157C" w:rsidRPr="00B71879" w:rsidRDefault="00F41112">
            <w:pPr>
              <w:spacing w:before="80" w:after="80" w:line="259" w:lineRule="auto"/>
              <w:jc w:val="center"/>
              <w:rPr>
                <w:rFonts w:cstheme="minorHAnsi"/>
                <w:b/>
                <w:sz w:val="20"/>
                <w:szCs w:val="20"/>
              </w:rPr>
            </w:pPr>
            <w:r>
              <w:rPr>
                <w:rFonts w:cstheme="minorHAnsi"/>
                <w:b/>
                <w:sz w:val="20"/>
                <w:szCs w:val="20"/>
              </w:rPr>
              <w:t xml:space="preserve">   </w:t>
            </w:r>
            <w:r w:rsidR="0024157C" w:rsidRPr="00B71879">
              <w:rPr>
                <w:rFonts w:cstheme="minorHAnsi"/>
                <w:b/>
                <w:sz w:val="20"/>
                <w:szCs w:val="20"/>
              </w:rPr>
              <w:t>Amount</w:t>
            </w:r>
          </w:p>
        </w:tc>
        <w:tc>
          <w:tcPr>
            <w:tcW w:w="529" w:type="dxa"/>
            <w:gridSpan w:val="2"/>
            <w:shd w:val="clear" w:color="auto" w:fill="492581" w:themeFill="accent1"/>
            <w:vAlign w:val="center"/>
          </w:tcPr>
          <w:p w14:paraId="061B7B6E"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282" w:type="dxa"/>
            <w:shd w:val="clear" w:color="auto" w:fill="492581" w:themeFill="accent1"/>
          </w:tcPr>
          <w:p w14:paraId="675AF1C4" w14:textId="0524CBD6" w:rsidR="0024157C" w:rsidRPr="00D76D24" w:rsidRDefault="004A4DED" w:rsidP="00A0709A">
            <w:pPr>
              <w:spacing w:before="80" w:after="80" w:line="259" w:lineRule="auto"/>
              <w:rPr>
                <w:rFonts w:cstheme="minorHAnsi"/>
                <w:b/>
                <w:sz w:val="18"/>
                <w:szCs w:val="18"/>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E70B84" w:rsidRPr="00553169" w14:paraId="02D95E25" w14:textId="77777777" w:rsidTr="000021EC">
        <w:trPr>
          <w:cnfStyle w:val="000000010000" w:firstRow="0" w:lastRow="0" w:firstColumn="0" w:lastColumn="0" w:oddVBand="0" w:evenVBand="0" w:oddHBand="0" w:evenHBand="1" w:firstRowFirstColumn="0" w:firstRowLastColumn="0" w:lastRowFirstColumn="0" w:lastRowLastColumn="0"/>
          <w:trHeight w:val="1673"/>
        </w:trPr>
        <w:tc>
          <w:tcPr>
            <w:tcW w:w="1484" w:type="dxa"/>
            <w:vMerge w:val="restart"/>
          </w:tcPr>
          <w:p w14:paraId="5AEC9A9A" w14:textId="77777777" w:rsidR="00E70B84" w:rsidRPr="006F01B0" w:rsidRDefault="00E70B84" w:rsidP="00E70B84">
            <w:pPr>
              <w:autoSpaceDE w:val="0"/>
              <w:autoSpaceDN w:val="0"/>
              <w:adjustRightInd w:val="0"/>
              <w:spacing w:before="80" w:after="80" w:line="259" w:lineRule="auto"/>
              <w:rPr>
                <w:rFonts w:cstheme="minorHAnsi"/>
                <w:sz w:val="18"/>
                <w:szCs w:val="18"/>
              </w:rPr>
            </w:pPr>
            <w:r w:rsidRPr="006F01B0">
              <w:rPr>
                <w:iCs/>
                <w:sz w:val="18"/>
                <w:szCs w:val="18"/>
              </w:rPr>
              <w:t>Develop and promote good practices for the management of territory risks</w:t>
            </w:r>
          </w:p>
        </w:tc>
        <w:tc>
          <w:tcPr>
            <w:tcW w:w="3619" w:type="dxa"/>
            <w:shd w:val="clear" w:color="auto" w:fill="F2F2F2" w:themeFill="background1" w:themeFillShade="F2"/>
          </w:tcPr>
          <w:p w14:paraId="41F3E81A" w14:textId="2949BE6E" w:rsidR="00E70B84" w:rsidRPr="006F01B0" w:rsidRDefault="004A14FC" w:rsidP="00A36E9A">
            <w:pPr>
              <w:numPr>
                <w:ilvl w:val="0"/>
                <w:numId w:val="17"/>
              </w:numPr>
              <w:spacing w:before="80" w:after="80" w:line="259" w:lineRule="auto"/>
              <w:ind w:left="462" w:hanging="284"/>
              <w:rPr>
                <w:rFonts w:cstheme="minorHAnsi"/>
                <w:sz w:val="18"/>
                <w:szCs w:val="18"/>
              </w:rPr>
            </w:pPr>
            <w:r w:rsidRPr="006F01B0">
              <w:rPr>
                <w:rFonts w:cstheme="minorHAnsi"/>
                <w:sz w:val="18"/>
                <w:szCs w:val="18"/>
              </w:rPr>
              <w:t>Deliver a program of general and targeted risk management training courses to Territory agencies.</w:t>
            </w:r>
          </w:p>
        </w:tc>
        <w:tc>
          <w:tcPr>
            <w:tcW w:w="1906" w:type="dxa"/>
            <w:gridSpan w:val="2"/>
            <w:shd w:val="clear" w:color="auto" w:fill="F2F2F2" w:themeFill="background1" w:themeFillShade="F2"/>
          </w:tcPr>
          <w:p w14:paraId="5F05908D" w14:textId="08D2163F" w:rsidR="00E70B84" w:rsidRPr="009526B1" w:rsidRDefault="00E70B84" w:rsidP="00E70B84">
            <w:pPr>
              <w:numPr>
                <w:ilvl w:val="12"/>
                <w:numId w:val="0"/>
              </w:numPr>
              <w:spacing w:before="80" w:after="80" w:line="259" w:lineRule="auto"/>
              <w:jc w:val="center"/>
              <w:rPr>
                <w:rFonts w:cstheme="minorHAnsi"/>
                <w:sz w:val="18"/>
                <w:szCs w:val="18"/>
              </w:rPr>
            </w:pPr>
            <w:r w:rsidRPr="00CF6C1A">
              <w:rPr>
                <w:rFonts w:cstheme="minorHAnsi"/>
                <w:sz w:val="18"/>
                <w:szCs w:val="18"/>
              </w:rPr>
              <w:t>4</w:t>
            </w:r>
            <w:r w:rsidR="00910AA2">
              <w:rPr>
                <w:rFonts w:cstheme="minorHAnsi"/>
                <w:sz w:val="18"/>
                <w:szCs w:val="18"/>
              </w:rPr>
              <w:t>8</w:t>
            </w:r>
          </w:p>
        </w:tc>
        <w:tc>
          <w:tcPr>
            <w:tcW w:w="1218" w:type="dxa"/>
            <w:gridSpan w:val="2"/>
            <w:shd w:val="clear" w:color="auto" w:fill="F2F2F2" w:themeFill="background1" w:themeFillShade="F2"/>
          </w:tcPr>
          <w:p w14:paraId="73876908" w14:textId="30C873A3" w:rsidR="00E70B84" w:rsidRPr="00AA087E" w:rsidRDefault="0072148A" w:rsidP="00E70B84">
            <w:pPr>
              <w:spacing w:before="80" w:after="80" w:line="259" w:lineRule="auto"/>
              <w:jc w:val="center"/>
              <w:rPr>
                <w:rFonts w:cstheme="minorHAnsi"/>
                <w:sz w:val="18"/>
                <w:szCs w:val="18"/>
              </w:rPr>
            </w:pPr>
            <w:r w:rsidRPr="00AA087E">
              <w:rPr>
                <w:rFonts w:cstheme="minorHAnsi"/>
                <w:sz w:val="18"/>
                <w:szCs w:val="18"/>
              </w:rPr>
              <w:t>59</w:t>
            </w:r>
          </w:p>
        </w:tc>
        <w:tc>
          <w:tcPr>
            <w:tcW w:w="704" w:type="dxa"/>
            <w:shd w:val="clear" w:color="auto" w:fill="F2F2F2" w:themeFill="background1" w:themeFillShade="F2"/>
          </w:tcPr>
          <w:p w14:paraId="2CD542C1" w14:textId="46B378BD" w:rsidR="00E70B84" w:rsidRPr="00AA087E" w:rsidRDefault="00937683" w:rsidP="00E70B84">
            <w:pPr>
              <w:spacing w:before="80" w:after="80" w:line="259" w:lineRule="auto"/>
              <w:jc w:val="center"/>
              <w:rPr>
                <w:rFonts w:cstheme="minorHAnsi"/>
                <w:sz w:val="18"/>
                <w:szCs w:val="18"/>
              </w:rPr>
            </w:pPr>
            <w:r w:rsidRPr="00AA087E">
              <w:rPr>
                <w:rFonts w:cstheme="minorHAnsi"/>
                <w:sz w:val="18"/>
                <w:szCs w:val="18"/>
              </w:rPr>
              <w:t>1</w:t>
            </w:r>
            <w:r w:rsidR="00910AA2" w:rsidRPr="00AA087E">
              <w:rPr>
                <w:rFonts w:cstheme="minorHAnsi"/>
                <w:sz w:val="18"/>
                <w:szCs w:val="18"/>
              </w:rPr>
              <w:t>1</w:t>
            </w:r>
          </w:p>
        </w:tc>
        <w:tc>
          <w:tcPr>
            <w:tcW w:w="529" w:type="dxa"/>
            <w:gridSpan w:val="2"/>
            <w:shd w:val="clear" w:color="auto" w:fill="F2F2F2" w:themeFill="background1" w:themeFillShade="F2"/>
          </w:tcPr>
          <w:p w14:paraId="0C6EC0DB" w14:textId="083EC5AF" w:rsidR="00E70B84" w:rsidRPr="00AA087E" w:rsidRDefault="008B72CE" w:rsidP="00E70B84">
            <w:pPr>
              <w:spacing w:before="80" w:after="80" w:line="259" w:lineRule="auto"/>
              <w:jc w:val="center"/>
              <w:rPr>
                <w:rFonts w:cstheme="minorHAnsi"/>
                <w:sz w:val="18"/>
                <w:szCs w:val="18"/>
              </w:rPr>
            </w:pPr>
            <w:r w:rsidRPr="00AA087E">
              <w:rPr>
                <w:rFonts w:cstheme="minorHAnsi"/>
                <w:sz w:val="18"/>
                <w:szCs w:val="18"/>
              </w:rPr>
              <w:t>2</w:t>
            </w:r>
            <w:r w:rsidR="00910AA2" w:rsidRPr="00AA087E">
              <w:rPr>
                <w:rFonts w:cstheme="minorHAnsi"/>
                <w:sz w:val="18"/>
                <w:szCs w:val="18"/>
              </w:rPr>
              <w:t>3</w:t>
            </w:r>
          </w:p>
        </w:tc>
        <w:tc>
          <w:tcPr>
            <w:tcW w:w="5282" w:type="dxa"/>
            <w:shd w:val="clear" w:color="auto" w:fill="F2F2F2" w:themeFill="background1" w:themeFillShade="F2"/>
          </w:tcPr>
          <w:p w14:paraId="0FE943C4" w14:textId="063055AD" w:rsidR="00E70B84" w:rsidRPr="009526B1" w:rsidRDefault="00D77730" w:rsidP="00E70B84">
            <w:pPr>
              <w:spacing w:before="80" w:after="80" w:line="259" w:lineRule="auto"/>
              <w:rPr>
                <w:rFonts w:cstheme="minorHAnsi"/>
                <w:sz w:val="18"/>
                <w:szCs w:val="18"/>
              </w:rPr>
            </w:pPr>
            <w:r w:rsidRPr="00D77730">
              <w:rPr>
                <w:rFonts w:cstheme="minorHAnsi"/>
                <w:sz w:val="18"/>
                <w:szCs w:val="18"/>
              </w:rPr>
              <w:t>The expansion of the risk team in late 2022 enabled the team to engage more broadly and deliver more training than projected. Additionally, the face-to-face introductory course was planned monthly, however demand required additional scheduling, with a total of 18 sessions conducted.</w:t>
            </w:r>
          </w:p>
        </w:tc>
      </w:tr>
      <w:tr w:rsidR="00E70B84" w:rsidRPr="00553169" w14:paraId="2ACFE1A3" w14:textId="77777777" w:rsidTr="004A14FC">
        <w:trPr>
          <w:trHeight w:val="1456"/>
        </w:trPr>
        <w:tc>
          <w:tcPr>
            <w:tcW w:w="1484" w:type="dxa"/>
            <w:vMerge/>
          </w:tcPr>
          <w:p w14:paraId="67FD5DCC" w14:textId="77777777" w:rsidR="00E70B84" w:rsidRPr="00553169" w:rsidRDefault="00E70B84" w:rsidP="00E70B84">
            <w:pPr>
              <w:spacing w:before="80" w:after="80" w:line="259" w:lineRule="auto"/>
              <w:rPr>
                <w:rFonts w:cstheme="minorHAnsi"/>
                <w:sz w:val="18"/>
                <w:szCs w:val="18"/>
                <w:highlight w:val="yellow"/>
              </w:rPr>
            </w:pPr>
          </w:p>
        </w:tc>
        <w:tc>
          <w:tcPr>
            <w:tcW w:w="3619" w:type="dxa"/>
          </w:tcPr>
          <w:p w14:paraId="7E044954" w14:textId="62CFF703" w:rsidR="00E70B84" w:rsidRPr="004A14FC" w:rsidRDefault="004A14FC" w:rsidP="00A36E9A">
            <w:pPr>
              <w:numPr>
                <w:ilvl w:val="0"/>
                <w:numId w:val="43"/>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Overall participant satisfaction with introduction to risk management training sessions delivered to agency staff members.</w:t>
            </w:r>
          </w:p>
        </w:tc>
        <w:tc>
          <w:tcPr>
            <w:tcW w:w="1906" w:type="dxa"/>
            <w:gridSpan w:val="2"/>
          </w:tcPr>
          <w:p w14:paraId="057E13C8" w14:textId="2CD35293" w:rsidR="00E70B84" w:rsidRPr="00F612BD" w:rsidRDefault="00910AA2" w:rsidP="009B6CCF">
            <w:pPr>
              <w:numPr>
                <w:ilvl w:val="12"/>
                <w:numId w:val="0"/>
              </w:numPr>
              <w:spacing w:before="80" w:after="80" w:line="240" w:lineRule="auto"/>
              <w:jc w:val="center"/>
              <w:rPr>
                <w:rFonts w:cstheme="minorHAnsi"/>
                <w:sz w:val="18"/>
                <w:szCs w:val="18"/>
              </w:rPr>
            </w:pPr>
            <w:r>
              <w:rPr>
                <w:rFonts w:cstheme="minorHAnsi"/>
                <w:sz w:val="18"/>
                <w:szCs w:val="18"/>
              </w:rPr>
              <w:t>90%</w:t>
            </w:r>
          </w:p>
        </w:tc>
        <w:tc>
          <w:tcPr>
            <w:tcW w:w="1218" w:type="dxa"/>
            <w:gridSpan w:val="2"/>
          </w:tcPr>
          <w:p w14:paraId="50C9814C" w14:textId="209B45B0" w:rsidR="00E70B84" w:rsidRPr="00C6440C" w:rsidRDefault="007A2CB5" w:rsidP="00E70B84">
            <w:pPr>
              <w:spacing w:before="80" w:after="80" w:line="259" w:lineRule="auto"/>
              <w:jc w:val="center"/>
              <w:rPr>
                <w:rFonts w:cstheme="minorHAnsi"/>
                <w:sz w:val="18"/>
                <w:szCs w:val="18"/>
              </w:rPr>
            </w:pPr>
            <w:r w:rsidRPr="00C6440C">
              <w:rPr>
                <w:rFonts w:cstheme="minorHAnsi"/>
                <w:sz w:val="18"/>
                <w:szCs w:val="18"/>
              </w:rPr>
              <w:t>8</w:t>
            </w:r>
            <w:r w:rsidR="00B14C12" w:rsidRPr="00C6440C">
              <w:rPr>
                <w:rFonts w:cstheme="minorHAnsi"/>
                <w:sz w:val="18"/>
                <w:szCs w:val="18"/>
              </w:rPr>
              <w:t>5</w:t>
            </w:r>
            <w:r w:rsidRPr="00C6440C">
              <w:rPr>
                <w:rFonts w:cstheme="minorHAnsi"/>
                <w:sz w:val="18"/>
                <w:szCs w:val="18"/>
              </w:rPr>
              <w:t>%</w:t>
            </w:r>
          </w:p>
        </w:tc>
        <w:tc>
          <w:tcPr>
            <w:tcW w:w="704" w:type="dxa"/>
          </w:tcPr>
          <w:p w14:paraId="5D722FCD" w14:textId="7CE39DB3" w:rsidR="00E70B84" w:rsidRPr="00C6440C" w:rsidRDefault="007A2CB5" w:rsidP="009B6CCF">
            <w:pPr>
              <w:spacing w:before="80" w:after="80" w:line="259" w:lineRule="auto"/>
              <w:jc w:val="center"/>
              <w:rPr>
                <w:rFonts w:cstheme="minorHAnsi"/>
                <w:sz w:val="18"/>
                <w:szCs w:val="18"/>
              </w:rPr>
            </w:pPr>
            <w:r w:rsidRPr="00C6440C">
              <w:rPr>
                <w:rFonts w:cstheme="minorHAnsi"/>
                <w:sz w:val="18"/>
                <w:szCs w:val="18"/>
              </w:rPr>
              <w:t>(</w:t>
            </w:r>
            <w:r w:rsidR="00B14C12" w:rsidRPr="00C6440C">
              <w:rPr>
                <w:rFonts w:cstheme="minorHAnsi"/>
                <w:sz w:val="18"/>
                <w:szCs w:val="18"/>
              </w:rPr>
              <w:t>5</w:t>
            </w:r>
            <w:r w:rsidRPr="00C6440C">
              <w:rPr>
                <w:rFonts w:cstheme="minorHAnsi"/>
                <w:sz w:val="18"/>
                <w:szCs w:val="18"/>
              </w:rPr>
              <w:t>)%</w:t>
            </w:r>
          </w:p>
        </w:tc>
        <w:tc>
          <w:tcPr>
            <w:tcW w:w="529" w:type="dxa"/>
            <w:gridSpan w:val="2"/>
          </w:tcPr>
          <w:p w14:paraId="00A0BA98" w14:textId="41BB8E5B" w:rsidR="00E70B84" w:rsidRPr="00C6440C" w:rsidRDefault="007A2CB5" w:rsidP="00E70B84">
            <w:pPr>
              <w:spacing w:before="80" w:after="80" w:line="259" w:lineRule="auto"/>
              <w:jc w:val="center"/>
              <w:rPr>
                <w:rFonts w:cstheme="minorHAnsi"/>
                <w:sz w:val="18"/>
                <w:szCs w:val="18"/>
              </w:rPr>
            </w:pPr>
            <w:r w:rsidRPr="00C6440C">
              <w:rPr>
                <w:rFonts w:cstheme="minorHAnsi"/>
                <w:sz w:val="18"/>
                <w:szCs w:val="18"/>
              </w:rPr>
              <w:t>(</w:t>
            </w:r>
            <w:r w:rsidR="00E40A68" w:rsidRPr="00C6440C">
              <w:rPr>
                <w:rFonts w:cstheme="minorHAnsi"/>
                <w:sz w:val="18"/>
                <w:szCs w:val="18"/>
              </w:rPr>
              <w:t>6</w:t>
            </w:r>
            <w:r w:rsidRPr="00C6440C">
              <w:rPr>
                <w:rFonts w:cstheme="minorHAnsi"/>
                <w:sz w:val="18"/>
                <w:szCs w:val="18"/>
              </w:rPr>
              <w:t>)</w:t>
            </w:r>
          </w:p>
        </w:tc>
        <w:tc>
          <w:tcPr>
            <w:tcW w:w="5282" w:type="dxa"/>
          </w:tcPr>
          <w:p w14:paraId="31231B02" w14:textId="7FBA610A" w:rsidR="00E70B84" w:rsidRPr="00F612BD" w:rsidRDefault="00E55D5D" w:rsidP="00E70B84">
            <w:pPr>
              <w:spacing w:before="80" w:after="80" w:line="259" w:lineRule="auto"/>
              <w:rPr>
                <w:rFonts w:cstheme="minorHAnsi"/>
                <w:sz w:val="18"/>
                <w:szCs w:val="18"/>
              </w:rPr>
            </w:pPr>
            <w:r w:rsidRPr="00E55D5D">
              <w:rPr>
                <w:rFonts w:cstheme="minorHAnsi"/>
                <w:sz w:val="18"/>
                <w:szCs w:val="18"/>
              </w:rPr>
              <w:t>The course was re-evaluated in January 2024 based on feedback, with more practical activities added to the program. 100% of responses received in 2024 gave results of satisfied or very satisfied.</w:t>
            </w:r>
          </w:p>
        </w:tc>
      </w:tr>
      <w:tr w:rsidR="00E70B84" w:rsidRPr="00553169" w14:paraId="351F61C6" w14:textId="77777777" w:rsidTr="00776B6E">
        <w:trPr>
          <w:cnfStyle w:val="000000010000" w:firstRow="0" w:lastRow="0" w:firstColumn="0" w:lastColumn="0" w:oddVBand="0" w:evenVBand="0" w:oddHBand="0" w:evenHBand="1" w:firstRowFirstColumn="0" w:firstRowLastColumn="0" w:lastRowFirstColumn="0" w:lastRowLastColumn="0"/>
          <w:trHeight w:val="304"/>
        </w:trPr>
        <w:tc>
          <w:tcPr>
            <w:tcW w:w="1484" w:type="dxa"/>
            <w:vMerge/>
            <w:tcBorders>
              <w:bottom w:val="single" w:sz="4" w:space="0" w:color="auto"/>
            </w:tcBorders>
          </w:tcPr>
          <w:p w14:paraId="040FFB41" w14:textId="77777777" w:rsidR="00E70B84" w:rsidRPr="00553169" w:rsidRDefault="00E70B84" w:rsidP="00E70B84">
            <w:pPr>
              <w:spacing w:before="80" w:after="80" w:line="259" w:lineRule="auto"/>
              <w:rPr>
                <w:rFonts w:cstheme="minorHAnsi"/>
                <w:sz w:val="18"/>
                <w:szCs w:val="18"/>
                <w:highlight w:val="yellow"/>
              </w:rPr>
            </w:pPr>
          </w:p>
        </w:tc>
        <w:tc>
          <w:tcPr>
            <w:tcW w:w="3619" w:type="dxa"/>
            <w:tcBorders>
              <w:bottom w:val="single" w:sz="4" w:space="0" w:color="auto"/>
            </w:tcBorders>
            <w:shd w:val="clear" w:color="auto" w:fill="F2F2F2" w:themeFill="background1" w:themeFillShade="F2"/>
          </w:tcPr>
          <w:p w14:paraId="74269DF3" w14:textId="179F0802" w:rsidR="004A14FC" w:rsidRPr="006F01B0" w:rsidRDefault="004A14FC" w:rsidP="00A36E9A">
            <w:pPr>
              <w:numPr>
                <w:ilvl w:val="0"/>
                <w:numId w:val="43"/>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 xml:space="preserve">Provide quarterly reporting to directorates to assist the identification, </w:t>
            </w:r>
            <w:proofErr w:type="gramStart"/>
            <w:r w:rsidRPr="006F01B0">
              <w:rPr>
                <w:rFonts w:cstheme="minorHAnsi"/>
                <w:sz w:val="18"/>
                <w:szCs w:val="18"/>
              </w:rPr>
              <w:t>assessment</w:t>
            </w:r>
            <w:proofErr w:type="gramEnd"/>
            <w:r w:rsidRPr="006F01B0">
              <w:rPr>
                <w:rFonts w:cstheme="minorHAnsi"/>
                <w:sz w:val="18"/>
                <w:szCs w:val="18"/>
              </w:rPr>
              <w:t xml:space="preserve"> and treatment of risks.</w:t>
            </w:r>
          </w:p>
        </w:tc>
        <w:tc>
          <w:tcPr>
            <w:tcW w:w="1906" w:type="dxa"/>
            <w:gridSpan w:val="2"/>
            <w:tcBorders>
              <w:bottom w:val="single" w:sz="4" w:space="0" w:color="auto"/>
            </w:tcBorders>
            <w:shd w:val="clear" w:color="auto" w:fill="F2F2F2" w:themeFill="background1" w:themeFillShade="F2"/>
          </w:tcPr>
          <w:p w14:paraId="088677B8" w14:textId="248410DC" w:rsidR="00E70B84" w:rsidRPr="00CF6C1A" w:rsidRDefault="007A2CB5" w:rsidP="00E70B84">
            <w:pPr>
              <w:numPr>
                <w:ilvl w:val="12"/>
                <w:numId w:val="0"/>
              </w:numPr>
              <w:spacing w:before="80" w:after="80" w:line="259" w:lineRule="auto"/>
              <w:jc w:val="center"/>
              <w:rPr>
                <w:rFonts w:cstheme="minorHAnsi"/>
                <w:sz w:val="18"/>
                <w:szCs w:val="18"/>
              </w:rPr>
            </w:pPr>
            <w:r>
              <w:rPr>
                <w:rFonts w:cstheme="minorHAnsi"/>
                <w:sz w:val="18"/>
                <w:szCs w:val="18"/>
              </w:rPr>
              <w:t>4</w:t>
            </w:r>
          </w:p>
        </w:tc>
        <w:tc>
          <w:tcPr>
            <w:tcW w:w="1218" w:type="dxa"/>
            <w:gridSpan w:val="2"/>
            <w:tcBorders>
              <w:bottom w:val="single" w:sz="4" w:space="0" w:color="auto"/>
            </w:tcBorders>
            <w:shd w:val="clear" w:color="auto" w:fill="F2F2F2" w:themeFill="background1" w:themeFillShade="F2"/>
          </w:tcPr>
          <w:p w14:paraId="29AB7016" w14:textId="7897AA86" w:rsidR="00E70B84" w:rsidRPr="00CF6C1A" w:rsidRDefault="007A2CB5" w:rsidP="00E70B84">
            <w:pPr>
              <w:spacing w:before="80" w:after="80" w:line="259" w:lineRule="auto"/>
              <w:jc w:val="center"/>
              <w:rPr>
                <w:rFonts w:cstheme="minorHAnsi"/>
                <w:sz w:val="18"/>
                <w:szCs w:val="18"/>
              </w:rPr>
            </w:pPr>
            <w:r>
              <w:rPr>
                <w:rFonts w:cstheme="minorHAnsi"/>
                <w:sz w:val="18"/>
                <w:szCs w:val="18"/>
              </w:rPr>
              <w:t>4</w:t>
            </w:r>
          </w:p>
        </w:tc>
        <w:tc>
          <w:tcPr>
            <w:tcW w:w="704" w:type="dxa"/>
            <w:tcBorders>
              <w:bottom w:val="single" w:sz="4" w:space="0" w:color="auto"/>
            </w:tcBorders>
            <w:shd w:val="clear" w:color="auto" w:fill="F2F2F2" w:themeFill="background1" w:themeFillShade="F2"/>
          </w:tcPr>
          <w:p w14:paraId="30F7D635" w14:textId="3C2E9EA1" w:rsidR="00E70B84" w:rsidRPr="00CF6C1A" w:rsidRDefault="007A2CB5" w:rsidP="00E70B84">
            <w:pPr>
              <w:spacing w:before="80" w:after="80" w:line="259" w:lineRule="auto"/>
              <w:jc w:val="center"/>
              <w:rPr>
                <w:rFonts w:cstheme="minorHAnsi"/>
                <w:sz w:val="18"/>
                <w:szCs w:val="18"/>
              </w:rPr>
            </w:pPr>
            <w:r>
              <w:rPr>
                <w:rFonts w:cstheme="minorHAnsi"/>
                <w:sz w:val="18"/>
                <w:szCs w:val="18"/>
              </w:rPr>
              <w:t>-</w:t>
            </w:r>
          </w:p>
        </w:tc>
        <w:tc>
          <w:tcPr>
            <w:tcW w:w="529" w:type="dxa"/>
            <w:gridSpan w:val="2"/>
            <w:tcBorders>
              <w:bottom w:val="single" w:sz="4" w:space="0" w:color="auto"/>
            </w:tcBorders>
            <w:shd w:val="clear" w:color="auto" w:fill="F2F2F2" w:themeFill="background1" w:themeFillShade="F2"/>
          </w:tcPr>
          <w:p w14:paraId="2EE17D68" w14:textId="33D08F24" w:rsidR="00E70B84" w:rsidRPr="00CF6C1A" w:rsidRDefault="007A2CB5" w:rsidP="00E70B84">
            <w:pPr>
              <w:spacing w:before="80" w:after="80" w:line="259" w:lineRule="auto"/>
              <w:jc w:val="center"/>
              <w:rPr>
                <w:rFonts w:cstheme="minorHAnsi"/>
                <w:sz w:val="18"/>
                <w:szCs w:val="18"/>
              </w:rPr>
            </w:pPr>
            <w:r>
              <w:rPr>
                <w:rFonts w:cstheme="minorHAnsi"/>
                <w:sz w:val="18"/>
                <w:szCs w:val="18"/>
              </w:rPr>
              <w:t>-</w:t>
            </w:r>
          </w:p>
        </w:tc>
        <w:tc>
          <w:tcPr>
            <w:tcW w:w="5282" w:type="dxa"/>
            <w:tcBorders>
              <w:bottom w:val="single" w:sz="4" w:space="0" w:color="auto"/>
            </w:tcBorders>
            <w:shd w:val="clear" w:color="auto" w:fill="F2F2F2" w:themeFill="background1" w:themeFillShade="F2"/>
          </w:tcPr>
          <w:p w14:paraId="1B94C391" w14:textId="77777777" w:rsidR="00E70B84" w:rsidRPr="00CF6C1A" w:rsidRDefault="00E70B84" w:rsidP="00E70B84">
            <w:pPr>
              <w:spacing w:before="80" w:after="80"/>
              <w:rPr>
                <w:rFonts w:cs="Calibri"/>
                <w:sz w:val="18"/>
                <w:szCs w:val="18"/>
              </w:rPr>
            </w:pPr>
          </w:p>
        </w:tc>
      </w:tr>
    </w:tbl>
    <w:p w14:paraId="0FF6C971" w14:textId="77777777" w:rsidR="0024157C" w:rsidRPr="00553169" w:rsidRDefault="0024157C" w:rsidP="0024157C">
      <w:pPr>
        <w:spacing w:after="160" w:line="259" w:lineRule="auto"/>
        <w:rPr>
          <w:rFonts w:cs="Montserrat Semi Bold"/>
          <w:b/>
          <w:bCs/>
          <w:color w:val="000000"/>
          <w:sz w:val="34"/>
          <w:szCs w:val="34"/>
          <w:highlight w:val="yellow"/>
        </w:rPr>
      </w:pPr>
      <w:r w:rsidRPr="00553169">
        <w:rPr>
          <w:rFonts w:cs="Montserrat Semi Bold"/>
          <w:b/>
          <w:bCs/>
          <w:color w:val="000000"/>
          <w:sz w:val="34"/>
          <w:szCs w:val="34"/>
          <w:highlight w:val="yellow"/>
        </w:rPr>
        <w:br w:type="page"/>
      </w:r>
    </w:p>
    <w:p w14:paraId="099AA5BB" w14:textId="77777777" w:rsidR="0024157C" w:rsidRPr="00553169" w:rsidRDefault="0024157C" w:rsidP="0024157C">
      <w:pPr>
        <w:autoSpaceDE w:val="0"/>
        <w:autoSpaceDN w:val="0"/>
        <w:adjustRightInd w:val="0"/>
        <w:spacing w:after="47"/>
        <w:ind w:left="-567"/>
        <w:rPr>
          <w:rFonts w:cs="Montserrat"/>
          <w:color w:val="000000"/>
          <w:sz w:val="18"/>
          <w:szCs w:val="18"/>
          <w:highlight w:val="yellow"/>
        </w:rPr>
        <w:sectPr w:rsidR="0024157C" w:rsidRPr="00553169" w:rsidSect="007B2984">
          <w:headerReference w:type="even" r:id="rId67"/>
          <w:headerReference w:type="default" r:id="rId68"/>
          <w:footerReference w:type="default" r:id="rId69"/>
          <w:headerReference w:type="first" r:id="rId70"/>
          <w:pgSz w:w="16838" w:h="11906" w:orient="landscape"/>
          <w:pgMar w:top="425" w:right="1440" w:bottom="851" w:left="1440" w:header="391" w:footer="0" w:gutter="0"/>
          <w:cols w:space="708"/>
          <w:docGrid w:linePitch="360"/>
        </w:sectPr>
      </w:pPr>
    </w:p>
    <w:p w14:paraId="6A200EEA" w14:textId="454DBF84" w:rsidR="00D072DC" w:rsidRPr="00810D12" w:rsidRDefault="00D072DC" w:rsidP="00D072DC">
      <w:pPr>
        <w:autoSpaceDE w:val="0"/>
        <w:autoSpaceDN w:val="0"/>
        <w:adjustRightInd w:val="0"/>
        <w:spacing w:after="47"/>
        <w:rPr>
          <w:rFonts w:cs="Montserrat Semi Bold"/>
          <w:b/>
          <w:bCs/>
          <w:color w:val="000000"/>
          <w:sz w:val="34"/>
          <w:szCs w:val="34"/>
        </w:rPr>
      </w:pPr>
      <w:r w:rsidRPr="00810D12">
        <w:rPr>
          <w:rFonts w:cs="Montserrat Semi Bold"/>
          <w:b/>
          <w:bCs/>
          <w:color w:val="000000"/>
          <w:sz w:val="34"/>
          <w:szCs w:val="34"/>
        </w:rPr>
        <w:lastRenderedPageBreak/>
        <w:t>ACT INSURANCE AUTHORITY STATEMENT OF PERFORMANCE</w:t>
      </w:r>
      <w:r w:rsidRPr="00810D12">
        <w:rPr>
          <w:rFonts w:cs="Montserrat Semi Bold"/>
          <w:b/>
          <w:bCs/>
          <w:color w:val="000000"/>
          <w:sz w:val="34"/>
          <w:szCs w:val="34"/>
        </w:rPr>
        <w:br/>
        <w:t>FOR THE YEAR ENDED 30 JUNE 202</w:t>
      </w:r>
      <w:r w:rsidR="00911482">
        <w:rPr>
          <w:rFonts w:cs="Montserrat Semi Bold"/>
          <w:b/>
          <w:bCs/>
          <w:color w:val="000000"/>
          <w:sz w:val="34"/>
          <w:szCs w:val="34"/>
        </w:rPr>
        <w:t>4</w:t>
      </w:r>
    </w:p>
    <w:p w14:paraId="6AE912AD" w14:textId="77777777" w:rsidR="00D072DC" w:rsidRPr="00810D12" w:rsidRDefault="00D072DC" w:rsidP="00D072DC">
      <w:pPr>
        <w:autoSpaceDE w:val="0"/>
        <w:autoSpaceDN w:val="0"/>
        <w:adjustRightInd w:val="0"/>
        <w:spacing w:after="140" w:line="211" w:lineRule="atLeast"/>
        <w:rPr>
          <w:rFonts w:cs="Montserrat"/>
          <w:color w:val="000000"/>
          <w:sz w:val="40"/>
          <w:szCs w:val="40"/>
        </w:rPr>
      </w:pPr>
      <w:r w:rsidRPr="00810D12">
        <w:rPr>
          <w:rFonts w:cs="Montserrat"/>
          <w:color w:val="000000"/>
          <w:sz w:val="40"/>
          <w:szCs w:val="40"/>
        </w:rPr>
        <w:t xml:space="preserve">NOTES </w:t>
      </w:r>
    </w:p>
    <w:p w14:paraId="641BC2DD" w14:textId="492F0E0B" w:rsidR="006310E1" w:rsidRPr="006310E1" w:rsidRDefault="008F1955" w:rsidP="00A36E9A">
      <w:pPr>
        <w:pStyle w:val="ListParagraph"/>
        <w:numPr>
          <w:ilvl w:val="0"/>
          <w:numId w:val="22"/>
        </w:numPr>
      </w:pPr>
      <w:r w:rsidRPr="008F1955">
        <w:t xml:space="preserve">Surveys are sent to a range of agency contacts including Director-Generals, Chief Executive Officers and other key stakeholders of ACT Government directorates and statutory authorities insured by the Authority. Respondents are asked to rate their overall satisfaction with the Authority’s services based on their experiences over the past 12 months. Satisfaction levels are determined by the respondents selecting either very good, good, average, poor or very poor. Very good, </w:t>
      </w:r>
      <w:proofErr w:type="gramStart"/>
      <w:r w:rsidRPr="008F1955">
        <w:t>good</w:t>
      </w:r>
      <w:proofErr w:type="gramEnd"/>
      <w:r w:rsidRPr="008F1955">
        <w:t xml:space="preserve"> and average responses are taken as a positive result.</w:t>
      </w:r>
    </w:p>
    <w:p w14:paraId="6FEFA5DF" w14:textId="6EE5D145" w:rsidR="00DA20A5" w:rsidRDefault="00DA20A5" w:rsidP="00A36E9A">
      <w:pPr>
        <w:pStyle w:val="ListParagraph"/>
        <w:numPr>
          <w:ilvl w:val="0"/>
          <w:numId w:val="22"/>
        </w:numPr>
      </w:pPr>
      <w:r>
        <w:t xml:space="preserve">The funding ratio is calculated by dividing total assets by total liabilities. The Authority aims to maintain its capital position between 100-120 per cent as outlined in the Authority’s capital management plan. A capital position outside this range requires the Authority to consider corrective action. The parameters outlined in the Authority’s capital management plan guide decision makers to address a capital position outside the targeted ratio range. This would include action to seek capital injections (in a deficit situation) or returning excess capital (in a surplus situation) to the ACT Government. </w:t>
      </w:r>
    </w:p>
    <w:p w14:paraId="57BB571E" w14:textId="77777777" w:rsidR="00DA20A5" w:rsidRDefault="00DA20A5" w:rsidP="00A36E9A">
      <w:pPr>
        <w:pStyle w:val="ListParagraph"/>
        <w:numPr>
          <w:ilvl w:val="0"/>
          <w:numId w:val="22"/>
        </w:numPr>
      </w:pPr>
      <w:r>
        <w:t>The Authority’s general and administrative expenses which includes employee and superannuation expenses, along with supplies and services is calculated as a percentage of gross earned premiums in the operating statement and is measured against the budgeted results for the Authority.</w:t>
      </w:r>
    </w:p>
    <w:p w14:paraId="490A0485" w14:textId="181FC042" w:rsidR="00DA20A5" w:rsidRDefault="00DA20A5" w:rsidP="00A36E9A">
      <w:pPr>
        <w:pStyle w:val="ListParagraph"/>
        <w:numPr>
          <w:ilvl w:val="0"/>
          <w:numId w:val="22"/>
        </w:numPr>
      </w:pPr>
      <w:r>
        <w:t>The Authority generally processes payments for the settlement of claims on a fortnightly basis. The number of days to process a payment is measured from the date all required documentation relating to settlements is received by the Authority to the date payment is made.</w:t>
      </w:r>
    </w:p>
    <w:p w14:paraId="205C4E5E" w14:textId="6EC9AA8B" w:rsidR="00DA20A5" w:rsidRDefault="00DA20A5" w:rsidP="00A36E9A">
      <w:pPr>
        <w:pStyle w:val="ListParagraph"/>
        <w:numPr>
          <w:ilvl w:val="0"/>
          <w:numId w:val="22"/>
        </w:numPr>
      </w:pPr>
      <w:r>
        <w:t>The Authority’s property reinsurers conduct an annual property loss control survey program on selected Territory locations. Property loss control reports identify the potential for property loss and assist agencies to reduce the risks of loss through loss prevention efforts. Recommendations are communicated to surveyed Territory agencies for consideration.</w:t>
      </w:r>
    </w:p>
    <w:p w14:paraId="7A88124E" w14:textId="77777777" w:rsidR="008342E2" w:rsidRDefault="008342E2" w:rsidP="00A36E9A">
      <w:pPr>
        <w:pStyle w:val="ListParagraph"/>
        <w:numPr>
          <w:ilvl w:val="0"/>
          <w:numId w:val="22"/>
        </w:numPr>
      </w:pPr>
      <w:r>
        <w:t xml:space="preserve">The Authority conducts quarterly claims review meetings to review all public liability and medical malpractice claims where the Territory’s reserve exceeds $250,000. Meetings are also attended by representatives of the ACT Government Solicitor’s Office, the Authority’s insurance brokers (Marsh Pty Ltd) as well as external insurers and their solicitors. </w:t>
      </w:r>
    </w:p>
    <w:p w14:paraId="5133325F" w14:textId="77777777" w:rsidR="008342E2" w:rsidRDefault="008342E2" w:rsidP="00A36E9A">
      <w:pPr>
        <w:pStyle w:val="ListParagraph"/>
        <w:numPr>
          <w:ilvl w:val="0"/>
          <w:numId w:val="22"/>
        </w:numPr>
      </w:pPr>
      <w:r>
        <w:t>The Authority delivers a program of face-to-face risk management training that covers general introductory and intermediate to advanced level risk management, along with entity specific training tailored to meet agency requirements.</w:t>
      </w:r>
    </w:p>
    <w:p w14:paraId="4685277A" w14:textId="77777777" w:rsidR="004B52CD" w:rsidRDefault="004B52CD">
      <w:pPr>
        <w:spacing w:after="0" w:line="240" w:lineRule="auto"/>
      </w:pPr>
      <w:r>
        <w:br w:type="page"/>
      </w:r>
    </w:p>
    <w:p w14:paraId="21D5EB70" w14:textId="77777777" w:rsidR="004B52CD" w:rsidRPr="00810D12" w:rsidRDefault="004B52CD" w:rsidP="004B52CD">
      <w:pPr>
        <w:autoSpaceDE w:val="0"/>
        <w:autoSpaceDN w:val="0"/>
        <w:adjustRightInd w:val="0"/>
        <w:spacing w:after="47"/>
        <w:rPr>
          <w:rFonts w:cs="Montserrat Semi Bold"/>
          <w:b/>
          <w:bCs/>
          <w:color w:val="000000"/>
          <w:sz w:val="34"/>
          <w:szCs w:val="34"/>
        </w:rPr>
      </w:pPr>
      <w:r w:rsidRPr="00810D12">
        <w:rPr>
          <w:rFonts w:cs="Montserrat Semi Bold"/>
          <w:b/>
          <w:bCs/>
          <w:color w:val="000000"/>
          <w:sz w:val="34"/>
          <w:szCs w:val="34"/>
        </w:rPr>
        <w:lastRenderedPageBreak/>
        <w:t>ACT INSURANCE AUTHORITY STATEMENT OF PERFORMANCE</w:t>
      </w:r>
      <w:r w:rsidRPr="00810D12">
        <w:rPr>
          <w:rFonts w:cs="Montserrat Semi Bold"/>
          <w:b/>
          <w:bCs/>
          <w:color w:val="000000"/>
          <w:sz w:val="34"/>
          <w:szCs w:val="34"/>
        </w:rPr>
        <w:br/>
        <w:t>FOR THE YEAR ENDED 30 JUNE 202</w:t>
      </w:r>
      <w:r>
        <w:rPr>
          <w:rFonts w:cs="Montserrat Semi Bold"/>
          <w:b/>
          <w:bCs/>
          <w:color w:val="000000"/>
          <w:sz w:val="34"/>
          <w:szCs w:val="34"/>
        </w:rPr>
        <w:t>4</w:t>
      </w:r>
    </w:p>
    <w:p w14:paraId="26B5E6DB" w14:textId="0C8E301D" w:rsidR="004B52CD" w:rsidRPr="00810D12" w:rsidRDefault="004B52CD" w:rsidP="004B52CD">
      <w:pPr>
        <w:autoSpaceDE w:val="0"/>
        <w:autoSpaceDN w:val="0"/>
        <w:adjustRightInd w:val="0"/>
        <w:spacing w:after="140" w:line="211" w:lineRule="atLeast"/>
        <w:rPr>
          <w:rFonts w:cs="Montserrat"/>
          <w:color w:val="000000"/>
          <w:sz w:val="40"/>
          <w:szCs w:val="40"/>
        </w:rPr>
      </w:pPr>
      <w:r w:rsidRPr="00810D12">
        <w:rPr>
          <w:rFonts w:cs="Montserrat"/>
          <w:color w:val="000000"/>
          <w:sz w:val="40"/>
          <w:szCs w:val="40"/>
        </w:rPr>
        <w:t xml:space="preserve">NOTES </w:t>
      </w:r>
      <w:r w:rsidR="00E67A64">
        <w:rPr>
          <w:rFonts w:cs="Montserrat"/>
          <w:color w:val="000000"/>
          <w:sz w:val="40"/>
          <w:szCs w:val="40"/>
        </w:rPr>
        <w:t>- continued</w:t>
      </w:r>
    </w:p>
    <w:p w14:paraId="05C1243F" w14:textId="7D483DA5" w:rsidR="005558ED" w:rsidRDefault="008342E2" w:rsidP="00A36E9A">
      <w:pPr>
        <w:pStyle w:val="ListParagraph"/>
        <w:numPr>
          <w:ilvl w:val="0"/>
          <w:numId w:val="22"/>
        </w:numPr>
      </w:pPr>
      <w:r>
        <w:t xml:space="preserve">Attendees of risk management training sessions are requested to complete feedback forms at the completion of the courses delivered by the Authority. Attendees are asked to assess the course based on areas such as, course suitability, facilitators’ knowledge and whether they would recommend the training. The satisfaction levels are determined by the respondents selecting either strongly agree, agree, </w:t>
      </w:r>
      <w:proofErr w:type="gramStart"/>
      <w:r>
        <w:t>disagree</w:t>
      </w:r>
      <w:proofErr w:type="gramEnd"/>
      <w:r>
        <w:t xml:space="preserve"> or strongly disagree.  Strongly agree and agree are taken as a satisfied result.</w:t>
      </w:r>
    </w:p>
    <w:p w14:paraId="1B698960" w14:textId="18B7C1C6" w:rsidR="005558ED" w:rsidRPr="005558ED" w:rsidRDefault="005558ED" w:rsidP="00A36E9A">
      <w:pPr>
        <w:pStyle w:val="ListParagraph"/>
        <w:numPr>
          <w:ilvl w:val="0"/>
          <w:numId w:val="22"/>
        </w:numPr>
      </w:pPr>
      <w:r w:rsidRPr="005558ED">
        <w:t xml:space="preserve">The Authority provides quarterly reports to ACT Government agencies to assist in the identification, </w:t>
      </w:r>
      <w:proofErr w:type="gramStart"/>
      <w:r w:rsidRPr="005558ED">
        <w:t>assessment</w:t>
      </w:r>
      <w:proofErr w:type="gramEnd"/>
      <w:r w:rsidRPr="005558ED">
        <w:t xml:space="preserve"> and treatment of risk for Territory activities. The reports provide a range of information and data, including claim numbers, cost of claims and analytics to support ongoing risk management considerations.</w:t>
      </w:r>
    </w:p>
    <w:p w14:paraId="2AAAEA30" w14:textId="77777777" w:rsidR="00307C0F" w:rsidRDefault="005D06D2">
      <w:pPr>
        <w:spacing w:after="0"/>
        <w:sectPr w:rsidR="00307C0F" w:rsidSect="009B6CCF">
          <w:footerReference w:type="default" r:id="rId71"/>
          <w:footerReference w:type="first" r:id="rId72"/>
          <w:pgSz w:w="11907" w:h="16840" w:code="9"/>
          <w:pgMar w:top="1418" w:right="1417" w:bottom="1701" w:left="1418" w:header="567" w:footer="255" w:gutter="0"/>
          <w:cols w:space="720"/>
          <w:docGrid w:linePitch="326"/>
        </w:sectPr>
      </w:pPr>
      <w:r>
        <w:br w:type="page"/>
      </w:r>
    </w:p>
    <w:p w14:paraId="7C9039C0" w14:textId="5979AB24" w:rsidR="006E2672" w:rsidRPr="00C722D6" w:rsidRDefault="002802DA" w:rsidP="006E2672">
      <w:pPr>
        <w:pStyle w:val="Heading1"/>
      </w:pPr>
      <w:bookmarkStart w:id="108" w:name="_Toc55483069"/>
      <w:bookmarkStart w:id="109" w:name="_Toc141174722"/>
      <w:r w:rsidRPr="00C722D6">
        <w:lastRenderedPageBreak/>
        <w:t>Glossary Of Technical Terms</w:t>
      </w:r>
      <w:bookmarkEnd w:id="108"/>
      <w:bookmarkEnd w:id="109"/>
    </w:p>
    <w:p w14:paraId="4404782E" w14:textId="77777777" w:rsidR="006E2672" w:rsidRPr="00C722D6" w:rsidRDefault="006E2672" w:rsidP="006E2672">
      <w:pPr>
        <w:spacing w:before="76" w:after="120"/>
        <w:rPr>
          <w:b/>
        </w:rPr>
      </w:pPr>
      <w:r w:rsidRPr="00C722D6">
        <w:rPr>
          <w:b/>
        </w:rPr>
        <w:t>Actuary</w:t>
      </w:r>
    </w:p>
    <w:p w14:paraId="7A83593E" w14:textId="77777777" w:rsidR="006E2672" w:rsidRPr="00C722D6" w:rsidRDefault="006E2672" w:rsidP="009B6CCF">
      <w:r w:rsidRPr="00C722D6">
        <w:t>An actuary uses complex mathematical methods to analyse past loss data and other statistics, to develop systems for determining outstanding claims liability and future premiums.</w:t>
      </w:r>
    </w:p>
    <w:p w14:paraId="1C03AC3E" w14:textId="77777777" w:rsidR="006E2672" w:rsidRPr="00C722D6" w:rsidRDefault="006E2672" w:rsidP="006E2672">
      <w:pPr>
        <w:spacing w:before="76" w:after="120"/>
        <w:rPr>
          <w:b/>
        </w:rPr>
      </w:pPr>
      <w:r w:rsidRPr="00C722D6">
        <w:rPr>
          <w:b/>
        </w:rPr>
        <w:t>Builders Warranty Insurance</w:t>
      </w:r>
    </w:p>
    <w:p w14:paraId="53F37ECB" w14:textId="77777777" w:rsidR="006E2672" w:rsidRPr="00C722D6" w:rsidRDefault="006E2672" w:rsidP="009B6CCF">
      <w:r w:rsidRPr="00C722D6">
        <w:t>Provides compensation to ACT homeowners for losses if their builder goes bankrupt, dies, or disappears, or for faulty workmanship.</w:t>
      </w:r>
    </w:p>
    <w:p w14:paraId="3F541B65" w14:textId="77777777" w:rsidR="006E2672" w:rsidRPr="00C722D6" w:rsidRDefault="006E2672" w:rsidP="006E2672">
      <w:pPr>
        <w:spacing w:before="76" w:after="120"/>
        <w:rPr>
          <w:b/>
        </w:rPr>
      </w:pPr>
      <w:r w:rsidRPr="00C722D6">
        <w:rPr>
          <w:b/>
        </w:rPr>
        <w:t>Catastrophe</w:t>
      </w:r>
    </w:p>
    <w:p w14:paraId="18ABCFE1" w14:textId="77777777" w:rsidR="006E2672" w:rsidRPr="00C722D6" w:rsidRDefault="006E2672" w:rsidP="009B6CCF">
      <w:r w:rsidRPr="00C722D6">
        <w:t xml:space="preserve">A major event giving rise to multiple losses across multiple agencies (e.g. a hailstorm, </w:t>
      </w:r>
      <w:proofErr w:type="gramStart"/>
      <w:r w:rsidRPr="00C722D6">
        <w:t>cyclone</w:t>
      </w:r>
      <w:proofErr w:type="gramEnd"/>
      <w:r w:rsidRPr="00C722D6">
        <w:t xml:space="preserve"> or earthquake).</w:t>
      </w:r>
    </w:p>
    <w:p w14:paraId="1252AA95" w14:textId="77777777" w:rsidR="006E2672" w:rsidRPr="00C722D6" w:rsidRDefault="006E2672" w:rsidP="006E2672">
      <w:pPr>
        <w:spacing w:before="76" w:after="120"/>
        <w:rPr>
          <w:b/>
        </w:rPr>
      </w:pPr>
      <w:r w:rsidRPr="00C722D6">
        <w:rPr>
          <w:b/>
        </w:rPr>
        <w:t>Claims Incurred</w:t>
      </w:r>
    </w:p>
    <w:p w14:paraId="0866C051" w14:textId="77777777" w:rsidR="006E2672" w:rsidRPr="00C722D6" w:rsidRDefault="006E2672" w:rsidP="009B6CCF">
      <w:r w:rsidRPr="00C722D6">
        <w:t>The expenses relating to claims arising from risks covered during an accounting period, including claims paid, claims outstanding, and claims settlement expenses associated with such risks.</w:t>
      </w:r>
    </w:p>
    <w:p w14:paraId="68ECA104" w14:textId="77777777" w:rsidR="006E2672" w:rsidRPr="00C722D6" w:rsidRDefault="006E2672" w:rsidP="006E2672">
      <w:pPr>
        <w:spacing w:before="76" w:after="120"/>
        <w:rPr>
          <w:b/>
        </w:rPr>
      </w:pPr>
      <w:r w:rsidRPr="00C722D6">
        <w:rPr>
          <w:b/>
        </w:rPr>
        <w:t>Claims Incurred But Not Enough Reported/Recorded (“IBNER”)</w:t>
      </w:r>
    </w:p>
    <w:p w14:paraId="58E9FC21" w14:textId="77777777" w:rsidR="006E2672" w:rsidRPr="00C722D6" w:rsidRDefault="006E2672" w:rsidP="009B6CCF">
      <w:r w:rsidRPr="00C722D6">
        <w:t xml:space="preserve">The understatement of the cost of claims reported prior to the close of an accounting period for which the insurer had insufficient information to be able to </w:t>
      </w:r>
      <w:proofErr w:type="gramStart"/>
      <w:r w:rsidRPr="00C722D6">
        <w:t>make an assessment of</w:t>
      </w:r>
      <w:proofErr w:type="gramEnd"/>
      <w:r w:rsidRPr="00C722D6">
        <w:t xml:space="preserve"> the amount of the claims.</w:t>
      </w:r>
    </w:p>
    <w:p w14:paraId="237A6A7D" w14:textId="77777777" w:rsidR="006E2672" w:rsidRPr="00C722D6" w:rsidRDefault="006E2672" w:rsidP="006E2672">
      <w:pPr>
        <w:spacing w:before="76" w:after="120"/>
        <w:rPr>
          <w:b/>
        </w:rPr>
      </w:pPr>
      <w:r w:rsidRPr="00C722D6">
        <w:rPr>
          <w:b/>
        </w:rPr>
        <w:t>Claims Incurred But Not Reported (“IBNR”)</w:t>
      </w:r>
    </w:p>
    <w:p w14:paraId="2A53F17D" w14:textId="77777777" w:rsidR="006E2672" w:rsidRPr="00C722D6" w:rsidRDefault="006E2672" w:rsidP="009B6CCF">
      <w:r w:rsidRPr="00C722D6">
        <w:t>Claims arising from incidents occurring prior to the close of an accounting period, which are expected to be reported in subsequent accounting periods.</w:t>
      </w:r>
    </w:p>
    <w:p w14:paraId="71640519" w14:textId="77777777" w:rsidR="006E2672" w:rsidRPr="00C722D6" w:rsidRDefault="006E2672" w:rsidP="006E2672">
      <w:pPr>
        <w:spacing w:before="76" w:after="120"/>
        <w:rPr>
          <w:b/>
        </w:rPr>
      </w:pPr>
      <w:r w:rsidRPr="00C722D6">
        <w:rPr>
          <w:b/>
        </w:rPr>
        <w:t>Claims Reported</w:t>
      </w:r>
    </w:p>
    <w:p w14:paraId="2524953B" w14:textId="77777777" w:rsidR="006E2672" w:rsidRPr="00772EE3" w:rsidRDefault="006E2672" w:rsidP="009B6CCF">
      <w:r w:rsidRPr="00C722D6">
        <w:t xml:space="preserve">Claims resulting from accidents or occurrences which have taken place, and of which the </w:t>
      </w:r>
      <w:r w:rsidRPr="00772EE3">
        <w:t>insurer has received notice or report of loss.</w:t>
      </w:r>
    </w:p>
    <w:p w14:paraId="2352D7AF" w14:textId="77777777" w:rsidR="00772EE3" w:rsidRPr="00772EE3" w:rsidRDefault="00772EE3" w:rsidP="00772EE3">
      <w:pPr>
        <w:pStyle w:val="Footer"/>
        <w:spacing w:before="76" w:after="120"/>
        <w:rPr>
          <w:b/>
          <w:bCs w:val="0"/>
          <w:color w:val="auto"/>
          <w:sz w:val="24"/>
          <w:szCs w:val="24"/>
        </w:rPr>
      </w:pPr>
      <w:r w:rsidRPr="00772EE3">
        <w:rPr>
          <w:b/>
          <w:color w:val="auto"/>
          <w:sz w:val="24"/>
          <w:szCs w:val="24"/>
        </w:rPr>
        <w:t>Directors’ and Officers’ Insurance</w:t>
      </w:r>
    </w:p>
    <w:p w14:paraId="7FB0E7D7" w14:textId="77777777" w:rsidR="006E2672" w:rsidRPr="00C722D6" w:rsidRDefault="006E2672" w:rsidP="009B6CCF">
      <w:r w:rsidRPr="00C722D6">
        <w:t>Provides management liability cover for negligent acts, errors, or omissions arising because of a person’s status as a “Manager”.</w:t>
      </w:r>
    </w:p>
    <w:p w14:paraId="5C388D70" w14:textId="77777777" w:rsidR="00573084" w:rsidRDefault="00573084">
      <w:pPr>
        <w:spacing w:after="0" w:line="240" w:lineRule="auto"/>
        <w:rPr>
          <w:b/>
          <w:bCs/>
        </w:rPr>
      </w:pPr>
      <w:r>
        <w:rPr>
          <w:b/>
          <w:bCs/>
        </w:rPr>
        <w:br w:type="page"/>
      </w:r>
    </w:p>
    <w:p w14:paraId="2293F40E" w14:textId="4D1EEAF0" w:rsidR="00E67A64" w:rsidRPr="00C722D6" w:rsidRDefault="00E67A64" w:rsidP="00E67A64">
      <w:pPr>
        <w:pStyle w:val="Heading1"/>
      </w:pPr>
      <w:r w:rsidRPr="00C722D6">
        <w:lastRenderedPageBreak/>
        <w:t>Glossary Of Technical Terms</w:t>
      </w:r>
      <w:r>
        <w:t xml:space="preserve">- </w:t>
      </w:r>
      <w:r w:rsidRPr="00E67A64">
        <w:rPr>
          <w:sz w:val="36"/>
          <w:szCs w:val="36"/>
        </w:rPr>
        <w:t>continued</w:t>
      </w:r>
    </w:p>
    <w:p w14:paraId="40BB2C4D" w14:textId="20442D46" w:rsidR="006E2672" w:rsidRDefault="006E2672" w:rsidP="006E2672">
      <w:pPr>
        <w:spacing w:before="76" w:after="120"/>
        <w:rPr>
          <w:b/>
          <w:bCs/>
        </w:rPr>
      </w:pPr>
      <w:r w:rsidRPr="00C722D6">
        <w:rPr>
          <w:b/>
          <w:bCs/>
        </w:rPr>
        <w:t>Discount Rate</w:t>
      </w:r>
    </w:p>
    <w:p w14:paraId="679F4FED" w14:textId="77777777" w:rsidR="006E2672" w:rsidRPr="00C722D6" w:rsidRDefault="006E2672" w:rsidP="009B6CCF">
      <w:r w:rsidRPr="00C722D6">
        <w:t>Outstanding claims include a discount to allow for interest that is expected to be earned on investments until claims are paid.  A lower discount rate reduces the amount of expected interest and therefore increases the claim liability.</w:t>
      </w:r>
    </w:p>
    <w:p w14:paraId="65CA1BA6" w14:textId="77777777" w:rsidR="006E2672" w:rsidRPr="00C722D6" w:rsidRDefault="006E2672" w:rsidP="006E2672">
      <w:pPr>
        <w:spacing w:before="76" w:after="120"/>
        <w:rPr>
          <w:b/>
        </w:rPr>
      </w:pPr>
      <w:r w:rsidRPr="00C722D6">
        <w:rPr>
          <w:b/>
        </w:rPr>
        <w:t>Earned Premiums</w:t>
      </w:r>
    </w:p>
    <w:p w14:paraId="1593A65E" w14:textId="77777777" w:rsidR="006E2672" w:rsidRPr="00C722D6" w:rsidRDefault="006E2672" w:rsidP="009B6CCF">
      <w:r w:rsidRPr="00C722D6">
        <w:t>The amount of the total premium payable (i.e. the gross written premium) that relates to the proportion of the risk covered which has expired up to the date of calculation.</w:t>
      </w:r>
    </w:p>
    <w:p w14:paraId="3DCBDD49" w14:textId="77777777" w:rsidR="006E2672" w:rsidRPr="00C722D6" w:rsidRDefault="006E2672" w:rsidP="009B6CCF">
      <w:pPr>
        <w:spacing w:after="160" w:line="259" w:lineRule="auto"/>
        <w:rPr>
          <w:b/>
        </w:rPr>
      </w:pPr>
      <w:r w:rsidRPr="00C722D6">
        <w:rPr>
          <w:b/>
        </w:rPr>
        <w:t>Insurance Claim</w:t>
      </w:r>
    </w:p>
    <w:p w14:paraId="50F50067" w14:textId="77777777" w:rsidR="006E2672" w:rsidRPr="00C722D6" w:rsidRDefault="006E2672" w:rsidP="009B6CCF">
      <w:pPr>
        <w:rPr>
          <w:rFonts w:cs="Source Sans Pro Light"/>
          <w:color w:val="000000"/>
          <w:sz w:val="20"/>
        </w:rPr>
      </w:pPr>
      <w:r w:rsidRPr="00C722D6">
        <w:t>An insurance incident which has developed to the stage where there has been a demand for compensation which may or may not involve legal proceedings.</w:t>
      </w:r>
    </w:p>
    <w:p w14:paraId="621D42D0" w14:textId="77777777" w:rsidR="006E2672" w:rsidRPr="00C722D6" w:rsidRDefault="006E2672" w:rsidP="006E2672">
      <w:pPr>
        <w:spacing w:before="76" w:after="120"/>
        <w:rPr>
          <w:b/>
        </w:rPr>
      </w:pPr>
      <w:r w:rsidRPr="00C722D6">
        <w:rPr>
          <w:b/>
        </w:rPr>
        <w:t>Insurance Incident</w:t>
      </w:r>
    </w:p>
    <w:p w14:paraId="179905C6" w14:textId="77777777" w:rsidR="006E2672" w:rsidRPr="00C722D6" w:rsidRDefault="006E2672" w:rsidP="009B6CCF">
      <w:r w:rsidRPr="00C722D6">
        <w:t>An incident or event that may give rise to an insurance claim at a future date.</w:t>
      </w:r>
    </w:p>
    <w:p w14:paraId="647F3918" w14:textId="77777777" w:rsidR="006E2672" w:rsidRPr="00C722D6" w:rsidRDefault="006E2672" w:rsidP="006E2672">
      <w:pPr>
        <w:spacing w:before="76" w:after="120"/>
        <w:rPr>
          <w:b/>
        </w:rPr>
      </w:pPr>
      <w:r w:rsidRPr="00C722D6">
        <w:rPr>
          <w:b/>
        </w:rPr>
        <w:t>Insurance Year</w:t>
      </w:r>
    </w:p>
    <w:p w14:paraId="7FBE4873" w14:textId="77777777" w:rsidR="006E2672" w:rsidRPr="00C722D6" w:rsidRDefault="006E2672" w:rsidP="009B6CCF">
      <w:r w:rsidRPr="00C722D6">
        <w:t>1 July to 30 June.</w:t>
      </w:r>
    </w:p>
    <w:p w14:paraId="41EE51D9" w14:textId="77777777" w:rsidR="006E2672" w:rsidRPr="00C722D6" w:rsidRDefault="006E2672" w:rsidP="006E2672">
      <w:pPr>
        <w:spacing w:before="76" w:after="120"/>
        <w:rPr>
          <w:b/>
        </w:rPr>
      </w:pPr>
      <w:r w:rsidRPr="00C722D6">
        <w:rPr>
          <w:b/>
        </w:rPr>
        <w:t>Long-tail Claims</w:t>
      </w:r>
    </w:p>
    <w:p w14:paraId="6EC6C53A" w14:textId="77777777" w:rsidR="006E2672" w:rsidRPr="00C722D6" w:rsidRDefault="006E2672" w:rsidP="009B6CCF">
      <w:r w:rsidRPr="00C722D6">
        <w:t>Long tail claims are claims that are made or settled a significant time after the incident occurred.  Typically, long tail claims would occur under the public liability and medical negligence policies.</w:t>
      </w:r>
    </w:p>
    <w:p w14:paraId="5A892247" w14:textId="77777777" w:rsidR="006E2672" w:rsidRPr="00C722D6" w:rsidRDefault="006E2672" w:rsidP="006E2672">
      <w:pPr>
        <w:spacing w:before="76" w:after="120"/>
        <w:rPr>
          <w:b/>
        </w:rPr>
      </w:pPr>
      <w:r w:rsidRPr="00C722D6">
        <w:rPr>
          <w:b/>
        </w:rPr>
        <w:t>Medical Malpractice Insurance</w:t>
      </w:r>
    </w:p>
    <w:p w14:paraId="59F4E053" w14:textId="77777777" w:rsidR="006E2672" w:rsidRPr="00C722D6" w:rsidRDefault="006E2672" w:rsidP="009B6CCF">
      <w:r w:rsidRPr="00C722D6">
        <w:t>Insurance for healthcare services and providers against claims alleging negligent acts or omissions that have harmed third parties.</w:t>
      </w:r>
    </w:p>
    <w:p w14:paraId="224EA486" w14:textId="77777777" w:rsidR="006E2672" w:rsidRPr="00C722D6" w:rsidRDefault="006E2672" w:rsidP="006E2672">
      <w:pPr>
        <w:spacing w:before="76" w:after="120"/>
        <w:rPr>
          <w:b/>
        </w:rPr>
      </w:pPr>
      <w:r w:rsidRPr="00C722D6">
        <w:rPr>
          <w:b/>
        </w:rPr>
        <w:t>Outstanding Claims</w:t>
      </w:r>
    </w:p>
    <w:p w14:paraId="3E0A7063" w14:textId="77777777" w:rsidR="006E2672" w:rsidRPr="00C722D6" w:rsidRDefault="006E2672" w:rsidP="009B6CCF">
      <w:r w:rsidRPr="00C722D6">
        <w:t>The estimated amount of unpaid claims and claims settlement expenses for which an insurer is liable.  The estimate will usually include:</w:t>
      </w:r>
    </w:p>
    <w:p w14:paraId="31865949" w14:textId="77777777" w:rsidR="006E2672" w:rsidRPr="00C722D6" w:rsidRDefault="006E2672" w:rsidP="00A36E9A">
      <w:pPr>
        <w:pStyle w:val="bullet10"/>
        <w:numPr>
          <w:ilvl w:val="0"/>
          <w:numId w:val="13"/>
        </w:numPr>
        <w:spacing w:before="30" w:after="30"/>
        <w:ind w:left="357" w:hanging="357"/>
      </w:pPr>
      <w:r w:rsidRPr="00C722D6">
        <w:t>case estimates for reported claims;</w:t>
      </w:r>
    </w:p>
    <w:p w14:paraId="0A1C1EC3" w14:textId="77777777" w:rsidR="006E2672" w:rsidRPr="00C722D6" w:rsidRDefault="006E2672" w:rsidP="00A36E9A">
      <w:pPr>
        <w:pStyle w:val="bullet10"/>
        <w:numPr>
          <w:ilvl w:val="0"/>
          <w:numId w:val="13"/>
        </w:numPr>
        <w:spacing w:before="30" w:after="30"/>
        <w:ind w:left="357" w:hanging="357"/>
      </w:pPr>
      <w:r w:rsidRPr="00C722D6">
        <w:t>provision for IBNER claims costs; and</w:t>
      </w:r>
    </w:p>
    <w:p w14:paraId="73D4DF20" w14:textId="77777777" w:rsidR="006E2672" w:rsidRPr="00C722D6" w:rsidRDefault="006E2672" w:rsidP="00A36E9A">
      <w:pPr>
        <w:pStyle w:val="bullet10"/>
        <w:numPr>
          <w:ilvl w:val="0"/>
          <w:numId w:val="13"/>
        </w:numPr>
        <w:spacing w:before="30" w:after="30"/>
        <w:ind w:left="357" w:hanging="357"/>
      </w:pPr>
      <w:r w:rsidRPr="00C722D6">
        <w:t>provision for IBNR claims costs.</w:t>
      </w:r>
    </w:p>
    <w:p w14:paraId="4880C8FC" w14:textId="77777777" w:rsidR="006E2672" w:rsidRPr="00C722D6" w:rsidRDefault="006E2672" w:rsidP="006E2672">
      <w:pPr>
        <w:spacing w:before="76" w:after="120"/>
        <w:rPr>
          <w:b/>
        </w:rPr>
      </w:pPr>
      <w:r w:rsidRPr="00C722D6">
        <w:rPr>
          <w:b/>
        </w:rPr>
        <w:t>Professional Indemnity Insurance</w:t>
      </w:r>
    </w:p>
    <w:p w14:paraId="6596A72B" w14:textId="610DEF14" w:rsidR="00E67A64" w:rsidRDefault="006E2672" w:rsidP="00E67A64">
      <w:r w:rsidRPr="00C722D6">
        <w:t>Insurance against claims alleging that professional advice or service provided by the Territory has caused a financial loss to third parties.</w:t>
      </w:r>
      <w:r w:rsidR="00E67A64">
        <w:br w:type="page"/>
      </w:r>
    </w:p>
    <w:p w14:paraId="0D75A326" w14:textId="77777777" w:rsidR="004C0A7B" w:rsidRPr="00C722D6" w:rsidRDefault="004C0A7B" w:rsidP="004C0A7B">
      <w:pPr>
        <w:pStyle w:val="Heading1"/>
      </w:pPr>
      <w:r w:rsidRPr="00C722D6">
        <w:lastRenderedPageBreak/>
        <w:t>Glossary Of Technical Terms</w:t>
      </w:r>
      <w:r>
        <w:t xml:space="preserve">- </w:t>
      </w:r>
      <w:r w:rsidRPr="00E67A64">
        <w:rPr>
          <w:sz w:val="36"/>
          <w:szCs w:val="36"/>
        </w:rPr>
        <w:t>continued</w:t>
      </w:r>
    </w:p>
    <w:p w14:paraId="366411BA" w14:textId="3AA9CE30" w:rsidR="006E2672" w:rsidRPr="00C722D6" w:rsidRDefault="006E2672" w:rsidP="006E2672">
      <w:pPr>
        <w:spacing w:before="76" w:after="120"/>
        <w:rPr>
          <w:b/>
        </w:rPr>
      </w:pPr>
      <w:r w:rsidRPr="00C722D6">
        <w:rPr>
          <w:b/>
        </w:rPr>
        <w:t>Property Insurance</w:t>
      </w:r>
    </w:p>
    <w:p w14:paraId="3808DFD1" w14:textId="77777777" w:rsidR="006E2672" w:rsidRPr="00C722D6" w:rsidRDefault="006E2672" w:rsidP="009B6CCF">
      <w:r w:rsidRPr="00C722D6">
        <w:t>Insurance against loss or damage to property that is owned by the Territory, or for property that is required to be insured through a contract or agreement.</w:t>
      </w:r>
    </w:p>
    <w:p w14:paraId="477F2732" w14:textId="77777777" w:rsidR="006E2672" w:rsidRPr="00C722D6" w:rsidRDefault="006E2672" w:rsidP="006E2672">
      <w:pPr>
        <w:spacing w:before="76" w:after="120"/>
        <w:rPr>
          <w:b/>
        </w:rPr>
      </w:pPr>
      <w:r w:rsidRPr="00C722D6">
        <w:rPr>
          <w:b/>
        </w:rPr>
        <w:t>Public Liability Insurance</w:t>
      </w:r>
    </w:p>
    <w:p w14:paraId="740F93EF" w14:textId="77777777" w:rsidR="006E2672" w:rsidRPr="00C722D6" w:rsidRDefault="006E2672" w:rsidP="009B6CCF">
      <w:r w:rsidRPr="00C722D6">
        <w:t xml:space="preserve">Insurance against claims of personal injury or property damage that a third party suffers (or claims to have suffered) </w:t>
      </w:r>
      <w:proofErr w:type="gramStart"/>
      <w:r w:rsidRPr="00C722D6">
        <w:t>as a result of</w:t>
      </w:r>
      <w:proofErr w:type="gramEnd"/>
      <w:r w:rsidRPr="00C722D6">
        <w:t xml:space="preserve"> the Territory’s negligence.</w:t>
      </w:r>
    </w:p>
    <w:p w14:paraId="14AB31CF" w14:textId="77777777" w:rsidR="006E2672" w:rsidRPr="00C722D6" w:rsidRDefault="006E2672" w:rsidP="006E2672">
      <w:pPr>
        <w:spacing w:before="76" w:after="120"/>
        <w:rPr>
          <w:b/>
        </w:rPr>
      </w:pPr>
      <w:r w:rsidRPr="00C722D6">
        <w:rPr>
          <w:b/>
        </w:rPr>
        <w:t>Reinsurance</w:t>
      </w:r>
    </w:p>
    <w:p w14:paraId="06A2A0F4" w14:textId="77777777" w:rsidR="006E2672" w:rsidRPr="00C722D6" w:rsidRDefault="006E2672" w:rsidP="009B6CCF">
      <w:r w:rsidRPr="00C722D6">
        <w:t xml:space="preserve">Is a practice where an insurance company transfers a portion of its risks to another insurance company (the reinsurer) </w:t>
      </w:r>
      <w:proofErr w:type="gramStart"/>
      <w:r w:rsidRPr="00C722D6">
        <w:t>in order to</w:t>
      </w:r>
      <w:proofErr w:type="gramEnd"/>
      <w:r w:rsidRPr="00C722D6">
        <w:t xml:space="preserve"> mitigate the impact of catastrophic losses.</w:t>
      </w:r>
    </w:p>
    <w:p w14:paraId="28056072" w14:textId="77777777" w:rsidR="006E2672" w:rsidRPr="00C722D6" w:rsidRDefault="006E2672" w:rsidP="006E2672">
      <w:pPr>
        <w:spacing w:before="76" w:after="120"/>
        <w:rPr>
          <w:b/>
        </w:rPr>
      </w:pPr>
      <w:r w:rsidRPr="00C722D6">
        <w:rPr>
          <w:b/>
        </w:rPr>
        <w:t>Reinsurance Recoveries</w:t>
      </w:r>
    </w:p>
    <w:p w14:paraId="7151CAE8" w14:textId="77777777" w:rsidR="006E2672" w:rsidRPr="00C722D6" w:rsidRDefault="006E2672" w:rsidP="009B6CCF">
      <w:r w:rsidRPr="00C722D6">
        <w:t xml:space="preserve">The amount recovered or recoverable under a contract of reinsurance </w:t>
      </w:r>
      <w:proofErr w:type="gramStart"/>
      <w:r w:rsidRPr="00C722D6">
        <w:t>as a result of</w:t>
      </w:r>
      <w:proofErr w:type="gramEnd"/>
      <w:r w:rsidRPr="00C722D6">
        <w:t xml:space="preserve"> claims paid on the occurrence of an event, or series of events, specified as being reinsured.</w:t>
      </w:r>
    </w:p>
    <w:p w14:paraId="1F9E4641" w14:textId="77777777" w:rsidR="006E2672" w:rsidRPr="00570CD6" w:rsidRDefault="006E2672" w:rsidP="009B6CCF">
      <w:pPr>
        <w:spacing w:after="160" w:line="259" w:lineRule="auto"/>
        <w:rPr>
          <w:b/>
        </w:rPr>
      </w:pPr>
      <w:r w:rsidRPr="00570CD6">
        <w:rPr>
          <w:b/>
        </w:rPr>
        <w:t>Risk Management</w:t>
      </w:r>
    </w:p>
    <w:p w14:paraId="15F9E41D" w14:textId="77777777" w:rsidR="006E2672" w:rsidRPr="00570CD6" w:rsidRDefault="006E2672" w:rsidP="009B6CCF">
      <w:r w:rsidRPr="00570CD6">
        <w:t>Risk management is the combination of culture, systems, and processes undertaken by an entity in the identification and management of risk.</w:t>
      </w:r>
    </w:p>
    <w:p w14:paraId="2EB0DE5D" w14:textId="77777777" w:rsidR="006E2672" w:rsidRPr="00570CD6" w:rsidRDefault="006E2672" w:rsidP="006E2672">
      <w:pPr>
        <w:spacing w:before="76" w:after="120"/>
        <w:rPr>
          <w:b/>
        </w:rPr>
      </w:pPr>
      <w:r w:rsidRPr="00570CD6">
        <w:rPr>
          <w:b/>
        </w:rPr>
        <w:t>Settlement Costs</w:t>
      </w:r>
    </w:p>
    <w:p w14:paraId="524F679B" w14:textId="77777777" w:rsidR="006E2672" w:rsidRPr="00570CD6" w:rsidRDefault="006E2672" w:rsidP="009B6CCF">
      <w:r w:rsidRPr="00570CD6">
        <w:t>The costs incurred by an insurer in connection with settling claims.  These may include not only the amount paid to the insured, but also indirect costs related to handing claims (e.g. the salaries of staff in the claims handling area, and solicitors’ fees).</w:t>
      </w:r>
    </w:p>
    <w:p w14:paraId="4B468CA2" w14:textId="77777777" w:rsidR="006E2672" w:rsidRPr="00570CD6" w:rsidRDefault="006E2672" w:rsidP="006E2672">
      <w:pPr>
        <w:spacing w:before="76" w:after="120"/>
        <w:rPr>
          <w:b/>
        </w:rPr>
      </w:pPr>
      <w:r w:rsidRPr="00570CD6">
        <w:rPr>
          <w:b/>
        </w:rPr>
        <w:t>Superimposed Inflation</w:t>
      </w:r>
    </w:p>
    <w:p w14:paraId="6C8E0F32" w14:textId="77777777" w:rsidR="006E2672" w:rsidRPr="00570CD6" w:rsidRDefault="006E2672" w:rsidP="009B6CCF">
      <w:r w:rsidRPr="00570CD6">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w:t>
      </w:r>
    </w:p>
    <w:p w14:paraId="20E9E408" w14:textId="77777777" w:rsidR="006E2672" w:rsidRPr="00570CD6" w:rsidRDefault="006E2672" w:rsidP="006E2672">
      <w:pPr>
        <w:spacing w:before="76" w:after="120"/>
        <w:rPr>
          <w:b/>
        </w:rPr>
      </w:pPr>
      <w:r w:rsidRPr="00570CD6">
        <w:rPr>
          <w:b/>
        </w:rPr>
        <w:t>Underwriting Result</w:t>
      </w:r>
    </w:p>
    <w:p w14:paraId="47DDCBEA" w14:textId="77777777" w:rsidR="006E2672" w:rsidRPr="00570CD6" w:rsidRDefault="006E2672" w:rsidP="009B6CCF">
      <w:r w:rsidRPr="00570CD6">
        <w:t>This is the surplus or deficit that emerges after reinsurance cost, unearned premiums, claims expenses, and underwriting expenses applicable to a period are deducted from premium revenue.</w:t>
      </w:r>
    </w:p>
    <w:p w14:paraId="22E4B503" w14:textId="77777777" w:rsidR="006E2672" w:rsidRPr="00570CD6" w:rsidRDefault="006E2672" w:rsidP="009B6CCF">
      <w:r w:rsidRPr="00570CD6">
        <w:t>It is a deficient measure in that it does not have regard to investment earnings arising on insurance funds held (i.e. unearned premium and claims provisions).</w:t>
      </w:r>
    </w:p>
    <w:sectPr w:rsidR="006E2672" w:rsidRPr="00570CD6" w:rsidSect="002739CB">
      <w:footerReference w:type="default" r:id="rId73"/>
      <w:type w:val="continuous"/>
      <w:pgSz w:w="11907" w:h="16840" w:code="9"/>
      <w:pgMar w:top="1418" w:right="1417" w:bottom="1701" w:left="1418"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72324" w14:textId="77777777" w:rsidR="005E274A" w:rsidRDefault="005E274A" w:rsidP="00351F1B">
      <w:r>
        <w:separator/>
      </w:r>
    </w:p>
    <w:p w14:paraId="0C2C07E7" w14:textId="77777777" w:rsidR="005E274A" w:rsidRDefault="005E274A" w:rsidP="00351F1B"/>
  </w:endnote>
  <w:endnote w:type="continuationSeparator" w:id="0">
    <w:p w14:paraId="4C3F6725" w14:textId="77777777" w:rsidR="005E274A" w:rsidRDefault="005E274A" w:rsidP="00351F1B">
      <w:r>
        <w:continuationSeparator/>
      </w:r>
    </w:p>
    <w:p w14:paraId="3764D1DB" w14:textId="77777777" w:rsidR="005E274A" w:rsidRDefault="005E274A" w:rsidP="00351F1B"/>
  </w:endnote>
  <w:endnote w:type="continuationNotice" w:id="1">
    <w:p w14:paraId="1B3FED1D" w14:textId="77777777" w:rsidR="005E274A" w:rsidRDefault="005E27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Helvetica 45 Light">
    <w:altName w:val="Arial"/>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Source Sans Pro Light">
    <w:panose1 w:val="020B0403030403020204"/>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58DE" w14:textId="77777777" w:rsidR="00323290" w:rsidRDefault="00323290">
    <w:pPr>
      <w:pStyle w:val="Footer"/>
    </w:pPr>
  </w:p>
  <w:p w14:paraId="64A962DA" w14:textId="77777777" w:rsidR="00323290" w:rsidRDefault="0032329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895B" w14:textId="68CCB4F0" w:rsidR="003F1567" w:rsidRPr="003676A4" w:rsidRDefault="003F1567" w:rsidP="003676A4">
    <w:pPr>
      <w:pStyle w:val="Footer"/>
      <w:rPr>
        <w:color w:val="auto"/>
      </w:rPr>
    </w:pPr>
    <w:r w:rsidRPr="003676A4">
      <w:rPr>
        <w:color w:val="auto"/>
      </w:rPr>
      <mc:AlternateContent>
        <mc:Choice Requires="wps">
          <w:drawing>
            <wp:anchor distT="0" distB="0" distL="114300" distR="114300" simplePos="0" relativeHeight="251660800" behindDoc="0" locked="0" layoutInCell="1" allowOverlap="1" wp14:anchorId="5C663794" wp14:editId="48B8BA26">
              <wp:simplePos x="0" y="0"/>
              <wp:positionH relativeFrom="column">
                <wp:posOffset>8890</wp:posOffset>
              </wp:positionH>
              <wp:positionV relativeFrom="page">
                <wp:posOffset>9976785</wp:posOffset>
              </wp:positionV>
              <wp:extent cx="5759450" cy="0"/>
              <wp:effectExtent l="0" t="0" r="0" b="0"/>
              <wp:wrapNone/>
              <wp:docPr id="242473391" name="Straight Connector 24247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7D4FB" id="Straight Connector 242473391" o:spid="_x0000_s1026" alt="&quot;&quot;" style="position:absolute;z-index:251660800;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59776" behindDoc="0" locked="0" layoutInCell="1" allowOverlap="1" wp14:anchorId="3A38F2A4" wp14:editId="35C13E2B">
              <wp:simplePos x="0" y="0"/>
              <wp:positionH relativeFrom="column">
                <wp:posOffset>-134</wp:posOffset>
              </wp:positionH>
              <wp:positionV relativeFrom="page">
                <wp:posOffset>9970168</wp:posOffset>
              </wp:positionV>
              <wp:extent cx="5759450" cy="0"/>
              <wp:effectExtent l="0" t="0" r="0" b="0"/>
              <wp:wrapNone/>
              <wp:docPr id="287955626" name="Straight Connector 2879556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B1C12" id="Straight Connector 287955626" o:spid="_x0000_s1026" alt="&quot;&quot;" style="position:absolute;z-index:251659776;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3430548E" w14:textId="10464271" w:rsidR="003F1567" w:rsidRPr="003676A4" w:rsidRDefault="003F1567" w:rsidP="003676A4">
    <w:pPr>
      <w:pStyle w:val="Footer"/>
      <w:rPr>
        <w:color w:val="auto"/>
      </w:rPr>
    </w:pPr>
    <w:r w:rsidRPr="003676A4">
      <w:rPr>
        <w:color w:val="auto"/>
      </w:rPr>
      <mc:AlternateContent>
        <mc:Choice Requires="wps">
          <w:drawing>
            <wp:anchor distT="0" distB="0" distL="114300" distR="114300" simplePos="0" relativeHeight="251661824" behindDoc="0" locked="0" layoutInCell="1" allowOverlap="1" wp14:anchorId="3D28A606" wp14:editId="7D9F66D8">
              <wp:simplePos x="0" y="0"/>
              <wp:positionH relativeFrom="column">
                <wp:posOffset>-8255</wp:posOffset>
              </wp:positionH>
              <wp:positionV relativeFrom="paragraph">
                <wp:posOffset>98491</wp:posOffset>
              </wp:positionV>
              <wp:extent cx="5768340" cy="344805"/>
              <wp:effectExtent l="0" t="0" r="0" b="0"/>
              <wp:wrapNone/>
              <wp:docPr id="1913010804" name="Rectangle 1913010804"/>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74B107CB" w14:textId="77777777"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8A606" id="Rectangle 1913010804" o:spid="_x0000_s1032" style="position:absolute;margin-left:-.65pt;margin-top:7.75pt;width:454.2pt;height:27.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" filled="f" stroked="f" strokeweight="1pt">
              <v:textbox>
                <w:txbxContent>
                  <w:p w14:paraId="74B107CB" w14:textId="77777777"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49E8" w14:textId="77777777" w:rsidR="003F1567" w:rsidRPr="003676A4" w:rsidRDefault="003F1567" w:rsidP="003676A4">
    <w:pPr>
      <w:pStyle w:val="Footer"/>
      <w:rPr>
        <w:color w:val="auto"/>
      </w:rPr>
    </w:pPr>
    <w:r w:rsidRPr="003676A4">
      <w:rPr>
        <w:color w:val="auto"/>
      </w:rPr>
      <mc:AlternateContent>
        <mc:Choice Requires="wps">
          <w:drawing>
            <wp:anchor distT="0" distB="0" distL="114300" distR="114300" simplePos="0" relativeHeight="251670529" behindDoc="0" locked="0" layoutInCell="1" allowOverlap="1" wp14:anchorId="1F59DF40" wp14:editId="55D655BE">
              <wp:simplePos x="0" y="0"/>
              <wp:positionH relativeFrom="column">
                <wp:posOffset>970</wp:posOffset>
              </wp:positionH>
              <wp:positionV relativeFrom="paragraph">
                <wp:posOffset>161022</wp:posOffset>
              </wp:positionV>
              <wp:extent cx="5768340" cy="344805"/>
              <wp:effectExtent l="0" t="0" r="0" b="0"/>
              <wp:wrapNone/>
              <wp:docPr id="1118343448" name="Rectangle 1118343448"/>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1304DB1B" w14:textId="77777777"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9DF40" id="Rectangle 1118343448" o:spid="_x0000_s1033" style="position:absolute;margin-left:.1pt;margin-top:12.7pt;width:454.2pt;height:27.15pt;z-index:2516705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" filled="f" stroked="f" strokeweight="1pt">
              <v:textbox>
                <w:txbxContent>
                  <w:p w14:paraId="1304DB1B" w14:textId="77777777"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v:textbox>
            </v:rect>
          </w:pict>
        </mc:Fallback>
      </mc:AlternateContent>
    </w:r>
    <w:r w:rsidRPr="003676A4">
      <w:rPr>
        <w:color w:val="auto"/>
      </w:rPr>
      <mc:AlternateContent>
        <mc:Choice Requires="wps">
          <w:drawing>
            <wp:anchor distT="0" distB="0" distL="114300" distR="114300" simplePos="0" relativeHeight="251669505" behindDoc="0" locked="0" layoutInCell="1" allowOverlap="1" wp14:anchorId="1AA43C68" wp14:editId="29AE2837">
              <wp:simplePos x="0" y="0"/>
              <wp:positionH relativeFrom="column">
                <wp:posOffset>8890</wp:posOffset>
              </wp:positionH>
              <wp:positionV relativeFrom="page">
                <wp:posOffset>9976785</wp:posOffset>
              </wp:positionV>
              <wp:extent cx="5759450" cy="0"/>
              <wp:effectExtent l="0" t="0" r="0" b="0"/>
              <wp:wrapNone/>
              <wp:docPr id="866642653" name="Straight Connector 866642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CC909" id="Straight Connector 866642653" o:spid="_x0000_s1026" alt="&quot;&quot;" style="position:absolute;z-index:251669505;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68481" behindDoc="0" locked="0" layoutInCell="1" allowOverlap="1" wp14:anchorId="194995EF" wp14:editId="37099E08">
              <wp:simplePos x="0" y="0"/>
              <wp:positionH relativeFrom="column">
                <wp:posOffset>-134</wp:posOffset>
              </wp:positionH>
              <wp:positionV relativeFrom="page">
                <wp:posOffset>9970168</wp:posOffset>
              </wp:positionV>
              <wp:extent cx="5759450" cy="0"/>
              <wp:effectExtent l="0" t="0" r="0" b="0"/>
              <wp:wrapNone/>
              <wp:docPr id="1394340965" name="Straight Connector 1394340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98853" id="Straight Connector 1394340965" o:spid="_x0000_s1026" alt="&quot;&quot;" style="position:absolute;z-index:251668481;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3F2C3E2B" w14:textId="77777777" w:rsidR="003F1567" w:rsidRPr="003676A4" w:rsidRDefault="003F1567" w:rsidP="003676A4">
    <w:pPr>
      <w:pStyle w:val="Foote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1C0E" w14:textId="07169BDB"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63872" behindDoc="0" locked="0" layoutInCell="1" allowOverlap="1" wp14:anchorId="53C77D16" wp14:editId="5C2AB7D6">
              <wp:simplePos x="0" y="0"/>
              <wp:positionH relativeFrom="column">
                <wp:posOffset>8890</wp:posOffset>
              </wp:positionH>
              <wp:positionV relativeFrom="page">
                <wp:posOffset>9976785</wp:posOffset>
              </wp:positionV>
              <wp:extent cx="5759450" cy="0"/>
              <wp:effectExtent l="0" t="0" r="0" b="0"/>
              <wp:wrapNone/>
              <wp:docPr id="263170412" name="Straight Connector 263170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94D0A" id="Straight Connector 263170412" o:spid="_x0000_s1026" alt="&quot;&quot;" style="position:absolute;z-index:251663872;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62848" behindDoc="0" locked="0" layoutInCell="1" allowOverlap="1" wp14:anchorId="2641A0C3" wp14:editId="3EC11AB4">
              <wp:simplePos x="0" y="0"/>
              <wp:positionH relativeFrom="column">
                <wp:posOffset>-134</wp:posOffset>
              </wp:positionH>
              <wp:positionV relativeFrom="page">
                <wp:posOffset>9970168</wp:posOffset>
              </wp:positionV>
              <wp:extent cx="5759450" cy="0"/>
              <wp:effectExtent l="0" t="0" r="0" b="0"/>
              <wp:wrapNone/>
              <wp:docPr id="819069805" name="Straight Connector 819069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10EA2" id="Straight Connector 819069805" o:spid="_x0000_s1026" alt="&quot;&quot;" style="position:absolute;z-index:251662848;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6F1806F2" w14:textId="0965C294"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64896" behindDoc="0" locked="0" layoutInCell="1" allowOverlap="1" wp14:anchorId="07CF6528" wp14:editId="1B6B7A5D">
              <wp:simplePos x="0" y="0"/>
              <wp:positionH relativeFrom="column">
                <wp:posOffset>8656</wp:posOffset>
              </wp:positionH>
              <wp:positionV relativeFrom="paragraph">
                <wp:posOffset>90470</wp:posOffset>
              </wp:positionV>
              <wp:extent cx="5768340" cy="344805"/>
              <wp:effectExtent l="0" t="0" r="0" b="0"/>
              <wp:wrapNone/>
              <wp:docPr id="1491910883" name="Rectangle 1491910883"/>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7AB46923" w14:textId="77777777" w:rsidR="008B7E90" w:rsidRPr="003676A4"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F6528" id="Rectangle 1491910883" o:spid="_x0000_s1034" style="position:absolute;margin-left:.7pt;margin-top:7.1pt;width:454.2pt;height:27.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" filled="f" stroked="f" strokeweight="1pt">
              <v:textbox>
                <w:txbxContent>
                  <w:p w14:paraId="7AB46923" w14:textId="77777777" w:rsidR="008B7E90" w:rsidRPr="003676A4"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1E7F" w14:textId="77777777"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78721" behindDoc="0" locked="0" layoutInCell="1" allowOverlap="1" wp14:anchorId="7724E02A" wp14:editId="5CB898E0">
              <wp:simplePos x="0" y="0"/>
              <wp:positionH relativeFrom="column">
                <wp:posOffset>970</wp:posOffset>
              </wp:positionH>
              <wp:positionV relativeFrom="paragraph">
                <wp:posOffset>161022</wp:posOffset>
              </wp:positionV>
              <wp:extent cx="5768340" cy="344805"/>
              <wp:effectExtent l="0" t="0" r="0" b="0"/>
              <wp:wrapNone/>
              <wp:docPr id="370417740" name="Rectangle 370417740"/>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14BAE77B" w14:textId="77777777" w:rsidR="008B7E90" w:rsidRPr="003676A4"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4E02A" id="Rectangle 370417740" o:spid="_x0000_s1035" style="position:absolute;margin-left:.1pt;margin-top:12.7pt;width:454.2pt;height:27.15pt;z-index:2516787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" filled="f" stroked="f" strokeweight="1pt">
              <v:textbox>
                <w:txbxContent>
                  <w:p w14:paraId="14BAE77B" w14:textId="77777777" w:rsidR="008B7E90" w:rsidRPr="003676A4"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v:textbox>
            </v:rect>
          </w:pict>
        </mc:Fallback>
      </mc:AlternateContent>
    </w:r>
    <w:r w:rsidRPr="003676A4">
      <w:rPr>
        <w:color w:val="auto"/>
      </w:rPr>
      <mc:AlternateContent>
        <mc:Choice Requires="wps">
          <w:drawing>
            <wp:anchor distT="0" distB="0" distL="114300" distR="114300" simplePos="0" relativeHeight="251677697" behindDoc="0" locked="0" layoutInCell="1" allowOverlap="1" wp14:anchorId="30CDBFB0" wp14:editId="603F9582">
              <wp:simplePos x="0" y="0"/>
              <wp:positionH relativeFrom="column">
                <wp:posOffset>8890</wp:posOffset>
              </wp:positionH>
              <wp:positionV relativeFrom="page">
                <wp:posOffset>9976785</wp:posOffset>
              </wp:positionV>
              <wp:extent cx="5759450" cy="0"/>
              <wp:effectExtent l="0" t="0" r="0" b="0"/>
              <wp:wrapNone/>
              <wp:docPr id="1124244269" name="Straight Connector 1124244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A159C" id="Straight Connector 1124244269" o:spid="_x0000_s1026" alt="&quot;&quot;" style="position:absolute;z-index:251677697;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76673" behindDoc="0" locked="0" layoutInCell="1" allowOverlap="1" wp14:anchorId="02577C83" wp14:editId="715070B9">
              <wp:simplePos x="0" y="0"/>
              <wp:positionH relativeFrom="column">
                <wp:posOffset>-134</wp:posOffset>
              </wp:positionH>
              <wp:positionV relativeFrom="page">
                <wp:posOffset>9970168</wp:posOffset>
              </wp:positionV>
              <wp:extent cx="5759450" cy="0"/>
              <wp:effectExtent l="0" t="0" r="0" b="0"/>
              <wp:wrapNone/>
              <wp:docPr id="1830265218" name="Straight Connector 1830265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C1373" id="Straight Connector 1830265218" o:spid="_x0000_s1026" alt="&quot;&quot;" style="position:absolute;z-index:251676673;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1482C0A3" w14:textId="77777777" w:rsidR="008B7E90" w:rsidRPr="003676A4" w:rsidRDefault="008B7E90" w:rsidP="003676A4">
    <w:pPr>
      <w:pStyle w:val="Footer"/>
      <w:rPr>
        <w:color w:val="auto"/>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BE84" w14:textId="2C2A057D" w:rsidR="00323290" w:rsidRPr="003564D9" w:rsidRDefault="00323290" w:rsidP="00AB5CB8">
    <w:pPr>
      <w:pStyle w:val="Default"/>
      <w:ind w:left="-284"/>
      <w:rPr>
        <w:sz w:val="16"/>
        <w:szCs w:val="16"/>
      </w:rPr>
    </w:pPr>
    <w:proofErr w:type="gramStart"/>
    <w:r w:rsidRPr="003564D9">
      <w:rPr>
        <w:rFonts w:asciiTheme="minorHAnsi" w:hAnsiTheme="minorHAnsi" w:cs="Source Sans Pro Light"/>
        <w:i/>
        <w:iCs/>
        <w:sz w:val="16"/>
        <w:szCs w:val="16"/>
      </w:rPr>
      <w:t>The above accountability indicators were examined by the ACT Audit Office</w:t>
    </w:r>
    <w:proofErr w:type="gramEnd"/>
    <w:r w:rsidRPr="003564D9">
      <w:rPr>
        <w:rFonts w:asciiTheme="minorHAnsi" w:hAnsiTheme="minorHAnsi" w:cs="Source Sans Pro Light"/>
        <w:i/>
        <w:iCs/>
        <w:sz w:val="16"/>
        <w:szCs w:val="16"/>
      </w:rPr>
      <w:t xml:space="preserve"> in accordance with the Financial Management Act 1996.</w:t>
    </w:r>
    <w:r>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Pr>
        <w:sz w:val="16"/>
        <w:szCs w:val="16"/>
      </w:rPr>
      <w:br/>
    </w:r>
    <w:r>
      <w:rPr>
        <w:noProof/>
      </w:rPr>
      <mc:AlternateContent>
        <mc:Choice Requires="wps">
          <w:drawing>
            <wp:inline distT="0" distB="0" distL="0" distR="0" wp14:anchorId="632154DD" wp14:editId="021678E7">
              <wp:extent cx="9471660" cy="15240"/>
              <wp:effectExtent l="0" t="0" r="34290" b="2286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47166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C0D34" id="Straight Connector 24"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74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" strokecolor="black [2413]" strokeweight=".5pt">
              <v:stroke joinstyle="miter"/>
              <w10:anchorlock/>
            </v:line>
          </w:pict>
        </mc:Fallback>
      </mc:AlternateContent>
    </w:r>
  </w:p>
  <w:tbl>
    <w:tblPr>
      <w:tblW w:w="3249" w:type="pct"/>
      <w:tblInd w:w="1275" w:type="dxa"/>
      <w:tblCellMar>
        <w:top w:w="144" w:type="dxa"/>
        <w:left w:w="115" w:type="dxa"/>
        <w:bottom w:w="144" w:type="dxa"/>
        <w:right w:w="115" w:type="dxa"/>
      </w:tblCellMar>
      <w:tblLook w:val="04A0" w:firstRow="1" w:lastRow="0" w:firstColumn="1" w:lastColumn="0" w:noHBand="0" w:noVBand="1"/>
    </w:tblPr>
    <w:tblGrid>
      <w:gridCol w:w="12683"/>
    </w:tblGrid>
    <w:tr w:rsidR="00323290" w:rsidRPr="005A3A70" w14:paraId="325B1B23" w14:textId="77777777" w:rsidTr="007B2984">
      <w:trPr>
        <w:trHeight w:val="702"/>
      </w:trPr>
      <w:tc>
        <w:tcPr>
          <w:tcW w:w="9071" w:type="dxa"/>
          <w:shd w:val="clear" w:color="auto" w:fill="auto"/>
          <w:vAlign w:val="center"/>
        </w:tcPr>
        <w:p w14:paraId="49FE3545" w14:textId="770808AA" w:rsidR="00323290" w:rsidRPr="005A3A70" w:rsidRDefault="00323290" w:rsidP="003109A8">
          <w:pPr>
            <w:pStyle w:val="Footer"/>
            <w:rPr>
              <w:caps/>
              <w:color w:val="595959" w:themeColor="text1" w:themeTint="A6"/>
              <w:sz w:val="18"/>
              <w:szCs w:val="18"/>
            </w:rPr>
          </w:pPr>
          <w:r w:rsidRPr="003676A4">
            <w:rPr>
              <w:color w:val="auto"/>
            </w:rPr>
            <mc:AlternateContent>
              <mc:Choice Requires="wps">
                <w:drawing>
                  <wp:inline distT="0" distB="0" distL="0" distR="0" wp14:anchorId="0A415E11" wp14:editId="5AD2AE61">
                    <wp:extent cx="8220075" cy="267970"/>
                    <wp:effectExtent l="0" t="0" r="0" b="0"/>
                    <wp:docPr id="26" name="Rectangle 26"/>
                    <wp:cNvGraphicFramePr/>
                    <a:graphic xmlns:a="http://schemas.openxmlformats.org/drawingml/2006/main">
                      <a:graphicData uri="http://schemas.microsoft.com/office/word/2010/wordprocessingShape">
                        <wps:wsp>
                          <wps:cNvSpPr/>
                          <wps:spPr>
                            <a:xfrm>
                              <a:off x="0" y="0"/>
                              <a:ext cx="8220075" cy="267970"/>
                            </a:xfrm>
                            <a:prstGeom prst="rect">
                              <a:avLst/>
                            </a:prstGeom>
                            <a:noFill/>
                            <a:ln w="12700" cap="flat" cmpd="sng" algn="ctr">
                              <a:noFill/>
                              <a:prstDash val="solid"/>
                              <a:miter lim="800000"/>
                            </a:ln>
                            <a:effectLst/>
                          </wps:spPr>
                          <wps:txbx>
                            <w:txbxContent>
                              <w:p w14:paraId="7451892A" w14:textId="026823ED" w:rsidR="00323290" w:rsidRPr="003676A4" w:rsidRDefault="00323290" w:rsidP="00654306">
                                <w:pPr>
                                  <w:pStyle w:val="Footer"/>
                                  <w:ind w:right="276"/>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3004E">
                                  <w:rPr>
                                    <w:color w:val="auto"/>
                                  </w:rPr>
                                  <w:t>3</w:t>
                                </w:r>
                                <w:r w:rsidRPr="003676A4">
                                  <w:rPr>
                                    <w:color w:val="auto"/>
                                  </w:rPr>
                                  <w:t>–2</w:t>
                                </w:r>
                                <w:r w:rsidR="0063004E">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415E11" id="Rectangle 26" o:spid="_x0000_s1036" style="width:647.25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" filled="f" stroked="f" strokeweight="1pt">
                    <v:textbox>
                      <w:txbxContent>
                        <w:p w14:paraId="7451892A" w14:textId="026823ED" w:rsidR="00323290" w:rsidRPr="003676A4" w:rsidRDefault="00323290" w:rsidP="00654306">
                          <w:pPr>
                            <w:pStyle w:val="Footer"/>
                            <w:ind w:right="276"/>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3004E">
                            <w:rPr>
                              <w:color w:val="auto"/>
                            </w:rPr>
                            <w:t>3</w:t>
                          </w:r>
                          <w:r w:rsidRPr="003676A4">
                            <w:rPr>
                              <w:color w:val="auto"/>
                            </w:rPr>
                            <w:t>–2</w:t>
                          </w:r>
                          <w:r w:rsidR="0063004E">
                            <w:rPr>
                              <w:color w:val="auto"/>
                            </w:rPr>
                            <w:t>4</w:t>
                          </w:r>
                        </w:p>
                      </w:txbxContent>
                    </v:textbox>
                    <w10:anchorlock/>
                  </v:rect>
                </w:pict>
              </mc:Fallback>
            </mc:AlternateContent>
          </w:r>
        </w:p>
      </w:tc>
    </w:tr>
  </w:tbl>
  <w:p w14:paraId="6C2CEA79" w14:textId="77777777" w:rsidR="00323290" w:rsidRPr="003109A8" w:rsidRDefault="00323290" w:rsidP="003109A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43D" w14:textId="7C7EA814" w:rsidR="00323290" w:rsidRPr="003564D9" w:rsidRDefault="00323290" w:rsidP="00AB5CB8">
    <w:pPr>
      <w:pStyle w:val="Default"/>
      <w:ind w:left="-284"/>
      <w:rPr>
        <w:sz w:val="16"/>
        <w:szCs w:val="16"/>
      </w:rPr>
    </w:pPr>
    <w:r w:rsidRPr="003676A4">
      <w:rPr>
        <w:noProof/>
        <w:color w:val="auto"/>
      </w:rPr>
      <mc:AlternateContent>
        <mc:Choice Requires="wps">
          <w:drawing>
            <wp:anchor distT="0" distB="0" distL="114300" distR="114300" simplePos="0" relativeHeight="251658240" behindDoc="1" locked="0" layoutInCell="1" allowOverlap="1" wp14:anchorId="7A2373E9" wp14:editId="21B0B3E7">
              <wp:simplePos x="0" y="0"/>
              <wp:positionH relativeFrom="column">
                <wp:posOffset>-184150</wp:posOffset>
              </wp:positionH>
              <wp:positionV relativeFrom="paragraph">
                <wp:posOffset>426720</wp:posOffset>
              </wp:positionV>
              <wp:extent cx="6149340" cy="15240"/>
              <wp:effectExtent l="0" t="0" r="22860" b="2286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30D2F" id="Straight Connector 31" o:spid="_x0000_s1026" alt="&quot;&quot;"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4.5pt,33.6pt" to="46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" strokecolor="black [2413]" strokeweight=".5pt">
              <v:stroke joinstyle="miter"/>
            </v:line>
          </w:pict>
        </mc:Fallback>
      </mc:AlternateContent>
    </w:r>
    <w:r>
      <w:rPr>
        <w:rFonts w:asciiTheme="minorHAnsi" w:hAnsiTheme="minorHAnsi" w:cs="Source Sans Pro Light"/>
        <w:i/>
        <w:iCs/>
        <w:sz w:val="16"/>
        <w:szCs w:val="16"/>
      </w:rPr>
      <w:br/>
    </w:r>
    <w:proofErr w:type="gramStart"/>
    <w:r w:rsidRPr="003564D9">
      <w:rPr>
        <w:rFonts w:asciiTheme="minorHAnsi" w:hAnsiTheme="minorHAnsi" w:cs="Source Sans Pro Light"/>
        <w:i/>
        <w:iCs/>
        <w:sz w:val="16"/>
        <w:szCs w:val="16"/>
      </w:rPr>
      <w:t>The above accountability indicators were examined by the ACT Audit Office</w:t>
    </w:r>
    <w:proofErr w:type="gramEnd"/>
    <w:r w:rsidRPr="003564D9">
      <w:rPr>
        <w:rFonts w:asciiTheme="minorHAnsi" w:hAnsiTheme="minorHAnsi" w:cs="Source Sans Pro Light"/>
        <w:i/>
        <w:iCs/>
        <w:sz w:val="16"/>
        <w:szCs w:val="16"/>
      </w:rPr>
      <w:t xml:space="preserve"> in accordance with the Financial Management Act 1996.</w:t>
    </w:r>
    <w:r>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Pr>
        <w:sz w:val="16"/>
        <w:szCs w:val="16"/>
      </w:rPr>
      <w:br/>
    </w:r>
    <w:r>
      <w:rPr>
        <w:sz w:val="16"/>
        <w:szCs w:val="16"/>
      </w:rPr>
      <w:br/>
    </w:r>
  </w:p>
  <w:p w14:paraId="5805714E" w14:textId="50D63C9A" w:rsidR="00323290" w:rsidRDefault="00323290" w:rsidP="003109A8">
    <w:pPr>
      <w:pStyle w:val="Footer"/>
    </w:pPr>
    <w:r w:rsidRPr="003676A4">
      <w:rPr>
        <w:color w:val="auto"/>
      </w:rPr>
      <mc:AlternateContent>
        <mc:Choice Requires="wps">
          <w:drawing>
            <wp:inline distT="0" distB="0" distL="0" distR="0" wp14:anchorId="52CB5EFD" wp14:editId="62D3BDF4">
              <wp:extent cx="5836920" cy="296787"/>
              <wp:effectExtent l="0" t="0" r="0" b="0"/>
              <wp:docPr id="30" name="Rectangle 30"/>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1C7C126F" w14:textId="3362D649" w:rsidR="00323290" w:rsidRPr="003676A4"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3004E">
                            <w:rPr>
                              <w:color w:val="auto"/>
                            </w:rPr>
                            <w:t>3</w:t>
                          </w:r>
                          <w:r w:rsidRPr="003676A4">
                            <w:rPr>
                              <w:color w:val="auto"/>
                            </w:rPr>
                            <w:t>–2</w:t>
                          </w:r>
                          <w:r w:rsidR="0063004E">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B5EFD" id="Rectangle 30" o:spid="_x0000_s1037"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" filled="f" stroked="f" strokeweight="1pt">
              <v:textbox>
                <w:txbxContent>
                  <w:p w14:paraId="1C7C126F" w14:textId="3362D649" w:rsidR="00323290" w:rsidRPr="003676A4"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3004E">
                      <w:rPr>
                        <w:color w:val="auto"/>
                      </w:rPr>
                      <w:t>3</w:t>
                    </w:r>
                    <w:r w:rsidRPr="003676A4">
                      <w:rPr>
                        <w:color w:val="auto"/>
                      </w:rPr>
                      <w:t>–2</w:t>
                    </w:r>
                    <w:r w:rsidR="0063004E">
                      <w:rPr>
                        <w:color w:val="auto"/>
                      </w:rPr>
                      <w:t>4</w:t>
                    </w:r>
                  </w:p>
                </w:txbxContent>
              </v:textbox>
              <w10:anchorlock/>
            </v:rect>
          </w:pict>
        </mc:Fallback>
      </mc:AlternateContent>
    </w:r>
  </w:p>
  <w:p w14:paraId="45DFC0D4" w14:textId="77777777" w:rsidR="00323290" w:rsidRPr="003109A8" w:rsidRDefault="00323290" w:rsidP="003109A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495F07E0" w14:textId="77777777">
      <w:trPr>
        <w:jc w:val="center"/>
      </w:trPr>
      <w:tc>
        <w:tcPr>
          <w:tcW w:w="4558" w:type="dxa"/>
          <w:shd w:val="clear" w:color="auto" w:fill="auto"/>
          <w:vAlign w:val="center"/>
        </w:tcPr>
        <w:p w14:paraId="6D0255BB" w14:textId="77777777" w:rsidR="00323290" w:rsidRPr="006A4100" w:rsidRDefault="00323290" w:rsidP="00351F1B">
          <w:pPr>
            <w:pStyle w:val="Footer"/>
            <w:rPr>
              <w:caps/>
              <w:sz w:val="18"/>
              <w:szCs w:val="18"/>
            </w:rPr>
          </w:pPr>
          <w:r w:rsidRPr="004D5B70">
            <w:t>XXXXXXXXX</w:t>
          </w:r>
          <w:r>
            <w:t xml:space="preserve"> Directorate</w:t>
          </w:r>
        </w:p>
      </w:tc>
      <w:tc>
        <w:tcPr>
          <w:tcW w:w="4513" w:type="dxa"/>
          <w:shd w:val="clear" w:color="auto" w:fill="auto"/>
          <w:vAlign w:val="center"/>
        </w:tcPr>
        <w:p w14:paraId="0D9FDFF2" w14:textId="6D15C9F4"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51B1F0E" w14:textId="6CEBEFF1" w:rsidR="00323290" w:rsidRPr="00C27862" w:rsidRDefault="00323290" w:rsidP="00351F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D537" w14:textId="4B842F7A" w:rsidR="00323290" w:rsidRPr="003564D9" w:rsidRDefault="00323290" w:rsidP="00AB5CB8">
    <w:pPr>
      <w:pStyle w:val="Default"/>
      <w:ind w:left="-284"/>
      <w:rPr>
        <w:sz w:val="16"/>
        <w:szCs w:val="16"/>
      </w:rPr>
    </w:pPr>
    <w:r w:rsidRPr="003676A4">
      <w:rPr>
        <w:noProof/>
        <w:color w:val="auto"/>
      </w:rPr>
      <mc:AlternateContent>
        <mc:Choice Requires="wps">
          <w:drawing>
            <wp:anchor distT="0" distB="0" distL="114300" distR="114300" simplePos="0" relativeHeight="251658241" behindDoc="1" locked="0" layoutInCell="1" allowOverlap="1" wp14:anchorId="4CAFE255" wp14:editId="56AB9564">
              <wp:simplePos x="0" y="0"/>
              <wp:positionH relativeFrom="column">
                <wp:posOffset>-184150</wp:posOffset>
              </wp:positionH>
              <wp:positionV relativeFrom="paragraph">
                <wp:posOffset>60960</wp:posOffset>
              </wp:positionV>
              <wp:extent cx="6149340" cy="15240"/>
              <wp:effectExtent l="0" t="0" r="22860" b="2286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0AAF4" id="Straight Connector 36" o:spid="_x0000_s1026" alt="&quot;&quot;" style="position:absolute;flip:y;z-index:-251658239;visibility:visible;mso-wrap-style:square;mso-wrap-distance-left:9pt;mso-wrap-distance-top:0;mso-wrap-distance-right:9pt;mso-wrap-distance-bottom:0;mso-position-horizontal:absolute;mso-position-horizontal-relative:text;mso-position-vertical:absolute;mso-position-vertical-relative:text" from="-14.5pt,4.8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" strokecolor="black [2413]" strokeweight=".5pt">
              <v:stroke joinstyle="miter"/>
            </v:line>
          </w:pict>
        </mc:Fallback>
      </mc:AlternateContent>
    </w:r>
    <w:r>
      <w:rPr>
        <w:sz w:val="16"/>
        <w:szCs w:val="16"/>
      </w:rPr>
      <w:br/>
    </w:r>
  </w:p>
  <w:p w14:paraId="00D57035" w14:textId="1ECA21EC" w:rsidR="00323290" w:rsidRDefault="00323290" w:rsidP="003109A8">
    <w:pPr>
      <w:pStyle w:val="Footer"/>
    </w:pPr>
    <w:r w:rsidRPr="003676A4">
      <w:rPr>
        <w:color w:val="auto"/>
      </w:rPr>
      <mc:AlternateContent>
        <mc:Choice Requires="wps">
          <w:drawing>
            <wp:inline distT="0" distB="0" distL="0" distR="0" wp14:anchorId="6CF0ECE4" wp14:editId="71BCE754">
              <wp:extent cx="5836920" cy="296787"/>
              <wp:effectExtent l="0" t="0" r="0" b="0"/>
              <wp:docPr id="37" name="Rectangle 37"/>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0A937F99" w14:textId="1ABB8A5D" w:rsidR="00323290" w:rsidRPr="003676A4"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A3E96">
                            <w:rPr>
                              <w:color w:val="auto"/>
                            </w:rPr>
                            <w:t>3</w:t>
                          </w:r>
                          <w:r w:rsidRPr="003676A4">
                            <w:rPr>
                              <w:color w:val="auto"/>
                            </w:rPr>
                            <w:t>–2</w:t>
                          </w:r>
                          <w:r w:rsidR="006A3E96">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0ECE4" id="Rectangle 37" o:spid="_x0000_s1038"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" filled="f" stroked="f" strokeweight="1pt">
              <v:textbox>
                <w:txbxContent>
                  <w:p w14:paraId="0A937F99" w14:textId="1ABB8A5D" w:rsidR="00323290" w:rsidRPr="003676A4"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A3E96">
                      <w:rPr>
                        <w:color w:val="auto"/>
                      </w:rPr>
                      <w:t>3</w:t>
                    </w:r>
                    <w:r w:rsidRPr="003676A4">
                      <w:rPr>
                        <w:color w:val="auto"/>
                      </w:rPr>
                      <w:t>–2</w:t>
                    </w:r>
                    <w:r w:rsidR="006A3E96">
                      <w:rPr>
                        <w:color w:val="auto"/>
                      </w:rPr>
                      <w:t>4</w:t>
                    </w:r>
                  </w:p>
                </w:txbxContent>
              </v:textbox>
              <w10:anchorlock/>
            </v:rect>
          </w:pict>
        </mc:Fallback>
      </mc:AlternateContent>
    </w:r>
  </w:p>
  <w:p w14:paraId="173E50D6" w14:textId="77777777" w:rsidR="00323290" w:rsidRPr="003109A8" w:rsidRDefault="00323290" w:rsidP="00310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6920" w14:textId="20E9657D" w:rsidR="00323290" w:rsidRPr="003676A4" w:rsidRDefault="00323290" w:rsidP="003676A4">
    <w:pPr>
      <w:pStyle w:val="Footer"/>
      <w:rPr>
        <w:color w:val="auto"/>
      </w:rPr>
    </w:pPr>
    <w:r w:rsidRPr="003676A4">
      <w:rPr>
        <w:color w:val="auto"/>
      </w:rPr>
      <mc:AlternateContent>
        <mc:Choice Requires="wps">
          <w:drawing>
            <wp:inline distT="0" distB="0" distL="0" distR="0" wp14:anchorId="2788706C" wp14:editId="66A0D0B1">
              <wp:extent cx="5760000" cy="0"/>
              <wp:effectExtent l="0" t="0" r="0" b="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6CF017"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0C22A108" w14:textId="77777777" w:rsidR="00323290" w:rsidRPr="003676A4" w:rsidRDefault="00323290" w:rsidP="003676A4">
    <w:pPr>
      <w:pStyle w:val="Footer"/>
      <w:rPr>
        <w:color w:val="auto"/>
      </w:rPr>
    </w:pPr>
    <w:r w:rsidRPr="003676A4">
      <w:rPr>
        <w:color w:val="auto"/>
      </w:rPr>
      <mc:AlternateContent>
        <mc:Choice Requires="wps">
          <w:drawing>
            <wp:inline distT="0" distB="0" distL="0" distR="0" wp14:anchorId="1543E7CC" wp14:editId="69203FCB">
              <wp:extent cx="5760720" cy="267970"/>
              <wp:effectExtent l="0" t="0" r="0" b="0"/>
              <wp:docPr id="64" name="Rectangle 64"/>
              <wp:cNvGraphicFramePr/>
              <a:graphic xmlns:a="http://schemas.openxmlformats.org/drawingml/2006/main">
                <a:graphicData uri="http://schemas.microsoft.com/office/word/2010/wordprocessingShape">
                  <wps:wsp>
                    <wps:cNvSpPr/>
                    <wps:spPr>
                      <a:xfrm>
                        <a:off x="0" y="0"/>
                        <a:ext cx="5760720" cy="267970"/>
                      </a:xfrm>
                      <a:prstGeom prst="rect">
                        <a:avLst/>
                      </a:prstGeom>
                      <a:noFill/>
                      <a:ln w="12700" cap="flat" cmpd="sng" algn="ctr">
                        <a:noFill/>
                        <a:prstDash val="solid"/>
                        <a:miter lim="800000"/>
                      </a:ln>
                      <a:effectLst/>
                    </wps:spPr>
                    <wps:txbx>
                      <w:txbxContent>
                        <w:p w14:paraId="73673B7E" w14:textId="4D6F9F91"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43E7CC" id="Rectangle 64" o:spid="_x0000_s1029" style="width:453.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" filled="f" stroked="f" strokeweight="1pt">
              <v:textbox>
                <w:txbxContent>
                  <w:p w14:paraId="73673B7E" w14:textId="4D6F9F91"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Pr>
                        <w:color w:val="auto"/>
                      </w:rPr>
                      <w:t>3</w:t>
                    </w:r>
                    <w:r w:rsidRPr="003676A4">
                      <w:rPr>
                        <w:color w:val="auto"/>
                      </w:rPr>
                      <w:t>–2</w:t>
                    </w:r>
                    <w:r>
                      <w:rPr>
                        <w:color w:val="auto"/>
                      </w:rPr>
                      <w:t>4</w:t>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41" w:type="pct"/>
      <w:jc w:val="center"/>
      <w:tblCellMar>
        <w:top w:w="144" w:type="dxa"/>
        <w:left w:w="115" w:type="dxa"/>
        <w:bottom w:w="144" w:type="dxa"/>
        <w:right w:w="115" w:type="dxa"/>
      </w:tblCellMar>
      <w:tblLook w:val="04A0" w:firstRow="1" w:lastRow="0" w:firstColumn="1" w:lastColumn="0" w:noHBand="0" w:noVBand="1"/>
    </w:tblPr>
    <w:tblGrid>
      <w:gridCol w:w="4778"/>
      <w:gridCol w:w="4731"/>
    </w:tblGrid>
    <w:tr w:rsidR="00323290" w:rsidRPr="005A3A70" w14:paraId="28B11C92" w14:textId="77777777">
      <w:trPr>
        <w:trHeight w:val="105"/>
        <w:jc w:val="center"/>
      </w:trPr>
      <w:tc>
        <w:tcPr>
          <w:tcW w:w="4779" w:type="dxa"/>
          <w:shd w:val="clear" w:color="auto" w:fill="auto"/>
          <w:vAlign w:val="center"/>
        </w:tcPr>
        <w:p w14:paraId="1FDA16C4" w14:textId="75E938A7" w:rsidR="00323290" w:rsidRPr="005A3A70" w:rsidRDefault="00323290" w:rsidP="003109A8">
          <w:pPr>
            <w:pStyle w:val="Footer"/>
            <w:rPr>
              <w:caps/>
              <w:color w:val="595959" w:themeColor="text1" w:themeTint="A6"/>
              <w:sz w:val="18"/>
              <w:szCs w:val="18"/>
            </w:rPr>
          </w:pPr>
        </w:p>
      </w:tc>
      <w:tc>
        <w:tcPr>
          <w:tcW w:w="4731" w:type="dxa"/>
          <w:shd w:val="clear" w:color="auto" w:fill="auto"/>
          <w:vAlign w:val="center"/>
        </w:tcPr>
        <w:p w14:paraId="0CA81EC5" w14:textId="250CFD25" w:rsidR="00323290" w:rsidRPr="005A3A70" w:rsidRDefault="00323290" w:rsidP="003109A8">
          <w:pPr>
            <w:pStyle w:val="Footer"/>
            <w:jc w:val="right"/>
            <w:rPr>
              <w:color w:val="595959" w:themeColor="text1" w:themeTint="A6"/>
            </w:rPr>
          </w:pPr>
        </w:p>
      </w:tc>
    </w:tr>
  </w:tbl>
  <w:p w14:paraId="2DA1DEF0" w14:textId="77777777" w:rsidR="00323290" w:rsidRPr="00C27862" w:rsidRDefault="00323290" w:rsidP="003109A8">
    <w:pPr>
      <w:pStyle w:val="Footer"/>
    </w:pPr>
  </w:p>
  <w:p w14:paraId="29A30F29" w14:textId="77777777" w:rsidR="00323290" w:rsidRPr="003109A8" w:rsidRDefault="00323290" w:rsidP="00310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3218BEC7" w14:textId="77777777">
      <w:trPr>
        <w:jc w:val="center"/>
      </w:trPr>
      <w:tc>
        <w:tcPr>
          <w:tcW w:w="4558" w:type="dxa"/>
          <w:shd w:val="clear" w:color="auto" w:fill="auto"/>
          <w:vAlign w:val="center"/>
        </w:tcPr>
        <w:p w14:paraId="109610CE" w14:textId="08ECAAA7" w:rsidR="00323290" w:rsidRPr="006A4100" w:rsidRDefault="00323290" w:rsidP="00351F1B">
          <w:pPr>
            <w:pStyle w:val="Footer"/>
            <w:rPr>
              <w:caps/>
              <w:sz w:val="18"/>
              <w:szCs w:val="18"/>
            </w:rPr>
          </w:pPr>
          <w:r w:rsidRPr="004D5B70">
            <w:t>XXXXXXXXX</w:t>
          </w:r>
          <w:r>
            <w:t xml:space="preserve"> Directorate</w:t>
          </w:r>
        </w:p>
      </w:tc>
      <w:tc>
        <w:tcPr>
          <w:tcW w:w="4513" w:type="dxa"/>
          <w:shd w:val="clear" w:color="auto" w:fill="auto"/>
          <w:vAlign w:val="center"/>
        </w:tcPr>
        <w:p w14:paraId="680F6814" w14:textId="79B20470"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7EF9432" w14:textId="0D730511" w:rsidR="00323290" w:rsidRPr="00C27862" w:rsidRDefault="00323290" w:rsidP="00351F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071CA4C3" w14:textId="77777777">
      <w:trPr>
        <w:jc w:val="center"/>
      </w:trPr>
      <w:tc>
        <w:tcPr>
          <w:tcW w:w="4558" w:type="dxa"/>
          <w:shd w:val="clear" w:color="auto" w:fill="auto"/>
          <w:vAlign w:val="center"/>
        </w:tcPr>
        <w:p w14:paraId="73EF5F2E"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41236D15" w14:textId="5697C681"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4EBF1B4" w14:textId="48608043" w:rsidR="00323290" w:rsidRPr="00C27862" w:rsidRDefault="00323290" w:rsidP="00351F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6B7A1F21" w14:textId="77777777">
      <w:trPr>
        <w:jc w:val="center"/>
      </w:trPr>
      <w:tc>
        <w:tcPr>
          <w:tcW w:w="4558" w:type="dxa"/>
          <w:shd w:val="clear" w:color="auto" w:fill="auto"/>
          <w:vAlign w:val="center"/>
        </w:tcPr>
        <w:p w14:paraId="5AE7E011"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0C8BD514" w14:textId="77777777"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47091E0A" w14:textId="77777777" w:rsidR="00323290" w:rsidRPr="00C27862" w:rsidRDefault="00323290" w:rsidP="00351F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29590EF4" w14:textId="77777777">
      <w:trPr>
        <w:jc w:val="center"/>
      </w:trPr>
      <w:tc>
        <w:tcPr>
          <w:tcW w:w="4558" w:type="dxa"/>
          <w:shd w:val="clear" w:color="auto" w:fill="auto"/>
          <w:vAlign w:val="center"/>
        </w:tcPr>
        <w:p w14:paraId="6FDC3FD9"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shd w:val="clear" w:color="auto" w:fill="auto"/>
          <w:vAlign w:val="center"/>
        </w:tcPr>
        <w:p w14:paraId="6F8A57D9" w14:textId="77777777"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89F6880" w14:textId="77777777" w:rsidR="00323290" w:rsidRPr="00C27862" w:rsidRDefault="00323290" w:rsidP="00351F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E71" w14:textId="3FE09823" w:rsidR="00323290" w:rsidRPr="003676A4" w:rsidRDefault="00323290" w:rsidP="003676A4">
    <w:pPr>
      <w:pStyle w:val="Footer"/>
      <w:rPr>
        <w:color w:val="auto"/>
      </w:rPr>
    </w:pPr>
    <w:r>
      <mc:AlternateContent>
        <mc:Choice Requires="wps">
          <w:drawing>
            <wp:inline distT="0" distB="0" distL="0" distR="0" wp14:anchorId="3E23656F" wp14:editId="35E0060C">
              <wp:extent cx="8712835" cy="25182"/>
              <wp:effectExtent l="0" t="0" r="31115" b="32385"/>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712835" cy="25182"/>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F31983"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6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" strokecolor="black [2413]" strokeweight=".5pt">
              <v:stroke joinstyle="miter"/>
              <w10:anchorlock/>
            </v:line>
          </w:pict>
        </mc:Fallback>
      </mc:AlternateContent>
    </w:r>
  </w:p>
  <w:p w14:paraId="250E41F7" w14:textId="77777777" w:rsidR="00323290" w:rsidRPr="003676A4" w:rsidRDefault="00323290" w:rsidP="003676A4">
    <w:pPr>
      <w:pStyle w:val="Footer"/>
      <w:rPr>
        <w:color w:val="auto"/>
      </w:rPr>
    </w:pPr>
    <w:r w:rsidRPr="003676A4">
      <w:rPr>
        <w:color w:val="auto"/>
      </w:rPr>
      <mc:AlternateContent>
        <mc:Choice Requires="wps">
          <w:drawing>
            <wp:inline distT="0" distB="0" distL="0" distR="0" wp14:anchorId="3DBB6E5E" wp14:editId="15811209">
              <wp:extent cx="8694420" cy="267970"/>
              <wp:effectExtent l="0" t="0" r="0" b="0"/>
              <wp:docPr id="10" name="Rectangle 10"/>
              <wp:cNvGraphicFramePr/>
              <a:graphic xmlns:a="http://schemas.openxmlformats.org/drawingml/2006/main">
                <a:graphicData uri="http://schemas.microsoft.com/office/word/2010/wordprocessingShape">
                  <wps:wsp>
                    <wps:cNvSpPr/>
                    <wps:spPr>
                      <a:xfrm>
                        <a:off x="0" y="0"/>
                        <a:ext cx="8694420" cy="267970"/>
                      </a:xfrm>
                      <a:prstGeom prst="rect">
                        <a:avLst/>
                      </a:prstGeom>
                      <a:noFill/>
                      <a:ln w="12700" cap="flat" cmpd="sng" algn="ctr">
                        <a:noFill/>
                        <a:prstDash val="solid"/>
                        <a:miter lim="800000"/>
                      </a:ln>
                      <a:effectLst/>
                    </wps:spPr>
                    <wps:txbx>
                      <w:txbxContent>
                        <w:p w14:paraId="7FC2271F" w14:textId="60F0791B"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5F1683">
                            <w:rPr>
                              <w:color w:val="auto"/>
                            </w:rPr>
                            <w:t>3</w:t>
                          </w:r>
                          <w:r w:rsidRPr="003676A4">
                            <w:rPr>
                              <w:color w:val="auto"/>
                            </w:rPr>
                            <w:t>–2</w:t>
                          </w:r>
                          <w:r w:rsidR="005F1683">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BB6E5E" id="Rectangle 10" o:spid="_x0000_s1030" style="width:684.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" filled="f" stroked="f" strokeweight="1pt">
              <v:textbox>
                <w:txbxContent>
                  <w:p w14:paraId="7FC2271F" w14:textId="60F0791B"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5F1683">
                      <w:rPr>
                        <w:color w:val="auto"/>
                      </w:rPr>
                      <w:t>3</w:t>
                    </w:r>
                    <w:r w:rsidRPr="003676A4">
                      <w:rPr>
                        <w:color w:val="auto"/>
                      </w:rPr>
                      <w:t>–2</w:t>
                    </w:r>
                    <w:r w:rsidR="005F1683">
                      <w:rPr>
                        <w:color w:val="auto"/>
                      </w:rPr>
                      <w:t>4</w:t>
                    </w:r>
                  </w:p>
                </w:txbxContent>
              </v:textbox>
              <w10:anchorlock/>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0DF3" w14:textId="7B13E0BF" w:rsidR="00323290" w:rsidRPr="003676A4" w:rsidRDefault="00E45BE6" w:rsidP="003676A4">
    <w:pPr>
      <w:pStyle w:val="Footer"/>
      <w:rPr>
        <w:color w:val="auto"/>
      </w:rPr>
    </w:pPr>
    <w:r>
      <w:rPr>
        <w:color w:val="auto"/>
      </w:rPr>
      <mc:AlternateContent>
        <mc:Choice Requires="wps">
          <w:drawing>
            <wp:anchor distT="0" distB="0" distL="114300" distR="114300" simplePos="0" relativeHeight="251679745" behindDoc="0" locked="0" layoutInCell="1" allowOverlap="1" wp14:anchorId="5D58BEF3" wp14:editId="1114D563">
              <wp:simplePos x="0" y="0"/>
              <wp:positionH relativeFrom="column">
                <wp:posOffset>7887</wp:posOffset>
              </wp:positionH>
              <wp:positionV relativeFrom="paragraph">
                <wp:posOffset>151163</wp:posOffset>
              </wp:positionV>
              <wp:extent cx="5768340" cy="8021"/>
              <wp:effectExtent l="0" t="0" r="22860" b="28575"/>
              <wp:wrapNone/>
              <wp:docPr id="1803410388" name="Straight Connector 3"/>
              <wp:cNvGraphicFramePr/>
              <a:graphic xmlns:a="http://schemas.openxmlformats.org/drawingml/2006/main">
                <a:graphicData uri="http://schemas.microsoft.com/office/word/2010/wordprocessingShape">
                  <wps:wsp>
                    <wps:cNvCnPr/>
                    <wps:spPr>
                      <a:xfrm>
                        <a:off x="0" y="0"/>
                        <a:ext cx="5768340" cy="80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A4695C" id="Straight Connector 3" o:spid="_x0000_s1026" style="position:absolute;z-index:251679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1.9pt" to="454.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" strokecolor="black [3213]" strokeweight=".5pt">
              <v:stroke joinstyle="miter"/>
            </v:line>
          </w:pict>
        </mc:Fallback>
      </mc:AlternateContent>
    </w:r>
    <w:r w:rsidR="009809E3" w:rsidRPr="003676A4">
      <w:rPr>
        <w:color w:val="auto"/>
      </w:rPr>
      <mc:AlternateContent>
        <mc:Choice Requires="wps">
          <w:drawing>
            <wp:anchor distT="0" distB="0" distL="114300" distR="114300" simplePos="0" relativeHeight="251658752" behindDoc="0" locked="0" layoutInCell="1" allowOverlap="1" wp14:anchorId="03A9CC7D" wp14:editId="4E6E624B">
              <wp:simplePos x="0" y="0"/>
              <wp:positionH relativeFrom="column">
                <wp:posOffset>8656</wp:posOffset>
              </wp:positionH>
              <wp:positionV relativeFrom="paragraph">
                <wp:posOffset>196750</wp:posOffset>
              </wp:positionV>
              <wp:extent cx="5768340" cy="344805"/>
              <wp:effectExtent l="0" t="0" r="0" b="0"/>
              <wp:wrapNone/>
              <wp:docPr id="22" name="Rectangle 22"/>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7D88AE9E" w14:textId="0209365A"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22385">
                            <w:rPr>
                              <w:color w:val="auto"/>
                            </w:rPr>
                            <w:t>3</w:t>
                          </w:r>
                          <w:r w:rsidRPr="003676A4">
                            <w:rPr>
                              <w:color w:val="auto"/>
                            </w:rPr>
                            <w:t>–2</w:t>
                          </w:r>
                          <w:r w:rsidR="00864201">
                            <w:rPr>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9CC7D" id="Rectangle 22" o:spid="_x0000_s1031" style="position:absolute;margin-left:.7pt;margin-top:15.5pt;width:454.2pt;height:27.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" filled="f" stroked="f" strokeweight="1pt">
              <v:textbox>
                <w:txbxContent>
                  <w:p w14:paraId="7D88AE9E" w14:textId="0209365A"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Annual Report 202</w:t>
                    </w:r>
                    <w:r w:rsidR="00622385">
                      <w:rPr>
                        <w:color w:val="auto"/>
                      </w:rPr>
                      <w:t>3</w:t>
                    </w:r>
                    <w:r w:rsidRPr="003676A4">
                      <w:rPr>
                        <w:color w:val="auto"/>
                      </w:rPr>
                      <w:t>–2</w:t>
                    </w:r>
                    <w:r w:rsidR="00864201">
                      <w:rPr>
                        <w:color w:val="auto"/>
                      </w:rPr>
                      <w:t>4</w:t>
                    </w:r>
                  </w:p>
                </w:txbxContent>
              </v:textbox>
            </v:rect>
          </w:pict>
        </mc:Fallback>
      </mc:AlternateContent>
    </w:r>
    <w:r w:rsidR="008C47F7" w:rsidRPr="003676A4">
      <w:rPr>
        <w:color w:val="auto"/>
      </w:rPr>
      <mc:AlternateContent>
        <mc:Choice Requires="wps">
          <w:drawing>
            <wp:anchor distT="0" distB="0" distL="114300" distR="114300" simplePos="0" relativeHeight="251655680" behindDoc="0" locked="0" layoutInCell="1" allowOverlap="1" wp14:anchorId="75A2A6D8" wp14:editId="04B82FCB">
              <wp:simplePos x="0" y="0"/>
              <wp:positionH relativeFrom="column">
                <wp:posOffset>8890</wp:posOffset>
              </wp:positionH>
              <wp:positionV relativeFrom="page">
                <wp:posOffset>9976785</wp:posOffset>
              </wp:positionV>
              <wp:extent cx="5759450" cy="0"/>
              <wp:effectExtent l="0" t="0" r="0" b="0"/>
              <wp:wrapNone/>
              <wp:docPr id="110673377" name="Straight Connector 110673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9779A" id="Straight Connector 110673377" o:spid="_x0000_s1026" alt="&quot;&quot;" style="position:absolute;z-index:251655680;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00323290" w:rsidRPr="003676A4">
      <w:rPr>
        <w:color w:val="auto"/>
      </w:rPr>
      <mc:AlternateContent>
        <mc:Choice Requires="wps">
          <w:drawing>
            <wp:anchor distT="0" distB="0" distL="114300" distR="114300" simplePos="0" relativeHeight="251652608" behindDoc="0" locked="0" layoutInCell="1" allowOverlap="1" wp14:anchorId="12721244" wp14:editId="6A79AB90">
              <wp:simplePos x="0" y="0"/>
              <wp:positionH relativeFrom="column">
                <wp:posOffset>-134</wp:posOffset>
              </wp:positionH>
              <wp:positionV relativeFrom="page">
                <wp:posOffset>9970168</wp:posOffset>
              </wp:positionV>
              <wp:extent cx="575945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3E056" id="Straight Connector 23" o:spid="_x0000_s1026" alt="&quot;&quot;" style="position:absolute;z-index:251652608;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02AAFA46" w14:textId="64DC772C" w:rsidR="00323290" w:rsidRPr="003676A4" w:rsidRDefault="00323290" w:rsidP="003676A4">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49765" w14:textId="77777777" w:rsidR="005E274A" w:rsidRDefault="005E274A" w:rsidP="00351F1B">
      <w:r>
        <w:separator/>
      </w:r>
    </w:p>
    <w:p w14:paraId="5300C3AC" w14:textId="77777777" w:rsidR="005E274A" w:rsidRDefault="005E274A" w:rsidP="00351F1B"/>
  </w:footnote>
  <w:footnote w:type="continuationSeparator" w:id="0">
    <w:p w14:paraId="703191A0" w14:textId="77777777" w:rsidR="005E274A" w:rsidRDefault="005E274A" w:rsidP="00351F1B">
      <w:r>
        <w:continuationSeparator/>
      </w:r>
    </w:p>
    <w:p w14:paraId="38ACAB86" w14:textId="77777777" w:rsidR="005E274A" w:rsidRDefault="005E274A" w:rsidP="00351F1B"/>
  </w:footnote>
  <w:footnote w:type="continuationNotice" w:id="1">
    <w:p w14:paraId="6802FB93" w14:textId="77777777" w:rsidR="005E274A" w:rsidRDefault="005E27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4F8E" w14:textId="77777777" w:rsidR="00323290" w:rsidRDefault="00323290" w:rsidP="00351F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424D" w14:textId="77777777" w:rsidR="00323290" w:rsidRPr="001D1198" w:rsidRDefault="00323290" w:rsidP="002219D4">
    <w:pPr>
      <w:spacing w:after="0" w:line="200" w:lineRule="atLeast"/>
      <w:rPr>
        <w:b/>
        <w:sz w:val="30"/>
        <w:szCs w:val="30"/>
      </w:rPr>
    </w:pPr>
    <w:r w:rsidRPr="001D1198">
      <w:rPr>
        <w:b/>
        <w:sz w:val="30"/>
        <w:szCs w:val="30"/>
      </w:rPr>
      <w:t>ACT INSURANCE AUTHORITY</w:t>
    </w:r>
  </w:p>
  <w:p w14:paraId="722333A0" w14:textId="77777777" w:rsidR="00323290" w:rsidRPr="001D1198" w:rsidRDefault="00323290" w:rsidP="002219D4">
    <w:pPr>
      <w:autoSpaceDE w:val="0"/>
      <w:autoSpaceDN w:val="0"/>
      <w:adjustRightInd w:val="0"/>
      <w:spacing w:after="0" w:line="240" w:lineRule="auto"/>
      <w:outlineLvl w:val="0"/>
      <w:rPr>
        <w:rFonts w:cs="Montserrat Semi Bold"/>
        <w:b/>
        <w:bCs/>
        <w:color w:val="000000"/>
        <w:sz w:val="30"/>
        <w:szCs w:val="30"/>
      </w:rPr>
    </w:pPr>
    <w:r w:rsidRPr="001D1198">
      <w:rPr>
        <w:rFonts w:cs="Montserrat Semi Bold"/>
        <w:b/>
        <w:bCs/>
        <w:color w:val="000000"/>
        <w:sz w:val="30"/>
        <w:szCs w:val="30"/>
      </w:rPr>
      <w:t>OPERATING STATEMENT</w:t>
    </w:r>
  </w:p>
  <w:p w14:paraId="4B806F0C" w14:textId="4AD4C605" w:rsidR="00323290" w:rsidRPr="001D1198" w:rsidRDefault="00323290" w:rsidP="002219D4">
    <w:pPr>
      <w:autoSpaceDE w:val="0"/>
      <w:autoSpaceDN w:val="0"/>
      <w:adjustRightInd w:val="0"/>
      <w:spacing w:after="100" w:line="240" w:lineRule="auto"/>
      <w:rPr>
        <w:rFonts w:cs="Montserrat Semi Bold"/>
        <w:b/>
        <w:bCs/>
        <w:color w:val="000000"/>
        <w:sz w:val="30"/>
        <w:szCs w:val="30"/>
      </w:rPr>
    </w:pPr>
    <w:r w:rsidRPr="001D1198">
      <w:rPr>
        <w:rFonts w:cs="Montserrat Semi Bold"/>
        <w:b/>
        <w:bCs/>
        <w:color w:val="000000"/>
        <w:sz w:val="30"/>
        <w:szCs w:val="30"/>
      </w:rPr>
      <w:t>FOR THE YEAR ENDED 30 JUNE 202</w:t>
    </w:r>
    <w:r w:rsidR="00622385">
      <w:rPr>
        <w:rFonts w:cs="Montserrat Semi Bold"/>
        <w:b/>
        <w:bCs/>
        <w:color w:val="000000"/>
        <w:sz w:val="30"/>
        <w:szCs w:val="30"/>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E68F" w14:textId="77777777" w:rsidR="00323290" w:rsidRPr="001D1198" w:rsidRDefault="00323290" w:rsidP="002219D4">
    <w:pPr>
      <w:spacing w:after="0" w:line="200" w:lineRule="atLeast"/>
      <w:rPr>
        <w:b/>
        <w:sz w:val="30"/>
        <w:szCs w:val="30"/>
      </w:rPr>
    </w:pPr>
    <w:r w:rsidRPr="001D1198">
      <w:rPr>
        <w:b/>
        <w:sz w:val="30"/>
        <w:szCs w:val="30"/>
      </w:rPr>
      <w:t>ACT INSURANCE AUTHORITY</w:t>
    </w:r>
  </w:p>
  <w:p w14:paraId="41E1D9E9" w14:textId="5CBE0C9F" w:rsidR="00323290" w:rsidRPr="001D1198" w:rsidRDefault="00323290"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BALANCE SHEET</w:t>
    </w:r>
  </w:p>
  <w:p w14:paraId="107190F2" w14:textId="4726B0A5" w:rsidR="00323290" w:rsidRPr="001D1198" w:rsidRDefault="00323290"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AS AT</w:t>
    </w:r>
    <w:r w:rsidRPr="001D1198">
      <w:rPr>
        <w:rFonts w:cs="Montserrat Semi Bold"/>
        <w:b/>
        <w:bCs/>
        <w:color w:val="000000"/>
        <w:sz w:val="30"/>
        <w:szCs w:val="30"/>
      </w:rPr>
      <w:t xml:space="preserve"> 30 JUNE 202</w:t>
    </w:r>
    <w:r w:rsidR="000E1803">
      <w:rPr>
        <w:rFonts w:cs="Montserrat Semi Bold"/>
        <w:b/>
        <w:bCs/>
        <w:color w:val="000000"/>
        <w:sz w:val="30"/>
        <w:szCs w:val="30"/>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D7D" w14:textId="77777777" w:rsidR="00323290" w:rsidRPr="001D1198" w:rsidRDefault="00323290" w:rsidP="002219D4">
    <w:pPr>
      <w:spacing w:after="0" w:line="200" w:lineRule="atLeast"/>
      <w:rPr>
        <w:b/>
        <w:sz w:val="30"/>
        <w:szCs w:val="30"/>
      </w:rPr>
    </w:pPr>
    <w:r w:rsidRPr="001D1198">
      <w:rPr>
        <w:b/>
        <w:sz w:val="30"/>
        <w:szCs w:val="30"/>
      </w:rPr>
      <w:t>ACT INSURANCE AUTHORITY</w:t>
    </w:r>
  </w:p>
  <w:p w14:paraId="37FD0E24" w14:textId="39633D41" w:rsidR="00323290" w:rsidRPr="001D1198" w:rsidRDefault="00323290"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STATEMENT OF CHANGES IN EQUITY</w:t>
    </w:r>
  </w:p>
  <w:p w14:paraId="02144ABB" w14:textId="79162F77" w:rsidR="00323290" w:rsidRPr="001D1198" w:rsidRDefault="00323290"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FOR THE YEAR ENDED </w:t>
    </w:r>
    <w:r w:rsidRPr="001D1198">
      <w:rPr>
        <w:rFonts w:cs="Montserrat Semi Bold"/>
        <w:b/>
        <w:bCs/>
        <w:color w:val="000000"/>
        <w:sz w:val="30"/>
        <w:szCs w:val="30"/>
      </w:rPr>
      <w:t>30 JUNE 202</w:t>
    </w:r>
    <w:r w:rsidR="000E1803">
      <w:rPr>
        <w:rFonts w:cs="Montserrat Semi Bold"/>
        <w:b/>
        <w:bCs/>
        <w:color w:val="000000"/>
        <w:sz w:val="30"/>
        <w:szCs w:val="30"/>
      </w:rPr>
      <w:t>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BC2C" w14:textId="77777777" w:rsidR="00323290" w:rsidRPr="001D1198" w:rsidRDefault="00323290" w:rsidP="002219D4">
    <w:pPr>
      <w:spacing w:after="0" w:line="200" w:lineRule="atLeast"/>
      <w:rPr>
        <w:b/>
        <w:sz w:val="30"/>
        <w:szCs w:val="30"/>
      </w:rPr>
    </w:pPr>
    <w:r w:rsidRPr="001D1198">
      <w:rPr>
        <w:b/>
        <w:sz w:val="30"/>
        <w:szCs w:val="30"/>
      </w:rPr>
      <w:t>ACT INSURANCE AUTHORITY</w:t>
    </w:r>
  </w:p>
  <w:p w14:paraId="7E41A565" w14:textId="7C170C12" w:rsidR="00323290" w:rsidRPr="001D1198" w:rsidRDefault="00323290"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STATEMENT OF CASH FLOWS</w:t>
    </w:r>
  </w:p>
  <w:p w14:paraId="3773037C" w14:textId="2F044A13" w:rsidR="00323290" w:rsidRPr="001D1198" w:rsidRDefault="00323290" w:rsidP="002219D4">
    <w:pPr>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FOR THE YEAR ENDED </w:t>
    </w:r>
    <w:r w:rsidRPr="001D1198">
      <w:rPr>
        <w:rFonts w:cs="Montserrat Semi Bold"/>
        <w:b/>
        <w:bCs/>
        <w:color w:val="000000"/>
        <w:sz w:val="30"/>
        <w:szCs w:val="30"/>
      </w:rPr>
      <w:t>30 JUNE 202</w:t>
    </w:r>
    <w:r w:rsidR="00093F32">
      <w:rPr>
        <w:rFonts w:cs="Montserrat Semi Bold"/>
        <w:b/>
        <w:bCs/>
        <w:color w:val="000000"/>
        <w:sz w:val="30"/>
        <w:szCs w:val="30"/>
      </w:rPr>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8E9A" w14:textId="77777777" w:rsidR="00323290" w:rsidRPr="001D1198" w:rsidRDefault="00323290" w:rsidP="002219D4">
    <w:pPr>
      <w:spacing w:after="0" w:line="200" w:lineRule="atLeast"/>
      <w:rPr>
        <w:b/>
        <w:sz w:val="30"/>
        <w:szCs w:val="30"/>
      </w:rPr>
    </w:pPr>
    <w:r w:rsidRPr="001D1198">
      <w:rPr>
        <w:b/>
        <w:sz w:val="30"/>
        <w:szCs w:val="30"/>
      </w:rPr>
      <w:t>ACT INSURANCE AUTHORITY</w:t>
    </w:r>
  </w:p>
  <w:p w14:paraId="2F0B7DCB" w14:textId="1934F1AB" w:rsidR="00323290" w:rsidRPr="001D1198" w:rsidRDefault="00323290" w:rsidP="002219D4">
    <w:pPr>
      <w:autoSpaceDE w:val="0"/>
      <w:autoSpaceDN w:val="0"/>
      <w:adjustRightInd w:val="0"/>
      <w:spacing w:after="0" w:line="240" w:lineRule="auto"/>
      <w:outlineLvl w:val="0"/>
      <w:rPr>
        <w:rFonts w:cs="Montserrat Semi Bold"/>
        <w:b/>
        <w:bCs/>
        <w:color w:val="000000"/>
        <w:sz w:val="30"/>
        <w:szCs w:val="30"/>
      </w:rPr>
    </w:pPr>
    <w:r>
      <w:rPr>
        <w:rFonts w:cs="Montserrat Semi Bold"/>
        <w:b/>
        <w:bCs/>
        <w:color w:val="000000"/>
        <w:sz w:val="30"/>
        <w:szCs w:val="30"/>
      </w:rPr>
      <w:t>NOTES TO AND FORMING PART OF THE</w:t>
    </w:r>
  </w:p>
  <w:p w14:paraId="66E59209" w14:textId="0F77309D" w:rsidR="00323290" w:rsidRPr="001D1198" w:rsidRDefault="00323290" w:rsidP="00746612">
    <w:pPr>
      <w:tabs>
        <w:tab w:val="center" w:pos="4536"/>
      </w:tabs>
      <w:autoSpaceDE w:val="0"/>
      <w:autoSpaceDN w:val="0"/>
      <w:adjustRightInd w:val="0"/>
      <w:spacing w:after="100" w:line="240" w:lineRule="auto"/>
      <w:rPr>
        <w:rFonts w:cs="Montserrat Semi Bold"/>
        <w:b/>
        <w:bCs/>
        <w:color w:val="000000"/>
        <w:sz w:val="30"/>
        <w:szCs w:val="30"/>
      </w:rPr>
    </w:pPr>
    <w:r>
      <w:rPr>
        <w:rFonts w:cs="Montserrat Semi Bold"/>
        <w:b/>
        <w:bCs/>
        <w:color w:val="000000"/>
        <w:sz w:val="30"/>
        <w:szCs w:val="30"/>
      </w:rPr>
      <w:t xml:space="preserve">FINANCIAL STATEMENTS FOR THE YEAR ENDED </w:t>
    </w:r>
    <w:r w:rsidRPr="001D1198">
      <w:rPr>
        <w:rFonts w:cs="Montserrat Semi Bold"/>
        <w:b/>
        <w:bCs/>
        <w:color w:val="000000"/>
        <w:sz w:val="30"/>
        <w:szCs w:val="30"/>
      </w:rPr>
      <w:t>30 JUNE 202</w:t>
    </w:r>
    <w:r w:rsidR="0021213B">
      <w:rPr>
        <w:rFonts w:cs="Montserrat Semi Bold"/>
        <w:b/>
        <w:bCs/>
        <w:color w:val="000000"/>
        <w:sz w:val="30"/>
        <w:szCs w:val="30"/>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C312" w14:textId="4DE7A263" w:rsidR="00323290" w:rsidRPr="00FA175E" w:rsidRDefault="00323290" w:rsidP="00FA17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433E" w14:textId="6FB75A39" w:rsidR="00323290" w:rsidRPr="00746612" w:rsidRDefault="00323290" w:rsidP="007466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45C1" w14:textId="77777777" w:rsidR="00323290" w:rsidRDefault="003232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0250" w14:textId="77777777" w:rsidR="00323290" w:rsidRDefault="00323290">
    <w:pPr>
      <w:pStyle w:val="Header"/>
      <w:tabs>
        <w:tab w:val="left" w:pos="3753"/>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69E8" w14:textId="77777777" w:rsidR="00323290" w:rsidRDefault="00323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2417" w14:textId="77777777" w:rsidR="00323290" w:rsidRDefault="00323290" w:rsidP="00351F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3695" w14:textId="77777777" w:rsidR="00323290" w:rsidRDefault="00323290" w:rsidP="00351F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5AFE" w14:textId="77777777" w:rsidR="00323290" w:rsidRDefault="00323290" w:rsidP="00351F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BD2" w14:textId="77777777" w:rsidR="00323290" w:rsidRDefault="00323290" w:rsidP="00351F1B">
    <w:pPr>
      <w:pStyle w:val="Header"/>
    </w:pPr>
  </w:p>
  <w:p w14:paraId="39FEE2D3" w14:textId="77777777" w:rsidR="00323290" w:rsidRDefault="003232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7B41" w14:textId="77777777" w:rsidR="00323290" w:rsidRDefault="003232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6C16" w14:textId="77777777" w:rsidR="00323290" w:rsidRDefault="003232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16A1" w14:textId="77777777" w:rsidR="00323290" w:rsidRDefault="003232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E014" w14:textId="77777777" w:rsidR="00323290" w:rsidRDefault="00323290" w:rsidP="00323290">
    <w:pPr>
      <w:pStyle w:val="Header"/>
      <w:tabs>
        <w:tab w:val="left" w:pos="1590"/>
      </w:tabs>
    </w:pPr>
  </w:p>
</w:hdr>
</file>

<file path=word/intelligence2.xml><?xml version="1.0" encoding="utf-8"?>
<int2:intelligence xmlns:int2="http://schemas.microsoft.com/office/intelligence/2020/intelligence" xmlns:oel="http://schemas.microsoft.com/office/2019/extlst">
  <int2:observations>
    <int2:textHash int2:hashCode="fel0ifk5t51+nN" int2:id="5n5FqBmq">
      <int2:state int2:value="Rejected" int2:type="AugLoop_Text_Critique"/>
    </int2:textHash>
    <int2:textHash int2:hashCode="baHMl/GV9Zz2W5" int2:id="6sbaVEFr">
      <int2:state int2:value="Rejected" int2:type="AugLoop_Text_Critique"/>
    </int2:textHash>
    <int2:textHash int2:hashCode="xu8W3Wdb0ra1JN" int2:id="ENsJWRky">
      <int2:state int2:value="Rejected" int2:type="AugLoop_Text_Critique"/>
    </int2:textHash>
    <int2:textHash int2:hashCode="yqvqxdESZ+WFmX" int2:id="JK9RLnV0">
      <int2:state int2:value="Rejected" int2:type="AugLoop_Text_Critique"/>
    </int2:textHash>
    <int2:textHash int2:hashCode="mbPoSuECx7Smhi" int2:id="OMpjQIYZ">
      <int2:state int2:value="Rejected" int2:type="AugLoop_Text_Critique"/>
    </int2:textHash>
    <int2:textHash int2:hashCode="hJQ59B9+9e4r0o" int2:id="RpBgfveE">
      <int2:state int2:value="Rejected" int2:type="AugLoop_Text_Critique"/>
    </int2:textHash>
    <int2:textHash int2:hashCode="TEMDWkFoOpOyKh" int2:id="eWJF2GEw">
      <int2:state int2:value="Rejected" int2:type="AugLoop_Text_Critique"/>
    </int2:textHash>
    <int2:textHash int2:hashCode="Ge78R00Xo3Leli" int2:id="isNzIBhI">
      <int2:state int2:value="Rejected" int2:type="AugLoop_Text_Critique"/>
    </int2:textHash>
    <int2:textHash int2:hashCode="ivA4NXGC+lJAYu" int2:id="qz9wOx5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244B78A"/>
    <w:lvl w:ilvl="0" w:tplc="2D928D60">
      <w:start w:val="1"/>
      <w:numFmt w:val="bullet"/>
      <w:pStyle w:val="BSbullet1"/>
      <w:lvlText w:val=""/>
      <w:lvlJc w:val="left"/>
      <w:pPr>
        <w:tabs>
          <w:tab w:val="num" w:pos="360"/>
        </w:tabs>
        <w:ind w:left="357" w:hanging="357"/>
      </w:pPr>
      <w:rPr>
        <w:rFonts w:ascii="Symbol" w:hAnsi="Symbol" w:hint="default"/>
        <w:sz w:val="24"/>
      </w:rPr>
    </w:lvl>
    <w:lvl w:ilvl="1" w:tplc="27E00FB6">
      <w:start w:val="1"/>
      <w:numFmt w:val="bullet"/>
      <w:lvlText w:val="-"/>
      <w:lvlJc w:val="left"/>
      <w:pPr>
        <w:tabs>
          <w:tab w:val="num" w:pos="1800"/>
        </w:tabs>
        <w:ind w:left="1800" w:hanging="360"/>
      </w:pPr>
      <w:rPr>
        <w:rFonts w:ascii="Courier New" w:hAnsi="Courier New" w:hint="default"/>
      </w:rPr>
    </w:lvl>
    <w:lvl w:ilvl="2" w:tplc="F9B2E3F8">
      <w:start w:val="1"/>
      <w:numFmt w:val="bullet"/>
      <w:lvlText w:val=""/>
      <w:lvlJc w:val="left"/>
      <w:pPr>
        <w:tabs>
          <w:tab w:val="num" w:pos="2520"/>
        </w:tabs>
        <w:ind w:left="2520" w:hanging="360"/>
      </w:pPr>
      <w:rPr>
        <w:rFonts w:ascii="Wingdings" w:hAnsi="Wingdings" w:hint="default"/>
      </w:rPr>
    </w:lvl>
    <w:lvl w:ilvl="3" w:tplc="2F5A029E">
      <w:start w:val="1"/>
      <w:numFmt w:val="bullet"/>
      <w:lvlText w:val=""/>
      <w:lvlJc w:val="left"/>
      <w:pPr>
        <w:tabs>
          <w:tab w:val="num" w:pos="3240"/>
        </w:tabs>
        <w:ind w:left="3240" w:hanging="360"/>
      </w:pPr>
      <w:rPr>
        <w:rFonts w:ascii="Symbol" w:hAnsi="Symbol" w:hint="default"/>
      </w:rPr>
    </w:lvl>
    <w:lvl w:ilvl="4" w:tplc="A63A852E">
      <w:start w:val="1"/>
      <w:numFmt w:val="bullet"/>
      <w:lvlText w:val="o"/>
      <w:lvlJc w:val="left"/>
      <w:pPr>
        <w:tabs>
          <w:tab w:val="num" w:pos="3960"/>
        </w:tabs>
        <w:ind w:left="3960" w:hanging="360"/>
      </w:pPr>
      <w:rPr>
        <w:rFonts w:ascii="Courier New" w:hAnsi="Courier New" w:hint="default"/>
      </w:rPr>
    </w:lvl>
    <w:lvl w:ilvl="5" w:tplc="B89E1C4C">
      <w:start w:val="1"/>
      <w:numFmt w:val="bullet"/>
      <w:lvlText w:val=""/>
      <w:lvlJc w:val="left"/>
      <w:pPr>
        <w:tabs>
          <w:tab w:val="num" w:pos="4680"/>
        </w:tabs>
        <w:ind w:left="4680" w:hanging="360"/>
      </w:pPr>
      <w:rPr>
        <w:rFonts w:ascii="Wingdings" w:hAnsi="Wingdings" w:hint="default"/>
      </w:rPr>
    </w:lvl>
    <w:lvl w:ilvl="6" w:tplc="0CB4A32E">
      <w:start w:val="1"/>
      <w:numFmt w:val="bullet"/>
      <w:lvlText w:val=""/>
      <w:lvlJc w:val="left"/>
      <w:pPr>
        <w:tabs>
          <w:tab w:val="num" w:pos="5400"/>
        </w:tabs>
        <w:ind w:left="5400" w:hanging="360"/>
      </w:pPr>
      <w:rPr>
        <w:rFonts w:ascii="Symbol" w:hAnsi="Symbol" w:hint="default"/>
      </w:rPr>
    </w:lvl>
    <w:lvl w:ilvl="7" w:tplc="C1DA4AFC">
      <w:start w:val="1"/>
      <w:numFmt w:val="bullet"/>
      <w:lvlText w:val="o"/>
      <w:lvlJc w:val="left"/>
      <w:pPr>
        <w:tabs>
          <w:tab w:val="num" w:pos="6120"/>
        </w:tabs>
        <w:ind w:left="6120" w:hanging="360"/>
      </w:pPr>
      <w:rPr>
        <w:rFonts w:ascii="Courier New" w:hAnsi="Courier New" w:hint="default"/>
      </w:rPr>
    </w:lvl>
    <w:lvl w:ilvl="8" w:tplc="0CA80D06">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1F37FB"/>
    <w:multiLevelType w:val="hybridMultilevel"/>
    <w:tmpl w:val="E1D07402"/>
    <w:lvl w:ilvl="0" w:tplc="F6863C3E">
      <w:start w:val="1"/>
      <w:numFmt w:val="lowerLetter"/>
      <w:pStyle w:val="Table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36B43"/>
    <w:multiLevelType w:val="hybridMultilevel"/>
    <w:tmpl w:val="5450D5EE"/>
    <w:lvl w:ilvl="0" w:tplc="641C254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F10E8"/>
    <w:multiLevelType w:val="hybridMultilevel"/>
    <w:tmpl w:val="9824031E"/>
    <w:lvl w:ilvl="0" w:tplc="5D6C67D0">
      <w:start w:val="1"/>
      <w:numFmt w:val="bullet"/>
      <w:pStyle w:val="B2"/>
      <w:lvlText w:val="−"/>
      <w:lvlJc w:val="left"/>
      <w:pPr>
        <w:ind w:left="1288" w:hanging="360"/>
      </w:pPr>
      <w:rPr>
        <w:rFonts w:ascii="Calibri" w:hAnsi="Calibri"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4" w15:restartNumberingAfterBreak="0">
    <w:nsid w:val="06AD3A98"/>
    <w:multiLevelType w:val="hybridMultilevel"/>
    <w:tmpl w:val="1026EDA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112352"/>
    <w:multiLevelType w:val="multilevel"/>
    <w:tmpl w:val="D8F0EA60"/>
    <w:styleLink w:val="Bullets"/>
    <w:lvl w:ilvl="0">
      <w:start w:val="1"/>
      <w:numFmt w:val="bullet"/>
      <w:lvlText w:val=""/>
      <w:lvlJc w:val="left"/>
      <w:pPr>
        <w:tabs>
          <w:tab w:val="num" w:pos="2836"/>
        </w:tabs>
        <w:ind w:left="2836" w:hanging="284"/>
      </w:pPr>
      <w:rPr>
        <w:rFonts w:ascii="Symbol" w:hAnsi="Symbol" w:hint="default"/>
        <w:color w:val="auto"/>
      </w:rPr>
    </w:lvl>
    <w:lvl w:ilvl="1">
      <w:start w:val="1"/>
      <w:numFmt w:val="bullet"/>
      <w:lvlText w:val="o"/>
      <w:lvlJc w:val="left"/>
      <w:pPr>
        <w:tabs>
          <w:tab w:val="num" w:pos="567"/>
        </w:tabs>
        <w:ind w:left="568" w:hanging="284"/>
      </w:pPr>
      <w:rPr>
        <w:rFonts w:ascii="Courier New" w:hAnsi="Courier New" w:cs="Courier New" w:hint="default"/>
        <w:color w:val="auto"/>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6" w15:restartNumberingAfterBreak="0">
    <w:nsid w:val="09355E1F"/>
    <w:multiLevelType w:val="hybridMultilevel"/>
    <w:tmpl w:val="3698C0C8"/>
    <w:lvl w:ilvl="0" w:tplc="4E3EEEF6">
      <w:start w:val="1"/>
      <w:numFmt w:val="lowerRoman"/>
      <w:lvlText w:val="(%1)"/>
      <w:lvlJc w:val="left"/>
      <w:pPr>
        <w:ind w:left="786" w:hanging="565"/>
      </w:pPr>
      <w:rPr>
        <w:rFonts w:ascii="Calibri" w:eastAsia="Calibri" w:hAnsi="Calibri" w:cs="Calibri" w:hint="default"/>
        <w:b w:val="0"/>
        <w:bCs w:val="0"/>
        <w:i w:val="0"/>
        <w:iCs w:val="0"/>
        <w:spacing w:val="-6"/>
        <w:w w:val="102"/>
        <w:sz w:val="21"/>
        <w:szCs w:val="21"/>
        <w:lang w:val="en-US" w:eastAsia="en-US" w:bidi="ar-SA"/>
      </w:rPr>
    </w:lvl>
    <w:lvl w:ilvl="1" w:tplc="02582CFA">
      <w:numFmt w:val="bullet"/>
      <w:lvlText w:val="•"/>
      <w:lvlJc w:val="left"/>
      <w:pPr>
        <w:ind w:left="1616" w:hanging="565"/>
      </w:pPr>
      <w:rPr>
        <w:rFonts w:hint="default"/>
        <w:lang w:val="en-US" w:eastAsia="en-US" w:bidi="ar-SA"/>
      </w:rPr>
    </w:lvl>
    <w:lvl w:ilvl="2" w:tplc="FD2413F2">
      <w:numFmt w:val="bullet"/>
      <w:lvlText w:val="•"/>
      <w:lvlJc w:val="left"/>
      <w:pPr>
        <w:ind w:left="2452" w:hanging="565"/>
      </w:pPr>
      <w:rPr>
        <w:rFonts w:hint="default"/>
        <w:lang w:val="en-US" w:eastAsia="en-US" w:bidi="ar-SA"/>
      </w:rPr>
    </w:lvl>
    <w:lvl w:ilvl="3" w:tplc="79809B82">
      <w:numFmt w:val="bullet"/>
      <w:lvlText w:val="•"/>
      <w:lvlJc w:val="left"/>
      <w:pPr>
        <w:ind w:left="3289" w:hanging="565"/>
      </w:pPr>
      <w:rPr>
        <w:rFonts w:hint="default"/>
        <w:lang w:val="en-US" w:eastAsia="en-US" w:bidi="ar-SA"/>
      </w:rPr>
    </w:lvl>
    <w:lvl w:ilvl="4" w:tplc="558C6460">
      <w:numFmt w:val="bullet"/>
      <w:lvlText w:val="•"/>
      <w:lvlJc w:val="left"/>
      <w:pPr>
        <w:ind w:left="4125" w:hanging="565"/>
      </w:pPr>
      <w:rPr>
        <w:rFonts w:hint="default"/>
        <w:lang w:val="en-US" w:eastAsia="en-US" w:bidi="ar-SA"/>
      </w:rPr>
    </w:lvl>
    <w:lvl w:ilvl="5" w:tplc="1B28375E">
      <w:numFmt w:val="bullet"/>
      <w:lvlText w:val="•"/>
      <w:lvlJc w:val="left"/>
      <w:pPr>
        <w:ind w:left="4962" w:hanging="565"/>
      </w:pPr>
      <w:rPr>
        <w:rFonts w:hint="default"/>
        <w:lang w:val="en-US" w:eastAsia="en-US" w:bidi="ar-SA"/>
      </w:rPr>
    </w:lvl>
    <w:lvl w:ilvl="6" w:tplc="87BE068A">
      <w:numFmt w:val="bullet"/>
      <w:lvlText w:val="•"/>
      <w:lvlJc w:val="left"/>
      <w:pPr>
        <w:ind w:left="5798" w:hanging="565"/>
      </w:pPr>
      <w:rPr>
        <w:rFonts w:hint="default"/>
        <w:lang w:val="en-US" w:eastAsia="en-US" w:bidi="ar-SA"/>
      </w:rPr>
    </w:lvl>
    <w:lvl w:ilvl="7" w:tplc="2972441E">
      <w:numFmt w:val="bullet"/>
      <w:lvlText w:val="•"/>
      <w:lvlJc w:val="left"/>
      <w:pPr>
        <w:ind w:left="6634" w:hanging="565"/>
      </w:pPr>
      <w:rPr>
        <w:rFonts w:hint="default"/>
        <w:lang w:val="en-US" w:eastAsia="en-US" w:bidi="ar-SA"/>
      </w:rPr>
    </w:lvl>
    <w:lvl w:ilvl="8" w:tplc="8E9209FC">
      <w:numFmt w:val="bullet"/>
      <w:lvlText w:val="•"/>
      <w:lvlJc w:val="left"/>
      <w:pPr>
        <w:ind w:left="7471" w:hanging="565"/>
      </w:pPr>
      <w:rPr>
        <w:rFonts w:hint="default"/>
        <w:lang w:val="en-US" w:eastAsia="en-US" w:bidi="ar-SA"/>
      </w:rPr>
    </w:lvl>
  </w:abstractNum>
  <w:abstractNum w:abstractNumId="7"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92581" w:themeColor="text2"/>
      </w:rPr>
    </w:lvl>
    <w:lvl w:ilvl="2">
      <w:start w:val="1"/>
      <w:numFmt w:val="bullet"/>
      <w:lvlText w:val="»"/>
      <w:lvlJc w:val="left"/>
      <w:pPr>
        <w:ind w:left="852" w:hanging="284"/>
      </w:pPr>
      <w:rPr>
        <w:rFonts w:ascii="Arial" w:hAnsi="Arial" w:hint="default"/>
        <w:color w:val="49258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1301A7D"/>
    <w:multiLevelType w:val="hybridMultilevel"/>
    <w:tmpl w:val="9B069F8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A82119"/>
    <w:multiLevelType w:val="hybridMultilevel"/>
    <w:tmpl w:val="E6AA935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9AD3332"/>
    <w:multiLevelType w:val="hybridMultilevel"/>
    <w:tmpl w:val="784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D14628"/>
    <w:multiLevelType w:val="hybridMultilevel"/>
    <w:tmpl w:val="4198F98E"/>
    <w:lvl w:ilvl="0" w:tplc="0C090001">
      <w:start w:val="1"/>
      <w:numFmt w:val="bullet"/>
      <w:lvlText w:val=""/>
      <w:lvlJc w:val="left"/>
      <w:pPr>
        <w:tabs>
          <w:tab w:val="num" w:pos="36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01978"/>
    <w:multiLevelType w:val="hybridMultilevel"/>
    <w:tmpl w:val="A62A4566"/>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0C784B"/>
    <w:multiLevelType w:val="hybridMultilevel"/>
    <w:tmpl w:val="12FED86C"/>
    <w:lvl w:ilvl="0" w:tplc="DF50AC6A">
      <w:start w:val="1"/>
      <w:numFmt w:val="upp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181827"/>
    <w:multiLevelType w:val="hybridMultilevel"/>
    <w:tmpl w:val="8F1EF6F8"/>
    <w:lvl w:ilvl="0" w:tplc="E264CE00">
      <w:start w:val="8"/>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E54B05"/>
    <w:multiLevelType w:val="hybridMultilevel"/>
    <w:tmpl w:val="A1025D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63676C"/>
    <w:multiLevelType w:val="hybridMultilevel"/>
    <w:tmpl w:val="EC56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AB1DF7"/>
    <w:multiLevelType w:val="hybridMultilevel"/>
    <w:tmpl w:val="D688DB04"/>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35BE7C34"/>
    <w:multiLevelType w:val="hybridMultilevel"/>
    <w:tmpl w:val="4756373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D850C4"/>
    <w:multiLevelType w:val="hybridMultilevel"/>
    <w:tmpl w:val="70EC7C10"/>
    <w:lvl w:ilvl="0" w:tplc="0C090001">
      <w:start w:val="1"/>
      <w:numFmt w:val="bullet"/>
      <w:lvlText w:val=""/>
      <w:lvlJc w:val="left"/>
      <w:pPr>
        <w:ind w:left="644" w:hanging="360"/>
      </w:pPr>
      <w:rPr>
        <w:rFonts w:ascii="Symbol" w:hAnsi="Symbol" w:hint="default"/>
      </w:rPr>
    </w:lvl>
    <w:lvl w:ilvl="1" w:tplc="2B3E7912">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AF91839"/>
    <w:multiLevelType w:val="hybridMultilevel"/>
    <w:tmpl w:val="A566A462"/>
    <w:lvl w:ilvl="0" w:tplc="F52C5B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4D4B97"/>
    <w:multiLevelType w:val="hybridMultilevel"/>
    <w:tmpl w:val="3276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15180"/>
    <w:multiLevelType w:val="hybridMultilevel"/>
    <w:tmpl w:val="21089196"/>
    <w:lvl w:ilvl="0" w:tplc="C41A8F38">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3F65FE"/>
    <w:multiLevelType w:val="hybridMultilevel"/>
    <w:tmpl w:val="0850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396E59"/>
    <w:multiLevelType w:val="multilevel"/>
    <w:tmpl w:val="7638C366"/>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92581" w:themeColor="text2"/>
      </w:rPr>
    </w:lvl>
    <w:lvl w:ilvl="3">
      <w:start w:val="1"/>
      <w:numFmt w:val="bullet"/>
      <w:lvlText w:val="»"/>
      <w:lvlJc w:val="left"/>
      <w:pPr>
        <w:ind w:left="794" w:hanging="510"/>
      </w:pPr>
      <w:rPr>
        <w:rFonts w:ascii="Arial" w:hAnsi="Arial" w:hint="default"/>
        <w:color w:val="492581"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465A212B"/>
    <w:multiLevelType w:val="hybridMultilevel"/>
    <w:tmpl w:val="E148491E"/>
    <w:lvl w:ilvl="0" w:tplc="66F06818">
      <w:start w:val="1"/>
      <w:numFmt w:val="bullet"/>
      <w:pStyle w:val="Bullet3"/>
      <w:lvlText w:val="•"/>
      <w:lvlJc w:val="left"/>
      <w:pPr>
        <w:ind w:left="990"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9D07DCA"/>
    <w:multiLevelType w:val="hybridMultilevel"/>
    <w:tmpl w:val="EA8814B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A2C4FC2"/>
    <w:multiLevelType w:val="hybridMultilevel"/>
    <w:tmpl w:val="A27C1206"/>
    <w:lvl w:ilvl="0" w:tplc="F5F42F4C">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18A5A2C"/>
    <w:multiLevelType w:val="hybridMultilevel"/>
    <w:tmpl w:val="0C2A2BEC"/>
    <w:lvl w:ilvl="0" w:tplc="FFFFFFFF">
      <w:start w:val="1"/>
      <w:numFmt w:val="bullet"/>
      <w:lvlText w:val=""/>
      <w:lvlJc w:val="left"/>
      <w:rPr>
        <w:rFonts w:ascii="Symbol" w:hAnsi="Symbol" w:hint="default"/>
      </w:rPr>
    </w:lvl>
    <w:lvl w:ilvl="1" w:tplc="FFFFFFFF">
      <w:start w:val="1"/>
      <w:numFmt w:val="bullet"/>
      <w:lvlText w:val=""/>
      <w:lvlJc w:val="left"/>
      <w:pPr>
        <w:ind w:left="360" w:hanging="360"/>
      </w:pPr>
      <w:rPr>
        <w:rFonts w:ascii="Symbol" w:hAnsi="Symbol" w:hint="default"/>
      </w:rPr>
    </w:lvl>
    <w:lvl w:ilvl="2" w:tplc="0C090003">
      <w:start w:val="1"/>
      <w:numFmt w:val="bullet"/>
      <w:lvlText w:val="o"/>
      <w:lvlJc w:val="left"/>
      <w:pPr>
        <w:ind w:left="36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344829"/>
    <w:multiLevelType w:val="hybridMultilevel"/>
    <w:tmpl w:val="17767AE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3"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8306549"/>
    <w:multiLevelType w:val="hybridMultilevel"/>
    <w:tmpl w:val="11BA51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CB2746"/>
    <w:multiLevelType w:val="hybridMultilevel"/>
    <w:tmpl w:val="B494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1B6478"/>
    <w:multiLevelType w:val="hybridMultilevel"/>
    <w:tmpl w:val="5C743CE6"/>
    <w:lvl w:ilvl="0" w:tplc="A16A0C8C">
      <w:numFmt w:val="bullet"/>
      <w:lvlText w:val=""/>
      <w:lvlJc w:val="left"/>
      <w:pPr>
        <w:ind w:left="786" w:hanging="565"/>
      </w:pPr>
      <w:rPr>
        <w:rFonts w:ascii="Symbol" w:eastAsia="Symbol" w:hAnsi="Symbol" w:cs="Symbol" w:hint="default"/>
        <w:b w:val="0"/>
        <w:bCs w:val="0"/>
        <w:i w:val="0"/>
        <w:iCs w:val="0"/>
        <w:spacing w:val="0"/>
        <w:w w:val="102"/>
        <w:sz w:val="21"/>
        <w:szCs w:val="21"/>
        <w:lang w:val="en-US" w:eastAsia="en-US" w:bidi="ar-SA"/>
      </w:rPr>
    </w:lvl>
    <w:lvl w:ilvl="1" w:tplc="C45A4B9A">
      <w:numFmt w:val="bullet"/>
      <w:lvlText w:val="•"/>
      <w:lvlJc w:val="left"/>
      <w:pPr>
        <w:ind w:left="1616" w:hanging="565"/>
      </w:pPr>
      <w:rPr>
        <w:rFonts w:hint="default"/>
        <w:lang w:val="en-US" w:eastAsia="en-US" w:bidi="ar-SA"/>
      </w:rPr>
    </w:lvl>
    <w:lvl w:ilvl="2" w:tplc="E24ACD9A">
      <w:numFmt w:val="bullet"/>
      <w:lvlText w:val="•"/>
      <w:lvlJc w:val="left"/>
      <w:pPr>
        <w:ind w:left="2452" w:hanging="565"/>
      </w:pPr>
      <w:rPr>
        <w:rFonts w:hint="default"/>
        <w:lang w:val="en-US" w:eastAsia="en-US" w:bidi="ar-SA"/>
      </w:rPr>
    </w:lvl>
    <w:lvl w:ilvl="3" w:tplc="1A1C1072">
      <w:numFmt w:val="bullet"/>
      <w:lvlText w:val="•"/>
      <w:lvlJc w:val="left"/>
      <w:pPr>
        <w:ind w:left="3289" w:hanging="565"/>
      </w:pPr>
      <w:rPr>
        <w:rFonts w:hint="default"/>
        <w:lang w:val="en-US" w:eastAsia="en-US" w:bidi="ar-SA"/>
      </w:rPr>
    </w:lvl>
    <w:lvl w:ilvl="4" w:tplc="3A6243CC">
      <w:numFmt w:val="bullet"/>
      <w:lvlText w:val="•"/>
      <w:lvlJc w:val="left"/>
      <w:pPr>
        <w:ind w:left="4125" w:hanging="565"/>
      </w:pPr>
      <w:rPr>
        <w:rFonts w:hint="default"/>
        <w:lang w:val="en-US" w:eastAsia="en-US" w:bidi="ar-SA"/>
      </w:rPr>
    </w:lvl>
    <w:lvl w:ilvl="5" w:tplc="584012DC">
      <w:numFmt w:val="bullet"/>
      <w:lvlText w:val="•"/>
      <w:lvlJc w:val="left"/>
      <w:pPr>
        <w:ind w:left="4962" w:hanging="565"/>
      </w:pPr>
      <w:rPr>
        <w:rFonts w:hint="default"/>
        <w:lang w:val="en-US" w:eastAsia="en-US" w:bidi="ar-SA"/>
      </w:rPr>
    </w:lvl>
    <w:lvl w:ilvl="6" w:tplc="D4FAFCA2">
      <w:numFmt w:val="bullet"/>
      <w:lvlText w:val="•"/>
      <w:lvlJc w:val="left"/>
      <w:pPr>
        <w:ind w:left="5798" w:hanging="565"/>
      </w:pPr>
      <w:rPr>
        <w:rFonts w:hint="default"/>
        <w:lang w:val="en-US" w:eastAsia="en-US" w:bidi="ar-SA"/>
      </w:rPr>
    </w:lvl>
    <w:lvl w:ilvl="7" w:tplc="5EF40DEE">
      <w:numFmt w:val="bullet"/>
      <w:lvlText w:val="•"/>
      <w:lvlJc w:val="left"/>
      <w:pPr>
        <w:ind w:left="6634" w:hanging="565"/>
      </w:pPr>
      <w:rPr>
        <w:rFonts w:hint="default"/>
        <w:lang w:val="en-US" w:eastAsia="en-US" w:bidi="ar-SA"/>
      </w:rPr>
    </w:lvl>
    <w:lvl w:ilvl="8" w:tplc="C85C1D0C">
      <w:numFmt w:val="bullet"/>
      <w:lvlText w:val="•"/>
      <w:lvlJc w:val="left"/>
      <w:pPr>
        <w:ind w:left="7471" w:hanging="565"/>
      </w:pPr>
      <w:rPr>
        <w:rFonts w:hint="default"/>
        <w:lang w:val="en-US" w:eastAsia="en-US" w:bidi="ar-SA"/>
      </w:rPr>
    </w:lvl>
  </w:abstractNum>
  <w:abstractNum w:abstractNumId="37" w15:restartNumberingAfterBreak="0">
    <w:nsid w:val="611D6389"/>
    <w:multiLevelType w:val="hybridMultilevel"/>
    <w:tmpl w:val="846A80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917BB9"/>
    <w:multiLevelType w:val="hybridMultilevel"/>
    <w:tmpl w:val="5BCE4B64"/>
    <w:lvl w:ilvl="0" w:tplc="9B42A510">
      <w:start w:val="1"/>
      <w:numFmt w:val="decimal"/>
      <w:pStyle w:val="PwCNormal"/>
      <w:suff w:val="nothing"/>
      <w:lvlText w:val=""/>
      <w:lvlJc w:val="left"/>
      <w:pPr>
        <w:ind w:left="0" w:firstLine="0"/>
      </w:pPr>
      <w:rPr>
        <w:color w:val="auto"/>
      </w:rPr>
    </w:lvl>
    <w:lvl w:ilvl="1" w:tplc="DB82A25A">
      <w:start w:val="1"/>
      <w:numFmt w:val="decimal"/>
      <w:pStyle w:val="Indent1"/>
      <w:suff w:val="nothing"/>
      <w:lvlText w:val=""/>
      <w:lvlJc w:val="left"/>
      <w:pPr>
        <w:ind w:left="284" w:firstLine="0"/>
      </w:pPr>
    </w:lvl>
    <w:lvl w:ilvl="2" w:tplc="BE44AB14">
      <w:start w:val="1"/>
      <w:numFmt w:val="decimal"/>
      <w:pStyle w:val="Indent2"/>
      <w:suff w:val="nothing"/>
      <w:lvlText w:val=""/>
      <w:lvlJc w:val="left"/>
      <w:pPr>
        <w:ind w:left="568" w:firstLine="0"/>
      </w:pPr>
    </w:lvl>
    <w:lvl w:ilvl="3" w:tplc="8ACE6550">
      <w:start w:val="1"/>
      <w:numFmt w:val="decimal"/>
      <w:pStyle w:val="Indent3"/>
      <w:suff w:val="nothing"/>
      <w:lvlText w:val=""/>
      <w:lvlJc w:val="left"/>
      <w:pPr>
        <w:ind w:left="852" w:firstLine="0"/>
      </w:pPr>
    </w:lvl>
    <w:lvl w:ilvl="4" w:tplc="37566964">
      <w:start w:val="1"/>
      <w:numFmt w:val="decimal"/>
      <w:pStyle w:val="Indent4"/>
      <w:suff w:val="nothing"/>
      <w:lvlText w:val=""/>
      <w:lvlJc w:val="left"/>
      <w:pPr>
        <w:ind w:left="1136" w:firstLine="0"/>
      </w:pPr>
    </w:lvl>
    <w:lvl w:ilvl="5" w:tplc="913C1AA0">
      <w:start w:val="1"/>
      <w:numFmt w:val="decimal"/>
      <w:pStyle w:val="Indent5"/>
      <w:suff w:val="nothing"/>
      <w:lvlText w:val=""/>
      <w:lvlJc w:val="left"/>
      <w:pPr>
        <w:ind w:left="1420" w:firstLine="0"/>
      </w:pPr>
    </w:lvl>
    <w:lvl w:ilvl="6" w:tplc="C2D26B88">
      <w:start w:val="1"/>
      <w:numFmt w:val="decimal"/>
      <w:pStyle w:val="Indent6"/>
      <w:suff w:val="nothing"/>
      <w:lvlText w:val=""/>
      <w:lvlJc w:val="left"/>
      <w:pPr>
        <w:ind w:left="1704" w:firstLine="0"/>
      </w:pPr>
    </w:lvl>
    <w:lvl w:ilvl="7" w:tplc="B00A04DA">
      <w:start w:val="1"/>
      <w:numFmt w:val="decimal"/>
      <w:pStyle w:val="Indent7"/>
      <w:suff w:val="nothing"/>
      <w:lvlText w:val=""/>
      <w:lvlJc w:val="left"/>
      <w:pPr>
        <w:ind w:left="1988" w:firstLine="0"/>
      </w:pPr>
    </w:lvl>
    <w:lvl w:ilvl="8" w:tplc="7B2A61B0">
      <w:start w:val="1"/>
      <w:numFmt w:val="decimal"/>
      <w:pStyle w:val="Indent8"/>
      <w:suff w:val="nothing"/>
      <w:lvlText w:val=""/>
      <w:lvlJc w:val="left"/>
      <w:pPr>
        <w:ind w:left="2272" w:firstLine="0"/>
      </w:pPr>
    </w:lvl>
  </w:abstractNum>
  <w:abstractNum w:abstractNumId="39" w15:restartNumberingAfterBreak="0">
    <w:nsid w:val="66A0636D"/>
    <w:multiLevelType w:val="hybridMultilevel"/>
    <w:tmpl w:val="190C2D2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97452C4"/>
    <w:multiLevelType w:val="hybridMultilevel"/>
    <w:tmpl w:val="C76C2B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D1B006A"/>
    <w:multiLevelType w:val="hybridMultilevel"/>
    <w:tmpl w:val="FE2A56E8"/>
    <w:lvl w:ilvl="0" w:tplc="97EEF1C6">
      <w:numFmt w:val="bullet"/>
      <w:lvlText w:val=""/>
      <w:lvlJc w:val="left"/>
      <w:pPr>
        <w:ind w:left="806" w:hanging="565"/>
      </w:pPr>
      <w:rPr>
        <w:rFonts w:ascii="Symbol" w:eastAsia="Symbol" w:hAnsi="Symbol" w:cs="Symbol" w:hint="default"/>
        <w:b w:val="0"/>
        <w:bCs w:val="0"/>
        <w:i w:val="0"/>
        <w:iCs w:val="0"/>
        <w:spacing w:val="0"/>
        <w:w w:val="102"/>
        <w:sz w:val="21"/>
        <w:szCs w:val="21"/>
        <w:lang w:val="en-US" w:eastAsia="en-US" w:bidi="ar-SA"/>
      </w:rPr>
    </w:lvl>
    <w:lvl w:ilvl="1" w:tplc="CCAA27EA">
      <w:numFmt w:val="bullet"/>
      <w:lvlText w:val="•"/>
      <w:lvlJc w:val="left"/>
      <w:pPr>
        <w:ind w:left="1636" w:hanging="565"/>
      </w:pPr>
      <w:rPr>
        <w:rFonts w:hint="default"/>
        <w:lang w:val="en-US" w:eastAsia="en-US" w:bidi="ar-SA"/>
      </w:rPr>
    </w:lvl>
    <w:lvl w:ilvl="2" w:tplc="BDEEFCF6">
      <w:numFmt w:val="bullet"/>
      <w:lvlText w:val="•"/>
      <w:lvlJc w:val="left"/>
      <w:pPr>
        <w:ind w:left="2472" w:hanging="565"/>
      </w:pPr>
      <w:rPr>
        <w:rFonts w:hint="default"/>
        <w:lang w:val="en-US" w:eastAsia="en-US" w:bidi="ar-SA"/>
      </w:rPr>
    </w:lvl>
    <w:lvl w:ilvl="3" w:tplc="2DF444A0">
      <w:numFmt w:val="bullet"/>
      <w:lvlText w:val="•"/>
      <w:lvlJc w:val="left"/>
      <w:pPr>
        <w:ind w:left="3309" w:hanging="565"/>
      </w:pPr>
      <w:rPr>
        <w:rFonts w:hint="default"/>
        <w:lang w:val="en-US" w:eastAsia="en-US" w:bidi="ar-SA"/>
      </w:rPr>
    </w:lvl>
    <w:lvl w:ilvl="4" w:tplc="072C9E58">
      <w:numFmt w:val="bullet"/>
      <w:lvlText w:val="•"/>
      <w:lvlJc w:val="left"/>
      <w:pPr>
        <w:ind w:left="4145" w:hanging="565"/>
      </w:pPr>
      <w:rPr>
        <w:rFonts w:hint="default"/>
        <w:lang w:val="en-US" w:eastAsia="en-US" w:bidi="ar-SA"/>
      </w:rPr>
    </w:lvl>
    <w:lvl w:ilvl="5" w:tplc="09A8D0B4">
      <w:numFmt w:val="bullet"/>
      <w:lvlText w:val="•"/>
      <w:lvlJc w:val="left"/>
      <w:pPr>
        <w:ind w:left="4982" w:hanging="565"/>
      </w:pPr>
      <w:rPr>
        <w:rFonts w:hint="default"/>
        <w:lang w:val="en-US" w:eastAsia="en-US" w:bidi="ar-SA"/>
      </w:rPr>
    </w:lvl>
    <w:lvl w:ilvl="6" w:tplc="36B65A72">
      <w:numFmt w:val="bullet"/>
      <w:lvlText w:val="•"/>
      <w:lvlJc w:val="left"/>
      <w:pPr>
        <w:ind w:left="5818" w:hanging="565"/>
      </w:pPr>
      <w:rPr>
        <w:rFonts w:hint="default"/>
        <w:lang w:val="en-US" w:eastAsia="en-US" w:bidi="ar-SA"/>
      </w:rPr>
    </w:lvl>
    <w:lvl w:ilvl="7" w:tplc="523E9B20">
      <w:numFmt w:val="bullet"/>
      <w:lvlText w:val="•"/>
      <w:lvlJc w:val="left"/>
      <w:pPr>
        <w:ind w:left="6654" w:hanging="565"/>
      </w:pPr>
      <w:rPr>
        <w:rFonts w:hint="default"/>
        <w:lang w:val="en-US" w:eastAsia="en-US" w:bidi="ar-SA"/>
      </w:rPr>
    </w:lvl>
    <w:lvl w:ilvl="8" w:tplc="8ADA5B7A">
      <w:numFmt w:val="bullet"/>
      <w:lvlText w:val="•"/>
      <w:lvlJc w:val="left"/>
      <w:pPr>
        <w:ind w:left="7491" w:hanging="565"/>
      </w:pPr>
      <w:rPr>
        <w:rFonts w:hint="default"/>
        <w:lang w:val="en-US" w:eastAsia="en-US" w:bidi="ar-SA"/>
      </w:rPr>
    </w:lvl>
  </w:abstractNum>
  <w:abstractNum w:abstractNumId="42" w15:restartNumberingAfterBreak="0">
    <w:nsid w:val="776476E7"/>
    <w:multiLevelType w:val="hybridMultilevel"/>
    <w:tmpl w:val="F8601CA6"/>
    <w:lvl w:ilvl="0" w:tplc="0C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D5911F6"/>
    <w:multiLevelType w:val="hybridMultilevel"/>
    <w:tmpl w:val="7276AFA8"/>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D9C1199"/>
    <w:multiLevelType w:val="multilevel"/>
    <w:tmpl w:val="B4165336"/>
    <w:lvl w:ilvl="0">
      <w:start w:val="1"/>
      <w:numFmt w:val="bullet"/>
      <w:pStyle w:val="Bullet2"/>
      <w:lvlText w:val="-"/>
      <w:lvlJc w:val="left"/>
      <w:pPr>
        <w:ind w:left="717" w:hanging="360"/>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5" w15:restartNumberingAfterBreak="0">
    <w:nsid w:val="7F397514"/>
    <w:multiLevelType w:val="hybridMultilevel"/>
    <w:tmpl w:val="8EACF53A"/>
    <w:lvl w:ilvl="0" w:tplc="4760C47C">
      <w:numFmt w:val="decimal"/>
      <w:lvlText w:val=""/>
      <w:lvlJc w:val="left"/>
    </w:lvl>
    <w:lvl w:ilvl="1" w:tplc="687CD12C">
      <w:start w:val="1"/>
      <w:numFmt w:val="bullet"/>
      <w:lvlText w:val="-"/>
      <w:lvlJc w:val="left"/>
      <w:rPr>
        <w:rFonts w:ascii="Times New Roman" w:eastAsia="Times New Roman" w:hAnsi="Times New Roman" w:cs="Times New Roman"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496530529">
    <w:abstractNumId w:val="27"/>
  </w:num>
  <w:num w:numId="2" w16cid:durableId="914583277">
    <w:abstractNumId w:val="44"/>
  </w:num>
  <w:num w:numId="3" w16cid:durableId="998273095">
    <w:abstractNumId w:val="7"/>
  </w:num>
  <w:num w:numId="4" w16cid:durableId="1510633528">
    <w:abstractNumId w:val="29"/>
  </w:num>
  <w:num w:numId="5" w16cid:durableId="545679907">
    <w:abstractNumId w:val="24"/>
  </w:num>
  <w:num w:numId="6" w16cid:durableId="316306997">
    <w:abstractNumId w:val="26"/>
  </w:num>
  <w:num w:numId="7" w16cid:durableId="671571321">
    <w:abstractNumId w:val="11"/>
  </w:num>
  <w:num w:numId="8" w16cid:durableId="669602260">
    <w:abstractNumId w:val="33"/>
  </w:num>
  <w:num w:numId="9" w16cid:durableId="1078476469">
    <w:abstractNumId w:val="16"/>
  </w:num>
  <w:num w:numId="10" w16cid:durableId="1080905872">
    <w:abstractNumId w:val="31"/>
  </w:num>
  <w:num w:numId="11" w16cid:durableId="1331716120">
    <w:abstractNumId w:val="1"/>
  </w:num>
  <w:num w:numId="12" w16cid:durableId="1842576110">
    <w:abstractNumId w:val="3"/>
  </w:num>
  <w:num w:numId="13" w16cid:durableId="581136945">
    <w:abstractNumId w:val="20"/>
  </w:num>
  <w:num w:numId="14" w16cid:durableId="617375822">
    <w:abstractNumId w:val="19"/>
  </w:num>
  <w:num w:numId="15" w16cid:durableId="448475124">
    <w:abstractNumId w:val="12"/>
  </w:num>
  <w:num w:numId="16" w16cid:durableId="1243563288">
    <w:abstractNumId w:val="0"/>
  </w:num>
  <w:num w:numId="17" w16cid:durableId="984089589">
    <w:abstractNumId w:val="42"/>
  </w:num>
  <w:num w:numId="18" w16cid:durableId="261912887">
    <w:abstractNumId w:val="45"/>
  </w:num>
  <w:num w:numId="19" w16cid:durableId="991523243">
    <w:abstractNumId w:val="28"/>
  </w:num>
  <w:num w:numId="20" w16cid:durableId="1035083759">
    <w:abstractNumId w:val="13"/>
  </w:num>
  <w:num w:numId="21" w16cid:durableId="855844600">
    <w:abstractNumId w:val="43"/>
  </w:num>
  <w:num w:numId="22" w16cid:durableId="1835413311">
    <w:abstractNumId w:val="39"/>
  </w:num>
  <w:num w:numId="23" w16cid:durableId="280501772">
    <w:abstractNumId w:val="25"/>
  </w:num>
  <w:num w:numId="24" w16cid:durableId="975834553">
    <w:abstractNumId w:val="23"/>
  </w:num>
  <w:num w:numId="25" w16cid:durableId="898245769">
    <w:abstractNumId w:val="32"/>
  </w:num>
  <w:num w:numId="26" w16cid:durableId="2077169835">
    <w:abstractNumId w:val="40"/>
  </w:num>
  <w:num w:numId="27" w16cid:durableId="11170667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5819264">
    <w:abstractNumId w:val="18"/>
  </w:num>
  <w:num w:numId="29" w16cid:durableId="557789430">
    <w:abstractNumId w:val="37"/>
  </w:num>
  <w:num w:numId="30" w16cid:durableId="1188562733">
    <w:abstractNumId w:val="17"/>
  </w:num>
  <w:num w:numId="31" w16cid:durableId="722677566">
    <w:abstractNumId w:val="9"/>
  </w:num>
  <w:num w:numId="32" w16cid:durableId="953825253">
    <w:abstractNumId w:val="4"/>
  </w:num>
  <w:num w:numId="33" w16cid:durableId="349338500">
    <w:abstractNumId w:val="21"/>
  </w:num>
  <w:num w:numId="34" w16cid:durableId="1903786941">
    <w:abstractNumId w:val="8"/>
  </w:num>
  <w:num w:numId="35" w16cid:durableId="275018496">
    <w:abstractNumId w:val="38"/>
  </w:num>
  <w:num w:numId="36" w16cid:durableId="536242079">
    <w:abstractNumId w:val="34"/>
  </w:num>
  <w:num w:numId="37" w16cid:durableId="261687411">
    <w:abstractNumId w:val="35"/>
  </w:num>
  <w:num w:numId="38" w16cid:durableId="563830029">
    <w:abstractNumId w:val="22"/>
  </w:num>
  <w:num w:numId="39" w16cid:durableId="655452878">
    <w:abstractNumId w:val="5"/>
  </w:num>
  <w:num w:numId="40" w16cid:durableId="1901473233">
    <w:abstractNumId w:val="36"/>
  </w:num>
  <w:num w:numId="41" w16cid:durableId="208155038">
    <w:abstractNumId w:val="6"/>
  </w:num>
  <w:num w:numId="42" w16cid:durableId="2053310662">
    <w:abstractNumId w:val="41"/>
  </w:num>
  <w:num w:numId="43" w16cid:durableId="1276861408">
    <w:abstractNumId w:val="15"/>
  </w:num>
  <w:num w:numId="44" w16cid:durableId="150878935">
    <w:abstractNumId w:val="10"/>
  </w:num>
  <w:num w:numId="45" w16cid:durableId="1519467057">
    <w:abstractNumId w:val="2"/>
  </w:num>
  <w:num w:numId="46" w16cid:durableId="272517424">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edit="readOnly"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8E"/>
    <w:rsid w:val="000000DA"/>
    <w:rsid w:val="0000018C"/>
    <w:rsid w:val="000009CC"/>
    <w:rsid w:val="00000C3C"/>
    <w:rsid w:val="00000E83"/>
    <w:rsid w:val="0000182B"/>
    <w:rsid w:val="000021EC"/>
    <w:rsid w:val="00002658"/>
    <w:rsid w:val="0000277C"/>
    <w:rsid w:val="000028DD"/>
    <w:rsid w:val="00002A02"/>
    <w:rsid w:val="00002A83"/>
    <w:rsid w:val="00002AF7"/>
    <w:rsid w:val="00002E80"/>
    <w:rsid w:val="000032C8"/>
    <w:rsid w:val="00003721"/>
    <w:rsid w:val="00004327"/>
    <w:rsid w:val="0000434C"/>
    <w:rsid w:val="00004656"/>
    <w:rsid w:val="0000483D"/>
    <w:rsid w:val="00005AB5"/>
    <w:rsid w:val="00005B86"/>
    <w:rsid w:val="00006194"/>
    <w:rsid w:val="000067C9"/>
    <w:rsid w:val="00006E1A"/>
    <w:rsid w:val="000070DF"/>
    <w:rsid w:val="0001033F"/>
    <w:rsid w:val="00011180"/>
    <w:rsid w:val="000121D6"/>
    <w:rsid w:val="0001373C"/>
    <w:rsid w:val="00013F5F"/>
    <w:rsid w:val="00014318"/>
    <w:rsid w:val="0001464E"/>
    <w:rsid w:val="000146AD"/>
    <w:rsid w:val="0001471C"/>
    <w:rsid w:val="00014864"/>
    <w:rsid w:val="000148A1"/>
    <w:rsid w:val="0001540C"/>
    <w:rsid w:val="00015D69"/>
    <w:rsid w:val="0001663B"/>
    <w:rsid w:val="000166E2"/>
    <w:rsid w:val="00016B53"/>
    <w:rsid w:val="00016D4B"/>
    <w:rsid w:val="000179D6"/>
    <w:rsid w:val="0002010F"/>
    <w:rsid w:val="00021546"/>
    <w:rsid w:val="00021580"/>
    <w:rsid w:val="000226EC"/>
    <w:rsid w:val="0002282F"/>
    <w:rsid w:val="000234D3"/>
    <w:rsid w:val="000235E8"/>
    <w:rsid w:val="00023CC7"/>
    <w:rsid w:val="0002445A"/>
    <w:rsid w:val="000249B4"/>
    <w:rsid w:val="00024DB8"/>
    <w:rsid w:val="000265E9"/>
    <w:rsid w:val="00026756"/>
    <w:rsid w:val="00026AD4"/>
    <w:rsid w:val="00027248"/>
    <w:rsid w:val="00027BC2"/>
    <w:rsid w:val="00030F0F"/>
    <w:rsid w:val="00031761"/>
    <w:rsid w:val="00031925"/>
    <w:rsid w:val="00031BD1"/>
    <w:rsid w:val="00031EA6"/>
    <w:rsid w:val="00032253"/>
    <w:rsid w:val="00032AA4"/>
    <w:rsid w:val="00032C06"/>
    <w:rsid w:val="00033095"/>
    <w:rsid w:val="00033B8B"/>
    <w:rsid w:val="00034451"/>
    <w:rsid w:val="000347EA"/>
    <w:rsid w:val="000352D2"/>
    <w:rsid w:val="0003534C"/>
    <w:rsid w:val="0003592A"/>
    <w:rsid w:val="0003608F"/>
    <w:rsid w:val="00036716"/>
    <w:rsid w:val="00036CCC"/>
    <w:rsid w:val="00036E51"/>
    <w:rsid w:val="00036EE6"/>
    <w:rsid w:val="000372B0"/>
    <w:rsid w:val="00037761"/>
    <w:rsid w:val="000409CC"/>
    <w:rsid w:val="00040A06"/>
    <w:rsid w:val="00041229"/>
    <w:rsid w:val="000413D9"/>
    <w:rsid w:val="00041CDE"/>
    <w:rsid w:val="0004206C"/>
    <w:rsid w:val="000420C9"/>
    <w:rsid w:val="00042315"/>
    <w:rsid w:val="000428D0"/>
    <w:rsid w:val="00042D3D"/>
    <w:rsid w:val="0004414E"/>
    <w:rsid w:val="000449AE"/>
    <w:rsid w:val="00044BFD"/>
    <w:rsid w:val="00045806"/>
    <w:rsid w:val="0004591F"/>
    <w:rsid w:val="000459F7"/>
    <w:rsid w:val="00046119"/>
    <w:rsid w:val="000468A5"/>
    <w:rsid w:val="00046BE9"/>
    <w:rsid w:val="00046C61"/>
    <w:rsid w:val="00046C7E"/>
    <w:rsid w:val="00047147"/>
    <w:rsid w:val="00047A2F"/>
    <w:rsid w:val="00047C15"/>
    <w:rsid w:val="00050AAF"/>
    <w:rsid w:val="00050B4A"/>
    <w:rsid w:val="00050DD5"/>
    <w:rsid w:val="0005109A"/>
    <w:rsid w:val="000514D4"/>
    <w:rsid w:val="0005202D"/>
    <w:rsid w:val="0005209A"/>
    <w:rsid w:val="000522BB"/>
    <w:rsid w:val="000525D2"/>
    <w:rsid w:val="00052CE2"/>
    <w:rsid w:val="00053957"/>
    <w:rsid w:val="00053D1E"/>
    <w:rsid w:val="00053DFA"/>
    <w:rsid w:val="0005427C"/>
    <w:rsid w:val="000543C4"/>
    <w:rsid w:val="000548E7"/>
    <w:rsid w:val="00054954"/>
    <w:rsid w:val="0005520F"/>
    <w:rsid w:val="00055DCD"/>
    <w:rsid w:val="00056098"/>
    <w:rsid w:val="0005748B"/>
    <w:rsid w:val="00057BEE"/>
    <w:rsid w:val="00057D5D"/>
    <w:rsid w:val="00060883"/>
    <w:rsid w:val="0006088A"/>
    <w:rsid w:val="00061209"/>
    <w:rsid w:val="00061CB7"/>
    <w:rsid w:val="00061D57"/>
    <w:rsid w:val="00062FC3"/>
    <w:rsid w:val="00063A7B"/>
    <w:rsid w:val="00063F53"/>
    <w:rsid w:val="0006413E"/>
    <w:rsid w:val="000655EA"/>
    <w:rsid w:val="00065A30"/>
    <w:rsid w:val="000660FB"/>
    <w:rsid w:val="0006663D"/>
    <w:rsid w:val="0006722A"/>
    <w:rsid w:val="0006754E"/>
    <w:rsid w:val="00067AB9"/>
    <w:rsid w:val="00067CDE"/>
    <w:rsid w:val="00067E3F"/>
    <w:rsid w:val="00067F06"/>
    <w:rsid w:val="0007096B"/>
    <w:rsid w:val="00070C45"/>
    <w:rsid w:val="00071C67"/>
    <w:rsid w:val="00071D16"/>
    <w:rsid w:val="00071E17"/>
    <w:rsid w:val="00072CE9"/>
    <w:rsid w:val="00072DD1"/>
    <w:rsid w:val="0007303A"/>
    <w:rsid w:val="0007304F"/>
    <w:rsid w:val="00074C8E"/>
    <w:rsid w:val="000765AD"/>
    <w:rsid w:val="000768E5"/>
    <w:rsid w:val="00076A82"/>
    <w:rsid w:val="00076F56"/>
    <w:rsid w:val="000772E8"/>
    <w:rsid w:val="00077507"/>
    <w:rsid w:val="00077E56"/>
    <w:rsid w:val="00080696"/>
    <w:rsid w:val="00080A08"/>
    <w:rsid w:val="000810E7"/>
    <w:rsid w:val="00081714"/>
    <w:rsid w:val="00082277"/>
    <w:rsid w:val="000823E1"/>
    <w:rsid w:val="00082C44"/>
    <w:rsid w:val="00082F50"/>
    <w:rsid w:val="0008328B"/>
    <w:rsid w:val="00083B1C"/>
    <w:rsid w:val="00084662"/>
    <w:rsid w:val="00085638"/>
    <w:rsid w:val="00086284"/>
    <w:rsid w:val="00086CCD"/>
    <w:rsid w:val="00087B6E"/>
    <w:rsid w:val="00091114"/>
    <w:rsid w:val="00091528"/>
    <w:rsid w:val="000923B1"/>
    <w:rsid w:val="00093948"/>
    <w:rsid w:val="00093F32"/>
    <w:rsid w:val="00094133"/>
    <w:rsid w:val="000944F2"/>
    <w:rsid w:val="00094561"/>
    <w:rsid w:val="000945FC"/>
    <w:rsid w:val="00094652"/>
    <w:rsid w:val="00094683"/>
    <w:rsid w:val="00096140"/>
    <w:rsid w:val="000962F8"/>
    <w:rsid w:val="000967CB"/>
    <w:rsid w:val="0009692E"/>
    <w:rsid w:val="000977F2"/>
    <w:rsid w:val="000979B1"/>
    <w:rsid w:val="000A031F"/>
    <w:rsid w:val="000A10AE"/>
    <w:rsid w:val="000A13DD"/>
    <w:rsid w:val="000A21B6"/>
    <w:rsid w:val="000A24F1"/>
    <w:rsid w:val="000A2753"/>
    <w:rsid w:val="000A2FF6"/>
    <w:rsid w:val="000A31F3"/>
    <w:rsid w:val="000A4504"/>
    <w:rsid w:val="000A4636"/>
    <w:rsid w:val="000A4874"/>
    <w:rsid w:val="000A4EC5"/>
    <w:rsid w:val="000A5858"/>
    <w:rsid w:val="000A6153"/>
    <w:rsid w:val="000A6306"/>
    <w:rsid w:val="000A6BDA"/>
    <w:rsid w:val="000A6F7E"/>
    <w:rsid w:val="000B0196"/>
    <w:rsid w:val="000B0973"/>
    <w:rsid w:val="000B11E1"/>
    <w:rsid w:val="000B1640"/>
    <w:rsid w:val="000B192F"/>
    <w:rsid w:val="000B1E78"/>
    <w:rsid w:val="000B1F91"/>
    <w:rsid w:val="000B25D7"/>
    <w:rsid w:val="000B2778"/>
    <w:rsid w:val="000B357A"/>
    <w:rsid w:val="000B416C"/>
    <w:rsid w:val="000B466D"/>
    <w:rsid w:val="000B4B07"/>
    <w:rsid w:val="000B512F"/>
    <w:rsid w:val="000B51CC"/>
    <w:rsid w:val="000B5A89"/>
    <w:rsid w:val="000B5AF3"/>
    <w:rsid w:val="000B6B72"/>
    <w:rsid w:val="000B7F22"/>
    <w:rsid w:val="000C0121"/>
    <w:rsid w:val="000C0940"/>
    <w:rsid w:val="000C1153"/>
    <w:rsid w:val="000C124F"/>
    <w:rsid w:val="000C182B"/>
    <w:rsid w:val="000C2791"/>
    <w:rsid w:val="000C37B0"/>
    <w:rsid w:val="000C3DC7"/>
    <w:rsid w:val="000C3EE3"/>
    <w:rsid w:val="000C3F24"/>
    <w:rsid w:val="000C428A"/>
    <w:rsid w:val="000C46C4"/>
    <w:rsid w:val="000C4885"/>
    <w:rsid w:val="000C5467"/>
    <w:rsid w:val="000C6258"/>
    <w:rsid w:val="000C6651"/>
    <w:rsid w:val="000C6A72"/>
    <w:rsid w:val="000C6AED"/>
    <w:rsid w:val="000C7ED8"/>
    <w:rsid w:val="000D0320"/>
    <w:rsid w:val="000D0681"/>
    <w:rsid w:val="000D0820"/>
    <w:rsid w:val="000D11F5"/>
    <w:rsid w:val="000D3642"/>
    <w:rsid w:val="000D3DE7"/>
    <w:rsid w:val="000D3E39"/>
    <w:rsid w:val="000D473E"/>
    <w:rsid w:val="000D4C55"/>
    <w:rsid w:val="000D5155"/>
    <w:rsid w:val="000D5275"/>
    <w:rsid w:val="000D5635"/>
    <w:rsid w:val="000D64AA"/>
    <w:rsid w:val="000D65BA"/>
    <w:rsid w:val="000D6999"/>
    <w:rsid w:val="000D6B9D"/>
    <w:rsid w:val="000D6E35"/>
    <w:rsid w:val="000D7B2A"/>
    <w:rsid w:val="000D7D70"/>
    <w:rsid w:val="000E01B8"/>
    <w:rsid w:val="000E06C8"/>
    <w:rsid w:val="000E0B72"/>
    <w:rsid w:val="000E11E7"/>
    <w:rsid w:val="000E16CA"/>
    <w:rsid w:val="000E1803"/>
    <w:rsid w:val="000E2060"/>
    <w:rsid w:val="000E209E"/>
    <w:rsid w:val="000E210E"/>
    <w:rsid w:val="000E294D"/>
    <w:rsid w:val="000E35A9"/>
    <w:rsid w:val="000E35C4"/>
    <w:rsid w:val="000E37A1"/>
    <w:rsid w:val="000E3E7C"/>
    <w:rsid w:val="000E4D81"/>
    <w:rsid w:val="000E4DA4"/>
    <w:rsid w:val="000E5018"/>
    <w:rsid w:val="000F1369"/>
    <w:rsid w:val="000F2489"/>
    <w:rsid w:val="000F2561"/>
    <w:rsid w:val="000F265F"/>
    <w:rsid w:val="000F2F3F"/>
    <w:rsid w:val="000F311E"/>
    <w:rsid w:val="000F318A"/>
    <w:rsid w:val="000F32E7"/>
    <w:rsid w:val="000F3A6F"/>
    <w:rsid w:val="000F41BD"/>
    <w:rsid w:val="000F489D"/>
    <w:rsid w:val="000F48A5"/>
    <w:rsid w:val="000F52B8"/>
    <w:rsid w:val="000F532D"/>
    <w:rsid w:val="000F535B"/>
    <w:rsid w:val="000F55D9"/>
    <w:rsid w:val="000F5B47"/>
    <w:rsid w:val="000F6A11"/>
    <w:rsid w:val="000F7076"/>
    <w:rsid w:val="001010F8"/>
    <w:rsid w:val="001014F8"/>
    <w:rsid w:val="001015B0"/>
    <w:rsid w:val="001016EE"/>
    <w:rsid w:val="00102071"/>
    <w:rsid w:val="00103161"/>
    <w:rsid w:val="0010318F"/>
    <w:rsid w:val="0010343E"/>
    <w:rsid w:val="00103532"/>
    <w:rsid w:val="00103613"/>
    <w:rsid w:val="00103C68"/>
    <w:rsid w:val="00104825"/>
    <w:rsid w:val="00105359"/>
    <w:rsid w:val="001056F7"/>
    <w:rsid w:val="00105818"/>
    <w:rsid w:val="00105E34"/>
    <w:rsid w:val="00106396"/>
    <w:rsid w:val="00106501"/>
    <w:rsid w:val="0010655A"/>
    <w:rsid w:val="00106A12"/>
    <w:rsid w:val="0011082B"/>
    <w:rsid w:val="001112A8"/>
    <w:rsid w:val="0011130D"/>
    <w:rsid w:val="0011196F"/>
    <w:rsid w:val="001123C4"/>
    <w:rsid w:val="001130BC"/>
    <w:rsid w:val="00113337"/>
    <w:rsid w:val="00113910"/>
    <w:rsid w:val="00114289"/>
    <w:rsid w:val="001142EB"/>
    <w:rsid w:val="00114771"/>
    <w:rsid w:val="0011487F"/>
    <w:rsid w:val="00115FED"/>
    <w:rsid w:val="00116060"/>
    <w:rsid w:val="001161EF"/>
    <w:rsid w:val="001162D8"/>
    <w:rsid w:val="00116A4B"/>
    <w:rsid w:val="001202BC"/>
    <w:rsid w:val="00120DB6"/>
    <w:rsid w:val="00121886"/>
    <w:rsid w:val="00122B4D"/>
    <w:rsid w:val="00123D38"/>
    <w:rsid w:val="001240C2"/>
    <w:rsid w:val="0012426D"/>
    <w:rsid w:val="001243EE"/>
    <w:rsid w:val="00125E59"/>
    <w:rsid w:val="001260E1"/>
    <w:rsid w:val="0012652F"/>
    <w:rsid w:val="0012667D"/>
    <w:rsid w:val="00126A84"/>
    <w:rsid w:val="00126DF3"/>
    <w:rsid w:val="0012733C"/>
    <w:rsid w:val="001274ED"/>
    <w:rsid w:val="001278B6"/>
    <w:rsid w:val="00127A90"/>
    <w:rsid w:val="00130248"/>
    <w:rsid w:val="001304D3"/>
    <w:rsid w:val="00130A0B"/>
    <w:rsid w:val="00130A87"/>
    <w:rsid w:val="0013112E"/>
    <w:rsid w:val="001312BF"/>
    <w:rsid w:val="001338FB"/>
    <w:rsid w:val="00133EC7"/>
    <w:rsid w:val="001345E3"/>
    <w:rsid w:val="0013461F"/>
    <w:rsid w:val="001357AE"/>
    <w:rsid w:val="0013594F"/>
    <w:rsid w:val="00137011"/>
    <w:rsid w:val="00137F41"/>
    <w:rsid w:val="00140847"/>
    <w:rsid w:val="00140E63"/>
    <w:rsid w:val="001411B2"/>
    <w:rsid w:val="00141276"/>
    <w:rsid w:val="00141409"/>
    <w:rsid w:val="00141EC2"/>
    <w:rsid w:val="001426DC"/>
    <w:rsid w:val="00143077"/>
    <w:rsid w:val="00143349"/>
    <w:rsid w:val="001440D9"/>
    <w:rsid w:val="001449CF"/>
    <w:rsid w:val="00144D9A"/>
    <w:rsid w:val="001450CD"/>
    <w:rsid w:val="00145239"/>
    <w:rsid w:val="00145285"/>
    <w:rsid w:val="0014568A"/>
    <w:rsid w:val="001456B1"/>
    <w:rsid w:val="001457B4"/>
    <w:rsid w:val="001457F1"/>
    <w:rsid w:val="0014605B"/>
    <w:rsid w:val="00146D8C"/>
    <w:rsid w:val="00147183"/>
    <w:rsid w:val="0014737D"/>
    <w:rsid w:val="00147648"/>
    <w:rsid w:val="00147A4B"/>
    <w:rsid w:val="001509FD"/>
    <w:rsid w:val="00150DC0"/>
    <w:rsid w:val="00151465"/>
    <w:rsid w:val="00152246"/>
    <w:rsid w:val="001528B5"/>
    <w:rsid w:val="001530CE"/>
    <w:rsid w:val="00153A16"/>
    <w:rsid w:val="00153AC6"/>
    <w:rsid w:val="00154583"/>
    <w:rsid w:val="00154D4E"/>
    <w:rsid w:val="00155037"/>
    <w:rsid w:val="001555E9"/>
    <w:rsid w:val="001559CB"/>
    <w:rsid w:val="00155BE5"/>
    <w:rsid w:val="00155F4D"/>
    <w:rsid w:val="001563C7"/>
    <w:rsid w:val="00156BB2"/>
    <w:rsid w:val="001572FB"/>
    <w:rsid w:val="00160F93"/>
    <w:rsid w:val="001611B6"/>
    <w:rsid w:val="00161C25"/>
    <w:rsid w:val="00162D30"/>
    <w:rsid w:val="00162EE3"/>
    <w:rsid w:val="00164344"/>
    <w:rsid w:val="00164984"/>
    <w:rsid w:val="00165212"/>
    <w:rsid w:val="0016529C"/>
    <w:rsid w:val="001656A0"/>
    <w:rsid w:val="001659C3"/>
    <w:rsid w:val="00165D31"/>
    <w:rsid w:val="00166486"/>
    <w:rsid w:val="00166E60"/>
    <w:rsid w:val="00167220"/>
    <w:rsid w:val="001679E3"/>
    <w:rsid w:val="00170725"/>
    <w:rsid w:val="00170A46"/>
    <w:rsid w:val="00170AFE"/>
    <w:rsid w:val="00170C6F"/>
    <w:rsid w:val="0017109A"/>
    <w:rsid w:val="0017120C"/>
    <w:rsid w:val="001713DD"/>
    <w:rsid w:val="00173C91"/>
    <w:rsid w:val="00174523"/>
    <w:rsid w:val="001746BB"/>
    <w:rsid w:val="001751AE"/>
    <w:rsid w:val="00175F33"/>
    <w:rsid w:val="001763CD"/>
    <w:rsid w:val="0017648D"/>
    <w:rsid w:val="00176B7E"/>
    <w:rsid w:val="0018056C"/>
    <w:rsid w:val="001812C9"/>
    <w:rsid w:val="001815D0"/>
    <w:rsid w:val="001817FD"/>
    <w:rsid w:val="00181BA5"/>
    <w:rsid w:val="00181CF1"/>
    <w:rsid w:val="00181EBC"/>
    <w:rsid w:val="00182264"/>
    <w:rsid w:val="00182F29"/>
    <w:rsid w:val="00182FB8"/>
    <w:rsid w:val="001830C2"/>
    <w:rsid w:val="00183FC6"/>
    <w:rsid w:val="0018423C"/>
    <w:rsid w:val="00184FA8"/>
    <w:rsid w:val="00185485"/>
    <w:rsid w:val="001856C0"/>
    <w:rsid w:val="00185CCE"/>
    <w:rsid w:val="00186490"/>
    <w:rsid w:val="001867D3"/>
    <w:rsid w:val="001868B5"/>
    <w:rsid w:val="001877B3"/>
    <w:rsid w:val="001901D9"/>
    <w:rsid w:val="001901FD"/>
    <w:rsid w:val="0019032A"/>
    <w:rsid w:val="00190528"/>
    <w:rsid w:val="00190A2E"/>
    <w:rsid w:val="00191941"/>
    <w:rsid w:val="0019244F"/>
    <w:rsid w:val="00192CB9"/>
    <w:rsid w:val="00192FE9"/>
    <w:rsid w:val="00193958"/>
    <w:rsid w:val="00193AE2"/>
    <w:rsid w:val="00193C3E"/>
    <w:rsid w:val="00194112"/>
    <w:rsid w:val="0019466B"/>
    <w:rsid w:val="00196763"/>
    <w:rsid w:val="0019725B"/>
    <w:rsid w:val="00197334"/>
    <w:rsid w:val="00197AB6"/>
    <w:rsid w:val="001A1621"/>
    <w:rsid w:val="001A1896"/>
    <w:rsid w:val="001A2A85"/>
    <w:rsid w:val="001A2AC7"/>
    <w:rsid w:val="001A2C0F"/>
    <w:rsid w:val="001A3F63"/>
    <w:rsid w:val="001A41AC"/>
    <w:rsid w:val="001A423F"/>
    <w:rsid w:val="001A4D13"/>
    <w:rsid w:val="001A52F2"/>
    <w:rsid w:val="001A54DA"/>
    <w:rsid w:val="001A60D7"/>
    <w:rsid w:val="001A6487"/>
    <w:rsid w:val="001A66BB"/>
    <w:rsid w:val="001A68E5"/>
    <w:rsid w:val="001A6F56"/>
    <w:rsid w:val="001A7172"/>
    <w:rsid w:val="001A79E6"/>
    <w:rsid w:val="001A7D21"/>
    <w:rsid w:val="001B04A2"/>
    <w:rsid w:val="001B1130"/>
    <w:rsid w:val="001B1776"/>
    <w:rsid w:val="001B1E8B"/>
    <w:rsid w:val="001B2E7D"/>
    <w:rsid w:val="001B5152"/>
    <w:rsid w:val="001B587B"/>
    <w:rsid w:val="001B588F"/>
    <w:rsid w:val="001B59A8"/>
    <w:rsid w:val="001B5B9D"/>
    <w:rsid w:val="001B6195"/>
    <w:rsid w:val="001B67EA"/>
    <w:rsid w:val="001B6B20"/>
    <w:rsid w:val="001B6DBA"/>
    <w:rsid w:val="001B750B"/>
    <w:rsid w:val="001B7FBF"/>
    <w:rsid w:val="001C0675"/>
    <w:rsid w:val="001C1A46"/>
    <w:rsid w:val="001C226D"/>
    <w:rsid w:val="001C22C9"/>
    <w:rsid w:val="001C26CF"/>
    <w:rsid w:val="001C2C32"/>
    <w:rsid w:val="001C3263"/>
    <w:rsid w:val="001C3616"/>
    <w:rsid w:val="001C3810"/>
    <w:rsid w:val="001C3CB8"/>
    <w:rsid w:val="001C3CE3"/>
    <w:rsid w:val="001C4C21"/>
    <w:rsid w:val="001C4E66"/>
    <w:rsid w:val="001C54CC"/>
    <w:rsid w:val="001C5A4F"/>
    <w:rsid w:val="001C5AEA"/>
    <w:rsid w:val="001C6C91"/>
    <w:rsid w:val="001C70B2"/>
    <w:rsid w:val="001C78E2"/>
    <w:rsid w:val="001D0003"/>
    <w:rsid w:val="001D03E6"/>
    <w:rsid w:val="001D04B5"/>
    <w:rsid w:val="001D0DEB"/>
    <w:rsid w:val="001D10F2"/>
    <w:rsid w:val="001D12EC"/>
    <w:rsid w:val="001D2436"/>
    <w:rsid w:val="001D2992"/>
    <w:rsid w:val="001D2D3C"/>
    <w:rsid w:val="001D33E9"/>
    <w:rsid w:val="001D3BAD"/>
    <w:rsid w:val="001D401F"/>
    <w:rsid w:val="001D40C0"/>
    <w:rsid w:val="001D47FB"/>
    <w:rsid w:val="001D484B"/>
    <w:rsid w:val="001D4D55"/>
    <w:rsid w:val="001D523A"/>
    <w:rsid w:val="001D5879"/>
    <w:rsid w:val="001D6E46"/>
    <w:rsid w:val="001D786F"/>
    <w:rsid w:val="001E00FC"/>
    <w:rsid w:val="001E05FD"/>
    <w:rsid w:val="001E0980"/>
    <w:rsid w:val="001E0C4D"/>
    <w:rsid w:val="001E0F16"/>
    <w:rsid w:val="001E174B"/>
    <w:rsid w:val="001E2646"/>
    <w:rsid w:val="001E2685"/>
    <w:rsid w:val="001E34AB"/>
    <w:rsid w:val="001E3927"/>
    <w:rsid w:val="001E41F7"/>
    <w:rsid w:val="001E4253"/>
    <w:rsid w:val="001E456D"/>
    <w:rsid w:val="001E46E1"/>
    <w:rsid w:val="001E60AB"/>
    <w:rsid w:val="001E6159"/>
    <w:rsid w:val="001E631E"/>
    <w:rsid w:val="001E6670"/>
    <w:rsid w:val="001E6D0F"/>
    <w:rsid w:val="001E6FA7"/>
    <w:rsid w:val="001E7505"/>
    <w:rsid w:val="001E75FE"/>
    <w:rsid w:val="001E78EC"/>
    <w:rsid w:val="001F0DC7"/>
    <w:rsid w:val="001F14CD"/>
    <w:rsid w:val="001F2962"/>
    <w:rsid w:val="001F2D73"/>
    <w:rsid w:val="001F2FB6"/>
    <w:rsid w:val="001F52C7"/>
    <w:rsid w:val="001F5368"/>
    <w:rsid w:val="001F5A0C"/>
    <w:rsid w:val="001F5A1E"/>
    <w:rsid w:val="001F640F"/>
    <w:rsid w:val="001F6A31"/>
    <w:rsid w:val="001F6B25"/>
    <w:rsid w:val="001F7469"/>
    <w:rsid w:val="001F770A"/>
    <w:rsid w:val="001F7E31"/>
    <w:rsid w:val="00200493"/>
    <w:rsid w:val="00200839"/>
    <w:rsid w:val="00200F71"/>
    <w:rsid w:val="0020133B"/>
    <w:rsid w:val="002020EF"/>
    <w:rsid w:val="00202C9B"/>
    <w:rsid w:val="00202E60"/>
    <w:rsid w:val="0020311B"/>
    <w:rsid w:val="00203808"/>
    <w:rsid w:val="00203FFB"/>
    <w:rsid w:val="0020488A"/>
    <w:rsid w:val="00204A11"/>
    <w:rsid w:val="00204A53"/>
    <w:rsid w:val="00204C52"/>
    <w:rsid w:val="00204D0B"/>
    <w:rsid w:val="002056C8"/>
    <w:rsid w:val="00205762"/>
    <w:rsid w:val="00205E8B"/>
    <w:rsid w:val="0020634F"/>
    <w:rsid w:val="00206381"/>
    <w:rsid w:val="00206AF0"/>
    <w:rsid w:val="00206DB7"/>
    <w:rsid w:val="00207295"/>
    <w:rsid w:val="00207989"/>
    <w:rsid w:val="0021213B"/>
    <w:rsid w:val="00212988"/>
    <w:rsid w:val="00212CBF"/>
    <w:rsid w:val="00212EFB"/>
    <w:rsid w:val="00213D10"/>
    <w:rsid w:val="00214359"/>
    <w:rsid w:val="00214621"/>
    <w:rsid w:val="002151D4"/>
    <w:rsid w:val="002152C0"/>
    <w:rsid w:val="00215C62"/>
    <w:rsid w:val="002161EA"/>
    <w:rsid w:val="0021649C"/>
    <w:rsid w:val="00217C62"/>
    <w:rsid w:val="00217DCD"/>
    <w:rsid w:val="002203CB"/>
    <w:rsid w:val="002204E1"/>
    <w:rsid w:val="00220F5C"/>
    <w:rsid w:val="002213D9"/>
    <w:rsid w:val="002219D4"/>
    <w:rsid w:val="002220C0"/>
    <w:rsid w:val="00222AFA"/>
    <w:rsid w:val="00222B69"/>
    <w:rsid w:val="00222C35"/>
    <w:rsid w:val="00222CB3"/>
    <w:rsid w:val="0022356C"/>
    <w:rsid w:val="002240E8"/>
    <w:rsid w:val="002246A4"/>
    <w:rsid w:val="00224D9A"/>
    <w:rsid w:val="00225168"/>
    <w:rsid w:val="00225902"/>
    <w:rsid w:val="00225D81"/>
    <w:rsid w:val="002268B4"/>
    <w:rsid w:val="00226D92"/>
    <w:rsid w:val="0022758B"/>
    <w:rsid w:val="00227A1D"/>
    <w:rsid w:val="00227DEA"/>
    <w:rsid w:val="00227F91"/>
    <w:rsid w:val="00230FB4"/>
    <w:rsid w:val="002310C9"/>
    <w:rsid w:val="0023144A"/>
    <w:rsid w:val="00231556"/>
    <w:rsid w:val="00231AD9"/>
    <w:rsid w:val="00232D72"/>
    <w:rsid w:val="00233F22"/>
    <w:rsid w:val="00234563"/>
    <w:rsid w:val="00234605"/>
    <w:rsid w:val="00234706"/>
    <w:rsid w:val="0023735A"/>
    <w:rsid w:val="00237568"/>
    <w:rsid w:val="002376D2"/>
    <w:rsid w:val="0023770D"/>
    <w:rsid w:val="00237C32"/>
    <w:rsid w:val="00240743"/>
    <w:rsid w:val="00241082"/>
    <w:rsid w:val="0024157C"/>
    <w:rsid w:val="00243708"/>
    <w:rsid w:val="00243CB5"/>
    <w:rsid w:val="002440FA"/>
    <w:rsid w:val="00244788"/>
    <w:rsid w:val="0024537C"/>
    <w:rsid w:val="002456B4"/>
    <w:rsid w:val="00245A4F"/>
    <w:rsid w:val="00245E09"/>
    <w:rsid w:val="00246237"/>
    <w:rsid w:val="002462F3"/>
    <w:rsid w:val="002467C5"/>
    <w:rsid w:val="00246B17"/>
    <w:rsid w:val="00246BEE"/>
    <w:rsid w:val="0025003E"/>
    <w:rsid w:val="00251240"/>
    <w:rsid w:val="0025170A"/>
    <w:rsid w:val="002519BD"/>
    <w:rsid w:val="00251BC1"/>
    <w:rsid w:val="00251ED7"/>
    <w:rsid w:val="002529ED"/>
    <w:rsid w:val="00252CBC"/>
    <w:rsid w:val="00252F09"/>
    <w:rsid w:val="0025404C"/>
    <w:rsid w:val="00254128"/>
    <w:rsid w:val="00254D36"/>
    <w:rsid w:val="00254E1F"/>
    <w:rsid w:val="00254EE3"/>
    <w:rsid w:val="0025564E"/>
    <w:rsid w:val="00256459"/>
    <w:rsid w:val="0025715A"/>
    <w:rsid w:val="00257896"/>
    <w:rsid w:val="00257B6F"/>
    <w:rsid w:val="00257D41"/>
    <w:rsid w:val="00257DC1"/>
    <w:rsid w:val="00257E4B"/>
    <w:rsid w:val="00263800"/>
    <w:rsid w:val="00263D72"/>
    <w:rsid w:val="00264497"/>
    <w:rsid w:val="00264FDC"/>
    <w:rsid w:val="00265F97"/>
    <w:rsid w:val="0026650D"/>
    <w:rsid w:val="0026656D"/>
    <w:rsid w:val="00266696"/>
    <w:rsid w:val="002669EA"/>
    <w:rsid w:val="00267927"/>
    <w:rsid w:val="0027016A"/>
    <w:rsid w:val="002716DD"/>
    <w:rsid w:val="002720E9"/>
    <w:rsid w:val="00272E11"/>
    <w:rsid w:val="00272F17"/>
    <w:rsid w:val="002731F2"/>
    <w:rsid w:val="002739CB"/>
    <w:rsid w:val="00273FD1"/>
    <w:rsid w:val="002743D5"/>
    <w:rsid w:val="0027467E"/>
    <w:rsid w:val="00274DD7"/>
    <w:rsid w:val="002753C9"/>
    <w:rsid w:val="00275E2C"/>
    <w:rsid w:val="0027786B"/>
    <w:rsid w:val="00277AF5"/>
    <w:rsid w:val="002802DA"/>
    <w:rsid w:val="0028052C"/>
    <w:rsid w:val="00280C29"/>
    <w:rsid w:val="00280F0C"/>
    <w:rsid w:val="00281121"/>
    <w:rsid w:val="00282115"/>
    <w:rsid w:val="002826F3"/>
    <w:rsid w:val="00282756"/>
    <w:rsid w:val="00282B3A"/>
    <w:rsid w:val="00282CBE"/>
    <w:rsid w:val="00283E57"/>
    <w:rsid w:val="00284B1E"/>
    <w:rsid w:val="00284B69"/>
    <w:rsid w:val="00284C2A"/>
    <w:rsid w:val="00284C7F"/>
    <w:rsid w:val="00285621"/>
    <w:rsid w:val="00286101"/>
    <w:rsid w:val="002861DF"/>
    <w:rsid w:val="0028636E"/>
    <w:rsid w:val="00286830"/>
    <w:rsid w:val="00286C63"/>
    <w:rsid w:val="00286D57"/>
    <w:rsid w:val="002873F1"/>
    <w:rsid w:val="0028754E"/>
    <w:rsid w:val="0028772E"/>
    <w:rsid w:val="0028792E"/>
    <w:rsid w:val="00287FBA"/>
    <w:rsid w:val="002901DC"/>
    <w:rsid w:val="002903A5"/>
    <w:rsid w:val="00290922"/>
    <w:rsid w:val="00290C99"/>
    <w:rsid w:val="00290E91"/>
    <w:rsid w:val="00291054"/>
    <w:rsid w:val="00291845"/>
    <w:rsid w:val="0029226E"/>
    <w:rsid w:val="00292832"/>
    <w:rsid w:val="00292BD3"/>
    <w:rsid w:val="0029353C"/>
    <w:rsid w:val="002939A9"/>
    <w:rsid w:val="002945D2"/>
    <w:rsid w:val="00295804"/>
    <w:rsid w:val="00295923"/>
    <w:rsid w:val="00296222"/>
    <w:rsid w:val="002968C6"/>
    <w:rsid w:val="00297369"/>
    <w:rsid w:val="002A0085"/>
    <w:rsid w:val="002A0587"/>
    <w:rsid w:val="002A0931"/>
    <w:rsid w:val="002A0A62"/>
    <w:rsid w:val="002A0F93"/>
    <w:rsid w:val="002A140D"/>
    <w:rsid w:val="002A1862"/>
    <w:rsid w:val="002A2FEC"/>
    <w:rsid w:val="002A3C2D"/>
    <w:rsid w:val="002A47C5"/>
    <w:rsid w:val="002A47F8"/>
    <w:rsid w:val="002A4D7C"/>
    <w:rsid w:val="002A4E78"/>
    <w:rsid w:val="002A62AC"/>
    <w:rsid w:val="002A62F8"/>
    <w:rsid w:val="002A69B1"/>
    <w:rsid w:val="002A7AE9"/>
    <w:rsid w:val="002B003A"/>
    <w:rsid w:val="002B0D0C"/>
    <w:rsid w:val="002B1046"/>
    <w:rsid w:val="002B182E"/>
    <w:rsid w:val="002B1D76"/>
    <w:rsid w:val="002B2576"/>
    <w:rsid w:val="002B2CF0"/>
    <w:rsid w:val="002B369F"/>
    <w:rsid w:val="002B39D6"/>
    <w:rsid w:val="002B3A21"/>
    <w:rsid w:val="002B3A89"/>
    <w:rsid w:val="002B4201"/>
    <w:rsid w:val="002B45A1"/>
    <w:rsid w:val="002B4BA1"/>
    <w:rsid w:val="002B4D7D"/>
    <w:rsid w:val="002B577D"/>
    <w:rsid w:val="002B6770"/>
    <w:rsid w:val="002B6C90"/>
    <w:rsid w:val="002C0027"/>
    <w:rsid w:val="002C022A"/>
    <w:rsid w:val="002C02E3"/>
    <w:rsid w:val="002C0B15"/>
    <w:rsid w:val="002C1E21"/>
    <w:rsid w:val="002C288A"/>
    <w:rsid w:val="002C2B7D"/>
    <w:rsid w:val="002C2E0E"/>
    <w:rsid w:val="002C2E7E"/>
    <w:rsid w:val="002C3654"/>
    <w:rsid w:val="002C3B2F"/>
    <w:rsid w:val="002C3E02"/>
    <w:rsid w:val="002C3E05"/>
    <w:rsid w:val="002C4079"/>
    <w:rsid w:val="002C494E"/>
    <w:rsid w:val="002C4BD6"/>
    <w:rsid w:val="002C52BB"/>
    <w:rsid w:val="002C5D17"/>
    <w:rsid w:val="002C7081"/>
    <w:rsid w:val="002C73B2"/>
    <w:rsid w:val="002C7823"/>
    <w:rsid w:val="002D00C6"/>
    <w:rsid w:val="002D03BC"/>
    <w:rsid w:val="002D0C44"/>
    <w:rsid w:val="002D1952"/>
    <w:rsid w:val="002D19C8"/>
    <w:rsid w:val="002D1B06"/>
    <w:rsid w:val="002D2010"/>
    <w:rsid w:val="002D21CC"/>
    <w:rsid w:val="002D21D5"/>
    <w:rsid w:val="002D298C"/>
    <w:rsid w:val="002D2D70"/>
    <w:rsid w:val="002D2DC4"/>
    <w:rsid w:val="002D323A"/>
    <w:rsid w:val="002D374F"/>
    <w:rsid w:val="002D3D10"/>
    <w:rsid w:val="002D4316"/>
    <w:rsid w:val="002D437B"/>
    <w:rsid w:val="002D4797"/>
    <w:rsid w:val="002D5811"/>
    <w:rsid w:val="002D5AE4"/>
    <w:rsid w:val="002D63F1"/>
    <w:rsid w:val="002D6B5C"/>
    <w:rsid w:val="002D6D1E"/>
    <w:rsid w:val="002D7311"/>
    <w:rsid w:val="002D741F"/>
    <w:rsid w:val="002D7A42"/>
    <w:rsid w:val="002D7E3E"/>
    <w:rsid w:val="002D7F91"/>
    <w:rsid w:val="002E01B4"/>
    <w:rsid w:val="002E131B"/>
    <w:rsid w:val="002E15CE"/>
    <w:rsid w:val="002E1B5C"/>
    <w:rsid w:val="002E1B81"/>
    <w:rsid w:val="002E24B5"/>
    <w:rsid w:val="002E2AC5"/>
    <w:rsid w:val="002E2CC3"/>
    <w:rsid w:val="002E2DE8"/>
    <w:rsid w:val="002E47AE"/>
    <w:rsid w:val="002E4F69"/>
    <w:rsid w:val="002E5016"/>
    <w:rsid w:val="002E54EC"/>
    <w:rsid w:val="002E66C9"/>
    <w:rsid w:val="002E6E49"/>
    <w:rsid w:val="002E7122"/>
    <w:rsid w:val="002E71BB"/>
    <w:rsid w:val="002F01A0"/>
    <w:rsid w:val="002F14F6"/>
    <w:rsid w:val="002F24C1"/>
    <w:rsid w:val="002F261A"/>
    <w:rsid w:val="002F4845"/>
    <w:rsid w:val="002F4921"/>
    <w:rsid w:val="002F4FFA"/>
    <w:rsid w:val="002F531A"/>
    <w:rsid w:val="002F57E0"/>
    <w:rsid w:val="002F63BB"/>
    <w:rsid w:val="002F7116"/>
    <w:rsid w:val="002F7591"/>
    <w:rsid w:val="002F7F02"/>
    <w:rsid w:val="003000EB"/>
    <w:rsid w:val="0030031D"/>
    <w:rsid w:val="0030059C"/>
    <w:rsid w:val="00300CCC"/>
    <w:rsid w:val="0030103C"/>
    <w:rsid w:val="00301195"/>
    <w:rsid w:val="00301389"/>
    <w:rsid w:val="0030156D"/>
    <w:rsid w:val="00302C6B"/>
    <w:rsid w:val="003035F1"/>
    <w:rsid w:val="00303901"/>
    <w:rsid w:val="00303A2E"/>
    <w:rsid w:val="00303DD0"/>
    <w:rsid w:val="00303FD5"/>
    <w:rsid w:val="00304187"/>
    <w:rsid w:val="00304298"/>
    <w:rsid w:val="00304F33"/>
    <w:rsid w:val="0030509C"/>
    <w:rsid w:val="00305834"/>
    <w:rsid w:val="003060BC"/>
    <w:rsid w:val="003064B9"/>
    <w:rsid w:val="00307280"/>
    <w:rsid w:val="003076CA"/>
    <w:rsid w:val="00307C0F"/>
    <w:rsid w:val="003109A8"/>
    <w:rsid w:val="00310C09"/>
    <w:rsid w:val="00310F2E"/>
    <w:rsid w:val="00311740"/>
    <w:rsid w:val="0031221A"/>
    <w:rsid w:val="0031225A"/>
    <w:rsid w:val="00312921"/>
    <w:rsid w:val="0031298B"/>
    <w:rsid w:val="00313C2D"/>
    <w:rsid w:val="00313DD2"/>
    <w:rsid w:val="00313FB5"/>
    <w:rsid w:val="00314489"/>
    <w:rsid w:val="003144A1"/>
    <w:rsid w:val="0031482E"/>
    <w:rsid w:val="003149B7"/>
    <w:rsid w:val="00316847"/>
    <w:rsid w:val="003200D4"/>
    <w:rsid w:val="003201CF"/>
    <w:rsid w:val="00320201"/>
    <w:rsid w:val="00320291"/>
    <w:rsid w:val="00320839"/>
    <w:rsid w:val="0032126F"/>
    <w:rsid w:val="003214C1"/>
    <w:rsid w:val="00321A01"/>
    <w:rsid w:val="00321C84"/>
    <w:rsid w:val="00321F5B"/>
    <w:rsid w:val="003220F0"/>
    <w:rsid w:val="00322267"/>
    <w:rsid w:val="00322BD7"/>
    <w:rsid w:val="00323290"/>
    <w:rsid w:val="003236FB"/>
    <w:rsid w:val="00323930"/>
    <w:rsid w:val="00323CC4"/>
    <w:rsid w:val="00323CC7"/>
    <w:rsid w:val="00323DB2"/>
    <w:rsid w:val="00323F29"/>
    <w:rsid w:val="003247AE"/>
    <w:rsid w:val="003249B3"/>
    <w:rsid w:val="003251E2"/>
    <w:rsid w:val="0032546C"/>
    <w:rsid w:val="00325808"/>
    <w:rsid w:val="00325867"/>
    <w:rsid w:val="003259D3"/>
    <w:rsid w:val="00325B89"/>
    <w:rsid w:val="00326DFB"/>
    <w:rsid w:val="0032718E"/>
    <w:rsid w:val="003275E6"/>
    <w:rsid w:val="00327C98"/>
    <w:rsid w:val="00330098"/>
    <w:rsid w:val="00330374"/>
    <w:rsid w:val="00330450"/>
    <w:rsid w:val="00330630"/>
    <w:rsid w:val="00330F79"/>
    <w:rsid w:val="00331D9A"/>
    <w:rsid w:val="00332754"/>
    <w:rsid w:val="00332EB9"/>
    <w:rsid w:val="00333349"/>
    <w:rsid w:val="003337C8"/>
    <w:rsid w:val="003337FA"/>
    <w:rsid w:val="003339CF"/>
    <w:rsid w:val="00333B10"/>
    <w:rsid w:val="00333FAE"/>
    <w:rsid w:val="00334042"/>
    <w:rsid w:val="0033406E"/>
    <w:rsid w:val="0033488F"/>
    <w:rsid w:val="00334A53"/>
    <w:rsid w:val="00334D9C"/>
    <w:rsid w:val="003353DD"/>
    <w:rsid w:val="003355AA"/>
    <w:rsid w:val="00335802"/>
    <w:rsid w:val="00335E82"/>
    <w:rsid w:val="00336240"/>
    <w:rsid w:val="00336C61"/>
    <w:rsid w:val="00337688"/>
    <w:rsid w:val="00340363"/>
    <w:rsid w:val="003403F5"/>
    <w:rsid w:val="00340717"/>
    <w:rsid w:val="00340CA5"/>
    <w:rsid w:val="003410B9"/>
    <w:rsid w:val="003412A7"/>
    <w:rsid w:val="003413B2"/>
    <w:rsid w:val="003418BE"/>
    <w:rsid w:val="0034271F"/>
    <w:rsid w:val="00342DC3"/>
    <w:rsid w:val="003430F6"/>
    <w:rsid w:val="003435A9"/>
    <w:rsid w:val="00343D79"/>
    <w:rsid w:val="00343ED0"/>
    <w:rsid w:val="003440C6"/>
    <w:rsid w:val="003442C7"/>
    <w:rsid w:val="003461AB"/>
    <w:rsid w:val="003468E1"/>
    <w:rsid w:val="00346B76"/>
    <w:rsid w:val="00346E16"/>
    <w:rsid w:val="00347A31"/>
    <w:rsid w:val="00347C3E"/>
    <w:rsid w:val="00350A19"/>
    <w:rsid w:val="00350BBA"/>
    <w:rsid w:val="003512DE"/>
    <w:rsid w:val="0035130F"/>
    <w:rsid w:val="0035172A"/>
    <w:rsid w:val="00351878"/>
    <w:rsid w:val="00351F1B"/>
    <w:rsid w:val="00354723"/>
    <w:rsid w:val="00354F24"/>
    <w:rsid w:val="0035594C"/>
    <w:rsid w:val="0035671B"/>
    <w:rsid w:val="003568F2"/>
    <w:rsid w:val="00357534"/>
    <w:rsid w:val="00357BC1"/>
    <w:rsid w:val="00360481"/>
    <w:rsid w:val="00360992"/>
    <w:rsid w:val="00360C72"/>
    <w:rsid w:val="00361342"/>
    <w:rsid w:val="003614E6"/>
    <w:rsid w:val="003633D4"/>
    <w:rsid w:val="0036413C"/>
    <w:rsid w:val="00364CB8"/>
    <w:rsid w:val="003659AD"/>
    <w:rsid w:val="00366A0F"/>
    <w:rsid w:val="003676A4"/>
    <w:rsid w:val="003677B1"/>
    <w:rsid w:val="00370197"/>
    <w:rsid w:val="00370D68"/>
    <w:rsid w:val="00370F25"/>
    <w:rsid w:val="00371114"/>
    <w:rsid w:val="00371DB7"/>
    <w:rsid w:val="00372D40"/>
    <w:rsid w:val="0037359C"/>
    <w:rsid w:val="0037364F"/>
    <w:rsid w:val="00373693"/>
    <w:rsid w:val="00375946"/>
    <w:rsid w:val="00375E32"/>
    <w:rsid w:val="00375F7F"/>
    <w:rsid w:val="00376426"/>
    <w:rsid w:val="00376982"/>
    <w:rsid w:val="00377CE1"/>
    <w:rsid w:val="00381454"/>
    <w:rsid w:val="00381DD2"/>
    <w:rsid w:val="0038288C"/>
    <w:rsid w:val="00382CED"/>
    <w:rsid w:val="00383527"/>
    <w:rsid w:val="003835D9"/>
    <w:rsid w:val="003835ED"/>
    <w:rsid w:val="003836CF"/>
    <w:rsid w:val="00383DD1"/>
    <w:rsid w:val="00383E4E"/>
    <w:rsid w:val="00383F68"/>
    <w:rsid w:val="00383FC2"/>
    <w:rsid w:val="00384056"/>
    <w:rsid w:val="003847FA"/>
    <w:rsid w:val="00384DAB"/>
    <w:rsid w:val="00385045"/>
    <w:rsid w:val="00385737"/>
    <w:rsid w:val="00385831"/>
    <w:rsid w:val="00385D1A"/>
    <w:rsid w:val="00386324"/>
    <w:rsid w:val="003864D6"/>
    <w:rsid w:val="003866F4"/>
    <w:rsid w:val="003870DA"/>
    <w:rsid w:val="00387E0E"/>
    <w:rsid w:val="00390474"/>
    <w:rsid w:val="0039075C"/>
    <w:rsid w:val="003908E5"/>
    <w:rsid w:val="00391887"/>
    <w:rsid w:val="003921A6"/>
    <w:rsid w:val="00393015"/>
    <w:rsid w:val="0039312F"/>
    <w:rsid w:val="003932BF"/>
    <w:rsid w:val="0039398C"/>
    <w:rsid w:val="003939A9"/>
    <w:rsid w:val="00393BA5"/>
    <w:rsid w:val="00394219"/>
    <w:rsid w:val="00395FC4"/>
    <w:rsid w:val="00396F98"/>
    <w:rsid w:val="0039726E"/>
    <w:rsid w:val="00397752"/>
    <w:rsid w:val="00397AD3"/>
    <w:rsid w:val="00397E75"/>
    <w:rsid w:val="003A06ED"/>
    <w:rsid w:val="003A0BA1"/>
    <w:rsid w:val="003A0C86"/>
    <w:rsid w:val="003A101C"/>
    <w:rsid w:val="003A107B"/>
    <w:rsid w:val="003A12EE"/>
    <w:rsid w:val="003A148A"/>
    <w:rsid w:val="003A1497"/>
    <w:rsid w:val="003A1FEB"/>
    <w:rsid w:val="003A2050"/>
    <w:rsid w:val="003A392B"/>
    <w:rsid w:val="003A3D2A"/>
    <w:rsid w:val="003A3F97"/>
    <w:rsid w:val="003A4765"/>
    <w:rsid w:val="003A48B3"/>
    <w:rsid w:val="003A5449"/>
    <w:rsid w:val="003A5E33"/>
    <w:rsid w:val="003A699B"/>
    <w:rsid w:val="003A74DD"/>
    <w:rsid w:val="003B030F"/>
    <w:rsid w:val="003B28B9"/>
    <w:rsid w:val="003B3357"/>
    <w:rsid w:val="003B3DE8"/>
    <w:rsid w:val="003B4079"/>
    <w:rsid w:val="003B42E5"/>
    <w:rsid w:val="003B4A54"/>
    <w:rsid w:val="003B6BCD"/>
    <w:rsid w:val="003B705F"/>
    <w:rsid w:val="003B7469"/>
    <w:rsid w:val="003B7969"/>
    <w:rsid w:val="003B7CE2"/>
    <w:rsid w:val="003B7D3C"/>
    <w:rsid w:val="003C0843"/>
    <w:rsid w:val="003C0B38"/>
    <w:rsid w:val="003C10A6"/>
    <w:rsid w:val="003C2A17"/>
    <w:rsid w:val="003C2BAC"/>
    <w:rsid w:val="003C2BC2"/>
    <w:rsid w:val="003C326A"/>
    <w:rsid w:val="003C3292"/>
    <w:rsid w:val="003C3BAF"/>
    <w:rsid w:val="003C3D01"/>
    <w:rsid w:val="003C48DD"/>
    <w:rsid w:val="003C4D18"/>
    <w:rsid w:val="003C4D86"/>
    <w:rsid w:val="003C4E8F"/>
    <w:rsid w:val="003C5243"/>
    <w:rsid w:val="003C5407"/>
    <w:rsid w:val="003C5CA1"/>
    <w:rsid w:val="003C67B2"/>
    <w:rsid w:val="003C69EB"/>
    <w:rsid w:val="003C6E2A"/>
    <w:rsid w:val="003C74E7"/>
    <w:rsid w:val="003D004D"/>
    <w:rsid w:val="003D028C"/>
    <w:rsid w:val="003D0E7D"/>
    <w:rsid w:val="003D114D"/>
    <w:rsid w:val="003D1B33"/>
    <w:rsid w:val="003D22DE"/>
    <w:rsid w:val="003D33AB"/>
    <w:rsid w:val="003D34C1"/>
    <w:rsid w:val="003D37EE"/>
    <w:rsid w:val="003D38C7"/>
    <w:rsid w:val="003D4137"/>
    <w:rsid w:val="003D4B0E"/>
    <w:rsid w:val="003D510C"/>
    <w:rsid w:val="003D6B00"/>
    <w:rsid w:val="003D6D94"/>
    <w:rsid w:val="003E0A28"/>
    <w:rsid w:val="003E1412"/>
    <w:rsid w:val="003E203A"/>
    <w:rsid w:val="003E232D"/>
    <w:rsid w:val="003E28F0"/>
    <w:rsid w:val="003E2E4D"/>
    <w:rsid w:val="003E2E7C"/>
    <w:rsid w:val="003E37D5"/>
    <w:rsid w:val="003E37F8"/>
    <w:rsid w:val="003E3B87"/>
    <w:rsid w:val="003E42E0"/>
    <w:rsid w:val="003E45FA"/>
    <w:rsid w:val="003E4738"/>
    <w:rsid w:val="003E48F5"/>
    <w:rsid w:val="003E4DF8"/>
    <w:rsid w:val="003E5198"/>
    <w:rsid w:val="003E53C9"/>
    <w:rsid w:val="003E5BF5"/>
    <w:rsid w:val="003E601E"/>
    <w:rsid w:val="003E62D2"/>
    <w:rsid w:val="003E6654"/>
    <w:rsid w:val="003E7BE6"/>
    <w:rsid w:val="003F003F"/>
    <w:rsid w:val="003F01D1"/>
    <w:rsid w:val="003F1091"/>
    <w:rsid w:val="003F1313"/>
    <w:rsid w:val="003F1419"/>
    <w:rsid w:val="003F1567"/>
    <w:rsid w:val="003F16E9"/>
    <w:rsid w:val="003F207D"/>
    <w:rsid w:val="003F2EF2"/>
    <w:rsid w:val="003F3167"/>
    <w:rsid w:val="003F3458"/>
    <w:rsid w:val="003F440B"/>
    <w:rsid w:val="003F49AB"/>
    <w:rsid w:val="003F5D31"/>
    <w:rsid w:val="003F5E91"/>
    <w:rsid w:val="003F677F"/>
    <w:rsid w:val="003F6C33"/>
    <w:rsid w:val="003F763A"/>
    <w:rsid w:val="003F7835"/>
    <w:rsid w:val="00400443"/>
    <w:rsid w:val="00400FD0"/>
    <w:rsid w:val="004012C6"/>
    <w:rsid w:val="00401415"/>
    <w:rsid w:val="00401920"/>
    <w:rsid w:val="00401A59"/>
    <w:rsid w:val="00401DFD"/>
    <w:rsid w:val="004020B1"/>
    <w:rsid w:val="00402363"/>
    <w:rsid w:val="00402471"/>
    <w:rsid w:val="00402516"/>
    <w:rsid w:val="00402C25"/>
    <w:rsid w:val="00403623"/>
    <w:rsid w:val="004043FE"/>
    <w:rsid w:val="00404A59"/>
    <w:rsid w:val="00404E23"/>
    <w:rsid w:val="00405394"/>
    <w:rsid w:val="00405778"/>
    <w:rsid w:val="00406079"/>
    <w:rsid w:val="00406AA7"/>
    <w:rsid w:val="0040725C"/>
    <w:rsid w:val="00407CEB"/>
    <w:rsid w:val="0041086B"/>
    <w:rsid w:val="004108CA"/>
    <w:rsid w:val="00410D62"/>
    <w:rsid w:val="00410DB1"/>
    <w:rsid w:val="00411E5C"/>
    <w:rsid w:val="004134AA"/>
    <w:rsid w:val="00413697"/>
    <w:rsid w:val="004139DB"/>
    <w:rsid w:val="00414CBB"/>
    <w:rsid w:val="004150C7"/>
    <w:rsid w:val="00415A64"/>
    <w:rsid w:val="00415C32"/>
    <w:rsid w:val="00415C91"/>
    <w:rsid w:val="004163F1"/>
    <w:rsid w:val="00416498"/>
    <w:rsid w:val="00417813"/>
    <w:rsid w:val="00417870"/>
    <w:rsid w:val="004178BC"/>
    <w:rsid w:val="00417EBC"/>
    <w:rsid w:val="0042032A"/>
    <w:rsid w:val="00420535"/>
    <w:rsid w:val="0042073A"/>
    <w:rsid w:val="00420861"/>
    <w:rsid w:val="00420922"/>
    <w:rsid w:val="00420A2A"/>
    <w:rsid w:val="004212A4"/>
    <w:rsid w:val="0042142E"/>
    <w:rsid w:val="0042169E"/>
    <w:rsid w:val="00421AC6"/>
    <w:rsid w:val="00421B9C"/>
    <w:rsid w:val="00421CDB"/>
    <w:rsid w:val="00421D81"/>
    <w:rsid w:val="00421ED6"/>
    <w:rsid w:val="00423CA3"/>
    <w:rsid w:val="00424462"/>
    <w:rsid w:val="00424BD8"/>
    <w:rsid w:val="00425FF0"/>
    <w:rsid w:val="00426E8F"/>
    <w:rsid w:val="004274C9"/>
    <w:rsid w:val="00427A8F"/>
    <w:rsid w:val="00427CCA"/>
    <w:rsid w:val="004302CC"/>
    <w:rsid w:val="00430652"/>
    <w:rsid w:val="00430784"/>
    <w:rsid w:val="0043081F"/>
    <w:rsid w:val="004318B1"/>
    <w:rsid w:val="0043199D"/>
    <w:rsid w:val="0043228B"/>
    <w:rsid w:val="00432363"/>
    <w:rsid w:val="00432853"/>
    <w:rsid w:val="004332D2"/>
    <w:rsid w:val="004334EB"/>
    <w:rsid w:val="00433B55"/>
    <w:rsid w:val="0043419B"/>
    <w:rsid w:val="004343BC"/>
    <w:rsid w:val="004349A8"/>
    <w:rsid w:val="00435884"/>
    <w:rsid w:val="00435E6A"/>
    <w:rsid w:val="0043697D"/>
    <w:rsid w:val="00436BD8"/>
    <w:rsid w:val="00437B42"/>
    <w:rsid w:val="00437DC4"/>
    <w:rsid w:val="00437F6B"/>
    <w:rsid w:val="00440216"/>
    <w:rsid w:val="00441160"/>
    <w:rsid w:val="00441411"/>
    <w:rsid w:val="00441CB8"/>
    <w:rsid w:val="00441D11"/>
    <w:rsid w:val="004421E1"/>
    <w:rsid w:val="00442ACC"/>
    <w:rsid w:val="00442B9C"/>
    <w:rsid w:val="00442C29"/>
    <w:rsid w:val="00443784"/>
    <w:rsid w:val="004440F0"/>
    <w:rsid w:val="0044434B"/>
    <w:rsid w:val="00444579"/>
    <w:rsid w:val="00444FE1"/>
    <w:rsid w:val="0044576B"/>
    <w:rsid w:val="00447EA9"/>
    <w:rsid w:val="004508C5"/>
    <w:rsid w:val="00450A2F"/>
    <w:rsid w:val="00450B6C"/>
    <w:rsid w:val="00451B4A"/>
    <w:rsid w:val="0045208F"/>
    <w:rsid w:val="00452509"/>
    <w:rsid w:val="0045281F"/>
    <w:rsid w:val="00453236"/>
    <w:rsid w:val="00453341"/>
    <w:rsid w:val="004538A7"/>
    <w:rsid w:val="00454420"/>
    <w:rsid w:val="00454458"/>
    <w:rsid w:val="00454DAF"/>
    <w:rsid w:val="0045550E"/>
    <w:rsid w:val="004557E8"/>
    <w:rsid w:val="00455E90"/>
    <w:rsid w:val="00455EAD"/>
    <w:rsid w:val="004564E8"/>
    <w:rsid w:val="004574C6"/>
    <w:rsid w:val="00457A95"/>
    <w:rsid w:val="00460520"/>
    <w:rsid w:val="00462830"/>
    <w:rsid w:val="004635D8"/>
    <w:rsid w:val="00464B6B"/>
    <w:rsid w:val="00464C38"/>
    <w:rsid w:val="00464CFE"/>
    <w:rsid w:val="0046514B"/>
    <w:rsid w:val="004657C1"/>
    <w:rsid w:val="00465C23"/>
    <w:rsid w:val="00466647"/>
    <w:rsid w:val="004670B2"/>
    <w:rsid w:val="004670EE"/>
    <w:rsid w:val="00467384"/>
    <w:rsid w:val="004673BF"/>
    <w:rsid w:val="00467601"/>
    <w:rsid w:val="0046797D"/>
    <w:rsid w:val="00470BC5"/>
    <w:rsid w:val="00470DB3"/>
    <w:rsid w:val="00471EAE"/>
    <w:rsid w:val="00471F7D"/>
    <w:rsid w:val="0047256D"/>
    <w:rsid w:val="00472BA4"/>
    <w:rsid w:val="00472F37"/>
    <w:rsid w:val="004735E3"/>
    <w:rsid w:val="0047363E"/>
    <w:rsid w:val="00473BAE"/>
    <w:rsid w:val="00473E4F"/>
    <w:rsid w:val="00473EAE"/>
    <w:rsid w:val="00473ED1"/>
    <w:rsid w:val="00474645"/>
    <w:rsid w:val="0047466D"/>
    <w:rsid w:val="00474FB1"/>
    <w:rsid w:val="004756FD"/>
    <w:rsid w:val="00475A25"/>
    <w:rsid w:val="0047796B"/>
    <w:rsid w:val="004779EA"/>
    <w:rsid w:val="00477A12"/>
    <w:rsid w:val="00477BB9"/>
    <w:rsid w:val="0048049D"/>
    <w:rsid w:val="0048052E"/>
    <w:rsid w:val="00480551"/>
    <w:rsid w:val="00480801"/>
    <w:rsid w:val="00480A03"/>
    <w:rsid w:val="00480A37"/>
    <w:rsid w:val="00481205"/>
    <w:rsid w:val="00481595"/>
    <w:rsid w:val="004817FD"/>
    <w:rsid w:val="00481B9A"/>
    <w:rsid w:val="00481CB2"/>
    <w:rsid w:val="00482872"/>
    <w:rsid w:val="00482B18"/>
    <w:rsid w:val="0048305D"/>
    <w:rsid w:val="00483345"/>
    <w:rsid w:val="00483D98"/>
    <w:rsid w:val="00483F8D"/>
    <w:rsid w:val="004841C4"/>
    <w:rsid w:val="004847B0"/>
    <w:rsid w:val="00484F26"/>
    <w:rsid w:val="004852D8"/>
    <w:rsid w:val="004857A1"/>
    <w:rsid w:val="00485DF0"/>
    <w:rsid w:val="00485EEF"/>
    <w:rsid w:val="004862FA"/>
    <w:rsid w:val="004867CE"/>
    <w:rsid w:val="00490AA9"/>
    <w:rsid w:val="0049123C"/>
    <w:rsid w:val="004915A2"/>
    <w:rsid w:val="00491732"/>
    <w:rsid w:val="00491E13"/>
    <w:rsid w:val="0049232E"/>
    <w:rsid w:val="00492777"/>
    <w:rsid w:val="00493AD0"/>
    <w:rsid w:val="00493C9E"/>
    <w:rsid w:val="00493D80"/>
    <w:rsid w:val="00493D95"/>
    <w:rsid w:val="004943FD"/>
    <w:rsid w:val="0049443B"/>
    <w:rsid w:val="004946FA"/>
    <w:rsid w:val="00494AF8"/>
    <w:rsid w:val="00494D90"/>
    <w:rsid w:val="00494FD5"/>
    <w:rsid w:val="00495015"/>
    <w:rsid w:val="0049515F"/>
    <w:rsid w:val="00495309"/>
    <w:rsid w:val="0049598D"/>
    <w:rsid w:val="00495C6A"/>
    <w:rsid w:val="00496038"/>
    <w:rsid w:val="004962A9"/>
    <w:rsid w:val="004965BB"/>
    <w:rsid w:val="004965C1"/>
    <w:rsid w:val="00496B81"/>
    <w:rsid w:val="00496C5A"/>
    <w:rsid w:val="004972E0"/>
    <w:rsid w:val="0049743C"/>
    <w:rsid w:val="004975AE"/>
    <w:rsid w:val="00497D2E"/>
    <w:rsid w:val="004A003A"/>
    <w:rsid w:val="004A02E4"/>
    <w:rsid w:val="004A03EB"/>
    <w:rsid w:val="004A14FC"/>
    <w:rsid w:val="004A1AE0"/>
    <w:rsid w:val="004A1D4A"/>
    <w:rsid w:val="004A2846"/>
    <w:rsid w:val="004A2DEE"/>
    <w:rsid w:val="004A2E03"/>
    <w:rsid w:val="004A3815"/>
    <w:rsid w:val="004A3AAB"/>
    <w:rsid w:val="004A475F"/>
    <w:rsid w:val="004A4950"/>
    <w:rsid w:val="004A4DD8"/>
    <w:rsid w:val="004A4DED"/>
    <w:rsid w:val="004A4EDE"/>
    <w:rsid w:val="004A5A93"/>
    <w:rsid w:val="004A6470"/>
    <w:rsid w:val="004A64C3"/>
    <w:rsid w:val="004A6AE7"/>
    <w:rsid w:val="004B02C9"/>
    <w:rsid w:val="004B03AD"/>
    <w:rsid w:val="004B0EEA"/>
    <w:rsid w:val="004B274D"/>
    <w:rsid w:val="004B367F"/>
    <w:rsid w:val="004B3995"/>
    <w:rsid w:val="004B3A02"/>
    <w:rsid w:val="004B3D6E"/>
    <w:rsid w:val="004B3DDC"/>
    <w:rsid w:val="004B4076"/>
    <w:rsid w:val="004B4402"/>
    <w:rsid w:val="004B44FE"/>
    <w:rsid w:val="004B4B1A"/>
    <w:rsid w:val="004B52CD"/>
    <w:rsid w:val="004B5606"/>
    <w:rsid w:val="004B5990"/>
    <w:rsid w:val="004B6375"/>
    <w:rsid w:val="004B6F9E"/>
    <w:rsid w:val="004B7016"/>
    <w:rsid w:val="004B7356"/>
    <w:rsid w:val="004B7F23"/>
    <w:rsid w:val="004C01A6"/>
    <w:rsid w:val="004C0A7B"/>
    <w:rsid w:val="004C0B32"/>
    <w:rsid w:val="004C13EB"/>
    <w:rsid w:val="004C1EBF"/>
    <w:rsid w:val="004C2481"/>
    <w:rsid w:val="004C2BC4"/>
    <w:rsid w:val="004C574A"/>
    <w:rsid w:val="004C59F7"/>
    <w:rsid w:val="004C5BCA"/>
    <w:rsid w:val="004C66E8"/>
    <w:rsid w:val="004C6F76"/>
    <w:rsid w:val="004D0B32"/>
    <w:rsid w:val="004D0B84"/>
    <w:rsid w:val="004D1D19"/>
    <w:rsid w:val="004D38BA"/>
    <w:rsid w:val="004D4B01"/>
    <w:rsid w:val="004D4EE9"/>
    <w:rsid w:val="004D5B70"/>
    <w:rsid w:val="004D6126"/>
    <w:rsid w:val="004D61D3"/>
    <w:rsid w:val="004D61FE"/>
    <w:rsid w:val="004D653A"/>
    <w:rsid w:val="004D6ACE"/>
    <w:rsid w:val="004D7396"/>
    <w:rsid w:val="004E029B"/>
    <w:rsid w:val="004E0646"/>
    <w:rsid w:val="004E0670"/>
    <w:rsid w:val="004E06A0"/>
    <w:rsid w:val="004E1011"/>
    <w:rsid w:val="004E13A4"/>
    <w:rsid w:val="004E2234"/>
    <w:rsid w:val="004E32F1"/>
    <w:rsid w:val="004E3BF4"/>
    <w:rsid w:val="004E3E13"/>
    <w:rsid w:val="004E4891"/>
    <w:rsid w:val="004E4A91"/>
    <w:rsid w:val="004E4BEA"/>
    <w:rsid w:val="004E4E46"/>
    <w:rsid w:val="004E501E"/>
    <w:rsid w:val="004E5B32"/>
    <w:rsid w:val="004E64FE"/>
    <w:rsid w:val="004E6B22"/>
    <w:rsid w:val="004E74BE"/>
    <w:rsid w:val="004E78BE"/>
    <w:rsid w:val="004F03FC"/>
    <w:rsid w:val="004F0DE9"/>
    <w:rsid w:val="004F0FD7"/>
    <w:rsid w:val="004F130B"/>
    <w:rsid w:val="004F1B25"/>
    <w:rsid w:val="004F2009"/>
    <w:rsid w:val="004F207F"/>
    <w:rsid w:val="004F368D"/>
    <w:rsid w:val="004F39E2"/>
    <w:rsid w:val="004F3F45"/>
    <w:rsid w:val="004F4108"/>
    <w:rsid w:val="004F4220"/>
    <w:rsid w:val="004F4BEE"/>
    <w:rsid w:val="004F502C"/>
    <w:rsid w:val="004F5615"/>
    <w:rsid w:val="004F6360"/>
    <w:rsid w:val="004F65EA"/>
    <w:rsid w:val="004F6D58"/>
    <w:rsid w:val="004F6EB6"/>
    <w:rsid w:val="004F7387"/>
    <w:rsid w:val="004F748D"/>
    <w:rsid w:val="00500B5A"/>
    <w:rsid w:val="00501912"/>
    <w:rsid w:val="00501B7C"/>
    <w:rsid w:val="00502821"/>
    <w:rsid w:val="00503D07"/>
    <w:rsid w:val="005063D0"/>
    <w:rsid w:val="00510217"/>
    <w:rsid w:val="0051046D"/>
    <w:rsid w:val="00510C55"/>
    <w:rsid w:val="00510D2E"/>
    <w:rsid w:val="00510DEA"/>
    <w:rsid w:val="0051150F"/>
    <w:rsid w:val="00511565"/>
    <w:rsid w:val="00511720"/>
    <w:rsid w:val="00511C12"/>
    <w:rsid w:val="00512B44"/>
    <w:rsid w:val="00513CD6"/>
    <w:rsid w:val="005145EA"/>
    <w:rsid w:val="005147B5"/>
    <w:rsid w:val="00514C3A"/>
    <w:rsid w:val="00514C91"/>
    <w:rsid w:val="005157D1"/>
    <w:rsid w:val="005158F2"/>
    <w:rsid w:val="00515C14"/>
    <w:rsid w:val="005173D8"/>
    <w:rsid w:val="00517864"/>
    <w:rsid w:val="005200E3"/>
    <w:rsid w:val="00520515"/>
    <w:rsid w:val="00520ABE"/>
    <w:rsid w:val="005218DA"/>
    <w:rsid w:val="00522395"/>
    <w:rsid w:val="005224DC"/>
    <w:rsid w:val="00522940"/>
    <w:rsid w:val="00522C53"/>
    <w:rsid w:val="005234B9"/>
    <w:rsid w:val="00523727"/>
    <w:rsid w:val="0052397B"/>
    <w:rsid w:val="00523FEE"/>
    <w:rsid w:val="0052461A"/>
    <w:rsid w:val="00525465"/>
    <w:rsid w:val="0052563A"/>
    <w:rsid w:val="005262FA"/>
    <w:rsid w:val="00526D6A"/>
    <w:rsid w:val="00526E25"/>
    <w:rsid w:val="00527415"/>
    <w:rsid w:val="005275BD"/>
    <w:rsid w:val="00527BEC"/>
    <w:rsid w:val="00527F98"/>
    <w:rsid w:val="00532CF3"/>
    <w:rsid w:val="005331E2"/>
    <w:rsid w:val="0053369D"/>
    <w:rsid w:val="005349D4"/>
    <w:rsid w:val="00534CCC"/>
    <w:rsid w:val="005355B7"/>
    <w:rsid w:val="00535C11"/>
    <w:rsid w:val="0053657C"/>
    <w:rsid w:val="00536956"/>
    <w:rsid w:val="00537019"/>
    <w:rsid w:val="00541716"/>
    <w:rsid w:val="00541AB8"/>
    <w:rsid w:val="00542CE3"/>
    <w:rsid w:val="00542EE6"/>
    <w:rsid w:val="005438FB"/>
    <w:rsid w:val="00543AE0"/>
    <w:rsid w:val="00543C1F"/>
    <w:rsid w:val="0054468A"/>
    <w:rsid w:val="00544D0B"/>
    <w:rsid w:val="005452F0"/>
    <w:rsid w:val="0054579A"/>
    <w:rsid w:val="00545880"/>
    <w:rsid w:val="00545AE2"/>
    <w:rsid w:val="005462DB"/>
    <w:rsid w:val="00546602"/>
    <w:rsid w:val="00546645"/>
    <w:rsid w:val="00546CC5"/>
    <w:rsid w:val="00546CC6"/>
    <w:rsid w:val="0054704A"/>
    <w:rsid w:val="00547358"/>
    <w:rsid w:val="0055059E"/>
    <w:rsid w:val="00550621"/>
    <w:rsid w:val="00550675"/>
    <w:rsid w:val="00550867"/>
    <w:rsid w:val="005510DC"/>
    <w:rsid w:val="00551783"/>
    <w:rsid w:val="005525B6"/>
    <w:rsid w:val="0055278D"/>
    <w:rsid w:val="0055374E"/>
    <w:rsid w:val="00553D6A"/>
    <w:rsid w:val="0055496E"/>
    <w:rsid w:val="005558ED"/>
    <w:rsid w:val="00555ED7"/>
    <w:rsid w:val="00555FD4"/>
    <w:rsid w:val="005560E2"/>
    <w:rsid w:val="005561B3"/>
    <w:rsid w:val="005562F0"/>
    <w:rsid w:val="00556B33"/>
    <w:rsid w:val="00556C84"/>
    <w:rsid w:val="00557395"/>
    <w:rsid w:val="00557502"/>
    <w:rsid w:val="005575A6"/>
    <w:rsid w:val="0056163F"/>
    <w:rsid w:val="00561662"/>
    <w:rsid w:val="00561C99"/>
    <w:rsid w:val="00562186"/>
    <w:rsid w:val="00562636"/>
    <w:rsid w:val="005630FF"/>
    <w:rsid w:val="005635AD"/>
    <w:rsid w:val="00564033"/>
    <w:rsid w:val="00564114"/>
    <w:rsid w:val="00564144"/>
    <w:rsid w:val="00564509"/>
    <w:rsid w:val="00564C40"/>
    <w:rsid w:val="00565250"/>
    <w:rsid w:val="005653D3"/>
    <w:rsid w:val="00565FB4"/>
    <w:rsid w:val="0056626E"/>
    <w:rsid w:val="00566404"/>
    <w:rsid w:val="00566775"/>
    <w:rsid w:val="00566B5B"/>
    <w:rsid w:val="00566D6F"/>
    <w:rsid w:val="00567463"/>
    <w:rsid w:val="00567695"/>
    <w:rsid w:val="00570278"/>
    <w:rsid w:val="00570CD6"/>
    <w:rsid w:val="00571028"/>
    <w:rsid w:val="0057231B"/>
    <w:rsid w:val="00572530"/>
    <w:rsid w:val="00572821"/>
    <w:rsid w:val="00572B4A"/>
    <w:rsid w:val="00573084"/>
    <w:rsid w:val="005731F5"/>
    <w:rsid w:val="00573C5D"/>
    <w:rsid w:val="00573C6E"/>
    <w:rsid w:val="00574046"/>
    <w:rsid w:val="00574B6E"/>
    <w:rsid w:val="00574D89"/>
    <w:rsid w:val="00575457"/>
    <w:rsid w:val="00575865"/>
    <w:rsid w:val="00576067"/>
    <w:rsid w:val="005762A4"/>
    <w:rsid w:val="00576FAC"/>
    <w:rsid w:val="00577972"/>
    <w:rsid w:val="00577D3C"/>
    <w:rsid w:val="005804DE"/>
    <w:rsid w:val="00580997"/>
    <w:rsid w:val="00580DF1"/>
    <w:rsid w:val="00580DFC"/>
    <w:rsid w:val="00581662"/>
    <w:rsid w:val="00581E9F"/>
    <w:rsid w:val="00582883"/>
    <w:rsid w:val="00582887"/>
    <w:rsid w:val="00583480"/>
    <w:rsid w:val="005835EE"/>
    <w:rsid w:val="00583A74"/>
    <w:rsid w:val="00583CA5"/>
    <w:rsid w:val="0058437E"/>
    <w:rsid w:val="0058476B"/>
    <w:rsid w:val="00584807"/>
    <w:rsid w:val="00584C96"/>
    <w:rsid w:val="00585F0E"/>
    <w:rsid w:val="005862F1"/>
    <w:rsid w:val="00586960"/>
    <w:rsid w:val="00586F3A"/>
    <w:rsid w:val="00586FB6"/>
    <w:rsid w:val="0058712E"/>
    <w:rsid w:val="0058717C"/>
    <w:rsid w:val="00587343"/>
    <w:rsid w:val="00587629"/>
    <w:rsid w:val="00587E63"/>
    <w:rsid w:val="00590007"/>
    <w:rsid w:val="00590779"/>
    <w:rsid w:val="005908CE"/>
    <w:rsid w:val="00590D0A"/>
    <w:rsid w:val="00590F62"/>
    <w:rsid w:val="005927CD"/>
    <w:rsid w:val="0059298F"/>
    <w:rsid w:val="005934B8"/>
    <w:rsid w:val="00593AEC"/>
    <w:rsid w:val="00593B8C"/>
    <w:rsid w:val="00593F35"/>
    <w:rsid w:val="00594169"/>
    <w:rsid w:val="005942AC"/>
    <w:rsid w:val="00594358"/>
    <w:rsid w:val="00594851"/>
    <w:rsid w:val="00594B3B"/>
    <w:rsid w:val="00594B3E"/>
    <w:rsid w:val="005951BD"/>
    <w:rsid w:val="005951BE"/>
    <w:rsid w:val="00595525"/>
    <w:rsid w:val="00595A9F"/>
    <w:rsid w:val="005970FF"/>
    <w:rsid w:val="0059729D"/>
    <w:rsid w:val="005977C2"/>
    <w:rsid w:val="005A0E4D"/>
    <w:rsid w:val="005A1A48"/>
    <w:rsid w:val="005A24C8"/>
    <w:rsid w:val="005A2CFD"/>
    <w:rsid w:val="005A3748"/>
    <w:rsid w:val="005A37F1"/>
    <w:rsid w:val="005A3A70"/>
    <w:rsid w:val="005A3C0A"/>
    <w:rsid w:val="005A4264"/>
    <w:rsid w:val="005A484F"/>
    <w:rsid w:val="005A4883"/>
    <w:rsid w:val="005A4F2B"/>
    <w:rsid w:val="005A5B3F"/>
    <w:rsid w:val="005A62DE"/>
    <w:rsid w:val="005B146A"/>
    <w:rsid w:val="005B16D3"/>
    <w:rsid w:val="005B1F31"/>
    <w:rsid w:val="005B1F3C"/>
    <w:rsid w:val="005B2A43"/>
    <w:rsid w:val="005B3E94"/>
    <w:rsid w:val="005B496F"/>
    <w:rsid w:val="005B4FFD"/>
    <w:rsid w:val="005B509D"/>
    <w:rsid w:val="005B55C3"/>
    <w:rsid w:val="005B608E"/>
    <w:rsid w:val="005B6770"/>
    <w:rsid w:val="005B6F67"/>
    <w:rsid w:val="005B6FCE"/>
    <w:rsid w:val="005B770E"/>
    <w:rsid w:val="005C0CF2"/>
    <w:rsid w:val="005C13F0"/>
    <w:rsid w:val="005C1671"/>
    <w:rsid w:val="005C1FF7"/>
    <w:rsid w:val="005C2451"/>
    <w:rsid w:val="005C3A9D"/>
    <w:rsid w:val="005C520F"/>
    <w:rsid w:val="005C5A5B"/>
    <w:rsid w:val="005C5CD6"/>
    <w:rsid w:val="005C6945"/>
    <w:rsid w:val="005C7805"/>
    <w:rsid w:val="005C7F1E"/>
    <w:rsid w:val="005D050F"/>
    <w:rsid w:val="005D06D2"/>
    <w:rsid w:val="005D17AB"/>
    <w:rsid w:val="005D203C"/>
    <w:rsid w:val="005D23F2"/>
    <w:rsid w:val="005D2460"/>
    <w:rsid w:val="005D30E4"/>
    <w:rsid w:val="005D314B"/>
    <w:rsid w:val="005D31FF"/>
    <w:rsid w:val="005D35E6"/>
    <w:rsid w:val="005D37BD"/>
    <w:rsid w:val="005D3F6F"/>
    <w:rsid w:val="005D460C"/>
    <w:rsid w:val="005D47BB"/>
    <w:rsid w:val="005D4BE0"/>
    <w:rsid w:val="005D5361"/>
    <w:rsid w:val="005D540D"/>
    <w:rsid w:val="005D5A3F"/>
    <w:rsid w:val="005D5ABB"/>
    <w:rsid w:val="005D5B43"/>
    <w:rsid w:val="005D6C9F"/>
    <w:rsid w:val="005D725E"/>
    <w:rsid w:val="005D73D8"/>
    <w:rsid w:val="005D7816"/>
    <w:rsid w:val="005D7876"/>
    <w:rsid w:val="005E1406"/>
    <w:rsid w:val="005E1FF8"/>
    <w:rsid w:val="005E238A"/>
    <w:rsid w:val="005E274A"/>
    <w:rsid w:val="005E286B"/>
    <w:rsid w:val="005E2CCB"/>
    <w:rsid w:val="005E2FBC"/>
    <w:rsid w:val="005E2FEE"/>
    <w:rsid w:val="005E35C3"/>
    <w:rsid w:val="005E3630"/>
    <w:rsid w:val="005E3A21"/>
    <w:rsid w:val="005E3D17"/>
    <w:rsid w:val="005E4060"/>
    <w:rsid w:val="005E4465"/>
    <w:rsid w:val="005E592B"/>
    <w:rsid w:val="005E69BD"/>
    <w:rsid w:val="005E6CC8"/>
    <w:rsid w:val="005E717F"/>
    <w:rsid w:val="005E7C89"/>
    <w:rsid w:val="005E7EB9"/>
    <w:rsid w:val="005F0068"/>
    <w:rsid w:val="005F1512"/>
    <w:rsid w:val="005F15AB"/>
    <w:rsid w:val="005F1683"/>
    <w:rsid w:val="005F1712"/>
    <w:rsid w:val="005F1EC8"/>
    <w:rsid w:val="005F20EA"/>
    <w:rsid w:val="005F2664"/>
    <w:rsid w:val="005F3EDB"/>
    <w:rsid w:val="005F3F11"/>
    <w:rsid w:val="005F4400"/>
    <w:rsid w:val="005F4685"/>
    <w:rsid w:val="005F50DF"/>
    <w:rsid w:val="005F5297"/>
    <w:rsid w:val="005F62CA"/>
    <w:rsid w:val="005F6544"/>
    <w:rsid w:val="005F6EFA"/>
    <w:rsid w:val="005F6EFD"/>
    <w:rsid w:val="005F744C"/>
    <w:rsid w:val="005F7C87"/>
    <w:rsid w:val="005F7F13"/>
    <w:rsid w:val="0060051C"/>
    <w:rsid w:val="00600D74"/>
    <w:rsid w:val="006017C1"/>
    <w:rsid w:val="00602987"/>
    <w:rsid w:val="00603224"/>
    <w:rsid w:val="0060381C"/>
    <w:rsid w:val="006039A9"/>
    <w:rsid w:val="00603BCE"/>
    <w:rsid w:val="006054A8"/>
    <w:rsid w:val="00605E60"/>
    <w:rsid w:val="00606296"/>
    <w:rsid w:val="006064E8"/>
    <w:rsid w:val="006065D6"/>
    <w:rsid w:val="00606DEA"/>
    <w:rsid w:val="006073A7"/>
    <w:rsid w:val="00610EF5"/>
    <w:rsid w:val="00610F84"/>
    <w:rsid w:val="006126DB"/>
    <w:rsid w:val="00613213"/>
    <w:rsid w:val="00613831"/>
    <w:rsid w:val="0061416F"/>
    <w:rsid w:val="006146E5"/>
    <w:rsid w:val="00614AC3"/>
    <w:rsid w:val="00614FF7"/>
    <w:rsid w:val="0061514F"/>
    <w:rsid w:val="00615161"/>
    <w:rsid w:val="006154D7"/>
    <w:rsid w:val="00615621"/>
    <w:rsid w:val="00615D6E"/>
    <w:rsid w:val="00616D1C"/>
    <w:rsid w:val="006172D5"/>
    <w:rsid w:val="00617476"/>
    <w:rsid w:val="0061759F"/>
    <w:rsid w:val="00617647"/>
    <w:rsid w:val="00617BFB"/>
    <w:rsid w:val="0062020B"/>
    <w:rsid w:val="00620644"/>
    <w:rsid w:val="0062078E"/>
    <w:rsid w:val="006207BA"/>
    <w:rsid w:val="00620BAA"/>
    <w:rsid w:val="00620CD8"/>
    <w:rsid w:val="00620D38"/>
    <w:rsid w:val="0062146F"/>
    <w:rsid w:val="0062157D"/>
    <w:rsid w:val="006219EC"/>
    <w:rsid w:val="00621AC1"/>
    <w:rsid w:val="00621DFA"/>
    <w:rsid w:val="00622385"/>
    <w:rsid w:val="0062256C"/>
    <w:rsid w:val="006237C5"/>
    <w:rsid w:val="00623A36"/>
    <w:rsid w:val="00623F03"/>
    <w:rsid w:val="00624338"/>
    <w:rsid w:val="00624F7F"/>
    <w:rsid w:val="00625925"/>
    <w:rsid w:val="00625DDE"/>
    <w:rsid w:val="00625EFB"/>
    <w:rsid w:val="00626137"/>
    <w:rsid w:val="00626159"/>
    <w:rsid w:val="0062637E"/>
    <w:rsid w:val="00626A89"/>
    <w:rsid w:val="00626E8C"/>
    <w:rsid w:val="0063004E"/>
    <w:rsid w:val="00630A88"/>
    <w:rsid w:val="006310E1"/>
    <w:rsid w:val="00631A13"/>
    <w:rsid w:val="00631AC7"/>
    <w:rsid w:val="006323F2"/>
    <w:rsid w:val="006325DA"/>
    <w:rsid w:val="00633BBA"/>
    <w:rsid w:val="00634A0A"/>
    <w:rsid w:val="00634A2E"/>
    <w:rsid w:val="00634ED5"/>
    <w:rsid w:val="006358B9"/>
    <w:rsid w:val="00635952"/>
    <w:rsid w:val="006361AE"/>
    <w:rsid w:val="00636612"/>
    <w:rsid w:val="00636675"/>
    <w:rsid w:val="00636706"/>
    <w:rsid w:val="006401EB"/>
    <w:rsid w:val="0064136E"/>
    <w:rsid w:val="00641477"/>
    <w:rsid w:val="00641C29"/>
    <w:rsid w:val="00641FAE"/>
    <w:rsid w:val="00642335"/>
    <w:rsid w:val="0064241C"/>
    <w:rsid w:val="0064268E"/>
    <w:rsid w:val="006438A7"/>
    <w:rsid w:val="00644514"/>
    <w:rsid w:val="00644CFC"/>
    <w:rsid w:val="00644DB4"/>
    <w:rsid w:val="00645951"/>
    <w:rsid w:val="00645BE6"/>
    <w:rsid w:val="00645CD7"/>
    <w:rsid w:val="006461EF"/>
    <w:rsid w:val="00646F46"/>
    <w:rsid w:val="00650E29"/>
    <w:rsid w:val="00650F40"/>
    <w:rsid w:val="00652134"/>
    <w:rsid w:val="0065359F"/>
    <w:rsid w:val="00654306"/>
    <w:rsid w:val="00654372"/>
    <w:rsid w:val="00654C58"/>
    <w:rsid w:val="00654D09"/>
    <w:rsid w:val="0065531A"/>
    <w:rsid w:val="00656D5C"/>
    <w:rsid w:val="006574CB"/>
    <w:rsid w:val="00657506"/>
    <w:rsid w:val="0065784A"/>
    <w:rsid w:val="00657ABC"/>
    <w:rsid w:val="00657B12"/>
    <w:rsid w:val="00657C99"/>
    <w:rsid w:val="00660600"/>
    <w:rsid w:val="00660B46"/>
    <w:rsid w:val="00660D7C"/>
    <w:rsid w:val="00660EC9"/>
    <w:rsid w:val="00661497"/>
    <w:rsid w:val="00662D7E"/>
    <w:rsid w:val="00662E46"/>
    <w:rsid w:val="00663260"/>
    <w:rsid w:val="00663435"/>
    <w:rsid w:val="00663DD9"/>
    <w:rsid w:val="00663EDB"/>
    <w:rsid w:val="0066412B"/>
    <w:rsid w:val="00664207"/>
    <w:rsid w:val="006644B7"/>
    <w:rsid w:val="0066482B"/>
    <w:rsid w:val="00664AB2"/>
    <w:rsid w:val="0066508E"/>
    <w:rsid w:val="006652E5"/>
    <w:rsid w:val="00665B73"/>
    <w:rsid w:val="00665ED9"/>
    <w:rsid w:val="00666AF0"/>
    <w:rsid w:val="00667B0C"/>
    <w:rsid w:val="00667C96"/>
    <w:rsid w:val="00667EB0"/>
    <w:rsid w:val="006700C7"/>
    <w:rsid w:val="006701A2"/>
    <w:rsid w:val="006704DC"/>
    <w:rsid w:val="006705AB"/>
    <w:rsid w:val="0067060B"/>
    <w:rsid w:val="0067071F"/>
    <w:rsid w:val="00670854"/>
    <w:rsid w:val="00670AB7"/>
    <w:rsid w:val="0067281A"/>
    <w:rsid w:val="00672B4A"/>
    <w:rsid w:val="00672CF0"/>
    <w:rsid w:val="00672EDB"/>
    <w:rsid w:val="00673B7F"/>
    <w:rsid w:val="0067404C"/>
    <w:rsid w:val="006744F8"/>
    <w:rsid w:val="00674FEC"/>
    <w:rsid w:val="00675356"/>
    <w:rsid w:val="00675976"/>
    <w:rsid w:val="00675B96"/>
    <w:rsid w:val="00675DA2"/>
    <w:rsid w:val="00676F74"/>
    <w:rsid w:val="00680029"/>
    <w:rsid w:val="006800E9"/>
    <w:rsid w:val="00680698"/>
    <w:rsid w:val="00680C39"/>
    <w:rsid w:val="0068148C"/>
    <w:rsid w:val="006819EF"/>
    <w:rsid w:val="00681EBF"/>
    <w:rsid w:val="00682414"/>
    <w:rsid w:val="00682C60"/>
    <w:rsid w:val="00682E4F"/>
    <w:rsid w:val="006846F9"/>
    <w:rsid w:val="00684837"/>
    <w:rsid w:val="00686230"/>
    <w:rsid w:val="00686982"/>
    <w:rsid w:val="0068705F"/>
    <w:rsid w:val="006871C1"/>
    <w:rsid w:val="006873FD"/>
    <w:rsid w:val="00687D5F"/>
    <w:rsid w:val="00687FD8"/>
    <w:rsid w:val="0069012A"/>
    <w:rsid w:val="00690A2B"/>
    <w:rsid w:val="00690B32"/>
    <w:rsid w:val="00691BCF"/>
    <w:rsid w:val="00691FE2"/>
    <w:rsid w:val="0069252D"/>
    <w:rsid w:val="00692550"/>
    <w:rsid w:val="00692B28"/>
    <w:rsid w:val="00694195"/>
    <w:rsid w:val="006942AF"/>
    <w:rsid w:val="00694A6B"/>
    <w:rsid w:val="00694DF1"/>
    <w:rsid w:val="00695160"/>
    <w:rsid w:val="006953E7"/>
    <w:rsid w:val="00695848"/>
    <w:rsid w:val="00696081"/>
    <w:rsid w:val="0069611E"/>
    <w:rsid w:val="006963F6"/>
    <w:rsid w:val="00696728"/>
    <w:rsid w:val="00696AA1"/>
    <w:rsid w:val="00697374"/>
    <w:rsid w:val="00697D60"/>
    <w:rsid w:val="006A00BD"/>
    <w:rsid w:val="006A0434"/>
    <w:rsid w:val="006A0AF4"/>
    <w:rsid w:val="006A0C21"/>
    <w:rsid w:val="006A104E"/>
    <w:rsid w:val="006A12B8"/>
    <w:rsid w:val="006A1431"/>
    <w:rsid w:val="006A1CA9"/>
    <w:rsid w:val="006A28C3"/>
    <w:rsid w:val="006A3488"/>
    <w:rsid w:val="006A3E96"/>
    <w:rsid w:val="006A4100"/>
    <w:rsid w:val="006A47F6"/>
    <w:rsid w:val="006A5A1F"/>
    <w:rsid w:val="006A5FF0"/>
    <w:rsid w:val="006A6532"/>
    <w:rsid w:val="006A686B"/>
    <w:rsid w:val="006A6887"/>
    <w:rsid w:val="006A691F"/>
    <w:rsid w:val="006A6D2B"/>
    <w:rsid w:val="006A7F4D"/>
    <w:rsid w:val="006B078C"/>
    <w:rsid w:val="006B0E38"/>
    <w:rsid w:val="006B0FDC"/>
    <w:rsid w:val="006B1968"/>
    <w:rsid w:val="006B37B7"/>
    <w:rsid w:val="006B39CB"/>
    <w:rsid w:val="006B45B6"/>
    <w:rsid w:val="006B4600"/>
    <w:rsid w:val="006B4D3E"/>
    <w:rsid w:val="006B5617"/>
    <w:rsid w:val="006B56AA"/>
    <w:rsid w:val="006B571C"/>
    <w:rsid w:val="006B59C8"/>
    <w:rsid w:val="006B5A11"/>
    <w:rsid w:val="006B62E2"/>
    <w:rsid w:val="006B64F1"/>
    <w:rsid w:val="006B6C0C"/>
    <w:rsid w:val="006B6FC8"/>
    <w:rsid w:val="006B7B82"/>
    <w:rsid w:val="006B7E2E"/>
    <w:rsid w:val="006B7ED7"/>
    <w:rsid w:val="006C0D08"/>
    <w:rsid w:val="006C16DC"/>
    <w:rsid w:val="006C1739"/>
    <w:rsid w:val="006C20AD"/>
    <w:rsid w:val="006C23E0"/>
    <w:rsid w:val="006C2788"/>
    <w:rsid w:val="006C3A77"/>
    <w:rsid w:val="006C3AC5"/>
    <w:rsid w:val="006C48BD"/>
    <w:rsid w:val="006C6243"/>
    <w:rsid w:val="006C6D9F"/>
    <w:rsid w:val="006C9BB6"/>
    <w:rsid w:val="006D017C"/>
    <w:rsid w:val="006D01C5"/>
    <w:rsid w:val="006D14B0"/>
    <w:rsid w:val="006D1670"/>
    <w:rsid w:val="006D1F49"/>
    <w:rsid w:val="006D1F80"/>
    <w:rsid w:val="006D2061"/>
    <w:rsid w:val="006D3A06"/>
    <w:rsid w:val="006D3E4C"/>
    <w:rsid w:val="006D3F30"/>
    <w:rsid w:val="006D423E"/>
    <w:rsid w:val="006D4518"/>
    <w:rsid w:val="006D4852"/>
    <w:rsid w:val="006D5617"/>
    <w:rsid w:val="006D7360"/>
    <w:rsid w:val="006D73B2"/>
    <w:rsid w:val="006D7B0C"/>
    <w:rsid w:val="006E2503"/>
    <w:rsid w:val="006E2672"/>
    <w:rsid w:val="006E27EE"/>
    <w:rsid w:val="006E296B"/>
    <w:rsid w:val="006E378C"/>
    <w:rsid w:val="006E5206"/>
    <w:rsid w:val="006E56E5"/>
    <w:rsid w:val="006E6303"/>
    <w:rsid w:val="006E681C"/>
    <w:rsid w:val="006E6D26"/>
    <w:rsid w:val="006E704E"/>
    <w:rsid w:val="006E7E2B"/>
    <w:rsid w:val="006F0E5C"/>
    <w:rsid w:val="006F283F"/>
    <w:rsid w:val="006F37B2"/>
    <w:rsid w:val="006F3EF3"/>
    <w:rsid w:val="006F4076"/>
    <w:rsid w:val="006F420E"/>
    <w:rsid w:val="006F4268"/>
    <w:rsid w:val="006F4AFB"/>
    <w:rsid w:val="006F559C"/>
    <w:rsid w:val="006F565E"/>
    <w:rsid w:val="006F6460"/>
    <w:rsid w:val="006F64CA"/>
    <w:rsid w:val="006F661A"/>
    <w:rsid w:val="006F7659"/>
    <w:rsid w:val="006F76F3"/>
    <w:rsid w:val="006F7B65"/>
    <w:rsid w:val="006F7F07"/>
    <w:rsid w:val="00700913"/>
    <w:rsid w:val="00700BE5"/>
    <w:rsid w:val="00701ABB"/>
    <w:rsid w:val="00701D49"/>
    <w:rsid w:val="00702A4D"/>
    <w:rsid w:val="00702A89"/>
    <w:rsid w:val="00702E59"/>
    <w:rsid w:val="00702EAC"/>
    <w:rsid w:val="00703131"/>
    <w:rsid w:val="00705236"/>
    <w:rsid w:val="0070585D"/>
    <w:rsid w:val="00705ADF"/>
    <w:rsid w:val="00705EB7"/>
    <w:rsid w:val="00706D3B"/>
    <w:rsid w:val="00706F9C"/>
    <w:rsid w:val="00707252"/>
    <w:rsid w:val="0070761E"/>
    <w:rsid w:val="0071090D"/>
    <w:rsid w:val="007109D9"/>
    <w:rsid w:val="007114CA"/>
    <w:rsid w:val="00711631"/>
    <w:rsid w:val="00711924"/>
    <w:rsid w:val="00711A50"/>
    <w:rsid w:val="007127C2"/>
    <w:rsid w:val="007127D6"/>
    <w:rsid w:val="007129F4"/>
    <w:rsid w:val="00713428"/>
    <w:rsid w:val="007136CE"/>
    <w:rsid w:val="00713BE3"/>
    <w:rsid w:val="007145ED"/>
    <w:rsid w:val="00714E0B"/>
    <w:rsid w:val="00715ABC"/>
    <w:rsid w:val="00715B31"/>
    <w:rsid w:val="00715EC4"/>
    <w:rsid w:val="00716175"/>
    <w:rsid w:val="00716CFA"/>
    <w:rsid w:val="00716E8A"/>
    <w:rsid w:val="00717B84"/>
    <w:rsid w:val="00717CCD"/>
    <w:rsid w:val="00717EBB"/>
    <w:rsid w:val="00720FA1"/>
    <w:rsid w:val="00721246"/>
    <w:rsid w:val="0072146C"/>
    <w:rsid w:val="0072148A"/>
    <w:rsid w:val="0072293B"/>
    <w:rsid w:val="0072325C"/>
    <w:rsid w:val="0072331A"/>
    <w:rsid w:val="00723F34"/>
    <w:rsid w:val="00723F5C"/>
    <w:rsid w:val="00724102"/>
    <w:rsid w:val="007245BD"/>
    <w:rsid w:val="00725810"/>
    <w:rsid w:val="00725E3E"/>
    <w:rsid w:val="00725EBF"/>
    <w:rsid w:val="00726665"/>
    <w:rsid w:val="00726A29"/>
    <w:rsid w:val="00726B65"/>
    <w:rsid w:val="00726C16"/>
    <w:rsid w:val="00727119"/>
    <w:rsid w:val="0072743B"/>
    <w:rsid w:val="007274F2"/>
    <w:rsid w:val="0072782F"/>
    <w:rsid w:val="00730294"/>
    <w:rsid w:val="0073040F"/>
    <w:rsid w:val="0073064F"/>
    <w:rsid w:val="00731169"/>
    <w:rsid w:val="007312A5"/>
    <w:rsid w:val="00731B9D"/>
    <w:rsid w:val="00731BA1"/>
    <w:rsid w:val="00731D2F"/>
    <w:rsid w:val="00732956"/>
    <w:rsid w:val="00733529"/>
    <w:rsid w:val="00733974"/>
    <w:rsid w:val="00733F06"/>
    <w:rsid w:val="0073454D"/>
    <w:rsid w:val="00734D02"/>
    <w:rsid w:val="00735AA7"/>
    <w:rsid w:val="00735C24"/>
    <w:rsid w:val="00735C70"/>
    <w:rsid w:val="00736191"/>
    <w:rsid w:val="00736B69"/>
    <w:rsid w:val="0073762D"/>
    <w:rsid w:val="007413E4"/>
    <w:rsid w:val="007415CC"/>
    <w:rsid w:val="00741CF5"/>
    <w:rsid w:val="00742118"/>
    <w:rsid w:val="007428F1"/>
    <w:rsid w:val="007430DA"/>
    <w:rsid w:val="0074398F"/>
    <w:rsid w:val="00744D15"/>
    <w:rsid w:val="0074528C"/>
    <w:rsid w:val="0074551C"/>
    <w:rsid w:val="007459A2"/>
    <w:rsid w:val="00745A63"/>
    <w:rsid w:val="00745B28"/>
    <w:rsid w:val="0074606E"/>
    <w:rsid w:val="00746612"/>
    <w:rsid w:val="00746AA5"/>
    <w:rsid w:val="00747382"/>
    <w:rsid w:val="0074762B"/>
    <w:rsid w:val="00747817"/>
    <w:rsid w:val="007479BA"/>
    <w:rsid w:val="00750C17"/>
    <w:rsid w:val="00751C91"/>
    <w:rsid w:val="007541D5"/>
    <w:rsid w:val="00754380"/>
    <w:rsid w:val="007545F1"/>
    <w:rsid w:val="00755448"/>
    <w:rsid w:val="00755571"/>
    <w:rsid w:val="007559CE"/>
    <w:rsid w:val="0075607D"/>
    <w:rsid w:val="00756143"/>
    <w:rsid w:val="00756359"/>
    <w:rsid w:val="00756957"/>
    <w:rsid w:val="00756EE2"/>
    <w:rsid w:val="00757931"/>
    <w:rsid w:val="00757E1C"/>
    <w:rsid w:val="00760751"/>
    <w:rsid w:val="00760F11"/>
    <w:rsid w:val="0076133C"/>
    <w:rsid w:val="00761AD2"/>
    <w:rsid w:val="007621B2"/>
    <w:rsid w:val="00762438"/>
    <w:rsid w:val="00762998"/>
    <w:rsid w:val="007632CA"/>
    <w:rsid w:val="007633EE"/>
    <w:rsid w:val="00763B59"/>
    <w:rsid w:val="00763DD1"/>
    <w:rsid w:val="007644C2"/>
    <w:rsid w:val="00765114"/>
    <w:rsid w:val="00765E05"/>
    <w:rsid w:val="007668A8"/>
    <w:rsid w:val="00767108"/>
    <w:rsid w:val="00767278"/>
    <w:rsid w:val="00767A27"/>
    <w:rsid w:val="0077010C"/>
    <w:rsid w:val="0077014A"/>
    <w:rsid w:val="00770344"/>
    <w:rsid w:val="00770839"/>
    <w:rsid w:val="00770A7A"/>
    <w:rsid w:val="00770D28"/>
    <w:rsid w:val="00771ADD"/>
    <w:rsid w:val="00771E73"/>
    <w:rsid w:val="00772388"/>
    <w:rsid w:val="007723F5"/>
    <w:rsid w:val="007728C4"/>
    <w:rsid w:val="00772EE3"/>
    <w:rsid w:val="00773119"/>
    <w:rsid w:val="00773334"/>
    <w:rsid w:val="007735F0"/>
    <w:rsid w:val="00773863"/>
    <w:rsid w:val="00773BA8"/>
    <w:rsid w:val="00773C10"/>
    <w:rsid w:val="00774203"/>
    <w:rsid w:val="00774390"/>
    <w:rsid w:val="00774903"/>
    <w:rsid w:val="0077503B"/>
    <w:rsid w:val="007752AF"/>
    <w:rsid w:val="007752D9"/>
    <w:rsid w:val="007753FB"/>
    <w:rsid w:val="007763D8"/>
    <w:rsid w:val="00776645"/>
    <w:rsid w:val="00776B6E"/>
    <w:rsid w:val="00776CC2"/>
    <w:rsid w:val="007770D2"/>
    <w:rsid w:val="007772B8"/>
    <w:rsid w:val="0077781B"/>
    <w:rsid w:val="007805E2"/>
    <w:rsid w:val="007807FE"/>
    <w:rsid w:val="007811EC"/>
    <w:rsid w:val="00781C6C"/>
    <w:rsid w:val="00781FD2"/>
    <w:rsid w:val="00782005"/>
    <w:rsid w:val="007825E0"/>
    <w:rsid w:val="00782A66"/>
    <w:rsid w:val="007832C5"/>
    <w:rsid w:val="007838CE"/>
    <w:rsid w:val="00783960"/>
    <w:rsid w:val="00783E48"/>
    <w:rsid w:val="00784DE4"/>
    <w:rsid w:val="0078503F"/>
    <w:rsid w:val="0078540F"/>
    <w:rsid w:val="007856F4"/>
    <w:rsid w:val="007856F7"/>
    <w:rsid w:val="00785B21"/>
    <w:rsid w:val="00785D24"/>
    <w:rsid w:val="0078646B"/>
    <w:rsid w:val="00786D26"/>
    <w:rsid w:val="00786EB1"/>
    <w:rsid w:val="00787703"/>
    <w:rsid w:val="00787987"/>
    <w:rsid w:val="007901BA"/>
    <w:rsid w:val="007906B2"/>
    <w:rsid w:val="00790FEC"/>
    <w:rsid w:val="0079173B"/>
    <w:rsid w:val="00791984"/>
    <w:rsid w:val="00792202"/>
    <w:rsid w:val="00792C68"/>
    <w:rsid w:val="00792C8D"/>
    <w:rsid w:val="00793117"/>
    <w:rsid w:val="0079317B"/>
    <w:rsid w:val="007931DD"/>
    <w:rsid w:val="0079364C"/>
    <w:rsid w:val="007937ED"/>
    <w:rsid w:val="007939BE"/>
    <w:rsid w:val="00793C7C"/>
    <w:rsid w:val="00793F2F"/>
    <w:rsid w:val="00796220"/>
    <w:rsid w:val="00796814"/>
    <w:rsid w:val="0079704B"/>
    <w:rsid w:val="00797341"/>
    <w:rsid w:val="00797934"/>
    <w:rsid w:val="007A02E6"/>
    <w:rsid w:val="007A05BD"/>
    <w:rsid w:val="007A07E6"/>
    <w:rsid w:val="007A0D5F"/>
    <w:rsid w:val="007A101D"/>
    <w:rsid w:val="007A1203"/>
    <w:rsid w:val="007A1399"/>
    <w:rsid w:val="007A2194"/>
    <w:rsid w:val="007A2726"/>
    <w:rsid w:val="007A2738"/>
    <w:rsid w:val="007A2920"/>
    <w:rsid w:val="007A2CB5"/>
    <w:rsid w:val="007A2D3B"/>
    <w:rsid w:val="007A2F11"/>
    <w:rsid w:val="007A2F65"/>
    <w:rsid w:val="007A346C"/>
    <w:rsid w:val="007A3A9D"/>
    <w:rsid w:val="007A4E12"/>
    <w:rsid w:val="007A532B"/>
    <w:rsid w:val="007A5567"/>
    <w:rsid w:val="007A5B7B"/>
    <w:rsid w:val="007A5FF4"/>
    <w:rsid w:val="007A62B2"/>
    <w:rsid w:val="007A6310"/>
    <w:rsid w:val="007A792B"/>
    <w:rsid w:val="007B0885"/>
    <w:rsid w:val="007B0D39"/>
    <w:rsid w:val="007B0E1E"/>
    <w:rsid w:val="007B0ED1"/>
    <w:rsid w:val="007B19EF"/>
    <w:rsid w:val="007B2589"/>
    <w:rsid w:val="007B2984"/>
    <w:rsid w:val="007B3D65"/>
    <w:rsid w:val="007B3E1B"/>
    <w:rsid w:val="007B42DA"/>
    <w:rsid w:val="007B4325"/>
    <w:rsid w:val="007B445C"/>
    <w:rsid w:val="007B4F04"/>
    <w:rsid w:val="007B51BE"/>
    <w:rsid w:val="007B52FF"/>
    <w:rsid w:val="007B61BA"/>
    <w:rsid w:val="007B63A7"/>
    <w:rsid w:val="007B66D6"/>
    <w:rsid w:val="007B6DC9"/>
    <w:rsid w:val="007B782B"/>
    <w:rsid w:val="007B7F17"/>
    <w:rsid w:val="007C054A"/>
    <w:rsid w:val="007C1776"/>
    <w:rsid w:val="007C1DFC"/>
    <w:rsid w:val="007C1E6A"/>
    <w:rsid w:val="007C1EE1"/>
    <w:rsid w:val="007C2BBA"/>
    <w:rsid w:val="007C2C89"/>
    <w:rsid w:val="007C2E0F"/>
    <w:rsid w:val="007C2E2E"/>
    <w:rsid w:val="007C31FD"/>
    <w:rsid w:val="007C321E"/>
    <w:rsid w:val="007C3381"/>
    <w:rsid w:val="007C351F"/>
    <w:rsid w:val="007C3602"/>
    <w:rsid w:val="007C3FE1"/>
    <w:rsid w:val="007C4ED8"/>
    <w:rsid w:val="007C4FD2"/>
    <w:rsid w:val="007C6223"/>
    <w:rsid w:val="007C65A3"/>
    <w:rsid w:val="007C6ACC"/>
    <w:rsid w:val="007C762F"/>
    <w:rsid w:val="007C7AD0"/>
    <w:rsid w:val="007D09DE"/>
    <w:rsid w:val="007D0CD9"/>
    <w:rsid w:val="007D1067"/>
    <w:rsid w:val="007D157E"/>
    <w:rsid w:val="007D1854"/>
    <w:rsid w:val="007D20EF"/>
    <w:rsid w:val="007D2434"/>
    <w:rsid w:val="007D31D0"/>
    <w:rsid w:val="007D34B0"/>
    <w:rsid w:val="007D37ED"/>
    <w:rsid w:val="007D4056"/>
    <w:rsid w:val="007D571C"/>
    <w:rsid w:val="007D5DB1"/>
    <w:rsid w:val="007D6B26"/>
    <w:rsid w:val="007D6D16"/>
    <w:rsid w:val="007D6F19"/>
    <w:rsid w:val="007D7624"/>
    <w:rsid w:val="007D7A5A"/>
    <w:rsid w:val="007D7DCE"/>
    <w:rsid w:val="007D7F5B"/>
    <w:rsid w:val="007E0208"/>
    <w:rsid w:val="007E09A7"/>
    <w:rsid w:val="007E0C22"/>
    <w:rsid w:val="007E11B3"/>
    <w:rsid w:val="007E13B7"/>
    <w:rsid w:val="007E150A"/>
    <w:rsid w:val="007E16D9"/>
    <w:rsid w:val="007E1ADF"/>
    <w:rsid w:val="007E1AF7"/>
    <w:rsid w:val="007E1DAE"/>
    <w:rsid w:val="007E1F7C"/>
    <w:rsid w:val="007E28DE"/>
    <w:rsid w:val="007E364C"/>
    <w:rsid w:val="007E3A62"/>
    <w:rsid w:val="007E43CC"/>
    <w:rsid w:val="007E49D5"/>
    <w:rsid w:val="007E5050"/>
    <w:rsid w:val="007E58A6"/>
    <w:rsid w:val="007E5AA6"/>
    <w:rsid w:val="007E659C"/>
    <w:rsid w:val="007E6E33"/>
    <w:rsid w:val="007E6E8B"/>
    <w:rsid w:val="007E6F0B"/>
    <w:rsid w:val="007E74DE"/>
    <w:rsid w:val="007E790E"/>
    <w:rsid w:val="007E7AF4"/>
    <w:rsid w:val="007F06E5"/>
    <w:rsid w:val="007F0970"/>
    <w:rsid w:val="007F1D12"/>
    <w:rsid w:val="007F3206"/>
    <w:rsid w:val="007F4270"/>
    <w:rsid w:val="007F5721"/>
    <w:rsid w:val="007F5D9B"/>
    <w:rsid w:val="007F6B2F"/>
    <w:rsid w:val="007F6CD0"/>
    <w:rsid w:val="007F7939"/>
    <w:rsid w:val="008035B2"/>
    <w:rsid w:val="00803AC4"/>
    <w:rsid w:val="00803ACF"/>
    <w:rsid w:val="00803CFA"/>
    <w:rsid w:val="00803ED5"/>
    <w:rsid w:val="0080404A"/>
    <w:rsid w:val="00804089"/>
    <w:rsid w:val="00804475"/>
    <w:rsid w:val="008048AC"/>
    <w:rsid w:val="00804C49"/>
    <w:rsid w:val="00804CAA"/>
    <w:rsid w:val="00805417"/>
    <w:rsid w:val="00805FD8"/>
    <w:rsid w:val="00806472"/>
    <w:rsid w:val="008069F5"/>
    <w:rsid w:val="00806FB3"/>
    <w:rsid w:val="00806FFD"/>
    <w:rsid w:val="00807B4A"/>
    <w:rsid w:val="00807C62"/>
    <w:rsid w:val="00810963"/>
    <w:rsid w:val="00810AF1"/>
    <w:rsid w:val="008113A0"/>
    <w:rsid w:val="0081165E"/>
    <w:rsid w:val="00812837"/>
    <w:rsid w:val="008128A0"/>
    <w:rsid w:val="00813193"/>
    <w:rsid w:val="00813A7A"/>
    <w:rsid w:val="00813AB8"/>
    <w:rsid w:val="00813D10"/>
    <w:rsid w:val="00813F2F"/>
    <w:rsid w:val="0081424D"/>
    <w:rsid w:val="00814AEE"/>
    <w:rsid w:val="00814D89"/>
    <w:rsid w:val="008150D6"/>
    <w:rsid w:val="00815689"/>
    <w:rsid w:val="0081579D"/>
    <w:rsid w:val="00816499"/>
    <w:rsid w:val="0081673E"/>
    <w:rsid w:val="0081718E"/>
    <w:rsid w:val="00817AB6"/>
    <w:rsid w:val="00817D99"/>
    <w:rsid w:val="00820080"/>
    <w:rsid w:val="00820273"/>
    <w:rsid w:val="008203FE"/>
    <w:rsid w:val="0082079C"/>
    <w:rsid w:val="008216F0"/>
    <w:rsid w:val="0082173C"/>
    <w:rsid w:val="008226B1"/>
    <w:rsid w:val="00823A0B"/>
    <w:rsid w:val="00823A16"/>
    <w:rsid w:val="00824093"/>
    <w:rsid w:val="00824332"/>
    <w:rsid w:val="00824ADE"/>
    <w:rsid w:val="00824F4C"/>
    <w:rsid w:val="00825564"/>
    <w:rsid w:val="0082609B"/>
    <w:rsid w:val="00826A3B"/>
    <w:rsid w:val="00827321"/>
    <w:rsid w:val="00827985"/>
    <w:rsid w:val="00827DE0"/>
    <w:rsid w:val="008307B2"/>
    <w:rsid w:val="00830BE7"/>
    <w:rsid w:val="00830EE6"/>
    <w:rsid w:val="0083143C"/>
    <w:rsid w:val="00831951"/>
    <w:rsid w:val="008319B7"/>
    <w:rsid w:val="0083203F"/>
    <w:rsid w:val="00832111"/>
    <w:rsid w:val="00832706"/>
    <w:rsid w:val="0083277F"/>
    <w:rsid w:val="00832E86"/>
    <w:rsid w:val="00833380"/>
    <w:rsid w:val="008342E2"/>
    <w:rsid w:val="008348BB"/>
    <w:rsid w:val="008348DB"/>
    <w:rsid w:val="00834C7A"/>
    <w:rsid w:val="008353D3"/>
    <w:rsid w:val="0083540A"/>
    <w:rsid w:val="008355A6"/>
    <w:rsid w:val="00835BF8"/>
    <w:rsid w:val="00837376"/>
    <w:rsid w:val="0083799C"/>
    <w:rsid w:val="00837B6C"/>
    <w:rsid w:val="00840807"/>
    <w:rsid w:val="0084090F"/>
    <w:rsid w:val="008410FB"/>
    <w:rsid w:val="0084142E"/>
    <w:rsid w:val="0084148B"/>
    <w:rsid w:val="008418BF"/>
    <w:rsid w:val="00841EC3"/>
    <w:rsid w:val="00842158"/>
    <w:rsid w:val="00842844"/>
    <w:rsid w:val="00842C54"/>
    <w:rsid w:val="008441D2"/>
    <w:rsid w:val="00844A05"/>
    <w:rsid w:val="00844AEA"/>
    <w:rsid w:val="00844B1E"/>
    <w:rsid w:val="00845064"/>
    <w:rsid w:val="00845117"/>
    <w:rsid w:val="0084514C"/>
    <w:rsid w:val="008451A4"/>
    <w:rsid w:val="0084611F"/>
    <w:rsid w:val="00846EFE"/>
    <w:rsid w:val="0084772B"/>
    <w:rsid w:val="00847A59"/>
    <w:rsid w:val="00850058"/>
    <w:rsid w:val="00850953"/>
    <w:rsid w:val="00851091"/>
    <w:rsid w:val="008515C6"/>
    <w:rsid w:val="0085227B"/>
    <w:rsid w:val="0085239E"/>
    <w:rsid w:val="00852E60"/>
    <w:rsid w:val="00853259"/>
    <w:rsid w:val="00853876"/>
    <w:rsid w:val="00854BFE"/>
    <w:rsid w:val="00854DDA"/>
    <w:rsid w:val="00854DF5"/>
    <w:rsid w:val="00855415"/>
    <w:rsid w:val="008554AE"/>
    <w:rsid w:val="00855890"/>
    <w:rsid w:val="00855C53"/>
    <w:rsid w:val="00855E6B"/>
    <w:rsid w:val="0085636B"/>
    <w:rsid w:val="0085664D"/>
    <w:rsid w:val="00856654"/>
    <w:rsid w:val="00856C22"/>
    <w:rsid w:val="0085740C"/>
    <w:rsid w:val="008579CE"/>
    <w:rsid w:val="00857D64"/>
    <w:rsid w:val="008600F1"/>
    <w:rsid w:val="008606FD"/>
    <w:rsid w:val="008609B0"/>
    <w:rsid w:val="00860B07"/>
    <w:rsid w:val="00860E67"/>
    <w:rsid w:val="008618D2"/>
    <w:rsid w:val="00861DAE"/>
    <w:rsid w:val="00861E0D"/>
    <w:rsid w:val="0086226C"/>
    <w:rsid w:val="00862EF9"/>
    <w:rsid w:val="00863464"/>
    <w:rsid w:val="00864104"/>
    <w:rsid w:val="00864201"/>
    <w:rsid w:val="00864883"/>
    <w:rsid w:val="00865C6D"/>
    <w:rsid w:val="00865D5A"/>
    <w:rsid w:val="00865E54"/>
    <w:rsid w:val="008663EC"/>
    <w:rsid w:val="008667AA"/>
    <w:rsid w:val="00866B7F"/>
    <w:rsid w:val="0086779E"/>
    <w:rsid w:val="00870043"/>
    <w:rsid w:val="00870287"/>
    <w:rsid w:val="008718E2"/>
    <w:rsid w:val="00871AF4"/>
    <w:rsid w:val="00872BCE"/>
    <w:rsid w:val="00873732"/>
    <w:rsid w:val="00875433"/>
    <w:rsid w:val="008760C9"/>
    <w:rsid w:val="0087638C"/>
    <w:rsid w:val="00877959"/>
    <w:rsid w:val="00877C8E"/>
    <w:rsid w:val="00880305"/>
    <w:rsid w:val="00880481"/>
    <w:rsid w:val="00880C41"/>
    <w:rsid w:val="0088195F"/>
    <w:rsid w:val="0088198D"/>
    <w:rsid w:val="00882343"/>
    <w:rsid w:val="0088273D"/>
    <w:rsid w:val="008828D7"/>
    <w:rsid w:val="00882923"/>
    <w:rsid w:val="00883B89"/>
    <w:rsid w:val="008840F5"/>
    <w:rsid w:val="00884385"/>
    <w:rsid w:val="0088516F"/>
    <w:rsid w:val="008858D7"/>
    <w:rsid w:val="00886DFD"/>
    <w:rsid w:val="00887127"/>
    <w:rsid w:val="00887730"/>
    <w:rsid w:val="008878D6"/>
    <w:rsid w:val="008906AE"/>
    <w:rsid w:val="0089125C"/>
    <w:rsid w:val="008915B7"/>
    <w:rsid w:val="00892384"/>
    <w:rsid w:val="00892509"/>
    <w:rsid w:val="008925B4"/>
    <w:rsid w:val="00892615"/>
    <w:rsid w:val="00892B7E"/>
    <w:rsid w:val="00893C10"/>
    <w:rsid w:val="0089423D"/>
    <w:rsid w:val="008946ED"/>
    <w:rsid w:val="00894EA9"/>
    <w:rsid w:val="008952F0"/>
    <w:rsid w:val="00895470"/>
    <w:rsid w:val="008956DA"/>
    <w:rsid w:val="008958D2"/>
    <w:rsid w:val="00896247"/>
    <w:rsid w:val="0089690C"/>
    <w:rsid w:val="00897C61"/>
    <w:rsid w:val="00897D55"/>
    <w:rsid w:val="008A0050"/>
    <w:rsid w:val="008A0404"/>
    <w:rsid w:val="008A059E"/>
    <w:rsid w:val="008A23FE"/>
    <w:rsid w:val="008A251E"/>
    <w:rsid w:val="008A2718"/>
    <w:rsid w:val="008A3A94"/>
    <w:rsid w:val="008A404F"/>
    <w:rsid w:val="008A46A8"/>
    <w:rsid w:val="008A5088"/>
    <w:rsid w:val="008A5212"/>
    <w:rsid w:val="008A555D"/>
    <w:rsid w:val="008A5F15"/>
    <w:rsid w:val="008A7491"/>
    <w:rsid w:val="008B1321"/>
    <w:rsid w:val="008B1345"/>
    <w:rsid w:val="008B1507"/>
    <w:rsid w:val="008B1D5E"/>
    <w:rsid w:val="008B1FBA"/>
    <w:rsid w:val="008B22F5"/>
    <w:rsid w:val="008B25F7"/>
    <w:rsid w:val="008B2EC9"/>
    <w:rsid w:val="008B3603"/>
    <w:rsid w:val="008B37BA"/>
    <w:rsid w:val="008B3B3B"/>
    <w:rsid w:val="008B476F"/>
    <w:rsid w:val="008B5B6A"/>
    <w:rsid w:val="008B661F"/>
    <w:rsid w:val="008B6C4F"/>
    <w:rsid w:val="008B6D67"/>
    <w:rsid w:val="008B72CE"/>
    <w:rsid w:val="008B757A"/>
    <w:rsid w:val="008B7B15"/>
    <w:rsid w:val="008B7BA3"/>
    <w:rsid w:val="008B7C01"/>
    <w:rsid w:val="008B7D82"/>
    <w:rsid w:val="008B7E90"/>
    <w:rsid w:val="008C149B"/>
    <w:rsid w:val="008C187F"/>
    <w:rsid w:val="008C1A20"/>
    <w:rsid w:val="008C1F64"/>
    <w:rsid w:val="008C3358"/>
    <w:rsid w:val="008C336F"/>
    <w:rsid w:val="008C3BB7"/>
    <w:rsid w:val="008C3CF8"/>
    <w:rsid w:val="008C4074"/>
    <w:rsid w:val="008C47F7"/>
    <w:rsid w:val="008C4ABF"/>
    <w:rsid w:val="008C5418"/>
    <w:rsid w:val="008C574A"/>
    <w:rsid w:val="008C5977"/>
    <w:rsid w:val="008C5BEA"/>
    <w:rsid w:val="008C646E"/>
    <w:rsid w:val="008C7107"/>
    <w:rsid w:val="008C7647"/>
    <w:rsid w:val="008C7756"/>
    <w:rsid w:val="008C798C"/>
    <w:rsid w:val="008C7FD2"/>
    <w:rsid w:val="008D0602"/>
    <w:rsid w:val="008D08F8"/>
    <w:rsid w:val="008D0A42"/>
    <w:rsid w:val="008D1633"/>
    <w:rsid w:val="008D1A48"/>
    <w:rsid w:val="008D2911"/>
    <w:rsid w:val="008D3636"/>
    <w:rsid w:val="008D43FF"/>
    <w:rsid w:val="008D45AC"/>
    <w:rsid w:val="008D4CC5"/>
    <w:rsid w:val="008D5D6E"/>
    <w:rsid w:val="008D5EAC"/>
    <w:rsid w:val="008D668B"/>
    <w:rsid w:val="008D6A29"/>
    <w:rsid w:val="008D6BB7"/>
    <w:rsid w:val="008D7E54"/>
    <w:rsid w:val="008D7E67"/>
    <w:rsid w:val="008E07C5"/>
    <w:rsid w:val="008E0AB9"/>
    <w:rsid w:val="008E13EE"/>
    <w:rsid w:val="008E1413"/>
    <w:rsid w:val="008E1C1E"/>
    <w:rsid w:val="008E2913"/>
    <w:rsid w:val="008E2B68"/>
    <w:rsid w:val="008E4BF2"/>
    <w:rsid w:val="008E4F0C"/>
    <w:rsid w:val="008E5351"/>
    <w:rsid w:val="008E5F4C"/>
    <w:rsid w:val="008E62A6"/>
    <w:rsid w:val="008E6569"/>
    <w:rsid w:val="008E6D3A"/>
    <w:rsid w:val="008E6FCA"/>
    <w:rsid w:val="008E77A7"/>
    <w:rsid w:val="008E79DA"/>
    <w:rsid w:val="008E7C5D"/>
    <w:rsid w:val="008E7D16"/>
    <w:rsid w:val="008E7D19"/>
    <w:rsid w:val="008F068E"/>
    <w:rsid w:val="008F0DC2"/>
    <w:rsid w:val="008F1426"/>
    <w:rsid w:val="008F144D"/>
    <w:rsid w:val="008F1955"/>
    <w:rsid w:val="008F20D6"/>
    <w:rsid w:val="008F376C"/>
    <w:rsid w:val="008F397D"/>
    <w:rsid w:val="008F3C2C"/>
    <w:rsid w:val="008F4B17"/>
    <w:rsid w:val="008F4EE6"/>
    <w:rsid w:val="008F59BD"/>
    <w:rsid w:val="008F623C"/>
    <w:rsid w:val="008F70AD"/>
    <w:rsid w:val="008F7D5A"/>
    <w:rsid w:val="008F7D90"/>
    <w:rsid w:val="00902096"/>
    <w:rsid w:val="00902105"/>
    <w:rsid w:val="00902274"/>
    <w:rsid w:val="00902C2E"/>
    <w:rsid w:val="00902C5E"/>
    <w:rsid w:val="00903CA8"/>
    <w:rsid w:val="00904456"/>
    <w:rsid w:val="00904675"/>
    <w:rsid w:val="009051C5"/>
    <w:rsid w:val="00905992"/>
    <w:rsid w:val="00905BD4"/>
    <w:rsid w:val="00905CB8"/>
    <w:rsid w:val="00905CBF"/>
    <w:rsid w:val="00905DEE"/>
    <w:rsid w:val="00905E84"/>
    <w:rsid w:val="00906703"/>
    <w:rsid w:val="00906AEA"/>
    <w:rsid w:val="00907F3C"/>
    <w:rsid w:val="0091059E"/>
    <w:rsid w:val="00910640"/>
    <w:rsid w:val="00910AA2"/>
    <w:rsid w:val="00910D83"/>
    <w:rsid w:val="009112BC"/>
    <w:rsid w:val="00911482"/>
    <w:rsid w:val="00911A17"/>
    <w:rsid w:val="00911D39"/>
    <w:rsid w:val="00912928"/>
    <w:rsid w:val="00913579"/>
    <w:rsid w:val="00913B96"/>
    <w:rsid w:val="00914D39"/>
    <w:rsid w:val="0091587C"/>
    <w:rsid w:val="00916470"/>
    <w:rsid w:val="009169D4"/>
    <w:rsid w:val="009169D8"/>
    <w:rsid w:val="009171D8"/>
    <w:rsid w:val="00917D52"/>
    <w:rsid w:val="00920497"/>
    <w:rsid w:val="009206C2"/>
    <w:rsid w:val="009213A2"/>
    <w:rsid w:val="00922205"/>
    <w:rsid w:val="009226A8"/>
    <w:rsid w:val="00922B64"/>
    <w:rsid w:val="00923055"/>
    <w:rsid w:val="009238CF"/>
    <w:rsid w:val="00924BA4"/>
    <w:rsid w:val="00924E1F"/>
    <w:rsid w:val="009251C8"/>
    <w:rsid w:val="00925975"/>
    <w:rsid w:val="00925C4C"/>
    <w:rsid w:val="009262C5"/>
    <w:rsid w:val="009266DD"/>
    <w:rsid w:val="009273A3"/>
    <w:rsid w:val="00927611"/>
    <w:rsid w:val="00927805"/>
    <w:rsid w:val="00927DD3"/>
    <w:rsid w:val="00930702"/>
    <w:rsid w:val="009316F9"/>
    <w:rsid w:val="00931A97"/>
    <w:rsid w:val="0093265F"/>
    <w:rsid w:val="009331F7"/>
    <w:rsid w:val="009339C2"/>
    <w:rsid w:val="00933C00"/>
    <w:rsid w:val="009342CC"/>
    <w:rsid w:val="009344D5"/>
    <w:rsid w:val="00934578"/>
    <w:rsid w:val="0093461A"/>
    <w:rsid w:val="00935316"/>
    <w:rsid w:val="00935461"/>
    <w:rsid w:val="00936B0E"/>
    <w:rsid w:val="00936D4F"/>
    <w:rsid w:val="00937683"/>
    <w:rsid w:val="009378C0"/>
    <w:rsid w:val="009378DD"/>
    <w:rsid w:val="00940E2C"/>
    <w:rsid w:val="009410CA"/>
    <w:rsid w:val="00941B1F"/>
    <w:rsid w:val="00941DCC"/>
    <w:rsid w:val="0094217D"/>
    <w:rsid w:val="00942689"/>
    <w:rsid w:val="009428A4"/>
    <w:rsid w:val="00942A69"/>
    <w:rsid w:val="009433CA"/>
    <w:rsid w:val="00943590"/>
    <w:rsid w:val="00944865"/>
    <w:rsid w:val="00944BE1"/>
    <w:rsid w:val="0094568F"/>
    <w:rsid w:val="0094593A"/>
    <w:rsid w:val="00945946"/>
    <w:rsid w:val="00945A13"/>
    <w:rsid w:val="00945B17"/>
    <w:rsid w:val="00945BCB"/>
    <w:rsid w:val="00946B1A"/>
    <w:rsid w:val="00946CEA"/>
    <w:rsid w:val="00947631"/>
    <w:rsid w:val="00947706"/>
    <w:rsid w:val="0095020E"/>
    <w:rsid w:val="009508BF"/>
    <w:rsid w:val="009509BD"/>
    <w:rsid w:val="009514F6"/>
    <w:rsid w:val="00951E03"/>
    <w:rsid w:val="009526B1"/>
    <w:rsid w:val="00952925"/>
    <w:rsid w:val="00952B72"/>
    <w:rsid w:val="00952F84"/>
    <w:rsid w:val="0095390C"/>
    <w:rsid w:val="00953980"/>
    <w:rsid w:val="00953B18"/>
    <w:rsid w:val="00954740"/>
    <w:rsid w:val="00954ABB"/>
    <w:rsid w:val="00954C7B"/>
    <w:rsid w:val="00955941"/>
    <w:rsid w:val="00955FB5"/>
    <w:rsid w:val="00957B09"/>
    <w:rsid w:val="00957DA7"/>
    <w:rsid w:val="0096023E"/>
    <w:rsid w:val="0096094B"/>
    <w:rsid w:val="00960998"/>
    <w:rsid w:val="009619ED"/>
    <w:rsid w:val="00961E86"/>
    <w:rsid w:val="00962518"/>
    <w:rsid w:val="00962CDD"/>
    <w:rsid w:val="00962EAF"/>
    <w:rsid w:val="0096460F"/>
    <w:rsid w:val="00964BB7"/>
    <w:rsid w:val="0096521B"/>
    <w:rsid w:val="00965989"/>
    <w:rsid w:val="00965E32"/>
    <w:rsid w:val="00967164"/>
    <w:rsid w:val="00967A94"/>
    <w:rsid w:val="00967DB4"/>
    <w:rsid w:val="009703D7"/>
    <w:rsid w:val="00970464"/>
    <w:rsid w:val="009712C4"/>
    <w:rsid w:val="00972BB8"/>
    <w:rsid w:val="009730D4"/>
    <w:rsid w:val="009735F3"/>
    <w:rsid w:val="00973801"/>
    <w:rsid w:val="00973C0A"/>
    <w:rsid w:val="00974100"/>
    <w:rsid w:val="009741D0"/>
    <w:rsid w:val="00975187"/>
    <w:rsid w:val="00975235"/>
    <w:rsid w:val="00975896"/>
    <w:rsid w:val="009759C9"/>
    <w:rsid w:val="00975E18"/>
    <w:rsid w:val="00975EA9"/>
    <w:rsid w:val="00976114"/>
    <w:rsid w:val="009762FF"/>
    <w:rsid w:val="00976955"/>
    <w:rsid w:val="0097743E"/>
    <w:rsid w:val="009775EE"/>
    <w:rsid w:val="009806A6"/>
    <w:rsid w:val="009809E3"/>
    <w:rsid w:val="00980D19"/>
    <w:rsid w:val="00981E36"/>
    <w:rsid w:val="00982200"/>
    <w:rsid w:val="0098258F"/>
    <w:rsid w:val="00982739"/>
    <w:rsid w:val="00982CB4"/>
    <w:rsid w:val="00982D0B"/>
    <w:rsid w:val="00982DCA"/>
    <w:rsid w:val="00983787"/>
    <w:rsid w:val="009840DF"/>
    <w:rsid w:val="0098420B"/>
    <w:rsid w:val="009861F3"/>
    <w:rsid w:val="00986D4E"/>
    <w:rsid w:val="009876C6"/>
    <w:rsid w:val="0098770C"/>
    <w:rsid w:val="00987A5E"/>
    <w:rsid w:val="00987AFF"/>
    <w:rsid w:val="0099035D"/>
    <w:rsid w:val="009904BB"/>
    <w:rsid w:val="00990B30"/>
    <w:rsid w:val="00990DBA"/>
    <w:rsid w:val="0099117B"/>
    <w:rsid w:val="009912EE"/>
    <w:rsid w:val="00991AFC"/>
    <w:rsid w:val="00991CC1"/>
    <w:rsid w:val="00991F3F"/>
    <w:rsid w:val="009926F4"/>
    <w:rsid w:val="009929BA"/>
    <w:rsid w:val="00992BFD"/>
    <w:rsid w:val="009931A9"/>
    <w:rsid w:val="009934F8"/>
    <w:rsid w:val="00993ABA"/>
    <w:rsid w:val="00993F42"/>
    <w:rsid w:val="00994385"/>
    <w:rsid w:val="00994B54"/>
    <w:rsid w:val="0099536A"/>
    <w:rsid w:val="009955C8"/>
    <w:rsid w:val="0099597A"/>
    <w:rsid w:val="00995E3C"/>
    <w:rsid w:val="00996207"/>
    <w:rsid w:val="00996406"/>
    <w:rsid w:val="0099664D"/>
    <w:rsid w:val="00996B41"/>
    <w:rsid w:val="009971D0"/>
    <w:rsid w:val="009975C1"/>
    <w:rsid w:val="0099762A"/>
    <w:rsid w:val="009A00DC"/>
    <w:rsid w:val="009A0C22"/>
    <w:rsid w:val="009A0DD4"/>
    <w:rsid w:val="009A0E3E"/>
    <w:rsid w:val="009A21A6"/>
    <w:rsid w:val="009A25AC"/>
    <w:rsid w:val="009A2F21"/>
    <w:rsid w:val="009A301C"/>
    <w:rsid w:val="009A3356"/>
    <w:rsid w:val="009A37E8"/>
    <w:rsid w:val="009A446E"/>
    <w:rsid w:val="009A4FB5"/>
    <w:rsid w:val="009A5042"/>
    <w:rsid w:val="009A5464"/>
    <w:rsid w:val="009A5B2A"/>
    <w:rsid w:val="009A5CD8"/>
    <w:rsid w:val="009A5ECE"/>
    <w:rsid w:val="009A6C49"/>
    <w:rsid w:val="009A705C"/>
    <w:rsid w:val="009A7539"/>
    <w:rsid w:val="009A7606"/>
    <w:rsid w:val="009A7D27"/>
    <w:rsid w:val="009B0853"/>
    <w:rsid w:val="009B114D"/>
    <w:rsid w:val="009B16C4"/>
    <w:rsid w:val="009B211B"/>
    <w:rsid w:val="009B263F"/>
    <w:rsid w:val="009B2754"/>
    <w:rsid w:val="009B3443"/>
    <w:rsid w:val="009B4D5C"/>
    <w:rsid w:val="009B5249"/>
    <w:rsid w:val="009B57FE"/>
    <w:rsid w:val="009B5C25"/>
    <w:rsid w:val="009B6829"/>
    <w:rsid w:val="009B6CCF"/>
    <w:rsid w:val="009B6F57"/>
    <w:rsid w:val="009B71B1"/>
    <w:rsid w:val="009B7B46"/>
    <w:rsid w:val="009C0699"/>
    <w:rsid w:val="009C06F8"/>
    <w:rsid w:val="009C3D63"/>
    <w:rsid w:val="009C3F2C"/>
    <w:rsid w:val="009C47EA"/>
    <w:rsid w:val="009C4851"/>
    <w:rsid w:val="009C5168"/>
    <w:rsid w:val="009C559D"/>
    <w:rsid w:val="009C5AFD"/>
    <w:rsid w:val="009C5B12"/>
    <w:rsid w:val="009C6069"/>
    <w:rsid w:val="009C6619"/>
    <w:rsid w:val="009C6EF0"/>
    <w:rsid w:val="009D0B06"/>
    <w:rsid w:val="009D0E63"/>
    <w:rsid w:val="009D1830"/>
    <w:rsid w:val="009D1D56"/>
    <w:rsid w:val="009D2444"/>
    <w:rsid w:val="009D2C6D"/>
    <w:rsid w:val="009D2EF3"/>
    <w:rsid w:val="009D3088"/>
    <w:rsid w:val="009D313A"/>
    <w:rsid w:val="009D32A4"/>
    <w:rsid w:val="009D3931"/>
    <w:rsid w:val="009D43EA"/>
    <w:rsid w:val="009D4472"/>
    <w:rsid w:val="009D551A"/>
    <w:rsid w:val="009D5769"/>
    <w:rsid w:val="009D5F48"/>
    <w:rsid w:val="009D729F"/>
    <w:rsid w:val="009E02AE"/>
    <w:rsid w:val="009E0770"/>
    <w:rsid w:val="009E0A13"/>
    <w:rsid w:val="009E0C62"/>
    <w:rsid w:val="009E2C83"/>
    <w:rsid w:val="009E3150"/>
    <w:rsid w:val="009E35CB"/>
    <w:rsid w:val="009E4F4A"/>
    <w:rsid w:val="009E55B9"/>
    <w:rsid w:val="009E5664"/>
    <w:rsid w:val="009E5B40"/>
    <w:rsid w:val="009E5E7D"/>
    <w:rsid w:val="009E63C4"/>
    <w:rsid w:val="009E6741"/>
    <w:rsid w:val="009E675C"/>
    <w:rsid w:val="009E699A"/>
    <w:rsid w:val="009E7231"/>
    <w:rsid w:val="009F1345"/>
    <w:rsid w:val="009F1A2F"/>
    <w:rsid w:val="009F1D2B"/>
    <w:rsid w:val="009F21B2"/>
    <w:rsid w:val="009F39B7"/>
    <w:rsid w:val="009F4D46"/>
    <w:rsid w:val="009F4F50"/>
    <w:rsid w:val="009F619F"/>
    <w:rsid w:val="009F7A31"/>
    <w:rsid w:val="00A00F17"/>
    <w:rsid w:val="00A0120A"/>
    <w:rsid w:val="00A01BC2"/>
    <w:rsid w:val="00A01D71"/>
    <w:rsid w:val="00A029D7"/>
    <w:rsid w:val="00A0335D"/>
    <w:rsid w:val="00A03D8B"/>
    <w:rsid w:val="00A0401B"/>
    <w:rsid w:val="00A04D92"/>
    <w:rsid w:val="00A0577D"/>
    <w:rsid w:val="00A05863"/>
    <w:rsid w:val="00A05EB8"/>
    <w:rsid w:val="00A06137"/>
    <w:rsid w:val="00A061B8"/>
    <w:rsid w:val="00A064C1"/>
    <w:rsid w:val="00A067A9"/>
    <w:rsid w:val="00A06857"/>
    <w:rsid w:val="00A06CE7"/>
    <w:rsid w:val="00A0709A"/>
    <w:rsid w:val="00A070FE"/>
    <w:rsid w:val="00A071AA"/>
    <w:rsid w:val="00A07311"/>
    <w:rsid w:val="00A07AE6"/>
    <w:rsid w:val="00A07E1A"/>
    <w:rsid w:val="00A104F7"/>
    <w:rsid w:val="00A109D3"/>
    <w:rsid w:val="00A10BAB"/>
    <w:rsid w:val="00A11046"/>
    <w:rsid w:val="00A1134F"/>
    <w:rsid w:val="00A116ED"/>
    <w:rsid w:val="00A118C5"/>
    <w:rsid w:val="00A11945"/>
    <w:rsid w:val="00A11D0E"/>
    <w:rsid w:val="00A11D9A"/>
    <w:rsid w:val="00A1203B"/>
    <w:rsid w:val="00A1237C"/>
    <w:rsid w:val="00A13E0C"/>
    <w:rsid w:val="00A13ECF"/>
    <w:rsid w:val="00A140A0"/>
    <w:rsid w:val="00A14766"/>
    <w:rsid w:val="00A154DD"/>
    <w:rsid w:val="00A15E39"/>
    <w:rsid w:val="00A170BE"/>
    <w:rsid w:val="00A172BD"/>
    <w:rsid w:val="00A17432"/>
    <w:rsid w:val="00A176EE"/>
    <w:rsid w:val="00A200FC"/>
    <w:rsid w:val="00A20FE3"/>
    <w:rsid w:val="00A215D0"/>
    <w:rsid w:val="00A217AE"/>
    <w:rsid w:val="00A22501"/>
    <w:rsid w:val="00A225E8"/>
    <w:rsid w:val="00A22B23"/>
    <w:rsid w:val="00A22C5C"/>
    <w:rsid w:val="00A230EE"/>
    <w:rsid w:val="00A23149"/>
    <w:rsid w:val="00A23795"/>
    <w:rsid w:val="00A255CF"/>
    <w:rsid w:val="00A2613B"/>
    <w:rsid w:val="00A2632E"/>
    <w:rsid w:val="00A26A9D"/>
    <w:rsid w:val="00A27398"/>
    <w:rsid w:val="00A27468"/>
    <w:rsid w:val="00A27A9D"/>
    <w:rsid w:val="00A30853"/>
    <w:rsid w:val="00A30D12"/>
    <w:rsid w:val="00A30E3E"/>
    <w:rsid w:val="00A30FF7"/>
    <w:rsid w:val="00A311F4"/>
    <w:rsid w:val="00A316D9"/>
    <w:rsid w:val="00A31BA5"/>
    <w:rsid w:val="00A31EC0"/>
    <w:rsid w:val="00A32408"/>
    <w:rsid w:val="00A33374"/>
    <w:rsid w:val="00A33F72"/>
    <w:rsid w:val="00A33FBF"/>
    <w:rsid w:val="00A33FFB"/>
    <w:rsid w:val="00A346CA"/>
    <w:rsid w:val="00A34A94"/>
    <w:rsid w:val="00A34DE1"/>
    <w:rsid w:val="00A3527C"/>
    <w:rsid w:val="00A354E4"/>
    <w:rsid w:val="00A3555F"/>
    <w:rsid w:val="00A35E2B"/>
    <w:rsid w:val="00A36203"/>
    <w:rsid w:val="00A36576"/>
    <w:rsid w:val="00A36666"/>
    <w:rsid w:val="00A36E9A"/>
    <w:rsid w:val="00A372CF"/>
    <w:rsid w:val="00A37897"/>
    <w:rsid w:val="00A4054D"/>
    <w:rsid w:val="00A4089F"/>
    <w:rsid w:val="00A41089"/>
    <w:rsid w:val="00A42D40"/>
    <w:rsid w:val="00A42E9A"/>
    <w:rsid w:val="00A432B7"/>
    <w:rsid w:val="00A43736"/>
    <w:rsid w:val="00A44450"/>
    <w:rsid w:val="00A4464A"/>
    <w:rsid w:val="00A44666"/>
    <w:rsid w:val="00A452F5"/>
    <w:rsid w:val="00A453BE"/>
    <w:rsid w:val="00A45CC7"/>
    <w:rsid w:val="00A45D3E"/>
    <w:rsid w:val="00A46BD5"/>
    <w:rsid w:val="00A47788"/>
    <w:rsid w:val="00A47A6F"/>
    <w:rsid w:val="00A47D59"/>
    <w:rsid w:val="00A47E3D"/>
    <w:rsid w:val="00A504C5"/>
    <w:rsid w:val="00A509A1"/>
    <w:rsid w:val="00A50ACF"/>
    <w:rsid w:val="00A513D9"/>
    <w:rsid w:val="00A51A6D"/>
    <w:rsid w:val="00A51AFC"/>
    <w:rsid w:val="00A52932"/>
    <w:rsid w:val="00A529CE"/>
    <w:rsid w:val="00A52AF5"/>
    <w:rsid w:val="00A52BEB"/>
    <w:rsid w:val="00A52C0F"/>
    <w:rsid w:val="00A53A76"/>
    <w:rsid w:val="00A53C78"/>
    <w:rsid w:val="00A53D59"/>
    <w:rsid w:val="00A544AE"/>
    <w:rsid w:val="00A5457C"/>
    <w:rsid w:val="00A54A17"/>
    <w:rsid w:val="00A557D1"/>
    <w:rsid w:val="00A563C1"/>
    <w:rsid w:val="00A5757B"/>
    <w:rsid w:val="00A575E4"/>
    <w:rsid w:val="00A575FB"/>
    <w:rsid w:val="00A5763E"/>
    <w:rsid w:val="00A6075A"/>
    <w:rsid w:val="00A60F11"/>
    <w:rsid w:val="00A6115F"/>
    <w:rsid w:val="00A614ED"/>
    <w:rsid w:val="00A61BF5"/>
    <w:rsid w:val="00A61EAD"/>
    <w:rsid w:val="00A62921"/>
    <w:rsid w:val="00A62E56"/>
    <w:rsid w:val="00A6306F"/>
    <w:rsid w:val="00A63557"/>
    <w:rsid w:val="00A64C16"/>
    <w:rsid w:val="00A64C2F"/>
    <w:rsid w:val="00A64EF8"/>
    <w:rsid w:val="00A6512E"/>
    <w:rsid w:val="00A6550A"/>
    <w:rsid w:val="00A6597E"/>
    <w:rsid w:val="00A65A5F"/>
    <w:rsid w:val="00A663F3"/>
    <w:rsid w:val="00A66579"/>
    <w:rsid w:val="00A66AC5"/>
    <w:rsid w:val="00A6761B"/>
    <w:rsid w:val="00A679F8"/>
    <w:rsid w:val="00A706BC"/>
    <w:rsid w:val="00A70ABB"/>
    <w:rsid w:val="00A71597"/>
    <w:rsid w:val="00A71BB7"/>
    <w:rsid w:val="00A7255F"/>
    <w:rsid w:val="00A726DE"/>
    <w:rsid w:val="00A72851"/>
    <w:rsid w:val="00A72C99"/>
    <w:rsid w:val="00A72F08"/>
    <w:rsid w:val="00A73237"/>
    <w:rsid w:val="00A73CA8"/>
    <w:rsid w:val="00A7477B"/>
    <w:rsid w:val="00A74B8E"/>
    <w:rsid w:val="00A74F68"/>
    <w:rsid w:val="00A754BB"/>
    <w:rsid w:val="00A75733"/>
    <w:rsid w:val="00A75A2F"/>
    <w:rsid w:val="00A75F42"/>
    <w:rsid w:val="00A7639F"/>
    <w:rsid w:val="00A767D7"/>
    <w:rsid w:val="00A776EE"/>
    <w:rsid w:val="00A77EA4"/>
    <w:rsid w:val="00A800E3"/>
    <w:rsid w:val="00A800F9"/>
    <w:rsid w:val="00A805D5"/>
    <w:rsid w:val="00A80937"/>
    <w:rsid w:val="00A811DB"/>
    <w:rsid w:val="00A81992"/>
    <w:rsid w:val="00A821A7"/>
    <w:rsid w:val="00A824CF"/>
    <w:rsid w:val="00A82CAE"/>
    <w:rsid w:val="00A82F72"/>
    <w:rsid w:val="00A84090"/>
    <w:rsid w:val="00A8523A"/>
    <w:rsid w:val="00A8582C"/>
    <w:rsid w:val="00A85920"/>
    <w:rsid w:val="00A86309"/>
    <w:rsid w:val="00A86827"/>
    <w:rsid w:val="00A86F4B"/>
    <w:rsid w:val="00A90229"/>
    <w:rsid w:val="00A9146E"/>
    <w:rsid w:val="00A9156B"/>
    <w:rsid w:val="00A9209D"/>
    <w:rsid w:val="00A92730"/>
    <w:rsid w:val="00A92ABE"/>
    <w:rsid w:val="00A938DB"/>
    <w:rsid w:val="00A93A99"/>
    <w:rsid w:val="00A94A2D"/>
    <w:rsid w:val="00A9529A"/>
    <w:rsid w:val="00A9565F"/>
    <w:rsid w:val="00A95ECC"/>
    <w:rsid w:val="00A96C92"/>
    <w:rsid w:val="00A96CBD"/>
    <w:rsid w:val="00A96D08"/>
    <w:rsid w:val="00A96D56"/>
    <w:rsid w:val="00A973C5"/>
    <w:rsid w:val="00A97E47"/>
    <w:rsid w:val="00A97E66"/>
    <w:rsid w:val="00A97EB1"/>
    <w:rsid w:val="00AA087E"/>
    <w:rsid w:val="00AA08F6"/>
    <w:rsid w:val="00AA0B1F"/>
    <w:rsid w:val="00AA112E"/>
    <w:rsid w:val="00AA176B"/>
    <w:rsid w:val="00AA195F"/>
    <w:rsid w:val="00AA2100"/>
    <w:rsid w:val="00AA240E"/>
    <w:rsid w:val="00AA25EE"/>
    <w:rsid w:val="00AA28AF"/>
    <w:rsid w:val="00AA3771"/>
    <w:rsid w:val="00AA4133"/>
    <w:rsid w:val="00AA4AE3"/>
    <w:rsid w:val="00AA4C59"/>
    <w:rsid w:val="00AA51A2"/>
    <w:rsid w:val="00AA585F"/>
    <w:rsid w:val="00AA58D9"/>
    <w:rsid w:val="00AA5D6C"/>
    <w:rsid w:val="00AA658C"/>
    <w:rsid w:val="00AA74DD"/>
    <w:rsid w:val="00AA7C1A"/>
    <w:rsid w:val="00AB1439"/>
    <w:rsid w:val="00AB1646"/>
    <w:rsid w:val="00AB1B3B"/>
    <w:rsid w:val="00AB1B43"/>
    <w:rsid w:val="00AB2DD0"/>
    <w:rsid w:val="00AB2E2B"/>
    <w:rsid w:val="00AB2F14"/>
    <w:rsid w:val="00AB34E4"/>
    <w:rsid w:val="00AB3AD2"/>
    <w:rsid w:val="00AB3CAD"/>
    <w:rsid w:val="00AB3F0E"/>
    <w:rsid w:val="00AB40E3"/>
    <w:rsid w:val="00AB42B3"/>
    <w:rsid w:val="00AB4664"/>
    <w:rsid w:val="00AB4931"/>
    <w:rsid w:val="00AB506F"/>
    <w:rsid w:val="00AB51C1"/>
    <w:rsid w:val="00AB55B3"/>
    <w:rsid w:val="00AB5A6E"/>
    <w:rsid w:val="00AB5CB8"/>
    <w:rsid w:val="00AB6329"/>
    <w:rsid w:val="00AB661A"/>
    <w:rsid w:val="00AB6A97"/>
    <w:rsid w:val="00AB7127"/>
    <w:rsid w:val="00AC0B5A"/>
    <w:rsid w:val="00AC0EAF"/>
    <w:rsid w:val="00AC121D"/>
    <w:rsid w:val="00AC12C3"/>
    <w:rsid w:val="00AC1754"/>
    <w:rsid w:val="00AC267D"/>
    <w:rsid w:val="00AC2A04"/>
    <w:rsid w:val="00AC3133"/>
    <w:rsid w:val="00AC3E55"/>
    <w:rsid w:val="00AC4601"/>
    <w:rsid w:val="00AC4883"/>
    <w:rsid w:val="00AC49CB"/>
    <w:rsid w:val="00AC4DFB"/>
    <w:rsid w:val="00AC59CF"/>
    <w:rsid w:val="00AC5AF0"/>
    <w:rsid w:val="00AC64F8"/>
    <w:rsid w:val="00AC6AC0"/>
    <w:rsid w:val="00AC7342"/>
    <w:rsid w:val="00AC76CF"/>
    <w:rsid w:val="00AC7CC7"/>
    <w:rsid w:val="00AD0FDD"/>
    <w:rsid w:val="00AD126A"/>
    <w:rsid w:val="00AD1348"/>
    <w:rsid w:val="00AD1AB1"/>
    <w:rsid w:val="00AD1B32"/>
    <w:rsid w:val="00AD208F"/>
    <w:rsid w:val="00AD3A6C"/>
    <w:rsid w:val="00AD422F"/>
    <w:rsid w:val="00AD4615"/>
    <w:rsid w:val="00AD4737"/>
    <w:rsid w:val="00AD4A64"/>
    <w:rsid w:val="00AD4E0F"/>
    <w:rsid w:val="00AD4F15"/>
    <w:rsid w:val="00AD5311"/>
    <w:rsid w:val="00AD79C0"/>
    <w:rsid w:val="00AD7DA9"/>
    <w:rsid w:val="00AD7E19"/>
    <w:rsid w:val="00AE1C31"/>
    <w:rsid w:val="00AE2486"/>
    <w:rsid w:val="00AE2929"/>
    <w:rsid w:val="00AE31EE"/>
    <w:rsid w:val="00AE4450"/>
    <w:rsid w:val="00AE4497"/>
    <w:rsid w:val="00AE449B"/>
    <w:rsid w:val="00AE52FA"/>
    <w:rsid w:val="00AE5BD8"/>
    <w:rsid w:val="00AE5FF7"/>
    <w:rsid w:val="00AE62BD"/>
    <w:rsid w:val="00AE6D4E"/>
    <w:rsid w:val="00AE7021"/>
    <w:rsid w:val="00AE7D36"/>
    <w:rsid w:val="00AE7EF4"/>
    <w:rsid w:val="00AF004D"/>
    <w:rsid w:val="00AF0285"/>
    <w:rsid w:val="00AF076C"/>
    <w:rsid w:val="00AF0C91"/>
    <w:rsid w:val="00AF14FC"/>
    <w:rsid w:val="00AF154F"/>
    <w:rsid w:val="00AF19C5"/>
    <w:rsid w:val="00AF1A21"/>
    <w:rsid w:val="00AF1F3B"/>
    <w:rsid w:val="00AF1FC9"/>
    <w:rsid w:val="00AF2304"/>
    <w:rsid w:val="00AF2E6B"/>
    <w:rsid w:val="00AF3439"/>
    <w:rsid w:val="00AF3CDC"/>
    <w:rsid w:val="00AF3D8A"/>
    <w:rsid w:val="00AF4353"/>
    <w:rsid w:val="00AF43A4"/>
    <w:rsid w:val="00AF45CB"/>
    <w:rsid w:val="00AF4AA7"/>
    <w:rsid w:val="00AF57CB"/>
    <w:rsid w:val="00AF59E9"/>
    <w:rsid w:val="00AF5DE3"/>
    <w:rsid w:val="00AF615B"/>
    <w:rsid w:val="00AF621C"/>
    <w:rsid w:val="00AF6D3A"/>
    <w:rsid w:val="00AF7646"/>
    <w:rsid w:val="00AF783C"/>
    <w:rsid w:val="00AF7C35"/>
    <w:rsid w:val="00AF7CF4"/>
    <w:rsid w:val="00B00154"/>
    <w:rsid w:val="00B003A4"/>
    <w:rsid w:val="00B00433"/>
    <w:rsid w:val="00B00C37"/>
    <w:rsid w:val="00B01154"/>
    <w:rsid w:val="00B02572"/>
    <w:rsid w:val="00B028FA"/>
    <w:rsid w:val="00B02980"/>
    <w:rsid w:val="00B02B1E"/>
    <w:rsid w:val="00B03483"/>
    <w:rsid w:val="00B04828"/>
    <w:rsid w:val="00B04A8B"/>
    <w:rsid w:val="00B04E63"/>
    <w:rsid w:val="00B05490"/>
    <w:rsid w:val="00B05815"/>
    <w:rsid w:val="00B06F3C"/>
    <w:rsid w:val="00B07508"/>
    <w:rsid w:val="00B07F98"/>
    <w:rsid w:val="00B07F9D"/>
    <w:rsid w:val="00B10268"/>
    <w:rsid w:val="00B108B1"/>
    <w:rsid w:val="00B1096B"/>
    <w:rsid w:val="00B10FA9"/>
    <w:rsid w:val="00B1114C"/>
    <w:rsid w:val="00B111DC"/>
    <w:rsid w:val="00B1120B"/>
    <w:rsid w:val="00B11A87"/>
    <w:rsid w:val="00B11ABC"/>
    <w:rsid w:val="00B12369"/>
    <w:rsid w:val="00B12782"/>
    <w:rsid w:val="00B12A2B"/>
    <w:rsid w:val="00B12EB8"/>
    <w:rsid w:val="00B14194"/>
    <w:rsid w:val="00B1430D"/>
    <w:rsid w:val="00B143B8"/>
    <w:rsid w:val="00B14A60"/>
    <w:rsid w:val="00B14C12"/>
    <w:rsid w:val="00B14E21"/>
    <w:rsid w:val="00B151A7"/>
    <w:rsid w:val="00B1596B"/>
    <w:rsid w:val="00B16181"/>
    <w:rsid w:val="00B168A2"/>
    <w:rsid w:val="00B16C7C"/>
    <w:rsid w:val="00B16CCF"/>
    <w:rsid w:val="00B178AD"/>
    <w:rsid w:val="00B21609"/>
    <w:rsid w:val="00B21C60"/>
    <w:rsid w:val="00B21F6F"/>
    <w:rsid w:val="00B2238F"/>
    <w:rsid w:val="00B22A3C"/>
    <w:rsid w:val="00B23100"/>
    <w:rsid w:val="00B23417"/>
    <w:rsid w:val="00B24125"/>
    <w:rsid w:val="00B248D7"/>
    <w:rsid w:val="00B2494C"/>
    <w:rsid w:val="00B25208"/>
    <w:rsid w:val="00B252E7"/>
    <w:rsid w:val="00B257F4"/>
    <w:rsid w:val="00B2580E"/>
    <w:rsid w:val="00B259D4"/>
    <w:rsid w:val="00B25DC8"/>
    <w:rsid w:val="00B25ED9"/>
    <w:rsid w:val="00B263B2"/>
    <w:rsid w:val="00B303AF"/>
    <w:rsid w:val="00B30471"/>
    <w:rsid w:val="00B3054C"/>
    <w:rsid w:val="00B30B47"/>
    <w:rsid w:val="00B30EB9"/>
    <w:rsid w:val="00B31236"/>
    <w:rsid w:val="00B31CC3"/>
    <w:rsid w:val="00B32EF2"/>
    <w:rsid w:val="00B3316C"/>
    <w:rsid w:val="00B3353F"/>
    <w:rsid w:val="00B33A02"/>
    <w:rsid w:val="00B33E6C"/>
    <w:rsid w:val="00B34789"/>
    <w:rsid w:val="00B34ADD"/>
    <w:rsid w:val="00B34E4E"/>
    <w:rsid w:val="00B34E60"/>
    <w:rsid w:val="00B358EC"/>
    <w:rsid w:val="00B35BAC"/>
    <w:rsid w:val="00B3671D"/>
    <w:rsid w:val="00B37941"/>
    <w:rsid w:val="00B37CD7"/>
    <w:rsid w:val="00B40632"/>
    <w:rsid w:val="00B40949"/>
    <w:rsid w:val="00B40ECE"/>
    <w:rsid w:val="00B40F3C"/>
    <w:rsid w:val="00B41E9A"/>
    <w:rsid w:val="00B4239B"/>
    <w:rsid w:val="00B429E8"/>
    <w:rsid w:val="00B42B61"/>
    <w:rsid w:val="00B432C7"/>
    <w:rsid w:val="00B438F8"/>
    <w:rsid w:val="00B43CFF"/>
    <w:rsid w:val="00B44795"/>
    <w:rsid w:val="00B4507C"/>
    <w:rsid w:val="00B45DFE"/>
    <w:rsid w:val="00B46596"/>
    <w:rsid w:val="00B46B29"/>
    <w:rsid w:val="00B46CC1"/>
    <w:rsid w:val="00B50171"/>
    <w:rsid w:val="00B507B9"/>
    <w:rsid w:val="00B50867"/>
    <w:rsid w:val="00B50E71"/>
    <w:rsid w:val="00B511DC"/>
    <w:rsid w:val="00B514E3"/>
    <w:rsid w:val="00B51B80"/>
    <w:rsid w:val="00B528BE"/>
    <w:rsid w:val="00B5293F"/>
    <w:rsid w:val="00B5296A"/>
    <w:rsid w:val="00B53814"/>
    <w:rsid w:val="00B54A22"/>
    <w:rsid w:val="00B54D08"/>
    <w:rsid w:val="00B5537D"/>
    <w:rsid w:val="00B55A90"/>
    <w:rsid w:val="00B56780"/>
    <w:rsid w:val="00B567CA"/>
    <w:rsid w:val="00B569C6"/>
    <w:rsid w:val="00B570FA"/>
    <w:rsid w:val="00B5710E"/>
    <w:rsid w:val="00B571B4"/>
    <w:rsid w:val="00B57351"/>
    <w:rsid w:val="00B57458"/>
    <w:rsid w:val="00B57E28"/>
    <w:rsid w:val="00B607E0"/>
    <w:rsid w:val="00B60AF5"/>
    <w:rsid w:val="00B621B9"/>
    <w:rsid w:val="00B62544"/>
    <w:rsid w:val="00B6283D"/>
    <w:rsid w:val="00B62D1F"/>
    <w:rsid w:val="00B6389F"/>
    <w:rsid w:val="00B63B45"/>
    <w:rsid w:val="00B63B7F"/>
    <w:rsid w:val="00B64088"/>
    <w:rsid w:val="00B64C34"/>
    <w:rsid w:val="00B65038"/>
    <w:rsid w:val="00B6537D"/>
    <w:rsid w:val="00B655A2"/>
    <w:rsid w:val="00B6571D"/>
    <w:rsid w:val="00B658F7"/>
    <w:rsid w:val="00B65C35"/>
    <w:rsid w:val="00B6647F"/>
    <w:rsid w:val="00B670E7"/>
    <w:rsid w:val="00B6799A"/>
    <w:rsid w:val="00B702F8"/>
    <w:rsid w:val="00B712B0"/>
    <w:rsid w:val="00B71455"/>
    <w:rsid w:val="00B71879"/>
    <w:rsid w:val="00B73D21"/>
    <w:rsid w:val="00B73EAF"/>
    <w:rsid w:val="00B745F6"/>
    <w:rsid w:val="00B75F11"/>
    <w:rsid w:val="00B76320"/>
    <w:rsid w:val="00B76680"/>
    <w:rsid w:val="00B77263"/>
    <w:rsid w:val="00B773A8"/>
    <w:rsid w:val="00B77BEC"/>
    <w:rsid w:val="00B8009B"/>
    <w:rsid w:val="00B8049C"/>
    <w:rsid w:val="00B805E6"/>
    <w:rsid w:val="00B81656"/>
    <w:rsid w:val="00B819B4"/>
    <w:rsid w:val="00B81B39"/>
    <w:rsid w:val="00B81F21"/>
    <w:rsid w:val="00B83070"/>
    <w:rsid w:val="00B83969"/>
    <w:rsid w:val="00B83DF7"/>
    <w:rsid w:val="00B83F10"/>
    <w:rsid w:val="00B83F53"/>
    <w:rsid w:val="00B83FC9"/>
    <w:rsid w:val="00B84164"/>
    <w:rsid w:val="00B8454B"/>
    <w:rsid w:val="00B847D5"/>
    <w:rsid w:val="00B8491A"/>
    <w:rsid w:val="00B84CC3"/>
    <w:rsid w:val="00B85096"/>
    <w:rsid w:val="00B852D7"/>
    <w:rsid w:val="00B854B3"/>
    <w:rsid w:val="00B8589A"/>
    <w:rsid w:val="00B85A5D"/>
    <w:rsid w:val="00B86467"/>
    <w:rsid w:val="00B866F3"/>
    <w:rsid w:val="00B90085"/>
    <w:rsid w:val="00B900FF"/>
    <w:rsid w:val="00B9073B"/>
    <w:rsid w:val="00B90B1B"/>
    <w:rsid w:val="00B9162D"/>
    <w:rsid w:val="00B91CDE"/>
    <w:rsid w:val="00B91F11"/>
    <w:rsid w:val="00B92298"/>
    <w:rsid w:val="00B93220"/>
    <w:rsid w:val="00B93868"/>
    <w:rsid w:val="00B93C37"/>
    <w:rsid w:val="00B93DF8"/>
    <w:rsid w:val="00B948C5"/>
    <w:rsid w:val="00B95D0C"/>
    <w:rsid w:val="00B95D27"/>
    <w:rsid w:val="00B97DD0"/>
    <w:rsid w:val="00BA03B5"/>
    <w:rsid w:val="00BA07D9"/>
    <w:rsid w:val="00BA0F46"/>
    <w:rsid w:val="00BA133C"/>
    <w:rsid w:val="00BA283F"/>
    <w:rsid w:val="00BA4261"/>
    <w:rsid w:val="00BA4DD5"/>
    <w:rsid w:val="00BA532C"/>
    <w:rsid w:val="00BA55CF"/>
    <w:rsid w:val="00BA587A"/>
    <w:rsid w:val="00BA6222"/>
    <w:rsid w:val="00BA675E"/>
    <w:rsid w:val="00BA69B0"/>
    <w:rsid w:val="00BA7CDA"/>
    <w:rsid w:val="00BB008E"/>
    <w:rsid w:val="00BB08C8"/>
    <w:rsid w:val="00BB0E14"/>
    <w:rsid w:val="00BB1278"/>
    <w:rsid w:val="00BB257A"/>
    <w:rsid w:val="00BB27A7"/>
    <w:rsid w:val="00BB2A32"/>
    <w:rsid w:val="00BB2F88"/>
    <w:rsid w:val="00BB3051"/>
    <w:rsid w:val="00BB3740"/>
    <w:rsid w:val="00BB438E"/>
    <w:rsid w:val="00BB4396"/>
    <w:rsid w:val="00BB45C1"/>
    <w:rsid w:val="00BB50A3"/>
    <w:rsid w:val="00BB571A"/>
    <w:rsid w:val="00BB6A87"/>
    <w:rsid w:val="00BB7272"/>
    <w:rsid w:val="00BB7361"/>
    <w:rsid w:val="00BB77FF"/>
    <w:rsid w:val="00BB7B27"/>
    <w:rsid w:val="00BC0021"/>
    <w:rsid w:val="00BC07B7"/>
    <w:rsid w:val="00BC0D5F"/>
    <w:rsid w:val="00BC0FC5"/>
    <w:rsid w:val="00BC10A7"/>
    <w:rsid w:val="00BC14D2"/>
    <w:rsid w:val="00BC2151"/>
    <w:rsid w:val="00BC37FE"/>
    <w:rsid w:val="00BC4261"/>
    <w:rsid w:val="00BC470D"/>
    <w:rsid w:val="00BC4A5E"/>
    <w:rsid w:val="00BC4B65"/>
    <w:rsid w:val="00BC4E28"/>
    <w:rsid w:val="00BC5127"/>
    <w:rsid w:val="00BC531E"/>
    <w:rsid w:val="00BC5681"/>
    <w:rsid w:val="00BC57C7"/>
    <w:rsid w:val="00BC5F57"/>
    <w:rsid w:val="00BC6128"/>
    <w:rsid w:val="00BC63C0"/>
    <w:rsid w:val="00BC673B"/>
    <w:rsid w:val="00BC712F"/>
    <w:rsid w:val="00BC7683"/>
    <w:rsid w:val="00BC7B15"/>
    <w:rsid w:val="00BD000D"/>
    <w:rsid w:val="00BD0F95"/>
    <w:rsid w:val="00BD1715"/>
    <w:rsid w:val="00BD1F4E"/>
    <w:rsid w:val="00BD20D6"/>
    <w:rsid w:val="00BD2B4C"/>
    <w:rsid w:val="00BD2C20"/>
    <w:rsid w:val="00BD300E"/>
    <w:rsid w:val="00BD48AF"/>
    <w:rsid w:val="00BD4EA2"/>
    <w:rsid w:val="00BD5801"/>
    <w:rsid w:val="00BD5953"/>
    <w:rsid w:val="00BD5B6C"/>
    <w:rsid w:val="00BD6214"/>
    <w:rsid w:val="00BD633D"/>
    <w:rsid w:val="00BD6431"/>
    <w:rsid w:val="00BD6E9B"/>
    <w:rsid w:val="00BD6F0F"/>
    <w:rsid w:val="00BD7617"/>
    <w:rsid w:val="00BD7ADC"/>
    <w:rsid w:val="00BE0AA5"/>
    <w:rsid w:val="00BE0C18"/>
    <w:rsid w:val="00BE20D8"/>
    <w:rsid w:val="00BE2601"/>
    <w:rsid w:val="00BE2FA8"/>
    <w:rsid w:val="00BE308C"/>
    <w:rsid w:val="00BE310F"/>
    <w:rsid w:val="00BE315B"/>
    <w:rsid w:val="00BE3266"/>
    <w:rsid w:val="00BE3691"/>
    <w:rsid w:val="00BE3B31"/>
    <w:rsid w:val="00BE3CFD"/>
    <w:rsid w:val="00BE3E54"/>
    <w:rsid w:val="00BE4DB0"/>
    <w:rsid w:val="00BE62A8"/>
    <w:rsid w:val="00BE6983"/>
    <w:rsid w:val="00BE6BD3"/>
    <w:rsid w:val="00BE759B"/>
    <w:rsid w:val="00BF0130"/>
    <w:rsid w:val="00BF0524"/>
    <w:rsid w:val="00BF075E"/>
    <w:rsid w:val="00BF0841"/>
    <w:rsid w:val="00BF0D39"/>
    <w:rsid w:val="00BF1A9A"/>
    <w:rsid w:val="00BF21DB"/>
    <w:rsid w:val="00BF2B90"/>
    <w:rsid w:val="00BF318E"/>
    <w:rsid w:val="00BF38B2"/>
    <w:rsid w:val="00BF4916"/>
    <w:rsid w:val="00BF52E5"/>
    <w:rsid w:val="00BF5B50"/>
    <w:rsid w:val="00BF5FF6"/>
    <w:rsid w:val="00BF6B28"/>
    <w:rsid w:val="00BF7E02"/>
    <w:rsid w:val="00C00757"/>
    <w:rsid w:val="00C00EFD"/>
    <w:rsid w:val="00C01434"/>
    <w:rsid w:val="00C01C4E"/>
    <w:rsid w:val="00C01FF9"/>
    <w:rsid w:val="00C0277C"/>
    <w:rsid w:val="00C02A27"/>
    <w:rsid w:val="00C02E92"/>
    <w:rsid w:val="00C0318D"/>
    <w:rsid w:val="00C03708"/>
    <w:rsid w:val="00C04137"/>
    <w:rsid w:val="00C0444F"/>
    <w:rsid w:val="00C05302"/>
    <w:rsid w:val="00C05477"/>
    <w:rsid w:val="00C057DB"/>
    <w:rsid w:val="00C06324"/>
    <w:rsid w:val="00C068D6"/>
    <w:rsid w:val="00C06FCC"/>
    <w:rsid w:val="00C06FD9"/>
    <w:rsid w:val="00C0721B"/>
    <w:rsid w:val="00C074ED"/>
    <w:rsid w:val="00C07A29"/>
    <w:rsid w:val="00C1006B"/>
    <w:rsid w:val="00C1013B"/>
    <w:rsid w:val="00C10765"/>
    <w:rsid w:val="00C10B18"/>
    <w:rsid w:val="00C10E6A"/>
    <w:rsid w:val="00C1197A"/>
    <w:rsid w:val="00C11AE1"/>
    <w:rsid w:val="00C12169"/>
    <w:rsid w:val="00C124B5"/>
    <w:rsid w:val="00C124E1"/>
    <w:rsid w:val="00C1259E"/>
    <w:rsid w:val="00C125AB"/>
    <w:rsid w:val="00C12811"/>
    <w:rsid w:val="00C12B90"/>
    <w:rsid w:val="00C12D87"/>
    <w:rsid w:val="00C12DA2"/>
    <w:rsid w:val="00C1352B"/>
    <w:rsid w:val="00C14A7A"/>
    <w:rsid w:val="00C159BD"/>
    <w:rsid w:val="00C15C77"/>
    <w:rsid w:val="00C15E00"/>
    <w:rsid w:val="00C16E1C"/>
    <w:rsid w:val="00C17E59"/>
    <w:rsid w:val="00C2072F"/>
    <w:rsid w:val="00C20BFF"/>
    <w:rsid w:val="00C21F55"/>
    <w:rsid w:val="00C22AEC"/>
    <w:rsid w:val="00C23385"/>
    <w:rsid w:val="00C23AE3"/>
    <w:rsid w:val="00C23C97"/>
    <w:rsid w:val="00C254A5"/>
    <w:rsid w:val="00C254CE"/>
    <w:rsid w:val="00C25708"/>
    <w:rsid w:val="00C2605D"/>
    <w:rsid w:val="00C2659D"/>
    <w:rsid w:val="00C26CA0"/>
    <w:rsid w:val="00C270A1"/>
    <w:rsid w:val="00C270D5"/>
    <w:rsid w:val="00C27862"/>
    <w:rsid w:val="00C3054A"/>
    <w:rsid w:val="00C30A4C"/>
    <w:rsid w:val="00C30DD0"/>
    <w:rsid w:val="00C31BCF"/>
    <w:rsid w:val="00C3241B"/>
    <w:rsid w:val="00C32A8C"/>
    <w:rsid w:val="00C330A3"/>
    <w:rsid w:val="00C33B04"/>
    <w:rsid w:val="00C33CD2"/>
    <w:rsid w:val="00C3455D"/>
    <w:rsid w:val="00C34C1C"/>
    <w:rsid w:val="00C34EF2"/>
    <w:rsid w:val="00C35BAE"/>
    <w:rsid w:val="00C36102"/>
    <w:rsid w:val="00C361D3"/>
    <w:rsid w:val="00C36524"/>
    <w:rsid w:val="00C36AD9"/>
    <w:rsid w:val="00C3731F"/>
    <w:rsid w:val="00C3795E"/>
    <w:rsid w:val="00C40994"/>
    <w:rsid w:val="00C40BD4"/>
    <w:rsid w:val="00C40F2A"/>
    <w:rsid w:val="00C40FCA"/>
    <w:rsid w:val="00C410C1"/>
    <w:rsid w:val="00C41A07"/>
    <w:rsid w:val="00C4208F"/>
    <w:rsid w:val="00C424CC"/>
    <w:rsid w:val="00C431BE"/>
    <w:rsid w:val="00C44185"/>
    <w:rsid w:val="00C446C2"/>
    <w:rsid w:val="00C4524B"/>
    <w:rsid w:val="00C45989"/>
    <w:rsid w:val="00C4684B"/>
    <w:rsid w:val="00C46CE1"/>
    <w:rsid w:val="00C47619"/>
    <w:rsid w:val="00C4796F"/>
    <w:rsid w:val="00C47C73"/>
    <w:rsid w:val="00C47F51"/>
    <w:rsid w:val="00C47F69"/>
    <w:rsid w:val="00C50044"/>
    <w:rsid w:val="00C50B99"/>
    <w:rsid w:val="00C51819"/>
    <w:rsid w:val="00C51C53"/>
    <w:rsid w:val="00C524FA"/>
    <w:rsid w:val="00C528F0"/>
    <w:rsid w:val="00C533C3"/>
    <w:rsid w:val="00C537D5"/>
    <w:rsid w:val="00C538E2"/>
    <w:rsid w:val="00C53A7E"/>
    <w:rsid w:val="00C53FC9"/>
    <w:rsid w:val="00C54568"/>
    <w:rsid w:val="00C546A1"/>
    <w:rsid w:val="00C54736"/>
    <w:rsid w:val="00C54E42"/>
    <w:rsid w:val="00C550A6"/>
    <w:rsid w:val="00C55542"/>
    <w:rsid w:val="00C5559F"/>
    <w:rsid w:val="00C56123"/>
    <w:rsid w:val="00C5700E"/>
    <w:rsid w:val="00C5703E"/>
    <w:rsid w:val="00C5704C"/>
    <w:rsid w:val="00C578C0"/>
    <w:rsid w:val="00C57BB2"/>
    <w:rsid w:val="00C57BB5"/>
    <w:rsid w:val="00C57E12"/>
    <w:rsid w:val="00C60649"/>
    <w:rsid w:val="00C60EA4"/>
    <w:rsid w:val="00C61CDE"/>
    <w:rsid w:val="00C61E41"/>
    <w:rsid w:val="00C62187"/>
    <w:rsid w:val="00C6234E"/>
    <w:rsid w:val="00C62D1C"/>
    <w:rsid w:val="00C62DA1"/>
    <w:rsid w:val="00C638FE"/>
    <w:rsid w:val="00C63CEC"/>
    <w:rsid w:val="00C63E11"/>
    <w:rsid w:val="00C643BF"/>
    <w:rsid w:val="00C6440C"/>
    <w:rsid w:val="00C6486C"/>
    <w:rsid w:val="00C64E13"/>
    <w:rsid w:val="00C65CCA"/>
    <w:rsid w:val="00C65DC1"/>
    <w:rsid w:val="00C6696F"/>
    <w:rsid w:val="00C66E9F"/>
    <w:rsid w:val="00C70309"/>
    <w:rsid w:val="00C70604"/>
    <w:rsid w:val="00C7129C"/>
    <w:rsid w:val="00C715A9"/>
    <w:rsid w:val="00C71A0F"/>
    <w:rsid w:val="00C71F8B"/>
    <w:rsid w:val="00C722D3"/>
    <w:rsid w:val="00C730C0"/>
    <w:rsid w:val="00C7362E"/>
    <w:rsid w:val="00C73E0D"/>
    <w:rsid w:val="00C74E98"/>
    <w:rsid w:val="00C74FB2"/>
    <w:rsid w:val="00C75AF8"/>
    <w:rsid w:val="00C762FB"/>
    <w:rsid w:val="00C7696E"/>
    <w:rsid w:val="00C77BE0"/>
    <w:rsid w:val="00C77E0A"/>
    <w:rsid w:val="00C800AE"/>
    <w:rsid w:val="00C80B9D"/>
    <w:rsid w:val="00C80F7D"/>
    <w:rsid w:val="00C81496"/>
    <w:rsid w:val="00C81A62"/>
    <w:rsid w:val="00C82720"/>
    <w:rsid w:val="00C82769"/>
    <w:rsid w:val="00C833B5"/>
    <w:rsid w:val="00C837A4"/>
    <w:rsid w:val="00C85D1B"/>
    <w:rsid w:val="00C86857"/>
    <w:rsid w:val="00C87193"/>
    <w:rsid w:val="00C871D7"/>
    <w:rsid w:val="00C87C1B"/>
    <w:rsid w:val="00C9036B"/>
    <w:rsid w:val="00C90A47"/>
    <w:rsid w:val="00C91661"/>
    <w:rsid w:val="00C92BEB"/>
    <w:rsid w:val="00C92D6B"/>
    <w:rsid w:val="00C93590"/>
    <w:rsid w:val="00C93847"/>
    <w:rsid w:val="00C93D70"/>
    <w:rsid w:val="00C94CBB"/>
    <w:rsid w:val="00C94EB2"/>
    <w:rsid w:val="00C956C8"/>
    <w:rsid w:val="00C958C4"/>
    <w:rsid w:val="00C9595E"/>
    <w:rsid w:val="00C96492"/>
    <w:rsid w:val="00C96520"/>
    <w:rsid w:val="00C96663"/>
    <w:rsid w:val="00C96BC7"/>
    <w:rsid w:val="00C97535"/>
    <w:rsid w:val="00CA177F"/>
    <w:rsid w:val="00CA1B45"/>
    <w:rsid w:val="00CA1CD5"/>
    <w:rsid w:val="00CA31DD"/>
    <w:rsid w:val="00CA4257"/>
    <w:rsid w:val="00CA431F"/>
    <w:rsid w:val="00CA512E"/>
    <w:rsid w:val="00CA5730"/>
    <w:rsid w:val="00CA5B4F"/>
    <w:rsid w:val="00CA6116"/>
    <w:rsid w:val="00CA67E8"/>
    <w:rsid w:val="00CA6954"/>
    <w:rsid w:val="00CA70D0"/>
    <w:rsid w:val="00CA7F25"/>
    <w:rsid w:val="00CB022E"/>
    <w:rsid w:val="00CB0375"/>
    <w:rsid w:val="00CB0B6B"/>
    <w:rsid w:val="00CB1AD7"/>
    <w:rsid w:val="00CB1B9A"/>
    <w:rsid w:val="00CB1EE0"/>
    <w:rsid w:val="00CB1FC8"/>
    <w:rsid w:val="00CB3342"/>
    <w:rsid w:val="00CB3621"/>
    <w:rsid w:val="00CB48E5"/>
    <w:rsid w:val="00CB4EB2"/>
    <w:rsid w:val="00CB4EE5"/>
    <w:rsid w:val="00CB5864"/>
    <w:rsid w:val="00CB7339"/>
    <w:rsid w:val="00CB794B"/>
    <w:rsid w:val="00CB7E39"/>
    <w:rsid w:val="00CC0126"/>
    <w:rsid w:val="00CC0E06"/>
    <w:rsid w:val="00CC1330"/>
    <w:rsid w:val="00CC170C"/>
    <w:rsid w:val="00CC17E6"/>
    <w:rsid w:val="00CC286C"/>
    <w:rsid w:val="00CC2B24"/>
    <w:rsid w:val="00CC2CFC"/>
    <w:rsid w:val="00CC2F98"/>
    <w:rsid w:val="00CC3640"/>
    <w:rsid w:val="00CC372E"/>
    <w:rsid w:val="00CC3941"/>
    <w:rsid w:val="00CC412C"/>
    <w:rsid w:val="00CC436C"/>
    <w:rsid w:val="00CC46AC"/>
    <w:rsid w:val="00CC4F01"/>
    <w:rsid w:val="00CC53D0"/>
    <w:rsid w:val="00CC56E0"/>
    <w:rsid w:val="00CC56E9"/>
    <w:rsid w:val="00CC57A2"/>
    <w:rsid w:val="00CC6ABC"/>
    <w:rsid w:val="00CC6F71"/>
    <w:rsid w:val="00CC730C"/>
    <w:rsid w:val="00CC77CA"/>
    <w:rsid w:val="00CD00E8"/>
    <w:rsid w:val="00CD02EA"/>
    <w:rsid w:val="00CD05F7"/>
    <w:rsid w:val="00CD079F"/>
    <w:rsid w:val="00CD094F"/>
    <w:rsid w:val="00CD0E0A"/>
    <w:rsid w:val="00CD14CE"/>
    <w:rsid w:val="00CD168E"/>
    <w:rsid w:val="00CD1BD9"/>
    <w:rsid w:val="00CD1FAE"/>
    <w:rsid w:val="00CD204A"/>
    <w:rsid w:val="00CD2060"/>
    <w:rsid w:val="00CD21C5"/>
    <w:rsid w:val="00CD4207"/>
    <w:rsid w:val="00CD4CC0"/>
    <w:rsid w:val="00CD54EB"/>
    <w:rsid w:val="00CD5AA1"/>
    <w:rsid w:val="00CD69FA"/>
    <w:rsid w:val="00CD6A49"/>
    <w:rsid w:val="00CD6ABA"/>
    <w:rsid w:val="00CD77AB"/>
    <w:rsid w:val="00CD7ED0"/>
    <w:rsid w:val="00CE0686"/>
    <w:rsid w:val="00CE0C00"/>
    <w:rsid w:val="00CE0F3A"/>
    <w:rsid w:val="00CE1003"/>
    <w:rsid w:val="00CE1053"/>
    <w:rsid w:val="00CE176F"/>
    <w:rsid w:val="00CE1B80"/>
    <w:rsid w:val="00CE2441"/>
    <w:rsid w:val="00CE37AD"/>
    <w:rsid w:val="00CE39C2"/>
    <w:rsid w:val="00CE3BF5"/>
    <w:rsid w:val="00CE416B"/>
    <w:rsid w:val="00CE4432"/>
    <w:rsid w:val="00CE4779"/>
    <w:rsid w:val="00CE4B79"/>
    <w:rsid w:val="00CE4C16"/>
    <w:rsid w:val="00CE5213"/>
    <w:rsid w:val="00CE5718"/>
    <w:rsid w:val="00CE5976"/>
    <w:rsid w:val="00CE5C45"/>
    <w:rsid w:val="00CE69B5"/>
    <w:rsid w:val="00CE6C4C"/>
    <w:rsid w:val="00CE725A"/>
    <w:rsid w:val="00CE732E"/>
    <w:rsid w:val="00CE7475"/>
    <w:rsid w:val="00CE799E"/>
    <w:rsid w:val="00CF0149"/>
    <w:rsid w:val="00CF08D1"/>
    <w:rsid w:val="00CF126D"/>
    <w:rsid w:val="00CF13BA"/>
    <w:rsid w:val="00CF1B89"/>
    <w:rsid w:val="00CF24C8"/>
    <w:rsid w:val="00CF2E8C"/>
    <w:rsid w:val="00CF3336"/>
    <w:rsid w:val="00CF3B1E"/>
    <w:rsid w:val="00CF417A"/>
    <w:rsid w:val="00CF4B98"/>
    <w:rsid w:val="00CF5E23"/>
    <w:rsid w:val="00CF6983"/>
    <w:rsid w:val="00CF69B0"/>
    <w:rsid w:val="00CF6D2C"/>
    <w:rsid w:val="00CF6D8C"/>
    <w:rsid w:val="00CF744E"/>
    <w:rsid w:val="00D00225"/>
    <w:rsid w:val="00D00AEF"/>
    <w:rsid w:val="00D01004"/>
    <w:rsid w:val="00D010F2"/>
    <w:rsid w:val="00D0201D"/>
    <w:rsid w:val="00D024CA"/>
    <w:rsid w:val="00D02AB0"/>
    <w:rsid w:val="00D02EFD"/>
    <w:rsid w:val="00D03790"/>
    <w:rsid w:val="00D03FEB"/>
    <w:rsid w:val="00D05766"/>
    <w:rsid w:val="00D059FB"/>
    <w:rsid w:val="00D05F3D"/>
    <w:rsid w:val="00D060B7"/>
    <w:rsid w:val="00D06618"/>
    <w:rsid w:val="00D06645"/>
    <w:rsid w:val="00D069D1"/>
    <w:rsid w:val="00D06CF5"/>
    <w:rsid w:val="00D06D70"/>
    <w:rsid w:val="00D072DC"/>
    <w:rsid w:val="00D1016F"/>
    <w:rsid w:val="00D10764"/>
    <w:rsid w:val="00D10C47"/>
    <w:rsid w:val="00D11621"/>
    <w:rsid w:val="00D11DB1"/>
    <w:rsid w:val="00D134D8"/>
    <w:rsid w:val="00D137E5"/>
    <w:rsid w:val="00D13A6B"/>
    <w:rsid w:val="00D147F8"/>
    <w:rsid w:val="00D14CBE"/>
    <w:rsid w:val="00D14D64"/>
    <w:rsid w:val="00D150E8"/>
    <w:rsid w:val="00D158D6"/>
    <w:rsid w:val="00D16C5D"/>
    <w:rsid w:val="00D173A4"/>
    <w:rsid w:val="00D17D74"/>
    <w:rsid w:val="00D17F50"/>
    <w:rsid w:val="00D2019F"/>
    <w:rsid w:val="00D20335"/>
    <w:rsid w:val="00D210CE"/>
    <w:rsid w:val="00D216F1"/>
    <w:rsid w:val="00D22071"/>
    <w:rsid w:val="00D22167"/>
    <w:rsid w:val="00D2230D"/>
    <w:rsid w:val="00D2279E"/>
    <w:rsid w:val="00D233A1"/>
    <w:rsid w:val="00D23653"/>
    <w:rsid w:val="00D245DB"/>
    <w:rsid w:val="00D24C48"/>
    <w:rsid w:val="00D25E53"/>
    <w:rsid w:val="00D26112"/>
    <w:rsid w:val="00D26B9E"/>
    <w:rsid w:val="00D275B3"/>
    <w:rsid w:val="00D27601"/>
    <w:rsid w:val="00D27806"/>
    <w:rsid w:val="00D27A0B"/>
    <w:rsid w:val="00D27F32"/>
    <w:rsid w:val="00D27F93"/>
    <w:rsid w:val="00D304FB"/>
    <w:rsid w:val="00D31E80"/>
    <w:rsid w:val="00D31F5E"/>
    <w:rsid w:val="00D3219D"/>
    <w:rsid w:val="00D32D2A"/>
    <w:rsid w:val="00D331D2"/>
    <w:rsid w:val="00D33A71"/>
    <w:rsid w:val="00D33B1A"/>
    <w:rsid w:val="00D33EA0"/>
    <w:rsid w:val="00D33EB1"/>
    <w:rsid w:val="00D33ECA"/>
    <w:rsid w:val="00D34253"/>
    <w:rsid w:val="00D34B3E"/>
    <w:rsid w:val="00D34CCA"/>
    <w:rsid w:val="00D35A74"/>
    <w:rsid w:val="00D35AF4"/>
    <w:rsid w:val="00D35BC6"/>
    <w:rsid w:val="00D35C9A"/>
    <w:rsid w:val="00D36010"/>
    <w:rsid w:val="00D3648B"/>
    <w:rsid w:val="00D36BB8"/>
    <w:rsid w:val="00D37555"/>
    <w:rsid w:val="00D37A81"/>
    <w:rsid w:val="00D37C67"/>
    <w:rsid w:val="00D37C92"/>
    <w:rsid w:val="00D40116"/>
    <w:rsid w:val="00D40780"/>
    <w:rsid w:val="00D40B93"/>
    <w:rsid w:val="00D4191D"/>
    <w:rsid w:val="00D42111"/>
    <w:rsid w:val="00D4211D"/>
    <w:rsid w:val="00D428F1"/>
    <w:rsid w:val="00D42AB6"/>
    <w:rsid w:val="00D43D53"/>
    <w:rsid w:val="00D43E39"/>
    <w:rsid w:val="00D440B0"/>
    <w:rsid w:val="00D44B43"/>
    <w:rsid w:val="00D4528C"/>
    <w:rsid w:val="00D4564A"/>
    <w:rsid w:val="00D45C05"/>
    <w:rsid w:val="00D46593"/>
    <w:rsid w:val="00D465A4"/>
    <w:rsid w:val="00D47054"/>
    <w:rsid w:val="00D47905"/>
    <w:rsid w:val="00D5047D"/>
    <w:rsid w:val="00D50C24"/>
    <w:rsid w:val="00D50C79"/>
    <w:rsid w:val="00D50DA5"/>
    <w:rsid w:val="00D50DE9"/>
    <w:rsid w:val="00D51523"/>
    <w:rsid w:val="00D5160A"/>
    <w:rsid w:val="00D52252"/>
    <w:rsid w:val="00D5231F"/>
    <w:rsid w:val="00D5237E"/>
    <w:rsid w:val="00D52A7F"/>
    <w:rsid w:val="00D53344"/>
    <w:rsid w:val="00D540C3"/>
    <w:rsid w:val="00D540C5"/>
    <w:rsid w:val="00D544A3"/>
    <w:rsid w:val="00D55489"/>
    <w:rsid w:val="00D555A3"/>
    <w:rsid w:val="00D55EB0"/>
    <w:rsid w:val="00D5624B"/>
    <w:rsid w:val="00D563E5"/>
    <w:rsid w:val="00D565AB"/>
    <w:rsid w:val="00D56624"/>
    <w:rsid w:val="00D5669B"/>
    <w:rsid w:val="00D56B38"/>
    <w:rsid w:val="00D56E55"/>
    <w:rsid w:val="00D57077"/>
    <w:rsid w:val="00D572A8"/>
    <w:rsid w:val="00D60A64"/>
    <w:rsid w:val="00D60DE5"/>
    <w:rsid w:val="00D62317"/>
    <w:rsid w:val="00D6240D"/>
    <w:rsid w:val="00D62C55"/>
    <w:rsid w:val="00D6372A"/>
    <w:rsid w:val="00D63A8A"/>
    <w:rsid w:val="00D64791"/>
    <w:rsid w:val="00D64823"/>
    <w:rsid w:val="00D64EC2"/>
    <w:rsid w:val="00D663B5"/>
    <w:rsid w:val="00D66BC4"/>
    <w:rsid w:val="00D67653"/>
    <w:rsid w:val="00D6784A"/>
    <w:rsid w:val="00D679D1"/>
    <w:rsid w:val="00D67B00"/>
    <w:rsid w:val="00D67B29"/>
    <w:rsid w:val="00D67C90"/>
    <w:rsid w:val="00D67D53"/>
    <w:rsid w:val="00D7044F"/>
    <w:rsid w:val="00D70764"/>
    <w:rsid w:val="00D709F6"/>
    <w:rsid w:val="00D720FE"/>
    <w:rsid w:val="00D722A0"/>
    <w:rsid w:val="00D73171"/>
    <w:rsid w:val="00D736C3"/>
    <w:rsid w:val="00D73AB2"/>
    <w:rsid w:val="00D73BE4"/>
    <w:rsid w:val="00D73FC9"/>
    <w:rsid w:val="00D74307"/>
    <w:rsid w:val="00D753F1"/>
    <w:rsid w:val="00D75578"/>
    <w:rsid w:val="00D75913"/>
    <w:rsid w:val="00D75FD2"/>
    <w:rsid w:val="00D7618D"/>
    <w:rsid w:val="00D76208"/>
    <w:rsid w:val="00D76256"/>
    <w:rsid w:val="00D77730"/>
    <w:rsid w:val="00D777B8"/>
    <w:rsid w:val="00D80869"/>
    <w:rsid w:val="00D819F7"/>
    <w:rsid w:val="00D81AA3"/>
    <w:rsid w:val="00D81E50"/>
    <w:rsid w:val="00D81F8D"/>
    <w:rsid w:val="00D82622"/>
    <w:rsid w:val="00D826AD"/>
    <w:rsid w:val="00D83139"/>
    <w:rsid w:val="00D831AC"/>
    <w:rsid w:val="00D8350E"/>
    <w:rsid w:val="00D835EF"/>
    <w:rsid w:val="00D843E0"/>
    <w:rsid w:val="00D84E78"/>
    <w:rsid w:val="00D8521D"/>
    <w:rsid w:val="00D85B56"/>
    <w:rsid w:val="00D85F63"/>
    <w:rsid w:val="00D86C23"/>
    <w:rsid w:val="00D86CB3"/>
    <w:rsid w:val="00D87B62"/>
    <w:rsid w:val="00D905AF"/>
    <w:rsid w:val="00D918CE"/>
    <w:rsid w:val="00D91F04"/>
    <w:rsid w:val="00D91F5D"/>
    <w:rsid w:val="00D92660"/>
    <w:rsid w:val="00D926BE"/>
    <w:rsid w:val="00D932EB"/>
    <w:rsid w:val="00D93562"/>
    <w:rsid w:val="00D93F98"/>
    <w:rsid w:val="00D944C9"/>
    <w:rsid w:val="00D94EFB"/>
    <w:rsid w:val="00D9630C"/>
    <w:rsid w:val="00D96A2D"/>
    <w:rsid w:val="00D96DE6"/>
    <w:rsid w:val="00D9795E"/>
    <w:rsid w:val="00DA0027"/>
    <w:rsid w:val="00DA0CF5"/>
    <w:rsid w:val="00DA0CFC"/>
    <w:rsid w:val="00DA0D66"/>
    <w:rsid w:val="00DA154D"/>
    <w:rsid w:val="00DA20A5"/>
    <w:rsid w:val="00DA27BE"/>
    <w:rsid w:val="00DA27D7"/>
    <w:rsid w:val="00DA2956"/>
    <w:rsid w:val="00DA2EE6"/>
    <w:rsid w:val="00DA302E"/>
    <w:rsid w:val="00DA308E"/>
    <w:rsid w:val="00DA320A"/>
    <w:rsid w:val="00DA38CB"/>
    <w:rsid w:val="00DA3EC1"/>
    <w:rsid w:val="00DA420D"/>
    <w:rsid w:val="00DA5302"/>
    <w:rsid w:val="00DA5679"/>
    <w:rsid w:val="00DA56B4"/>
    <w:rsid w:val="00DA5C67"/>
    <w:rsid w:val="00DA7813"/>
    <w:rsid w:val="00DA7DC6"/>
    <w:rsid w:val="00DB05BD"/>
    <w:rsid w:val="00DB16E7"/>
    <w:rsid w:val="00DB1A2C"/>
    <w:rsid w:val="00DB1A8E"/>
    <w:rsid w:val="00DB1BE6"/>
    <w:rsid w:val="00DB2762"/>
    <w:rsid w:val="00DB3BC4"/>
    <w:rsid w:val="00DB5712"/>
    <w:rsid w:val="00DB57C1"/>
    <w:rsid w:val="00DB5A85"/>
    <w:rsid w:val="00DB5D4D"/>
    <w:rsid w:val="00DB6578"/>
    <w:rsid w:val="00DB756B"/>
    <w:rsid w:val="00DB761E"/>
    <w:rsid w:val="00DB796E"/>
    <w:rsid w:val="00DB7B97"/>
    <w:rsid w:val="00DB7D8D"/>
    <w:rsid w:val="00DB7FC3"/>
    <w:rsid w:val="00DC0C23"/>
    <w:rsid w:val="00DC1AF2"/>
    <w:rsid w:val="00DC1B39"/>
    <w:rsid w:val="00DC2072"/>
    <w:rsid w:val="00DC23BD"/>
    <w:rsid w:val="00DC2F3E"/>
    <w:rsid w:val="00DC30AE"/>
    <w:rsid w:val="00DC3410"/>
    <w:rsid w:val="00DC41AD"/>
    <w:rsid w:val="00DC4F38"/>
    <w:rsid w:val="00DC5769"/>
    <w:rsid w:val="00DC5BE5"/>
    <w:rsid w:val="00DC6129"/>
    <w:rsid w:val="00DC660E"/>
    <w:rsid w:val="00DC68C2"/>
    <w:rsid w:val="00DC6E80"/>
    <w:rsid w:val="00DC7935"/>
    <w:rsid w:val="00DC7EA0"/>
    <w:rsid w:val="00DD04DD"/>
    <w:rsid w:val="00DD07FD"/>
    <w:rsid w:val="00DD08DC"/>
    <w:rsid w:val="00DD1223"/>
    <w:rsid w:val="00DD1230"/>
    <w:rsid w:val="00DD2024"/>
    <w:rsid w:val="00DD2BB1"/>
    <w:rsid w:val="00DD2E8C"/>
    <w:rsid w:val="00DD2F2D"/>
    <w:rsid w:val="00DD2FAA"/>
    <w:rsid w:val="00DD39B6"/>
    <w:rsid w:val="00DD4176"/>
    <w:rsid w:val="00DD4E83"/>
    <w:rsid w:val="00DD50E4"/>
    <w:rsid w:val="00DD5926"/>
    <w:rsid w:val="00DD6070"/>
    <w:rsid w:val="00DD692D"/>
    <w:rsid w:val="00DD6A53"/>
    <w:rsid w:val="00DD6B11"/>
    <w:rsid w:val="00DD6BFC"/>
    <w:rsid w:val="00DD6CA4"/>
    <w:rsid w:val="00DD71A1"/>
    <w:rsid w:val="00DE01AB"/>
    <w:rsid w:val="00DE0738"/>
    <w:rsid w:val="00DE0959"/>
    <w:rsid w:val="00DE0A40"/>
    <w:rsid w:val="00DE0CE0"/>
    <w:rsid w:val="00DE0D68"/>
    <w:rsid w:val="00DE0E0D"/>
    <w:rsid w:val="00DE157D"/>
    <w:rsid w:val="00DE1C3E"/>
    <w:rsid w:val="00DE1ED3"/>
    <w:rsid w:val="00DE21DC"/>
    <w:rsid w:val="00DE226C"/>
    <w:rsid w:val="00DE263A"/>
    <w:rsid w:val="00DE26C7"/>
    <w:rsid w:val="00DE3318"/>
    <w:rsid w:val="00DE33BC"/>
    <w:rsid w:val="00DE36A8"/>
    <w:rsid w:val="00DE3FF0"/>
    <w:rsid w:val="00DE4785"/>
    <w:rsid w:val="00DE4B31"/>
    <w:rsid w:val="00DE4F19"/>
    <w:rsid w:val="00DE54FF"/>
    <w:rsid w:val="00DE5B46"/>
    <w:rsid w:val="00DE63CA"/>
    <w:rsid w:val="00DE666C"/>
    <w:rsid w:val="00DE71FB"/>
    <w:rsid w:val="00DE7836"/>
    <w:rsid w:val="00DF0844"/>
    <w:rsid w:val="00DF0A22"/>
    <w:rsid w:val="00DF14F5"/>
    <w:rsid w:val="00DF15B0"/>
    <w:rsid w:val="00DF179F"/>
    <w:rsid w:val="00DF21AB"/>
    <w:rsid w:val="00DF3D44"/>
    <w:rsid w:val="00DF3E1C"/>
    <w:rsid w:val="00DF4386"/>
    <w:rsid w:val="00DF50E2"/>
    <w:rsid w:val="00DF5208"/>
    <w:rsid w:val="00DF5C72"/>
    <w:rsid w:val="00DF6761"/>
    <w:rsid w:val="00DF6890"/>
    <w:rsid w:val="00DF6DE6"/>
    <w:rsid w:val="00DF6EEB"/>
    <w:rsid w:val="00DF794B"/>
    <w:rsid w:val="00E017C4"/>
    <w:rsid w:val="00E028EB"/>
    <w:rsid w:val="00E02E1E"/>
    <w:rsid w:val="00E031F9"/>
    <w:rsid w:val="00E049A0"/>
    <w:rsid w:val="00E04D19"/>
    <w:rsid w:val="00E059C8"/>
    <w:rsid w:val="00E070BD"/>
    <w:rsid w:val="00E071B5"/>
    <w:rsid w:val="00E071F5"/>
    <w:rsid w:val="00E0738C"/>
    <w:rsid w:val="00E07C25"/>
    <w:rsid w:val="00E102D3"/>
    <w:rsid w:val="00E10878"/>
    <w:rsid w:val="00E10C37"/>
    <w:rsid w:val="00E1121F"/>
    <w:rsid w:val="00E11BA9"/>
    <w:rsid w:val="00E12223"/>
    <w:rsid w:val="00E125AD"/>
    <w:rsid w:val="00E12C79"/>
    <w:rsid w:val="00E132CD"/>
    <w:rsid w:val="00E14100"/>
    <w:rsid w:val="00E144E6"/>
    <w:rsid w:val="00E14EB3"/>
    <w:rsid w:val="00E155D9"/>
    <w:rsid w:val="00E15EE7"/>
    <w:rsid w:val="00E17D06"/>
    <w:rsid w:val="00E17DF5"/>
    <w:rsid w:val="00E20269"/>
    <w:rsid w:val="00E20412"/>
    <w:rsid w:val="00E20447"/>
    <w:rsid w:val="00E20757"/>
    <w:rsid w:val="00E21687"/>
    <w:rsid w:val="00E217F8"/>
    <w:rsid w:val="00E21D3D"/>
    <w:rsid w:val="00E21E13"/>
    <w:rsid w:val="00E22109"/>
    <w:rsid w:val="00E2214F"/>
    <w:rsid w:val="00E22DEB"/>
    <w:rsid w:val="00E23BD7"/>
    <w:rsid w:val="00E25E50"/>
    <w:rsid w:val="00E26485"/>
    <w:rsid w:val="00E27C90"/>
    <w:rsid w:val="00E30637"/>
    <w:rsid w:val="00E30AC7"/>
    <w:rsid w:val="00E31A52"/>
    <w:rsid w:val="00E3207B"/>
    <w:rsid w:val="00E32570"/>
    <w:rsid w:val="00E32A41"/>
    <w:rsid w:val="00E32C31"/>
    <w:rsid w:val="00E339C8"/>
    <w:rsid w:val="00E33E88"/>
    <w:rsid w:val="00E34A9A"/>
    <w:rsid w:val="00E34B23"/>
    <w:rsid w:val="00E35D14"/>
    <w:rsid w:val="00E3654D"/>
    <w:rsid w:val="00E3756B"/>
    <w:rsid w:val="00E40127"/>
    <w:rsid w:val="00E40275"/>
    <w:rsid w:val="00E40A68"/>
    <w:rsid w:val="00E40BE4"/>
    <w:rsid w:val="00E41A40"/>
    <w:rsid w:val="00E420C8"/>
    <w:rsid w:val="00E43229"/>
    <w:rsid w:val="00E438B9"/>
    <w:rsid w:val="00E44248"/>
    <w:rsid w:val="00E44B25"/>
    <w:rsid w:val="00E45373"/>
    <w:rsid w:val="00E45380"/>
    <w:rsid w:val="00E459F0"/>
    <w:rsid w:val="00E45BE6"/>
    <w:rsid w:val="00E45CAB"/>
    <w:rsid w:val="00E45D08"/>
    <w:rsid w:val="00E462C3"/>
    <w:rsid w:val="00E462C7"/>
    <w:rsid w:val="00E46A3F"/>
    <w:rsid w:val="00E47700"/>
    <w:rsid w:val="00E47801"/>
    <w:rsid w:val="00E47B62"/>
    <w:rsid w:val="00E5035A"/>
    <w:rsid w:val="00E50C5D"/>
    <w:rsid w:val="00E5138A"/>
    <w:rsid w:val="00E513D9"/>
    <w:rsid w:val="00E51F79"/>
    <w:rsid w:val="00E52A69"/>
    <w:rsid w:val="00E53156"/>
    <w:rsid w:val="00E544A0"/>
    <w:rsid w:val="00E54F03"/>
    <w:rsid w:val="00E5552B"/>
    <w:rsid w:val="00E55568"/>
    <w:rsid w:val="00E55D5D"/>
    <w:rsid w:val="00E56955"/>
    <w:rsid w:val="00E569A4"/>
    <w:rsid w:val="00E57900"/>
    <w:rsid w:val="00E60A0C"/>
    <w:rsid w:val="00E61BB1"/>
    <w:rsid w:val="00E62268"/>
    <w:rsid w:val="00E62449"/>
    <w:rsid w:val="00E62463"/>
    <w:rsid w:val="00E63120"/>
    <w:rsid w:val="00E63215"/>
    <w:rsid w:val="00E632C2"/>
    <w:rsid w:val="00E634E9"/>
    <w:rsid w:val="00E6351B"/>
    <w:rsid w:val="00E64006"/>
    <w:rsid w:val="00E64409"/>
    <w:rsid w:val="00E6456D"/>
    <w:rsid w:val="00E646D4"/>
    <w:rsid w:val="00E65238"/>
    <w:rsid w:val="00E65B30"/>
    <w:rsid w:val="00E66218"/>
    <w:rsid w:val="00E66427"/>
    <w:rsid w:val="00E665B5"/>
    <w:rsid w:val="00E66B31"/>
    <w:rsid w:val="00E675EB"/>
    <w:rsid w:val="00E67A64"/>
    <w:rsid w:val="00E67C9A"/>
    <w:rsid w:val="00E7073D"/>
    <w:rsid w:val="00E7083A"/>
    <w:rsid w:val="00E708E1"/>
    <w:rsid w:val="00E70B84"/>
    <w:rsid w:val="00E71ADC"/>
    <w:rsid w:val="00E71E7B"/>
    <w:rsid w:val="00E7298C"/>
    <w:rsid w:val="00E72B1E"/>
    <w:rsid w:val="00E72CB3"/>
    <w:rsid w:val="00E7327C"/>
    <w:rsid w:val="00E733B8"/>
    <w:rsid w:val="00E733FE"/>
    <w:rsid w:val="00E7358E"/>
    <w:rsid w:val="00E736CA"/>
    <w:rsid w:val="00E7395B"/>
    <w:rsid w:val="00E73D01"/>
    <w:rsid w:val="00E741DF"/>
    <w:rsid w:val="00E74AA2"/>
    <w:rsid w:val="00E75728"/>
    <w:rsid w:val="00E75CCC"/>
    <w:rsid w:val="00E762DB"/>
    <w:rsid w:val="00E76F4E"/>
    <w:rsid w:val="00E772A4"/>
    <w:rsid w:val="00E776EF"/>
    <w:rsid w:val="00E80388"/>
    <w:rsid w:val="00E80496"/>
    <w:rsid w:val="00E80F78"/>
    <w:rsid w:val="00E8115C"/>
    <w:rsid w:val="00E81555"/>
    <w:rsid w:val="00E81710"/>
    <w:rsid w:val="00E8180F"/>
    <w:rsid w:val="00E8260F"/>
    <w:rsid w:val="00E82D8B"/>
    <w:rsid w:val="00E8313F"/>
    <w:rsid w:val="00E8351D"/>
    <w:rsid w:val="00E83AA0"/>
    <w:rsid w:val="00E83C14"/>
    <w:rsid w:val="00E83D6F"/>
    <w:rsid w:val="00E843A8"/>
    <w:rsid w:val="00E8455D"/>
    <w:rsid w:val="00E8467E"/>
    <w:rsid w:val="00E8557B"/>
    <w:rsid w:val="00E85704"/>
    <w:rsid w:val="00E85D97"/>
    <w:rsid w:val="00E866AA"/>
    <w:rsid w:val="00E867D5"/>
    <w:rsid w:val="00E87920"/>
    <w:rsid w:val="00E90D49"/>
    <w:rsid w:val="00E92080"/>
    <w:rsid w:val="00E920CC"/>
    <w:rsid w:val="00E92BF8"/>
    <w:rsid w:val="00E92FAD"/>
    <w:rsid w:val="00E94098"/>
    <w:rsid w:val="00E944FC"/>
    <w:rsid w:val="00E94D85"/>
    <w:rsid w:val="00E95B72"/>
    <w:rsid w:val="00E96224"/>
    <w:rsid w:val="00E96823"/>
    <w:rsid w:val="00E969DA"/>
    <w:rsid w:val="00E96A32"/>
    <w:rsid w:val="00EA020A"/>
    <w:rsid w:val="00EA0850"/>
    <w:rsid w:val="00EA0F30"/>
    <w:rsid w:val="00EA1722"/>
    <w:rsid w:val="00EA1795"/>
    <w:rsid w:val="00EA17F9"/>
    <w:rsid w:val="00EA244E"/>
    <w:rsid w:val="00EA2E6C"/>
    <w:rsid w:val="00EA315C"/>
    <w:rsid w:val="00EA34D9"/>
    <w:rsid w:val="00EA4A96"/>
    <w:rsid w:val="00EA4B36"/>
    <w:rsid w:val="00EA6023"/>
    <w:rsid w:val="00EA70BA"/>
    <w:rsid w:val="00EB1643"/>
    <w:rsid w:val="00EB1A2E"/>
    <w:rsid w:val="00EB1FF0"/>
    <w:rsid w:val="00EB2052"/>
    <w:rsid w:val="00EB3CB7"/>
    <w:rsid w:val="00EB4651"/>
    <w:rsid w:val="00EB487F"/>
    <w:rsid w:val="00EB4D6E"/>
    <w:rsid w:val="00EB5034"/>
    <w:rsid w:val="00EB55F8"/>
    <w:rsid w:val="00EB677C"/>
    <w:rsid w:val="00EB77C9"/>
    <w:rsid w:val="00EB7BC8"/>
    <w:rsid w:val="00EB7D61"/>
    <w:rsid w:val="00EC0703"/>
    <w:rsid w:val="00EC09ED"/>
    <w:rsid w:val="00EC0B79"/>
    <w:rsid w:val="00EC12EA"/>
    <w:rsid w:val="00EC20A1"/>
    <w:rsid w:val="00EC28F6"/>
    <w:rsid w:val="00EC3670"/>
    <w:rsid w:val="00EC4004"/>
    <w:rsid w:val="00EC43CA"/>
    <w:rsid w:val="00EC463E"/>
    <w:rsid w:val="00EC5694"/>
    <w:rsid w:val="00EC5908"/>
    <w:rsid w:val="00EC6134"/>
    <w:rsid w:val="00EC6193"/>
    <w:rsid w:val="00EC6674"/>
    <w:rsid w:val="00EC6C60"/>
    <w:rsid w:val="00EC6DEC"/>
    <w:rsid w:val="00EC777A"/>
    <w:rsid w:val="00EC7DAC"/>
    <w:rsid w:val="00ED0757"/>
    <w:rsid w:val="00ED086B"/>
    <w:rsid w:val="00ED0E9E"/>
    <w:rsid w:val="00ED0EF3"/>
    <w:rsid w:val="00ED11BB"/>
    <w:rsid w:val="00ED1301"/>
    <w:rsid w:val="00ED13B4"/>
    <w:rsid w:val="00ED1700"/>
    <w:rsid w:val="00ED1D31"/>
    <w:rsid w:val="00ED241E"/>
    <w:rsid w:val="00ED33E1"/>
    <w:rsid w:val="00ED38C9"/>
    <w:rsid w:val="00ED3AF1"/>
    <w:rsid w:val="00ED3DAD"/>
    <w:rsid w:val="00ED4A2D"/>
    <w:rsid w:val="00ED4A9D"/>
    <w:rsid w:val="00ED5B3A"/>
    <w:rsid w:val="00ED72CA"/>
    <w:rsid w:val="00ED7A5E"/>
    <w:rsid w:val="00ED7E9E"/>
    <w:rsid w:val="00EE0C79"/>
    <w:rsid w:val="00EE0E25"/>
    <w:rsid w:val="00EE10B1"/>
    <w:rsid w:val="00EE17B9"/>
    <w:rsid w:val="00EE1E6E"/>
    <w:rsid w:val="00EE1FBE"/>
    <w:rsid w:val="00EE2016"/>
    <w:rsid w:val="00EE20AF"/>
    <w:rsid w:val="00EE2215"/>
    <w:rsid w:val="00EE2739"/>
    <w:rsid w:val="00EE2C13"/>
    <w:rsid w:val="00EE2CF4"/>
    <w:rsid w:val="00EE2D99"/>
    <w:rsid w:val="00EE3014"/>
    <w:rsid w:val="00EE3811"/>
    <w:rsid w:val="00EE3AB0"/>
    <w:rsid w:val="00EE3F65"/>
    <w:rsid w:val="00EE479D"/>
    <w:rsid w:val="00EE4925"/>
    <w:rsid w:val="00EE4D32"/>
    <w:rsid w:val="00EE4E74"/>
    <w:rsid w:val="00EE67FE"/>
    <w:rsid w:val="00EE68EF"/>
    <w:rsid w:val="00EE6E7A"/>
    <w:rsid w:val="00EE735D"/>
    <w:rsid w:val="00EF0EBE"/>
    <w:rsid w:val="00EF10C5"/>
    <w:rsid w:val="00EF1794"/>
    <w:rsid w:val="00EF1EFD"/>
    <w:rsid w:val="00EF3777"/>
    <w:rsid w:val="00EF3C93"/>
    <w:rsid w:val="00EF3F7C"/>
    <w:rsid w:val="00EF43E7"/>
    <w:rsid w:val="00EF44DC"/>
    <w:rsid w:val="00EF4871"/>
    <w:rsid w:val="00EF4956"/>
    <w:rsid w:val="00EF4EA8"/>
    <w:rsid w:val="00EF59D4"/>
    <w:rsid w:val="00EF60ED"/>
    <w:rsid w:val="00EF6486"/>
    <w:rsid w:val="00EF6970"/>
    <w:rsid w:val="00EF6C39"/>
    <w:rsid w:val="00EF6F02"/>
    <w:rsid w:val="00EF7ED1"/>
    <w:rsid w:val="00F00D3B"/>
    <w:rsid w:val="00F01833"/>
    <w:rsid w:val="00F018E9"/>
    <w:rsid w:val="00F026A4"/>
    <w:rsid w:val="00F02B23"/>
    <w:rsid w:val="00F02B74"/>
    <w:rsid w:val="00F035DB"/>
    <w:rsid w:val="00F047DE"/>
    <w:rsid w:val="00F04853"/>
    <w:rsid w:val="00F049EF"/>
    <w:rsid w:val="00F04ACA"/>
    <w:rsid w:val="00F04F81"/>
    <w:rsid w:val="00F05894"/>
    <w:rsid w:val="00F06D7A"/>
    <w:rsid w:val="00F0714E"/>
    <w:rsid w:val="00F07506"/>
    <w:rsid w:val="00F07B81"/>
    <w:rsid w:val="00F10495"/>
    <w:rsid w:val="00F10617"/>
    <w:rsid w:val="00F1067B"/>
    <w:rsid w:val="00F10BDB"/>
    <w:rsid w:val="00F10F48"/>
    <w:rsid w:val="00F11677"/>
    <w:rsid w:val="00F117AB"/>
    <w:rsid w:val="00F117C6"/>
    <w:rsid w:val="00F119D3"/>
    <w:rsid w:val="00F120C4"/>
    <w:rsid w:val="00F1233C"/>
    <w:rsid w:val="00F124CF"/>
    <w:rsid w:val="00F12FDB"/>
    <w:rsid w:val="00F131DB"/>
    <w:rsid w:val="00F1415F"/>
    <w:rsid w:val="00F143B5"/>
    <w:rsid w:val="00F147C5"/>
    <w:rsid w:val="00F14A81"/>
    <w:rsid w:val="00F14C60"/>
    <w:rsid w:val="00F16202"/>
    <w:rsid w:val="00F16FDF"/>
    <w:rsid w:val="00F1742A"/>
    <w:rsid w:val="00F1749A"/>
    <w:rsid w:val="00F17AE5"/>
    <w:rsid w:val="00F17C76"/>
    <w:rsid w:val="00F17C7A"/>
    <w:rsid w:val="00F20511"/>
    <w:rsid w:val="00F20925"/>
    <w:rsid w:val="00F209CE"/>
    <w:rsid w:val="00F20FF1"/>
    <w:rsid w:val="00F2155F"/>
    <w:rsid w:val="00F21E02"/>
    <w:rsid w:val="00F21EA5"/>
    <w:rsid w:val="00F2277E"/>
    <w:rsid w:val="00F2286D"/>
    <w:rsid w:val="00F22E20"/>
    <w:rsid w:val="00F235B9"/>
    <w:rsid w:val="00F23980"/>
    <w:rsid w:val="00F23BB5"/>
    <w:rsid w:val="00F23BD8"/>
    <w:rsid w:val="00F2401F"/>
    <w:rsid w:val="00F2419F"/>
    <w:rsid w:val="00F2424C"/>
    <w:rsid w:val="00F24324"/>
    <w:rsid w:val="00F24C0C"/>
    <w:rsid w:val="00F24DFF"/>
    <w:rsid w:val="00F254F9"/>
    <w:rsid w:val="00F271F9"/>
    <w:rsid w:val="00F27212"/>
    <w:rsid w:val="00F272E9"/>
    <w:rsid w:val="00F27672"/>
    <w:rsid w:val="00F300EB"/>
    <w:rsid w:val="00F30718"/>
    <w:rsid w:val="00F30B68"/>
    <w:rsid w:val="00F30B7A"/>
    <w:rsid w:val="00F318C6"/>
    <w:rsid w:val="00F31B46"/>
    <w:rsid w:val="00F323A6"/>
    <w:rsid w:val="00F324F0"/>
    <w:rsid w:val="00F325B3"/>
    <w:rsid w:val="00F32D8B"/>
    <w:rsid w:val="00F32F97"/>
    <w:rsid w:val="00F33650"/>
    <w:rsid w:val="00F338D4"/>
    <w:rsid w:val="00F33EBD"/>
    <w:rsid w:val="00F34A30"/>
    <w:rsid w:val="00F352D8"/>
    <w:rsid w:val="00F354C8"/>
    <w:rsid w:val="00F356D0"/>
    <w:rsid w:val="00F3581D"/>
    <w:rsid w:val="00F35C8A"/>
    <w:rsid w:val="00F35F07"/>
    <w:rsid w:val="00F3611A"/>
    <w:rsid w:val="00F36599"/>
    <w:rsid w:val="00F36E4D"/>
    <w:rsid w:val="00F379D4"/>
    <w:rsid w:val="00F409A2"/>
    <w:rsid w:val="00F41112"/>
    <w:rsid w:val="00F4128B"/>
    <w:rsid w:val="00F42338"/>
    <w:rsid w:val="00F43261"/>
    <w:rsid w:val="00F43B35"/>
    <w:rsid w:val="00F43D7E"/>
    <w:rsid w:val="00F44544"/>
    <w:rsid w:val="00F44FAF"/>
    <w:rsid w:val="00F45FC7"/>
    <w:rsid w:val="00F46791"/>
    <w:rsid w:val="00F4703E"/>
    <w:rsid w:val="00F508F4"/>
    <w:rsid w:val="00F50C88"/>
    <w:rsid w:val="00F50F96"/>
    <w:rsid w:val="00F51125"/>
    <w:rsid w:val="00F5165A"/>
    <w:rsid w:val="00F5178E"/>
    <w:rsid w:val="00F52258"/>
    <w:rsid w:val="00F5295F"/>
    <w:rsid w:val="00F52C27"/>
    <w:rsid w:val="00F52CA2"/>
    <w:rsid w:val="00F52F3B"/>
    <w:rsid w:val="00F531B5"/>
    <w:rsid w:val="00F5362D"/>
    <w:rsid w:val="00F536C9"/>
    <w:rsid w:val="00F5382D"/>
    <w:rsid w:val="00F5395A"/>
    <w:rsid w:val="00F5399D"/>
    <w:rsid w:val="00F54135"/>
    <w:rsid w:val="00F54324"/>
    <w:rsid w:val="00F54BBB"/>
    <w:rsid w:val="00F55541"/>
    <w:rsid w:val="00F567BA"/>
    <w:rsid w:val="00F56EE8"/>
    <w:rsid w:val="00F57207"/>
    <w:rsid w:val="00F60161"/>
    <w:rsid w:val="00F612BD"/>
    <w:rsid w:val="00F6155C"/>
    <w:rsid w:val="00F618E8"/>
    <w:rsid w:val="00F61B14"/>
    <w:rsid w:val="00F62C47"/>
    <w:rsid w:val="00F62D6F"/>
    <w:rsid w:val="00F6367F"/>
    <w:rsid w:val="00F6368F"/>
    <w:rsid w:val="00F6450E"/>
    <w:rsid w:val="00F645D4"/>
    <w:rsid w:val="00F6467D"/>
    <w:rsid w:val="00F64D3E"/>
    <w:rsid w:val="00F652EA"/>
    <w:rsid w:val="00F6588B"/>
    <w:rsid w:val="00F65D21"/>
    <w:rsid w:val="00F66869"/>
    <w:rsid w:val="00F66D3F"/>
    <w:rsid w:val="00F66E44"/>
    <w:rsid w:val="00F6708C"/>
    <w:rsid w:val="00F7032A"/>
    <w:rsid w:val="00F71676"/>
    <w:rsid w:val="00F71DA2"/>
    <w:rsid w:val="00F71FC1"/>
    <w:rsid w:val="00F72813"/>
    <w:rsid w:val="00F72A86"/>
    <w:rsid w:val="00F72C98"/>
    <w:rsid w:val="00F73419"/>
    <w:rsid w:val="00F73A78"/>
    <w:rsid w:val="00F73D56"/>
    <w:rsid w:val="00F74592"/>
    <w:rsid w:val="00F754A6"/>
    <w:rsid w:val="00F76AAC"/>
    <w:rsid w:val="00F76D2E"/>
    <w:rsid w:val="00F76D7B"/>
    <w:rsid w:val="00F76E78"/>
    <w:rsid w:val="00F770DB"/>
    <w:rsid w:val="00F77215"/>
    <w:rsid w:val="00F773BD"/>
    <w:rsid w:val="00F80284"/>
    <w:rsid w:val="00F81499"/>
    <w:rsid w:val="00F8207D"/>
    <w:rsid w:val="00F8234A"/>
    <w:rsid w:val="00F823FD"/>
    <w:rsid w:val="00F829B5"/>
    <w:rsid w:val="00F82A7A"/>
    <w:rsid w:val="00F83533"/>
    <w:rsid w:val="00F83811"/>
    <w:rsid w:val="00F83B20"/>
    <w:rsid w:val="00F83BC5"/>
    <w:rsid w:val="00F84260"/>
    <w:rsid w:val="00F847A9"/>
    <w:rsid w:val="00F853CD"/>
    <w:rsid w:val="00F85757"/>
    <w:rsid w:val="00F86071"/>
    <w:rsid w:val="00F86082"/>
    <w:rsid w:val="00F86511"/>
    <w:rsid w:val="00F87A39"/>
    <w:rsid w:val="00F87EF4"/>
    <w:rsid w:val="00F90A04"/>
    <w:rsid w:val="00F91AFC"/>
    <w:rsid w:val="00F921F7"/>
    <w:rsid w:val="00F9320E"/>
    <w:rsid w:val="00F939BC"/>
    <w:rsid w:val="00F943A8"/>
    <w:rsid w:val="00F94519"/>
    <w:rsid w:val="00F95415"/>
    <w:rsid w:val="00F957C1"/>
    <w:rsid w:val="00F95ACA"/>
    <w:rsid w:val="00F95BCA"/>
    <w:rsid w:val="00F95DE0"/>
    <w:rsid w:val="00F964CD"/>
    <w:rsid w:val="00F96657"/>
    <w:rsid w:val="00F967FB"/>
    <w:rsid w:val="00F97959"/>
    <w:rsid w:val="00FA0102"/>
    <w:rsid w:val="00FA0A46"/>
    <w:rsid w:val="00FA0C41"/>
    <w:rsid w:val="00FA102D"/>
    <w:rsid w:val="00FA107C"/>
    <w:rsid w:val="00FA12D4"/>
    <w:rsid w:val="00FA175E"/>
    <w:rsid w:val="00FA1E21"/>
    <w:rsid w:val="00FA1FC4"/>
    <w:rsid w:val="00FA3B25"/>
    <w:rsid w:val="00FA3C58"/>
    <w:rsid w:val="00FA41A2"/>
    <w:rsid w:val="00FA513C"/>
    <w:rsid w:val="00FA59C9"/>
    <w:rsid w:val="00FA641C"/>
    <w:rsid w:val="00FA6619"/>
    <w:rsid w:val="00FA6C41"/>
    <w:rsid w:val="00FA6FCF"/>
    <w:rsid w:val="00FA7226"/>
    <w:rsid w:val="00FA76CE"/>
    <w:rsid w:val="00FA7721"/>
    <w:rsid w:val="00FA797E"/>
    <w:rsid w:val="00FB00FE"/>
    <w:rsid w:val="00FB182A"/>
    <w:rsid w:val="00FB1864"/>
    <w:rsid w:val="00FB18A8"/>
    <w:rsid w:val="00FB1A89"/>
    <w:rsid w:val="00FB22A2"/>
    <w:rsid w:val="00FB23DB"/>
    <w:rsid w:val="00FB3D0B"/>
    <w:rsid w:val="00FB44FD"/>
    <w:rsid w:val="00FB45D4"/>
    <w:rsid w:val="00FB464A"/>
    <w:rsid w:val="00FB46A8"/>
    <w:rsid w:val="00FB4754"/>
    <w:rsid w:val="00FB49F3"/>
    <w:rsid w:val="00FB4DE5"/>
    <w:rsid w:val="00FB5126"/>
    <w:rsid w:val="00FB592F"/>
    <w:rsid w:val="00FB5B66"/>
    <w:rsid w:val="00FB6466"/>
    <w:rsid w:val="00FB6B08"/>
    <w:rsid w:val="00FB7F65"/>
    <w:rsid w:val="00FC056A"/>
    <w:rsid w:val="00FC0F42"/>
    <w:rsid w:val="00FC12E3"/>
    <w:rsid w:val="00FC1564"/>
    <w:rsid w:val="00FC1A73"/>
    <w:rsid w:val="00FC25F6"/>
    <w:rsid w:val="00FC2945"/>
    <w:rsid w:val="00FC2EAB"/>
    <w:rsid w:val="00FC32BE"/>
    <w:rsid w:val="00FC3F08"/>
    <w:rsid w:val="00FC402E"/>
    <w:rsid w:val="00FC41B6"/>
    <w:rsid w:val="00FC4E5B"/>
    <w:rsid w:val="00FC526E"/>
    <w:rsid w:val="00FC61FC"/>
    <w:rsid w:val="00FC62A5"/>
    <w:rsid w:val="00FC7143"/>
    <w:rsid w:val="00FC777A"/>
    <w:rsid w:val="00FC7991"/>
    <w:rsid w:val="00FC7D74"/>
    <w:rsid w:val="00FD02A9"/>
    <w:rsid w:val="00FD0DA5"/>
    <w:rsid w:val="00FD1054"/>
    <w:rsid w:val="00FD1142"/>
    <w:rsid w:val="00FD1729"/>
    <w:rsid w:val="00FD1768"/>
    <w:rsid w:val="00FD21AD"/>
    <w:rsid w:val="00FD231A"/>
    <w:rsid w:val="00FD27EF"/>
    <w:rsid w:val="00FD3BEF"/>
    <w:rsid w:val="00FD3D6C"/>
    <w:rsid w:val="00FD4838"/>
    <w:rsid w:val="00FD54AB"/>
    <w:rsid w:val="00FD5EED"/>
    <w:rsid w:val="00FD5F2D"/>
    <w:rsid w:val="00FD73AE"/>
    <w:rsid w:val="00FD77E7"/>
    <w:rsid w:val="00FD7BA2"/>
    <w:rsid w:val="00FE0540"/>
    <w:rsid w:val="00FE0CE7"/>
    <w:rsid w:val="00FE0D9C"/>
    <w:rsid w:val="00FE1572"/>
    <w:rsid w:val="00FE1908"/>
    <w:rsid w:val="00FE1B9B"/>
    <w:rsid w:val="00FE202C"/>
    <w:rsid w:val="00FE2259"/>
    <w:rsid w:val="00FE3952"/>
    <w:rsid w:val="00FE3C3D"/>
    <w:rsid w:val="00FE4003"/>
    <w:rsid w:val="00FE4197"/>
    <w:rsid w:val="00FE41AB"/>
    <w:rsid w:val="00FE47DA"/>
    <w:rsid w:val="00FE4B54"/>
    <w:rsid w:val="00FE4EF8"/>
    <w:rsid w:val="00FE4F77"/>
    <w:rsid w:val="00FE5296"/>
    <w:rsid w:val="00FE53D4"/>
    <w:rsid w:val="00FE56C1"/>
    <w:rsid w:val="00FE579B"/>
    <w:rsid w:val="00FE5A88"/>
    <w:rsid w:val="00FE5E45"/>
    <w:rsid w:val="00FE77DC"/>
    <w:rsid w:val="00FE7C34"/>
    <w:rsid w:val="00FF0056"/>
    <w:rsid w:val="00FF00E6"/>
    <w:rsid w:val="00FF06E2"/>
    <w:rsid w:val="00FF06F3"/>
    <w:rsid w:val="00FF0E44"/>
    <w:rsid w:val="00FF2A80"/>
    <w:rsid w:val="00FF2AB3"/>
    <w:rsid w:val="00FF2B8B"/>
    <w:rsid w:val="00FF3841"/>
    <w:rsid w:val="00FF3D10"/>
    <w:rsid w:val="00FF3FF3"/>
    <w:rsid w:val="00FF4175"/>
    <w:rsid w:val="00FF4ECF"/>
    <w:rsid w:val="00FF4FFF"/>
    <w:rsid w:val="00FF5058"/>
    <w:rsid w:val="00FF5059"/>
    <w:rsid w:val="00FF52EF"/>
    <w:rsid w:val="00FF5D50"/>
    <w:rsid w:val="00FF6C16"/>
    <w:rsid w:val="00FF7170"/>
    <w:rsid w:val="00FF74E1"/>
    <w:rsid w:val="00FF771A"/>
    <w:rsid w:val="00FF7C84"/>
    <w:rsid w:val="00FF7CBC"/>
    <w:rsid w:val="013009F4"/>
    <w:rsid w:val="013F4C8D"/>
    <w:rsid w:val="014D649E"/>
    <w:rsid w:val="0153D687"/>
    <w:rsid w:val="0210673C"/>
    <w:rsid w:val="02260D26"/>
    <w:rsid w:val="025C2856"/>
    <w:rsid w:val="026087D4"/>
    <w:rsid w:val="0373C9B3"/>
    <w:rsid w:val="03B91E1B"/>
    <w:rsid w:val="042A771C"/>
    <w:rsid w:val="04710D1A"/>
    <w:rsid w:val="0493E784"/>
    <w:rsid w:val="0547E1B3"/>
    <w:rsid w:val="05851670"/>
    <w:rsid w:val="0589E3E3"/>
    <w:rsid w:val="0596D650"/>
    <w:rsid w:val="05EFC2A9"/>
    <w:rsid w:val="0668A81C"/>
    <w:rsid w:val="06F56244"/>
    <w:rsid w:val="071187A8"/>
    <w:rsid w:val="07969E32"/>
    <w:rsid w:val="07EE8BA7"/>
    <w:rsid w:val="08DD8861"/>
    <w:rsid w:val="096A1D0A"/>
    <w:rsid w:val="099F7121"/>
    <w:rsid w:val="09EF1F0D"/>
    <w:rsid w:val="0A2FA261"/>
    <w:rsid w:val="0A43CD35"/>
    <w:rsid w:val="0A4AEC5E"/>
    <w:rsid w:val="0A682FFC"/>
    <w:rsid w:val="0AF9C0EC"/>
    <w:rsid w:val="0B4C17DE"/>
    <w:rsid w:val="0B857533"/>
    <w:rsid w:val="0BEC497F"/>
    <w:rsid w:val="0BEE41BD"/>
    <w:rsid w:val="0C5EAAEA"/>
    <w:rsid w:val="0C682C07"/>
    <w:rsid w:val="0CAF7788"/>
    <w:rsid w:val="0D112D41"/>
    <w:rsid w:val="0D43451A"/>
    <w:rsid w:val="0DCCF11B"/>
    <w:rsid w:val="0EBAAFFE"/>
    <w:rsid w:val="0F1D1FD8"/>
    <w:rsid w:val="0FD77685"/>
    <w:rsid w:val="0FDB9EEF"/>
    <w:rsid w:val="10ABCF9A"/>
    <w:rsid w:val="10BE5C64"/>
    <w:rsid w:val="10DADB3D"/>
    <w:rsid w:val="118150B0"/>
    <w:rsid w:val="123D05D1"/>
    <w:rsid w:val="12A7D4C7"/>
    <w:rsid w:val="135D1618"/>
    <w:rsid w:val="13BB5EAE"/>
    <w:rsid w:val="13DE3307"/>
    <w:rsid w:val="13EEB5CC"/>
    <w:rsid w:val="146BB90A"/>
    <w:rsid w:val="14C11B5D"/>
    <w:rsid w:val="14D7A580"/>
    <w:rsid w:val="153264EE"/>
    <w:rsid w:val="157A0368"/>
    <w:rsid w:val="16250EE8"/>
    <w:rsid w:val="16CEB6A5"/>
    <w:rsid w:val="173E6C96"/>
    <w:rsid w:val="174A1CC1"/>
    <w:rsid w:val="1775844F"/>
    <w:rsid w:val="17806233"/>
    <w:rsid w:val="179BE0A9"/>
    <w:rsid w:val="180578DE"/>
    <w:rsid w:val="1820F8B1"/>
    <w:rsid w:val="1824B757"/>
    <w:rsid w:val="18B90614"/>
    <w:rsid w:val="190AA9EF"/>
    <w:rsid w:val="1927C9E8"/>
    <w:rsid w:val="1988F457"/>
    <w:rsid w:val="1A13BBF8"/>
    <w:rsid w:val="1A6CC406"/>
    <w:rsid w:val="1A8784EC"/>
    <w:rsid w:val="1A977224"/>
    <w:rsid w:val="1AEFEE9B"/>
    <w:rsid w:val="1B3620B8"/>
    <w:rsid w:val="1B395E52"/>
    <w:rsid w:val="1B654FA7"/>
    <w:rsid w:val="1B839EB7"/>
    <w:rsid w:val="1C2334BC"/>
    <w:rsid w:val="1C30DD7E"/>
    <w:rsid w:val="1C493148"/>
    <w:rsid w:val="1C5B8542"/>
    <w:rsid w:val="1C67551E"/>
    <w:rsid w:val="1D0E2682"/>
    <w:rsid w:val="1D1BCC3C"/>
    <w:rsid w:val="1D1DC85D"/>
    <w:rsid w:val="1E33607B"/>
    <w:rsid w:val="1E3C4385"/>
    <w:rsid w:val="1ED42345"/>
    <w:rsid w:val="1F03256E"/>
    <w:rsid w:val="1FB62B18"/>
    <w:rsid w:val="205763FE"/>
    <w:rsid w:val="20753799"/>
    <w:rsid w:val="209C7243"/>
    <w:rsid w:val="20B79C12"/>
    <w:rsid w:val="20C2DD2D"/>
    <w:rsid w:val="20D57EBB"/>
    <w:rsid w:val="20F59FEC"/>
    <w:rsid w:val="226AC499"/>
    <w:rsid w:val="227807C1"/>
    <w:rsid w:val="228CCF68"/>
    <w:rsid w:val="22BA8EF1"/>
    <w:rsid w:val="236944D9"/>
    <w:rsid w:val="23BE4627"/>
    <w:rsid w:val="23F6E782"/>
    <w:rsid w:val="24769964"/>
    <w:rsid w:val="24978B2C"/>
    <w:rsid w:val="24F39B28"/>
    <w:rsid w:val="2503F23E"/>
    <w:rsid w:val="250404FF"/>
    <w:rsid w:val="259889A3"/>
    <w:rsid w:val="260B7402"/>
    <w:rsid w:val="27055C53"/>
    <w:rsid w:val="2747182E"/>
    <w:rsid w:val="278A72F2"/>
    <w:rsid w:val="27CC9A29"/>
    <w:rsid w:val="2821B2C4"/>
    <w:rsid w:val="2826FA2B"/>
    <w:rsid w:val="287055F5"/>
    <w:rsid w:val="2904E287"/>
    <w:rsid w:val="291A1C99"/>
    <w:rsid w:val="294AD479"/>
    <w:rsid w:val="29BD8325"/>
    <w:rsid w:val="29D70DE6"/>
    <w:rsid w:val="29F861C9"/>
    <w:rsid w:val="2A4D00A9"/>
    <w:rsid w:val="2A7A6ACB"/>
    <w:rsid w:val="2AC48AF5"/>
    <w:rsid w:val="2AE1E99D"/>
    <w:rsid w:val="2BDCCA74"/>
    <w:rsid w:val="2C10D0E0"/>
    <w:rsid w:val="2C29C063"/>
    <w:rsid w:val="2C5234A1"/>
    <w:rsid w:val="2CF523E7"/>
    <w:rsid w:val="2D7BCAE9"/>
    <w:rsid w:val="2DA3269D"/>
    <w:rsid w:val="2E25288A"/>
    <w:rsid w:val="2E3E2E70"/>
    <w:rsid w:val="2EA7A567"/>
    <w:rsid w:val="2F3EF6FE"/>
    <w:rsid w:val="2F522A13"/>
    <w:rsid w:val="2F6B5270"/>
    <w:rsid w:val="2F78A87A"/>
    <w:rsid w:val="301F9164"/>
    <w:rsid w:val="304764DD"/>
    <w:rsid w:val="3077D5FD"/>
    <w:rsid w:val="30C35AD2"/>
    <w:rsid w:val="30DC9AD6"/>
    <w:rsid w:val="31825B1E"/>
    <w:rsid w:val="31C8950A"/>
    <w:rsid w:val="322259F6"/>
    <w:rsid w:val="3254FD6E"/>
    <w:rsid w:val="3291B85B"/>
    <w:rsid w:val="32D186AA"/>
    <w:rsid w:val="32FFD09F"/>
    <w:rsid w:val="334B00A0"/>
    <w:rsid w:val="3368D22F"/>
    <w:rsid w:val="33F27031"/>
    <w:rsid w:val="34031F8D"/>
    <w:rsid w:val="34290F35"/>
    <w:rsid w:val="35C3B0A3"/>
    <w:rsid w:val="36871963"/>
    <w:rsid w:val="374EFE28"/>
    <w:rsid w:val="375F085E"/>
    <w:rsid w:val="377A48EF"/>
    <w:rsid w:val="37ACCDDF"/>
    <w:rsid w:val="37CBC761"/>
    <w:rsid w:val="37DC2406"/>
    <w:rsid w:val="3874D1BB"/>
    <w:rsid w:val="38AB6406"/>
    <w:rsid w:val="3A4B5057"/>
    <w:rsid w:val="3ACB98C2"/>
    <w:rsid w:val="3B5A7DD3"/>
    <w:rsid w:val="3BA78E7E"/>
    <w:rsid w:val="3BF1F9F0"/>
    <w:rsid w:val="3C30AD1B"/>
    <w:rsid w:val="3C38D127"/>
    <w:rsid w:val="3C408E76"/>
    <w:rsid w:val="3C56B831"/>
    <w:rsid w:val="3CC586ED"/>
    <w:rsid w:val="3CF64E34"/>
    <w:rsid w:val="3D0B47B1"/>
    <w:rsid w:val="3D6F7479"/>
    <w:rsid w:val="3D882E72"/>
    <w:rsid w:val="3DCC7D7C"/>
    <w:rsid w:val="3E39FE66"/>
    <w:rsid w:val="3EA8580C"/>
    <w:rsid w:val="3FDBBEAE"/>
    <w:rsid w:val="402DEEF6"/>
    <w:rsid w:val="405C10D0"/>
    <w:rsid w:val="40B488DB"/>
    <w:rsid w:val="4105E7F3"/>
    <w:rsid w:val="4118FE7F"/>
    <w:rsid w:val="412A9881"/>
    <w:rsid w:val="41568523"/>
    <w:rsid w:val="41CD0481"/>
    <w:rsid w:val="41DEB8D4"/>
    <w:rsid w:val="420308D0"/>
    <w:rsid w:val="421EE40B"/>
    <w:rsid w:val="42456F0E"/>
    <w:rsid w:val="42761F55"/>
    <w:rsid w:val="42897D02"/>
    <w:rsid w:val="42B5B2A1"/>
    <w:rsid w:val="42E70404"/>
    <w:rsid w:val="4309A088"/>
    <w:rsid w:val="43180F2B"/>
    <w:rsid w:val="433AE55F"/>
    <w:rsid w:val="43429BFE"/>
    <w:rsid w:val="44C94D38"/>
    <w:rsid w:val="45016019"/>
    <w:rsid w:val="45716558"/>
    <w:rsid w:val="468071B0"/>
    <w:rsid w:val="468D4241"/>
    <w:rsid w:val="4698D817"/>
    <w:rsid w:val="471F14F6"/>
    <w:rsid w:val="476D19B9"/>
    <w:rsid w:val="47FB3899"/>
    <w:rsid w:val="4809688C"/>
    <w:rsid w:val="490A9DB3"/>
    <w:rsid w:val="494D9A68"/>
    <w:rsid w:val="49C90136"/>
    <w:rsid w:val="4A57A786"/>
    <w:rsid w:val="4A68B691"/>
    <w:rsid w:val="4AE4FACF"/>
    <w:rsid w:val="4B244C55"/>
    <w:rsid w:val="4CBDF4E4"/>
    <w:rsid w:val="4CF37F22"/>
    <w:rsid w:val="4D3FBEE6"/>
    <w:rsid w:val="4D7592E9"/>
    <w:rsid w:val="4EBD3BDC"/>
    <w:rsid w:val="4F9C0552"/>
    <w:rsid w:val="50F01FAD"/>
    <w:rsid w:val="50F5D41C"/>
    <w:rsid w:val="50F72869"/>
    <w:rsid w:val="51FB0DED"/>
    <w:rsid w:val="5220EF03"/>
    <w:rsid w:val="52A3FB1F"/>
    <w:rsid w:val="52DC6B7E"/>
    <w:rsid w:val="52EAB584"/>
    <w:rsid w:val="5301C7EE"/>
    <w:rsid w:val="530B9E6F"/>
    <w:rsid w:val="53292BE4"/>
    <w:rsid w:val="532A3C8A"/>
    <w:rsid w:val="538BAA85"/>
    <w:rsid w:val="53A9D55C"/>
    <w:rsid w:val="5459D050"/>
    <w:rsid w:val="54A1D736"/>
    <w:rsid w:val="54DE879C"/>
    <w:rsid w:val="5524A82E"/>
    <w:rsid w:val="55327ACB"/>
    <w:rsid w:val="55659EF3"/>
    <w:rsid w:val="55E652F6"/>
    <w:rsid w:val="5652AF31"/>
    <w:rsid w:val="56979301"/>
    <w:rsid w:val="569DC42D"/>
    <w:rsid w:val="569DDE1F"/>
    <w:rsid w:val="579AC5F9"/>
    <w:rsid w:val="57DB8625"/>
    <w:rsid w:val="58330990"/>
    <w:rsid w:val="5868DDEC"/>
    <w:rsid w:val="58767124"/>
    <w:rsid w:val="58A7394A"/>
    <w:rsid w:val="58AA2516"/>
    <w:rsid w:val="58AB6EDE"/>
    <w:rsid w:val="58B9DF69"/>
    <w:rsid w:val="59160682"/>
    <w:rsid w:val="5978B305"/>
    <w:rsid w:val="59FFEE83"/>
    <w:rsid w:val="5A327BAB"/>
    <w:rsid w:val="5A386C37"/>
    <w:rsid w:val="5AFEB309"/>
    <w:rsid w:val="5B6A4162"/>
    <w:rsid w:val="5B725F72"/>
    <w:rsid w:val="5BFFECAC"/>
    <w:rsid w:val="5C33AD05"/>
    <w:rsid w:val="5C64E235"/>
    <w:rsid w:val="5C88BDCD"/>
    <w:rsid w:val="5D18563D"/>
    <w:rsid w:val="5D2AB524"/>
    <w:rsid w:val="5DC6154F"/>
    <w:rsid w:val="5EA994E5"/>
    <w:rsid w:val="5EE9D331"/>
    <w:rsid w:val="5F4B4D60"/>
    <w:rsid w:val="5F721FC3"/>
    <w:rsid w:val="5F912EFC"/>
    <w:rsid w:val="5FC2B32A"/>
    <w:rsid w:val="5FD52287"/>
    <w:rsid w:val="600439E9"/>
    <w:rsid w:val="60446536"/>
    <w:rsid w:val="606255E6"/>
    <w:rsid w:val="606548F8"/>
    <w:rsid w:val="6069FF82"/>
    <w:rsid w:val="606E84A3"/>
    <w:rsid w:val="61F0B003"/>
    <w:rsid w:val="6205C796"/>
    <w:rsid w:val="6212EDEE"/>
    <w:rsid w:val="62675768"/>
    <w:rsid w:val="62C7062A"/>
    <w:rsid w:val="63315083"/>
    <w:rsid w:val="63FED179"/>
    <w:rsid w:val="64069680"/>
    <w:rsid w:val="641BDAE1"/>
    <w:rsid w:val="644327F0"/>
    <w:rsid w:val="644EA1C9"/>
    <w:rsid w:val="6464BA16"/>
    <w:rsid w:val="64F4C63E"/>
    <w:rsid w:val="6506E189"/>
    <w:rsid w:val="65167FD4"/>
    <w:rsid w:val="66972B7B"/>
    <w:rsid w:val="66D9B70D"/>
    <w:rsid w:val="66E8B430"/>
    <w:rsid w:val="674D5FF7"/>
    <w:rsid w:val="675F2260"/>
    <w:rsid w:val="6772929D"/>
    <w:rsid w:val="67C0F9A7"/>
    <w:rsid w:val="67DA2204"/>
    <w:rsid w:val="67DF94BE"/>
    <w:rsid w:val="6811F0C7"/>
    <w:rsid w:val="6AAF8CF0"/>
    <w:rsid w:val="6B091051"/>
    <w:rsid w:val="6B429F36"/>
    <w:rsid w:val="6C60020A"/>
    <w:rsid w:val="6C98CB80"/>
    <w:rsid w:val="6CE26391"/>
    <w:rsid w:val="6D4C33F8"/>
    <w:rsid w:val="6D84597B"/>
    <w:rsid w:val="6DCEE037"/>
    <w:rsid w:val="6ED3970A"/>
    <w:rsid w:val="6EEE8033"/>
    <w:rsid w:val="6EFA9758"/>
    <w:rsid w:val="6FDF4929"/>
    <w:rsid w:val="70890FA2"/>
    <w:rsid w:val="70C62E7A"/>
    <w:rsid w:val="70D39024"/>
    <w:rsid w:val="70D4C6D9"/>
    <w:rsid w:val="70E03565"/>
    <w:rsid w:val="715C6292"/>
    <w:rsid w:val="7167DBED"/>
    <w:rsid w:val="7184F06D"/>
    <w:rsid w:val="719ED0E4"/>
    <w:rsid w:val="71DAD810"/>
    <w:rsid w:val="729F66DF"/>
    <w:rsid w:val="72F9E2B4"/>
    <w:rsid w:val="730DD146"/>
    <w:rsid w:val="7341BAC5"/>
    <w:rsid w:val="74BBBB0C"/>
    <w:rsid w:val="751DB724"/>
    <w:rsid w:val="757304B5"/>
    <w:rsid w:val="757F4722"/>
    <w:rsid w:val="76596F8B"/>
    <w:rsid w:val="779BF28A"/>
    <w:rsid w:val="77D1CE52"/>
    <w:rsid w:val="77D71D71"/>
    <w:rsid w:val="78351CD7"/>
    <w:rsid w:val="78767504"/>
    <w:rsid w:val="7898533C"/>
    <w:rsid w:val="78986627"/>
    <w:rsid w:val="78ABFE87"/>
    <w:rsid w:val="78EADC77"/>
    <w:rsid w:val="793AB4D5"/>
    <w:rsid w:val="79469260"/>
    <w:rsid w:val="796EBC84"/>
    <w:rsid w:val="7984FD8A"/>
    <w:rsid w:val="798AB6A7"/>
    <w:rsid w:val="79BC94E7"/>
    <w:rsid w:val="7A2BABFD"/>
    <w:rsid w:val="7A38F48D"/>
    <w:rsid w:val="7A6FC1A8"/>
    <w:rsid w:val="7ABB3499"/>
    <w:rsid w:val="7B099BFA"/>
    <w:rsid w:val="7B221161"/>
    <w:rsid w:val="7B988C93"/>
    <w:rsid w:val="7BB396B5"/>
    <w:rsid w:val="7C0AB831"/>
    <w:rsid w:val="7C6A6E04"/>
    <w:rsid w:val="7C703AF5"/>
    <w:rsid w:val="7CF3ACEE"/>
    <w:rsid w:val="7D529C02"/>
    <w:rsid w:val="7DB8E6D7"/>
    <w:rsid w:val="7DD86EA0"/>
    <w:rsid w:val="7E5CABE4"/>
    <w:rsid w:val="7FC4BA71"/>
    <w:rsid w:val="7FE22F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4B3761B"/>
  <w15:docId w15:val="{22CC44C4-6B50-4759-B8F5-D82DD859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52CD"/>
    <w:pPr>
      <w:spacing w:after="240" w:line="300" w:lineRule="exact"/>
    </w:pPr>
  </w:style>
  <w:style w:type="paragraph" w:styleId="Heading1">
    <w:name w:val="heading 1"/>
    <w:basedOn w:val="Normal"/>
    <w:next w:val="Normal"/>
    <w:link w:val="Heading1Char"/>
    <w:uiPriority w:val="9"/>
    <w:qFormat/>
    <w:rsid w:val="00B511DC"/>
    <w:pPr>
      <w:keepNext/>
      <w:keepLines/>
      <w:spacing w:before="200" w:after="480" w:line="240" w:lineRule="auto"/>
      <w:outlineLvl w:val="0"/>
    </w:pPr>
    <w:rPr>
      <w:rFonts w:ascii="Arial" w:eastAsiaTheme="majorEastAsia" w:hAnsi="Arial" w:cs="Arial"/>
      <w:b/>
      <w:color w:val="492581" w:themeColor="accent1"/>
      <w:sz w:val="44"/>
      <w:szCs w:val="44"/>
    </w:rPr>
  </w:style>
  <w:style w:type="paragraph" w:styleId="Heading2">
    <w:name w:val="heading 2"/>
    <w:basedOn w:val="Heading1-NoTOC"/>
    <w:next w:val="Normal"/>
    <w:link w:val="Heading2Char"/>
    <w:uiPriority w:val="9"/>
    <w:unhideWhenUsed/>
    <w:qFormat/>
    <w:rsid w:val="00903CA8"/>
    <w:pPr>
      <w:spacing w:before="320" w:after="120"/>
      <w:outlineLvl w:val="1"/>
    </w:pPr>
    <w:rPr>
      <w:color w:val="262626" w:themeColor="text1" w:themeTint="D9"/>
      <w:sz w:val="40"/>
      <w:szCs w:val="40"/>
    </w:rPr>
  </w:style>
  <w:style w:type="paragraph" w:styleId="Heading3">
    <w:name w:val="heading 3"/>
    <w:basedOn w:val="Normal"/>
    <w:next w:val="Normal"/>
    <w:link w:val="Heading3Char"/>
    <w:uiPriority w:val="9"/>
    <w:unhideWhenUsed/>
    <w:qFormat/>
    <w:rsid w:val="0001373C"/>
    <w:pPr>
      <w:keepNext/>
      <w:keepLines/>
      <w:spacing w:before="240" w:after="120"/>
      <w:outlineLvl w:val="2"/>
    </w:pPr>
    <w:rPr>
      <w:rFonts w:ascii="Arial" w:eastAsiaTheme="majorEastAsia" w:hAnsi="Arial" w:cs="Arial"/>
      <w:b/>
      <w:color w:val="262626" w:themeColor="text1" w:themeTint="D9"/>
      <w:sz w:val="34"/>
      <w:szCs w:val="34"/>
    </w:rPr>
  </w:style>
  <w:style w:type="paragraph" w:styleId="Heading4">
    <w:name w:val="heading 4"/>
    <w:basedOn w:val="Normal"/>
    <w:next w:val="Normal"/>
    <w:link w:val="Heading4Char"/>
    <w:uiPriority w:val="9"/>
    <w:unhideWhenUsed/>
    <w:qFormat/>
    <w:rsid w:val="0001373C"/>
    <w:pPr>
      <w:keepNext/>
      <w:keepLines/>
      <w:spacing w:before="240" w:after="120"/>
      <w:outlineLvl w:val="3"/>
    </w:pPr>
    <w:rPr>
      <w:rFonts w:ascii="Arial" w:eastAsiaTheme="majorEastAsia" w:hAnsi="Arial" w:cs="Arial"/>
      <w:i/>
      <w:iCs/>
      <w:color w:val="262626" w:themeColor="text1" w:themeTint="D9"/>
      <w:sz w:val="32"/>
      <w:szCs w:val="32"/>
    </w:rPr>
  </w:style>
  <w:style w:type="paragraph" w:styleId="Heading5">
    <w:name w:val="heading 5"/>
    <w:basedOn w:val="Normal"/>
    <w:next w:val="Normal"/>
    <w:link w:val="Heading5Char"/>
    <w:uiPriority w:val="9"/>
    <w:unhideWhenUsed/>
    <w:qFormat/>
    <w:rsid w:val="0001373C"/>
    <w:pPr>
      <w:keepNext/>
      <w:keepLines/>
      <w:spacing w:before="240" w:after="120"/>
      <w:outlineLvl w:val="4"/>
    </w:pPr>
    <w:rPr>
      <w:rFonts w:ascii="Arial" w:eastAsiaTheme="majorEastAsia" w:hAnsi="Arial" w:cs="Arial"/>
      <w:b/>
      <w:color w:val="262626" w:themeColor="text1" w:themeTint="D9"/>
      <w:sz w:val="30"/>
      <w:szCs w:val="30"/>
    </w:rPr>
  </w:style>
  <w:style w:type="paragraph" w:styleId="Heading6">
    <w:name w:val="heading 6"/>
    <w:basedOn w:val="Normal"/>
    <w:next w:val="Normal"/>
    <w:link w:val="Heading6Char"/>
    <w:uiPriority w:val="9"/>
    <w:unhideWhenUsed/>
    <w:qFormat/>
    <w:rsid w:val="004F748D"/>
    <w:pPr>
      <w:keepNext/>
      <w:keepLines/>
      <w:spacing w:before="40"/>
      <w:outlineLvl w:val="5"/>
    </w:pPr>
    <w:rPr>
      <w:rFonts w:asciiTheme="majorHAnsi" w:eastAsiaTheme="majorEastAsia" w:hAnsiTheme="majorHAnsi" w:cstheme="majorBidi"/>
      <w:color w:val="241240" w:themeColor="accent1" w:themeShade="7F"/>
    </w:rPr>
  </w:style>
  <w:style w:type="paragraph" w:styleId="Heading7">
    <w:name w:val="heading 7"/>
    <w:basedOn w:val="Normal"/>
    <w:next w:val="Normal"/>
    <w:link w:val="Heading7Char"/>
    <w:uiPriority w:val="9"/>
    <w:semiHidden/>
    <w:unhideWhenUsed/>
    <w:qFormat/>
    <w:rsid w:val="00CB4EE5"/>
    <w:pPr>
      <w:keepNext/>
      <w:keepLines/>
      <w:spacing w:before="40"/>
      <w:outlineLvl w:val="6"/>
    </w:pPr>
    <w:rPr>
      <w:rFonts w:asciiTheme="majorHAnsi" w:eastAsiaTheme="majorEastAsia" w:hAnsiTheme="majorHAnsi" w:cstheme="majorBidi"/>
      <w:i/>
      <w:iCs/>
      <w:color w:val="241240" w:themeColor="accent1" w:themeShade="7F"/>
    </w:rPr>
  </w:style>
  <w:style w:type="paragraph" w:styleId="Heading8">
    <w:name w:val="heading 8"/>
    <w:basedOn w:val="Normal"/>
    <w:next w:val="Normal"/>
    <w:link w:val="Heading8Char"/>
    <w:uiPriority w:val="9"/>
    <w:semiHidden/>
    <w:unhideWhenUsed/>
    <w:qFormat/>
    <w:rsid w:val="00CB4EE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DC"/>
    <w:rPr>
      <w:rFonts w:ascii="Arial" w:eastAsiaTheme="majorEastAsia" w:hAnsi="Arial" w:cs="Arial"/>
      <w:b/>
      <w:color w:val="492581" w:themeColor="accent1"/>
      <w:sz w:val="44"/>
      <w:szCs w:val="44"/>
    </w:rPr>
  </w:style>
  <w:style w:type="character" w:customStyle="1" w:styleId="Heading2Char">
    <w:name w:val="Heading 2 Char"/>
    <w:basedOn w:val="DefaultParagraphFont"/>
    <w:link w:val="Heading2"/>
    <w:uiPriority w:val="9"/>
    <w:rsid w:val="00903CA8"/>
    <w:rPr>
      <w:rFonts w:ascii="Arial" w:eastAsiaTheme="majorEastAsia" w:hAnsi="Arial" w:cs="Arial"/>
      <w:b/>
      <w:color w:val="262626" w:themeColor="text1" w:themeTint="D9"/>
      <w:sz w:val="40"/>
      <w:szCs w:val="40"/>
    </w:rPr>
  </w:style>
  <w:style w:type="character" w:customStyle="1" w:styleId="Heading3Char">
    <w:name w:val="Heading 3 Char"/>
    <w:basedOn w:val="DefaultParagraphFont"/>
    <w:link w:val="Heading3"/>
    <w:uiPriority w:val="9"/>
    <w:rsid w:val="0001373C"/>
    <w:rPr>
      <w:rFonts w:ascii="Arial" w:eastAsiaTheme="majorEastAsia" w:hAnsi="Arial" w:cs="Arial"/>
      <w:b/>
      <w:color w:val="262626" w:themeColor="text1" w:themeTint="D9"/>
      <w:sz w:val="34"/>
      <w:szCs w:val="34"/>
    </w:rPr>
  </w:style>
  <w:style w:type="character" w:customStyle="1" w:styleId="Heading4Char">
    <w:name w:val="Heading 4 Char"/>
    <w:basedOn w:val="DefaultParagraphFont"/>
    <w:link w:val="Heading4"/>
    <w:uiPriority w:val="9"/>
    <w:rsid w:val="0001373C"/>
    <w:rPr>
      <w:rFonts w:ascii="Arial" w:eastAsiaTheme="majorEastAsia" w:hAnsi="Arial" w:cs="Arial"/>
      <w:i/>
      <w:iCs/>
      <w:color w:val="262626" w:themeColor="text1" w:themeTint="D9"/>
      <w:sz w:val="32"/>
      <w:szCs w:val="32"/>
    </w:rPr>
  </w:style>
  <w:style w:type="character" w:customStyle="1" w:styleId="Heading5Char">
    <w:name w:val="Heading 5 Char"/>
    <w:basedOn w:val="DefaultParagraphFont"/>
    <w:link w:val="Heading5"/>
    <w:uiPriority w:val="9"/>
    <w:rsid w:val="0001373C"/>
    <w:rPr>
      <w:rFonts w:ascii="Arial" w:eastAsiaTheme="majorEastAsia" w:hAnsi="Arial" w:cs="Arial"/>
      <w:b/>
      <w:color w:val="262626" w:themeColor="text1" w:themeTint="D9"/>
      <w:sz w:val="30"/>
      <w:szCs w:val="30"/>
    </w:rPr>
  </w:style>
  <w:style w:type="character" w:styleId="SmartLink">
    <w:name w:val="Smart Link"/>
    <w:basedOn w:val="DefaultParagraphFont"/>
    <w:uiPriority w:val="99"/>
    <w:rsid w:val="00A07311"/>
    <w:rPr>
      <w:color w:val="0000FF"/>
      <w:u w:val="single"/>
      <w:shd w:val="clear" w:color="auto" w:fill="F3F2F1"/>
    </w:rPr>
  </w:style>
  <w:style w:type="paragraph" w:styleId="Footer">
    <w:name w:val="footer"/>
    <w:basedOn w:val="Normal"/>
    <w:link w:val="FooterChar"/>
    <w:uiPriority w:val="99"/>
    <w:rsid w:val="0051046D"/>
    <w:rPr>
      <w:bCs/>
      <w:noProof/>
      <w:color w:val="FFFFFF" w:themeColor="background1"/>
      <w:sz w:val="15"/>
      <w:szCs w:val="15"/>
    </w:rPr>
  </w:style>
  <w:style w:type="character" w:customStyle="1" w:styleId="FooterChar">
    <w:name w:val="Footer Char"/>
    <w:basedOn w:val="DefaultParagraphFont"/>
    <w:link w:val="Footer"/>
    <w:uiPriority w:val="99"/>
    <w:rsid w:val="0051046D"/>
    <w:rPr>
      <w:rFonts w:ascii="Calibri" w:eastAsia="Times New Roman" w:hAnsi="Calibri" w:cs="Times New Roman"/>
      <w:bCs/>
      <w:noProof/>
      <w:color w:val="FFFFFF" w:themeColor="background1"/>
      <w:sz w:val="15"/>
      <w:szCs w:val="15"/>
    </w:rPr>
  </w:style>
  <w:style w:type="paragraph" w:customStyle="1" w:styleId="Bullet1-last">
    <w:name w:val="Bullet 1 - last"/>
    <w:basedOn w:val="Bullet1"/>
    <w:rsid w:val="002B1D76"/>
    <w:pPr>
      <w:spacing w:after="160"/>
    </w:pPr>
  </w:style>
  <w:style w:type="paragraph" w:customStyle="1" w:styleId="Bullet1">
    <w:name w:val="Bullet 1"/>
    <w:basedOn w:val="BodyText"/>
    <w:link w:val="Bullet1Char"/>
    <w:qFormat/>
    <w:rsid w:val="0001373C"/>
    <w:pPr>
      <w:spacing w:before="60"/>
    </w:pPr>
  </w:style>
  <w:style w:type="character" w:customStyle="1" w:styleId="Bullet1Char">
    <w:name w:val="Bullet 1 Char"/>
    <w:basedOn w:val="DefaultParagraphFont"/>
    <w:link w:val="Bullet1"/>
    <w:rsid w:val="0001373C"/>
    <w:rPr>
      <w:color w:val="262626" w:themeColor="text1" w:themeTint="D9"/>
      <w:lang w:eastAsia="en-AU"/>
    </w:rPr>
  </w:style>
  <w:style w:type="paragraph" w:customStyle="1" w:styleId="Note">
    <w:name w:val="Note"/>
    <w:basedOn w:val="NoteHeading"/>
    <w:link w:val="NoteChar"/>
    <w:qFormat/>
    <w:rsid w:val="00370F25"/>
    <w:pPr>
      <w:keepNext/>
      <w:spacing w:before="120"/>
    </w:pPr>
    <w:rPr>
      <w:bCs/>
      <w:sz w:val="18"/>
      <w:szCs w:val="18"/>
    </w:rPr>
  </w:style>
  <w:style w:type="character" w:customStyle="1" w:styleId="NoteChar">
    <w:name w:val="Note Char"/>
    <w:link w:val="Note"/>
    <w:rsid w:val="00370F25"/>
    <w:rPr>
      <w:rFonts w:ascii="Calibri" w:eastAsia="Times New Roman" w:hAnsi="Calibri" w:cs="Times New Roman"/>
      <w:bCs/>
      <w:sz w:val="18"/>
      <w:szCs w:val="18"/>
    </w:rPr>
  </w:style>
  <w:style w:type="paragraph" w:customStyle="1" w:styleId="Bullet2">
    <w:name w:val="Bullet 2"/>
    <w:basedOn w:val="Bullet1"/>
    <w:link w:val="Bullet2Char"/>
    <w:qFormat/>
    <w:rsid w:val="0001373C"/>
    <w:pPr>
      <w:numPr>
        <w:numId w:val="2"/>
      </w:numPr>
    </w:pPr>
  </w:style>
  <w:style w:type="character" w:customStyle="1" w:styleId="Bullet2Char">
    <w:name w:val="Bullet 2 Char"/>
    <w:basedOn w:val="Bullet1Char"/>
    <w:link w:val="Bullet2"/>
    <w:rsid w:val="0001373C"/>
    <w:rPr>
      <w:color w:val="262626" w:themeColor="text1" w:themeTint="D9"/>
      <w:lang w:eastAsia="en-AU"/>
    </w:rPr>
  </w:style>
  <w:style w:type="paragraph" w:customStyle="1" w:styleId="Tablefigures">
    <w:name w:val="Table figures"/>
    <w:basedOn w:val="Tabletext"/>
    <w:link w:val="TablefiguresChar"/>
    <w:autoRedefine/>
    <w:qFormat/>
    <w:rsid w:val="008E5F4C"/>
    <w:pPr>
      <w:jc w:val="center"/>
    </w:pPr>
    <w:rPr>
      <w:color w:val="000000"/>
    </w:rPr>
  </w:style>
  <w:style w:type="paragraph" w:customStyle="1" w:styleId="Tabletext">
    <w:name w:val="Table text"/>
    <w:basedOn w:val="Normal"/>
    <w:link w:val="TabletextChar"/>
    <w:autoRedefine/>
    <w:qFormat/>
    <w:rsid w:val="00393BA5"/>
    <w:pPr>
      <w:tabs>
        <w:tab w:val="left" w:pos="9072"/>
      </w:tabs>
      <w:spacing w:before="60" w:after="60"/>
    </w:pPr>
    <w:rPr>
      <w:sz w:val="22"/>
      <w:szCs w:val="22"/>
      <w:lang w:eastAsia="en-AU"/>
    </w:rPr>
  </w:style>
  <w:style w:type="character" w:customStyle="1" w:styleId="TablefiguresChar">
    <w:name w:val="Table figures Char"/>
    <w:basedOn w:val="DefaultParagraphFont"/>
    <w:link w:val="Tablefigures"/>
    <w:rsid w:val="008E5F4C"/>
    <w:rPr>
      <w:color w:val="000000"/>
      <w:sz w:val="22"/>
      <w:szCs w:val="22"/>
      <w:lang w:eastAsia="en-AU"/>
    </w:rPr>
  </w:style>
  <w:style w:type="character" w:customStyle="1" w:styleId="TabletextChar">
    <w:name w:val="Table text Char"/>
    <w:basedOn w:val="DefaultParagraphFont"/>
    <w:link w:val="Tabletext"/>
    <w:rsid w:val="00393BA5"/>
    <w:rPr>
      <w:sz w:val="22"/>
      <w:szCs w:val="22"/>
      <w:lang w:eastAsia="en-AU"/>
    </w:rPr>
  </w:style>
  <w:style w:type="paragraph" w:customStyle="1" w:styleId="TableCaption">
    <w:name w:val="Table Caption"/>
    <w:basedOn w:val="Caption"/>
    <w:qFormat/>
    <w:rsid w:val="0046514B"/>
    <w:pPr>
      <w:keepNext/>
      <w:spacing w:before="240" w:after="120"/>
    </w:pPr>
    <w:rPr>
      <w:b/>
      <w:bCs/>
      <w:i w:val="0"/>
      <w:iCs w:val="0"/>
      <w:color w:val="auto"/>
      <w:sz w:val="24"/>
      <w:szCs w:val="24"/>
    </w:rPr>
  </w:style>
  <w:style w:type="table" w:customStyle="1" w:styleId="ARTableText">
    <w:name w:val="AR_Table_Text"/>
    <w:basedOn w:val="TableNormal"/>
    <w:uiPriority w:val="99"/>
    <w:qFormat/>
    <w:rsid w:val="00EC5694"/>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basedOn w:val="Normal"/>
    <w:qFormat/>
    <w:rsid w:val="000A4636"/>
    <w:pPr>
      <w:spacing w:before="60" w:after="60"/>
    </w:pPr>
    <w:rPr>
      <w:b/>
      <w:bCs/>
      <w:color w:val="FFFFFF" w:themeColor="background1"/>
      <w:lang w:eastAsia="en-AU"/>
    </w:rPr>
  </w:style>
  <w:style w:type="table" w:customStyle="1" w:styleId="ARTable">
    <w:name w:val="AR Table"/>
    <w:basedOn w:val="TableNormal"/>
    <w:uiPriority w:val="99"/>
    <w:rsid w:val="006B37B7"/>
    <w:tblPr>
      <w:tblStyleRowBandSize w:val="1"/>
    </w:tblPr>
    <w:tcPr>
      <w:tcMar>
        <w:top w:w="28" w:type="dxa"/>
        <w:left w:w="113" w:type="dxa"/>
        <w:bottom w:w="28" w:type="dxa"/>
        <w:right w:w="113" w:type="dxa"/>
      </w:tcMar>
    </w:tcPr>
    <w:tblStylePr w:type="firstRow">
      <w:tblPr/>
      <w:tcPr>
        <w:shd w:val="clear" w:color="auto" w:fill="492581" w:themeFill="accent1"/>
      </w:tcPr>
    </w:tblStylePr>
    <w:tblStylePr w:type="band2Horz">
      <w:tblPr/>
      <w:tcPr>
        <w:shd w:val="clear" w:color="auto" w:fill="E4E5E3"/>
      </w:tcPr>
    </w:tblStylePr>
  </w:style>
  <w:style w:type="paragraph" w:customStyle="1" w:styleId="Bullet3">
    <w:name w:val="Bullet 3"/>
    <w:basedOn w:val="Bullet2"/>
    <w:qFormat/>
    <w:rsid w:val="0001373C"/>
    <w:pPr>
      <w:numPr>
        <w:numId w:val="1"/>
      </w:numPr>
      <w:ind w:left="839" w:hanging="181"/>
    </w:pPr>
  </w:style>
  <w:style w:type="paragraph" w:customStyle="1" w:styleId="IntroParagraph">
    <w:name w:val="Intro Paragraph"/>
    <w:basedOn w:val="Normal"/>
    <w:link w:val="IntroParagraphChar"/>
    <w:qFormat/>
    <w:rsid w:val="0001373C"/>
    <w:pPr>
      <w:spacing w:before="240" w:after="120"/>
    </w:pPr>
    <w:rPr>
      <w:color w:val="404040" w:themeColor="text1" w:themeTint="BF"/>
      <w:sz w:val="26"/>
      <w:szCs w:val="26"/>
    </w:rPr>
  </w:style>
  <w:style w:type="paragraph" w:customStyle="1" w:styleId="Bullet2-last">
    <w:name w:val="Bullet 2 - last"/>
    <w:basedOn w:val="Bullet2"/>
    <w:rsid w:val="002B1D76"/>
    <w:pPr>
      <w:spacing w:after="160"/>
    </w:pPr>
  </w:style>
  <w:style w:type="character" w:customStyle="1" w:styleId="IntroParagraphChar">
    <w:name w:val="Intro Paragraph Char"/>
    <w:basedOn w:val="DefaultParagraphFont"/>
    <w:link w:val="IntroParagraph"/>
    <w:rsid w:val="0001373C"/>
    <w:rPr>
      <w:color w:val="404040" w:themeColor="text1" w:themeTint="BF"/>
      <w:sz w:val="26"/>
      <w:szCs w:val="26"/>
    </w:rPr>
  </w:style>
  <w:style w:type="paragraph" w:styleId="BodyText">
    <w:name w:val="Body Text"/>
    <w:basedOn w:val="Normal"/>
    <w:link w:val="BodyTextChar"/>
    <w:uiPriority w:val="99"/>
    <w:unhideWhenUsed/>
    <w:rsid w:val="00715ABC"/>
    <w:pPr>
      <w:spacing w:after="120"/>
    </w:pPr>
    <w:rPr>
      <w:color w:val="262626" w:themeColor="text1" w:themeTint="D9"/>
      <w:lang w:eastAsia="en-AU"/>
    </w:rPr>
  </w:style>
  <w:style w:type="character" w:customStyle="1" w:styleId="BodyTextChar">
    <w:name w:val="Body Text Char"/>
    <w:basedOn w:val="DefaultParagraphFont"/>
    <w:link w:val="BodyText"/>
    <w:uiPriority w:val="99"/>
    <w:rsid w:val="00715ABC"/>
    <w:rPr>
      <w:color w:val="262626" w:themeColor="text1" w:themeTint="D9"/>
      <w:lang w:eastAsia="en-AU"/>
    </w:rPr>
  </w:style>
  <w:style w:type="paragraph" w:styleId="NoteHeading">
    <w:name w:val="Note Heading"/>
    <w:basedOn w:val="Normal"/>
    <w:next w:val="Normal"/>
    <w:link w:val="NoteHeadingChar"/>
    <w:uiPriority w:val="99"/>
    <w:semiHidden/>
    <w:unhideWhenUsed/>
    <w:rsid w:val="00EC5694"/>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after="200"/>
    </w:pPr>
    <w:rPr>
      <w:i/>
      <w:iCs/>
      <w:color w:val="492581" w:themeColor="text2"/>
      <w:sz w:val="18"/>
      <w:szCs w:val="18"/>
    </w:rPr>
  </w:style>
  <w:style w:type="paragraph" w:styleId="BalloonText">
    <w:name w:val="Balloon Text"/>
    <w:basedOn w:val="Normal"/>
    <w:link w:val="BalloonTextChar"/>
    <w:uiPriority w:val="99"/>
    <w:semiHidden/>
    <w:unhideWhenUsed/>
    <w:rsid w:val="00C833B5"/>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table" w:styleId="TableGrid">
    <w:name w:val="Table Grid"/>
    <w:basedOn w:val="TableNormal"/>
    <w:uiPriority w:val="39"/>
    <w:rsid w:val="00DB7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d1Text">
    <w:name w:val="Boxed 1 Text"/>
    <w:basedOn w:val="Normal"/>
    <w:uiPriority w:val="29"/>
    <w:qFormat/>
    <w:rsid w:val="00571028"/>
    <w:pPr>
      <w:pBdr>
        <w:top w:val="single" w:sz="4" w:space="14" w:color="E4E0E9"/>
        <w:left w:val="single" w:sz="4" w:space="14" w:color="E4E0E9"/>
        <w:bottom w:val="single" w:sz="4" w:space="14" w:color="E4E0E9"/>
        <w:right w:val="single" w:sz="4" w:space="14" w:color="E4E0E9"/>
      </w:pBdr>
      <w:shd w:val="clear" w:color="auto" w:fill="EBE9E8" w:themeFill="background2"/>
      <w:spacing w:before="120" w:after="60" w:line="264" w:lineRule="auto"/>
      <w:ind w:left="284" w:right="284"/>
    </w:pPr>
    <w:rPr>
      <w:color w:val="000000" w:themeColor="text1"/>
      <w:szCs w:val="22"/>
    </w:rPr>
  </w:style>
  <w:style w:type="numbering" w:customStyle="1" w:styleId="KCBullets">
    <w:name w:val="KC Bullets"/>
    <w:uiPriority w:val="99"/>
    <w:rsid w:val="00430784"/>
    <w:pPr>
      <w:numPr>
        <w:numId w:val="3"/>
      </w:numPr>
    </w:pPr>
  </w:style>
  <w:style w:type="paragraph" w:customStyle="1" w:styleId="Tabletextsmall">
    <w:name w:val="Table text small"/>
    <w:basedOn w:val="Tabletext"/>
    <w:qFormat/>
    <w:rsid w:val="00376426"/>
    <w:pPr>
      <w:spacing w:before="30" w:after="30"/>
    </w:pPr>
    <w:rPr>
      <w:sz w:val="16"/>
      <w:szCs w:val="16"/>
    </w:rPr>
  </w:style>
  <w:style w:type="paragraph" w:customStyle="1" w:styleId="bulletalpha">
    <w:name w:val="bullet alpha"/>
    <w:basedOn w:val="Bullet1"/>
    <w:qFormat/>
    <w:rsid w:val="0005109A"/>
    <w:pPr>
      <w:numPr>
        <w:numId w:val="4"/>
      </w:numPr>
      <w:ind w:left="357" w:hanging="357"/>
    </w:pPr>
    <w:rPr>
      <w:rFonts w:cstheme="minorHAnsi"/>
      <w:szCs w:val="22"/>
      <w:lang w:val="en"/>
    </w:rPr>
  </w:style>
  <w:style w:type="paragraph" w:customStyle="1" w:styleId="Bulletroman">
    <w:name w:val="Bullet roman"/>
    <w:basedOn w:val="bulletalpha"/>
    <w:qFormat/>
    <w:rsid w:val="00684837"/>
    <w:pPr>
      <w:numPr>
        <w:numId w:val="5"/>
      </w:numPr>
      <w:ind w:left="350" w:hanging="357"/>
    </w:pPr>
  </w:style>
  <w:style w:type="paragraph" w:customStyle="1" w:styleId="Boxed1Bullet">
    <w:name w:val="Boxed 1 Bullet"/>
    <w:basedOn w:val="Boxed1Text"/>
    <w:uiPriority w:val="30"/>
    <w:qFormat/>
    <w:rsid w:val="00FB182A"/>
    <w:pPr>
      <w:numPr>
        <w:numId w:val="6"/>
      </w:numPr>
      <w:tabs>
        <w:tab w:val="clear" w:pos="284"/>
        <w:tab w:val="num" w:pos="567"/>
      </w:tabs>
      <w:spacing w:line="240" w:lineRule="auto"/>
      <w:ind w:left="568" w:hanging="284"/>
    </w:pPr>
  </w:style>
  <w:style w:type="numbering" w:customStyle="1" w:styleId="BoxedBullets">
    <w:name w:val="Boxed Bullets"/>
    <w:uiPriority w:val="99"/>
    <w:rsid w:val="00430784"/>
    <w:pPr>
      <w:numPr>
        <w:numId w:val="6"/>
      </w:numPr>
    </w:pPr>
  </w:style>
  <w:style w:type="numbering" w:customStyle="1" w:styleId="FigureNumbers">
    <w:name w:val="Figure Numbers"/>
    <w:uiPriority w:val="99"/>
    <w:rsid w:val="00495C6A"/>
    <w:pPr>
      <w:numPr>
        <w:numId w:val="7"/>
      </w:numPr>
    </w:pPr>
  </w:style>
  <w:style w:type="paragraph" w:styleId="TOC1">
    <w:name w:val="toc 1"/>
    <w:basedOn w:val="Normal"/>
    <w:next w:val="Normal"/>
    <w:autoRedefine/>
    <w:uiPriority w:val="39"/>
    <w:unhideWhenUsed/>
    <w:rsid w:val="00BC07B7"/>
    <w:pPr>
      <w:tabs>
        <w:tab w:val="left" w:leader="dot" w:pos="8789"/>
      </w:tabs>
      <w:spacing w:after="100"/>
    </w:pPr>
    <w:rPr>
      <w:b/>
      <w:noProof/>
      <w:sz w:val="22"/>
      <w:szCs w:val="22"/>
    </w:rPr>
  </w:style>
  <w:style w:type="numbering" w:customStyle="1" w:styleId="AppendixNumbers">
    <w:name w:val="Appendix Numbers"/>
    <w:uiPriority w:val="99"/>
    <w:rsid w:val="00C45989"/>
    <w:pPr>
      <w:numPr>
        <w:numId w:val="8"/>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92581"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8C9EF" w:themeFill="accent1" w:themeFillTint="33"/>
      </w:tcPr>
    </w:tblStylePr>
    <w:tblStylePr w:type="band2Vert">
      <w:tblPr/>
      <w:tcPr>
        <w:shd w:val="clear" w:color="auto" w:fill="B194E0" w:themeFill="accent1" w:themeFillTint="66"/>
      </w:tcPr>
    </w:tblStylePr>
    <w:tblStylePr w:type="band1Horz">
      <w:tblPr/>
      <w:tcPr>
        <w:shd w:val="clear" w:color="auto" w:fill="D8C9EF" w:themeFill="accent1" w:themeFillTint="33"/>
      </w:tcPr>
    </w:tblStylePr>
    <w:tblStylePr w:type="band2Horz">
      <w:tblPr/>
      <w:tcPr>
        <w:shd w:val="clear" w:color="auto" w:fill="B194E0" w:themeFill="accent1" w:themeFillTint="66"/>
      </w:tcPr>
    </w:tblStylePr>
  </w:style>
  <w:style w:type="numbering" w:customStyle="1" w:styleId="TableNumbers">
    <w:name w:val="Table Numbers"/>
    <w:uiPriority w:val="99"/>
    <w:rsid w:val="00C45989"/>
    <w:pPr>
      <w:numPr>
        <w:numId w:val="9"/>
      </w:numPr>
    </w:pPr>
  </w:style>
  <w:style w:type="table" w:styleId="GridTable5Dark-Accent1">
    <w:name w:val="Grid Table 5 Dark Accent 1"/>
    <w:basedOn w:val="TableNormal"/>
    <w:uiPriority w:val="50"/>
    <w:rsid w:val="00C459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9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5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5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581" w:themeFill="accent1"/>
      </w:tcPr>
    </w:tblStylePr>
    <w:tblStylePr w:type="band1Vert">
      <w:tblPr/>
      <w:tcPr>
        <w:shd w:val="clear" w:color="auto" w:fill="B194E0" w:themeFill="accent1" w:themeFillTint="66"/>
      </w:tcPr>
    </w:tblStylePr>
    <w:tblStylePr w:type="band1Horz">
      <w:tblPr/>
      <w:tcPr>
        <w:shd w:val="clear" w:color="auto" w:fill="B194E0" w:themeFill="accent1" w:themeFillTint="66"/>
      </w:tcPr>
    </w:tblStylePr>
  </w:style>
  <w:style w:type="character" w:styleId="FollowedHyperlink">
    <w:name w:val="FollowedHyperlink"/>
    <w:basedOn w:val="DefaultParagraphFont"/>
    <w:uiPriority w:val="99"/>
    <w:semiHidden/>
    <w:unhideWhenUsed/>
    <w:rsid w:val="005331E2"/>
    <w:rPr>
      <w:color w:val="B03A8D" w:themeColor="followedHyperlink"/>
      <w:u w:val="single"/>
    </w:rPr>
  </w:style>
  <w:style w:type="character" w:customStyle="1" w:styleId="UnresolvedMention1">
    <w:name w:val="Unresolved Mention1"/>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473E4F"/>
    <w:pPr>
      <w:numPr>
        <w:numId w:val="10"/>
      </w:numPr>
      <w:spacing w:before="30" w:after="30" w:line="264" w:lineRule="auto"/>
      <w:ind w:left="357" w:hanging="357"/>
    </w:pPr>
    <w:rPr>
      <w:szCs w:val="22"/>
    </w:rPr>
  </w:style>
  <w:style w:type="table" w:styleId="PlainTable1">
    <w:name w:val="Plain Table 1"/>
    <w:basedOn w:val="TableNormal"/>
    <w:uiPriority w:val="41"/>
    <w:rsid w:val="00245E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F7C35"/>
    <w:rPr>
      <w:sz w:val="16"/>
      <w:szCs w:val="16"/>
    </w:rPr>
  </w:style>
  <w:style w:type="paragraph" w:styleId="CommentText">
    <w:name w:val="annotation text"/>
    <w:basedOn w:val="Normal"/>
    <w:link w:val="CommentTextChar"/>
    <w:uiPriority w:val="99"/>
    <w:unhideWhenUsed/>
    <w:rsid w:val="00AF7C35"/>
    <w:rPr>
      <w:sz w:val="20"/>
    </w:rPr>
  </w:style>
  <w:style w:type="character" w:customStyle="1" w:styleId="CommentTextChar">
    <w:name w:val="Comment Text Char"/>
    <w:basedOn w:val="DefaultParagraphFont"/>
    <w:link w:val="CommentText"/>
    <w:uiPriority w:val="99"/>
    <w:rsid w:val="00AF7C3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C35"/>
    <w:rPr>
      <w:b/>
      <w:bCs/>
    </w:rPr>
  </w:style>
  <w:style w:type="character" w:customStyle="1" w:styleId="CommentSubjectChar">
    <w:name w:val="Comment Subject Char"/>
    <w:basedOn w:val="CommentTextChar"/>
    <w:link w:val="CommentSubject"/>
    <w:uiPriority w:val="99"/>
    <w:semiHidden/>
    <w:rsid w:val="00AF7C35"/>
    <w:rPr>
      <w:rFonts w:ascii="Calibri" w:eastAsia="Times New Roman" w:hAnsi="Calibri" w:cs="Times New Roman"/>
      <w:b/>
      <w:bCs/>
      <w:sz w:val="20"/>
      <w:szCs w:val="20"/>
    </w:rPr>
  </w:style>
  <w:style w:type="paragraph" w:customStyle="1" w:styleId="Tableheadingsmall">
    <w:name w:val="Table heading small"/>
    <w:basedOn w:val="Tableheading"/>
    <w:qFormat/>
    <w:rsid w:val="00376426"/>
    <w:pPr>
      <w:spacing w:before="30" w:after="30"/>
    </w:pPr>
    <w:rPr>
      <w:sz w:val="16"/>
      <w:szCs w:val="16"/>
    </w:rPr>
  </w:style>
  <w:style w:type="table" w:customStyle="1" w:styleId="ARTableSMALL">
    <w:name w:val="AR Table SMALL"/>
    <w:basedOn w:val="TableNormal"/>
    <w:uiPriority w:val="99"/>
    <w:rsid w:val="00376426"/>
    <w:tblPr/>
  </w:style>
  <w:style w:type="paragraph" w:customStyle="1" w:styleId="Tablebullet1">
    <w:name w:val="Table bullet 1"/>
    <w:basedOn w:val="Bullet1"/>
    <w:qFormat/>
    <w:rsid w:val="001F2962"/>
    <w:pPr>
      <w:spacing w:line="240" w:lineRule="auto"/>
      <w:ind w:left="227" w:hanging="227"/>
    </w:pPr>
    <w:rPr>
      <w:sz w:val="22"/>
      <w:szCs w:val="22"/>
    </w:rPr>
  </w:style>
  <w:style w:type="paragraph" w:customStyle="1" w:styleId="Tablebullet2">
    <w:name w:val="Table bullet 2"/>
    <w:basedOn w:val="Bullet2"/>
    <w:qFormat/>
    <w:rsid w:val="001F2962"/>
    <w:pPr>
      <w:ind w:left="465"/>
    </w:pPr>
  </w:style>
  <w:style w:type="paragraph" w:customStyle="1" w:styleId="Tablebulletalpha">
    <w:name w:val="Table bullet alpha"/>
    <w:next w:val="Normal"/>
    <w:qFormat/>
    <w:rsid w:val="001F2962"/>
    <w:pPr>
      <w:numPr>
        <w:numId w:val="11"/>
      </w:numPr>
      <w:spacing w:before="60" w:after="60"/>
      <w:ind w:left="273" w:hanging="284"/>
    </w:pPr>
    <w:rPr>
      <w:rFonts w:eastAsia="Times New Roman" w:cstheme="minorHAnsi"/>
      <w:sz w:val="22"/>
      <w:szCs w:val="22"/>
      <w:lang w:val="en" w:eastAsia="en-AU"/>
    </w:rPr>
  </w:style>
  <w:style w:type="paragraph" w:customStyle="1" w:styleId="Bullet3-last">
    <w:name w:val="Bullet 3 - last"/>
    <w:basedOn w:val="Bullet3"/>
    <w:rsid w:val="00E049A0"/>
    <w:pPr>
      <w:spacing w:after="160"/>
    </w:pPr>
  </w:style>
  <w:style w:type="paragraph" w:styleId="Revision">
    <w:name w:val="Revision"/>
    <w:hidden/>
    <w:uiPriority w:val="99"/>
    <w:semiHidden/>
    <w:rsid w:val="00A94A2D"/>
    <w:rPr>
      <w:rFonts w:ascii="Calibri" w:eastAsia="Times New Roman" w:hAnsi="Calibri" w:cs="Times New Roman"/>
      <w:szCs w:val="20"/>
    </w:rPr>
  </w:style>
  <w:style w:type="paragraph" w:customStyle="1" w:styleId="Titletext">
    <w:name w:val="Title text"/>
    <w:basedOn w:val="Normal"/>
    <w:autoRedefine/>
    <w:qFormat/>
    <w:rsid w:val="00AD3A6C"/>
    <w:pPr>
      <w:spacing w:line="192" w:lineRule="auto"/>
    </w:pPr>
    <w:rPr>
      <w:rFonts w:ascii="Arial Black" w:hAnsi="Arial Black" w:cs="Arial"/>
      <w:b/>
      <w:bCs/>
      <w:color w:val="000000" w:themeColor="text1"/>
      <w:sz w:val="48"/>
      <w:szCs w:val="48"/>
      <w14:textOutline w14:w="0" w14:cap="flat" w14:cmpd="sng" w14:algn="ctr">
        <w14:noFill/>
        <w14:prstDash w14:val="solid"/>
        <w14:round/>
      </w14:textOutline>
    </w:rPr>
  </w:style>
  <w:style w:type="paragraph" w:styleId="TOC2">
    <w:name w:val="toc 2"/>
    <w:basedOn w:val="TOC1"/>
    <w:next w:val="Normal"/>
    <w:autoRedefine/>
    <w:uiPriority w:val="39"/>
    <w:unhideWhenUsed/>
    <w:rsid w:val="00AB506F"/>
    <w:rPr>
      <w:b w:val="0"/>
      <w:bCs/>
    </w:rPr>
  </w:style>
  <w:style w:type="paragraph" w:styleId="TOC3">
    <w:name w:val="toc 3"/>
    <w:basedOn w:val="Normal"/>
    <w:next w:val="Normal"/>
    <w:autoRedefine/>
    <w:uiPriority w:val="39"/>
    <w:unhideWhenUsed/>
    <w:rsid w:val="00703131"/>
    <w:pPr>
      <w:tabs>
        <w:tab w:val="left" w:leader="dot" w:pos="8789"/>
        <w:tab w:val="right" w:leader="dot" w:pos="9629"/>
      </w:tabs>
      <w:spacing w:after="100"/>
      <w:ind w:left="851"/>
    </w:pPr>
    <w:rPr>
      <w:noProof/>
      <w:sz w:val="22"/>
      <w:szCs w:val="22"/>
    </w:rPr>
  </w:style>
  <w:style w:type="table" w:customStyle="1" w:styleId="ARNormalTable">
    <w:name w:val="AR_Normal Table"/>
    <w:basedOn w:val="TableNormal"/>
    <w:uiPriority w:val="99"/>
    <w:rsid w:val="00D5669B"/>
    <w:tblPr>
      <w:tblBorders>
        <w:top w:val="single" w:sz="4" w:space="0" w:color="000000" w:themeColor="text1"/>
        <w:bottom w:val="dotted" w:sz="4" w:space="0" w:color="000000" w:themeColor="text1"/>
        <w:insideH w:val="dotted" w:sz="4" w:space="0" w:color="000000" w:themeColor="text1"/>
      </w:tblBorders>
      <w:tblCellMar>
        <w:top w:w="57" w:type="dxa"/>
        <w:bottom w:w="57" w:type="dxa"/>
      </w:tblCellMar>
    </w:tblPr>
    <w:tcPr>
      <w:shd w:val="clear" w:color="auto" w:fill="FFFFFF" w:themeFill="background1"/>
    </w:tcPr>
    <w:tblStylePr w:type="firstRow">
      <w:pPr>
        <w:jc w:val="right"/>
      </w:pPr>
      <w:rPr>
        <w:rFonts w:asciiTheme="minorHAnsi" w:hAnsiTheme="minorHAnsi"/>
        <w:b/>
        <w:sz w:val="20"/>
      </w:rPr>
      <w:tblPr/>
      <w:tcPr>
        <w:tcBorders>
          <w:top w:val="single" w:sz="4" w:space="0" w:color="000000" w:themeColor="text1"/>
          <w:bottom w:val="single" w:sz="18" w:space="0" w:color="000000" w:themeColor="text1"/>
        </w:tcBorders>
        <w:shd w:val="clear" w:color="auto" w:fill="FFFFFF" w:themeFill="background1"/>
      </w:tcPr>
    </w:tblStylePr>
    <w:tblStylePr w:type="lastRow">
      <w:rPr>
        <w:rFonts w:asciiTheme="minorHAnsi" w:hAnsiTheme="minorHAnsi"/>
        <w:sz w:val="20"/>
      </w:r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StylePr>
    <w:tblStylePr w:type="band2Horz">
      <w:pPr>
        <w:jc w:val="right"/>
      </w:pPr>
      <w:rPr>
        <w:rFonts w:asciiTheme="minorHAnsi" w:hAnsiTheme="minorHAnsi"/>
        <w:sz w:val="18"/>
      </w:rPr>
    </w:tblStylePr>
  </w:style>
  <w:style w:type="character" w:customStyle="1" w:styleId="Heading6Char">
    <w:name w:val="Heading 6 Char"/>
    <w:basedOn w:val="DefaultParagraphFont"/>
    <w:link w:val="Heading6"/>
    <w:uiPriority w:val="9"/>
    <w:rsid w:val="004F748D"/>
    <w:rPr>
      <w:rFonts w:asciiTheme="majorHAnsi" w:eastAsiaTheme="majorEastAsia" w:hAnsiTheme="majorHAnsi" w:cstheme="majorBidi"/>
      <w:color w:val="241240" w:themeColor="accent1" w:themeShade="7F"/>
    </w:rPr>
  </w:style>
  <w:style w:type="character" w:customStyle="1" w:styleId="Heading7Char">
    <w:name w:val="Heading 7 Char"/>
    <w:basedOn w:val="DefaultParagraphFont"/>
    <w:link w:val="Heading7"/>
    <w:uiPriority w:val="9"/>
    <w:semiHidden/>
    <w:rsid w:val="00CB4EE5"/>
    <w:rPr>
      <w:rFonts w:asciiTheme="majorHAnsi" w:eastAsiaTheme="majorEastAsia" w:hAnsiTheme="majorHAnsi" w:cstheme="majorBidi"/>
      <w:i/>
      <w:iCs/>
      <w:color w:val="241240" w:themeColor="accent1" w:themeShade="7F"/>
    </w:rPr>
  </w:style>
  <w:style w:type="character" w:customStyle="1" w:styleId="Heading8Char">
    <w:name w:val="Heading 8 Char"/>
    <w:basedOn w:val="DefaultParagraphFont"/>
    <w:link w:val="Heading8"/>
    <w:uiPriority w:val="9"/>
    <w:semiHidden/>
    <w:rsid w:val="00CB4EE5"/>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7F0970"/>
    <w:pPr>
      <w:tabs>
        <w:tab w:val="center" w:pos="4513"/>
        <w:tab w:val="right" w:pos="9026"/>
      </w:tabs>
    </w:pPr>
  </w:style>
  <w:style w:type="character" w:customStyle="1" w:styleId="HeaderChar">
    <w:name w:val="Header Char"/>
    <w:basedOn w:val="DefaultParagraphFont"/>
    <w:link w:val="Header"/>
    <w:uiPriority w:val="99"/>
    <w:rsid w:val="007F0970"/>
  </w:style>
  <w:style w:type="character" w:styleId="Hyperlink">
    <w:name w:val="Hyperlink"/>
    <w:aliases w:val="Hyperlink(ACT)"/>
    <w:basedOn w:val="DefaultParagraphFont"/>
    <w:uiPriority w:val="99"/>
    <w:unhideWhenUsed/>
    <w:qFormat/>
    <w:rsid w:val="00496C5A"/>
    <w:rPr>
      <w:color w:val="492581" w:themeColor="accent1"/>
      <w:u w:val="single"/>
    </w:rPr>
  </w:style>
  <w:style w:type="character" w:styleId="UnresolvedMention">
    <w:name w:val="Unresolved Mention"/>
    <w:basedOn w:val="DefaultParagraphFont"/>
    <w:uiPriority w:val="99"/>
    <w:rsid w:val="00496C5A"/>
    <w:rPr>
      <w:color w:val="605E5C"/>
      <w:shd w:val="clear" w:color="auto" w:fill="E1DFDD"/>
    </w:rPr>
  </w:style>
  <w:style w:type="paragraph" w:customStyle="1" w:styleId="Heading2-NoTOC">
    <w:name w:val="Heading 2 - No TOC"/>
    <w:rsid w:val="00A51AFC"/>
    <w:pPr>
      <w:spacing w:before="360"/>
    </w:pPr>
    <w:rPr>
      <w:rFonts w:ascii="Arial" w:eastAsiaTheme="majorEastAsia" w:hAnsi="Arial" w:cs="Arial"/>
      <w:b/>
      <w:color w:val="B03A8D" w:themeColor="accent2"/>
      <w:sz w:val="36"/>
      <w:szCs w:val="36"/>
    </w:rPr>
  </w:style>
  <w:style w:type="paragraph" w:customStyle="1" w:styleId="Heading1-NoTOC">
    <w:name w:val="Heading 1 - No TOC"/>
    <w:rsid w:val="00A51AFC"/>
    <w:pPr>
      <w:spacing w:before="200" w:after="480"/>
    </w:pPr>
    <w:rPr>
      <w:rFonts w:ascii="Arial" w:eastAsiaTheme="majorEastAsia" w:hAnsi="Arial" w:cs="Arial"/>
      <w:b/>
      <w:color w:val="361B60" w:themeColor="accent1" w:themeShade="BF"/>
      <w:sz w:val="44"/>
      <w:szCs w:val="44"/>
    </w:rPr>
  </w:style>
  <w:style w:type="paragraph" w:customStyle="1" w:styleId="B2">
    <w:name w:val="B2"/>
    <w:basedOn w:val="Boxed1Bullet"/>
    <w:rsid w:val="00625EFB"/>
    <w:pPr>
      <w:numPr>
        <w:numId w:val="12"/>
      </w:numPr>
    </w:pPr>
  </w:style>
  <w:style w:type="character" w:styleId="PlaceholderText">
    <w:name w:val="Placeholder Text"/>
    <w:basedOn w:val="DefaultParagraphFont"/>
    <w:uiPriority w:val="99"/>
    <w:semiHidden/>
    <w:rsid w:val="006A4100"/>
    <w:rPr>
      <w:color w:val="808080"/>
    </w:rPr>
  </w:style>
  <w:style w:type="paragraph" w:styleId="ListParagraph">
    <w:name w:val="List Paragraph"/>
    <w:aliases w:val="OLG List Paragraph Bullets"/>
    <w:basedOn w:val="Normal"/>
    <w:link w:val="ListParagraphChar"/>
    <w:uiPriority w:val="34"/>
    <w:qFormat/>
    <w:rsid w:val="0001373C"/>
    <w:pPr>
      <w:ind w:left="720"/>
      <w:contextualSpacing/>
    </w:pPr>
  </w:style>
  <w:style w:type="character" w:styleId="BookTitle">
    <w:name w:val="Book Title"/>
    <w:basedOn w:val="DefaultParagraphFont"/>
    <w:uiPriority w:val="33"/>
    <w:rsid w:val="0001373C"/>
    <w:rPr>
      <w:b/>
      <w:bCs/>
      <w:i/>
      <w:iCs/>
      <w:spacing w:val="5"/>
    </w:rPr>
  </w:style>
  <w:style w:type="character" w:styleId="IntenseReference">
    <w:name w:val="Intense Reference"/>
    <w:basedOn w:val="DefaultParagraphFont"/>
    <w:uiPriority w:val="32"/>
    <w:rsid w:val="0001373C"/>
    <w:rPr>
      <w:b/>
      <w:bCs/>
      <w:smallCaps/>
      <w:color w:val="492581" w:themeColor="accent1"/>
      <w:spacing w:val="5"/>
    </w:rPr>
  </w:style>
  <w:style w:type="character" w:styleId="SubtleReference">
    <w:name w:val="Subtle Reference"/>
    <w:basedOn w:val="DefaultParagraphFont"/>
    <w:uiPriority w:val="31"/>
    <w:rsid w:val="0001373C"/>
    <w:rPr>
      <w:smallCaps/>
      <w:color w:val="5A5A5A" w:themeColor="text1" w:themeTint="A5"/>
    </w:rPr>
  </w:style>
  <w:style w:type="paragraph" w:styleId="IntenseQuote">
    <w:name w:val="Intense Quote"/>
    <w:basedOn w:val="Normal"/>
    <w:next w:val="Normal"/>
    <w:link w:val="IntenseQuoteChar"/>
    <w:uiPriority w:val="30"/>
    <w:rsid w:val="0001373C"/>
    <w:pPr>
      <w:pBdr>
        <w:top w:val="single" w:sz="4" w:space="10" w:color="492581" w:themeColor="accent1"/>
        <w:bottom w:val="single" w:sz="4" w:space="10" w:color="492581" w:themeColor="accent1"/>
      </w:pBdr>
      <w:spacing w:before="360" w:after="360"/>
      <w:ind w:left="864" w:right="864"/>
      <w:jc w:val="center"/>
    </w:pPr>
    <w:rPr>
      <w:i/>
      <w:iCs/>
      <w:color w:val="492581" w:themeColor="accent1"/>
    </w:rPr>
  </w:style>
  <w:style w:type="character" w:customStyle="1" w:styleId="IntenseQuoteChar">
    <w:name w:val="Intense Quote Char"/>
    <w:basedOn w:val="DefaultParagraphFont"/>
    <w:link w:val="IntenseQuote"/>
    <w:uiPriority w:val="30"/>
    <w:rsid w:val="0001373C"/>
    <w:rPr>
      <w:i/>
      <w:iCs/>
      <w:color w:val="492581" w:themeColor="accent1"/>
    </w:rPr>
  </w:style>
  <w:style w:type="character" w:styleId="IntenseEmphasis">
    <w:name w:val="Intense Emphasis"/>
    <w:basedOn w:val="DefaultParagraphFont"/>
    <w:uiPriority w:val="21"/>
    <w:qFormat/>
    <w:rsid w:val="0001373C"/>
    <w:rPr>
      <w:i/>
      <w:iCs/>
      <w:color w:val="492581" w:themeColor="accent1"/>
    </w:rPr>
  </w:style>
  <w:style w:type="paragraph" w:styleId="Quote">
    <w:name w:val="Quote"/>
    <w:basedOn w:val="Normal"/>
    <w:next w:val="Normal"/>
    <w:link w:val="QuoteChar"/>
    <w:uiPriority w:val="29"/>
    <w:qFormat/>
    <w:rsid w:val="0001373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373C"/>
    <w:rPr>
      <w:i/>
      <w:iCs/>
      <w:color w:val="404040" w:themeColor="text1" w:themeTint="BF"/>
    </w:rPr>
  </w:style>
  <w:style w:type="character" w:styleId="Emphasis">
    <w:name w:val="Emphasis"/>
    <w:basedOn w:val="DefaultParagraphFont"/>
    <w:uiPriority w:val="20"/>
    <w:qFormat/>
    <w:rsid w:val="0001373C"/>
    <w:rPr>
      <w:i/>
      <w:iCs/>
    </w:rPr>
  </w:style>
  <w:style w:type="paragraph" w:styleId="Subtitle">
    <w:name w:val="Subtitle"/>
    <w:basedOn w:val="Normal"/>
    <w:next w:val="Normal"/>
    <w:link w:val="SubtitleChar"/>
    <w:uiPriority w:val="11"/>
    <w:rsid w:val="0001373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1373C"/>
    <w:rPr>
      <w:rFonts w:eastAsiaTheme="minorEastAsia"/>
      <w:color w:val="5A5A5A" w:themeColor="text1" w:themeTint="A5"/>
      <w:spacing w:val="15"/>
      <w:sz w:val="22"/>
      <w:szCs w:val="22"/>
    </w:rPr>
  </w:style>
  <w:style w:type="paragraph" w:styleId="Title">
    <w:name w:val="Title"/>
    <w:basedOn w:val="Normal"/>
    <w:next w:val="Normal"/>
    <w:link w:val="TitleChar"/>
    <w:qFormat/>
    <w:rsid w:val="000137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1373C"/>
    <w:rPr>
      <w:rFonts w:asciiTheme="majorHAnsi" w:eastAsiaTheme="majorEastAsia" w:hAnsiTheme="majorHAnsi" w:cstheme="majorBidi"/>
      <w:spacing w:val="-10"/>
      <w:kern w:val="28"/>
      <w:sz w:val="56"/>
      <w:szCs w:val="56"/>
    </w:rPr>
  </w:style>
  <w:style w:type="character" w:customStyle="1" w:styleId="bullet1Char0">
    <w:name w:val="bullet 1 Char"/>
    <w:basedOn w:val="DefaultParagraphFont"/>
    <w:link w:val="bullet10"/>
    <w:locked/>
    <w:rsid w:val="006B64F1"/>
    <w:rPr>
      <w:rFonts w:ascii="Calibri" w:eastAsia="Times New Roman" w:hAnsi="Calibri" w:cs="Times New Roman"/>
      <w:szCs w:val="20"/>
    </w:rPr>
  </w:style>
  <w:style w:type="paragraph" w:customStyle="1" w:styleId="bullet10">
    <w:name w:val="bullet 1"/>
    <w:basedOn w:val="BodyText"/>
    <w:link w:val="bullet1Char0"/>
    <w:qFormat/>
    <w:rsid w:val="006B64F1"/>
    <w:pPr>
      <w:spacing w:before="60" w:after="60" w:line="264" w:lineRule="auto"/>
    </w:pPr>
    <w:rPr>
      <w:rFonts w:ascii="Calibri" w:eastAsia="Times New Roman" w:hAnsi="Calibri" w:cs="Times New Roman"/>
      <w:color w:val="auto"/>
      <w:szCs w:val="20"/>
      <w:lang w:eastAsia="en-US"/>
    </w:rPr>
  </w:style>
  <w:style w:type="character" w:styleId="Mention">
    <w:name w:val="Mention"/>
    <w:basedOn w:val="DefaultParagraphFont"/>
    <w:uiPriority w:val="99"/>
    <w:unhideWhenUsed/>
    <w:rsid w:val="007E6E33"/>
    <w:rPr>
      <w:color w:val="2B579A"/>
      <w:shd w:val="clear" w:color="auto" w:fill="E1DFDD"/>
    </w:rPr>
  </w:style>
  <w:style w:type="paragraph" w:customStyle="1" w:styleId="CM3">
    <w:name w:val="CM3"/>
    <w:basedOn w:val="Normal"/>
    <w:next w:val="Normal"/>
    <w:uiPriority w:val="99"/>
    <w:rsid w:val="00957B09"/>
    <w:pPr>
      <w:autoSpaceDE w:val="0"/>
      <w:autoSpaceDN w:val="0"/>
      <w:adjustRightInd w:val="0"/>
      <w:spacing w:after="0" w:line="260" w:lineRule="atLeast"/>
    </w:pPr>
    <w:rPr>
      <w:rFonts w:ascii="Century Gothic" w:eastAsia="Calibri" w:hAnsi="Century Gothic" w:cs="Times New Roman"/>
    </w:rPr>
  </w:style>
  <w:style w:type="character" w:customStyle="1" w:styleId="ARbullet1Char">
    <w:name w:val="AR_bullet 1 Char"/>
    <w:link w:val="ARbullet1"/>
    <w:locked/>
    <w:rsid w:val="007753FB"/>
    <w:rPr>
      <w:rFonts w:ascii="Calibri" w:eastAsia="Times New Roman" w:hAnsi="Calibri" w:cs="Times New Roman"/>
      <w:szCs w:val="20"/>
    </w:rPr>
  </w:style>
  <w:style w:type="paragraph" w:customStyle="1" w:styleId="ARbullet1">
    <w:name w:val="AR_bullet 1"/>
    <w:basedOn w:val="BodyText"/>
    <w:link w:val="ARbullet1Char"/>
    <w:qFormat/>
    <w:rsid w:val="007753FB"/>
    <w:pPr>
      <w:spacing w:after="60" w:line="240" w:lineRule="auto"/>
      <w:ind w:left="357" w:hanging="357"/>
      <w:jc w:val="both"/>
    </w:pPr>
    <w:rPr>
      <w:rFonts w:ascii="Calibri" w:eastAsia="Times New Roman" w:hAnsi="Calibri" w:cs="Times New Roman"/>
      <w:color w:val="auto"/>
      <w:szCs w:val="20"/>
      <w:lang w:eastAsia="en-US"/>
    </w:rPr>
  </w:style>
  <w:style w:type="paragraph" w:styleId="BodyText2">
    <w:name w:val="Body Text 2"/>
    <w:basedOn w:val="Normal"/>
    <w:link w:val="BodyText2Char"/>
    <w:unhideWhenUsed/>
    <w:rsid w:val="00F86082"/>
    <w:pPr>
      <w:spacing w:before="200" w:after="120" w:line="480" w:lineRule="auto"/>
    </w:pPr>
    <w:rPr>
      <w:rFonts w:ascii="Calibri" w:eastAsia="Times New Roman" w:hAnsi="Calibri" w:cs="Times New Roman"/>
      <w:sz w:val="22"/>
      <w:szCs w:val="20"/>
    </w:rPr>
  </w:style>
  <w:style w:type="character" w:customStyle="1" w:styleId="BodyText2Char">
    <w:name w:val="Body Text 2 Char"/>
    <w:basedOn w:val="DefaultParagraphFont"/>
    <w:link w:val="BodyText2"/>
    <w:rsid w:val="00F86082"/>
    <w:rPr>
      <w:rFonts w:ascii="Calibri" w:eastAsia="Times New Roman" w:hAnsi="Calibri" w:cs="Times New Roman"/>
      <w:sz w:val="22"/>
      <w:szCs w:val="20"/>
    </w:rPr>
  </w:style>
  <w:style w:type="character" w:customStyle="1" w:styleId="ListParagraphChar">
    <w:name w:val="List Paragraph Char"/>
    <w:aliases w:val="OLG List Paragraph Bullets Char"/>
    <w:link w:val="ListParagraph"/>
    <w:uiPriority w:val="34"/>
    <w:rsid w:val="00D36010"/>
  </w:style>
  <w:style w:type="paragraph" w:styleId="NormalWeb">
    <w:name w:val="Normal (Web)"/>
    <w:basedOn w:val="Normal"/>
    <w:uiPriority w:val="99"/>
    <w:rsid w:val="00D36010"/>
    <w:pPr>
      <w:spacing w:before="100" w:beforeAutospacing="1" w:after="100" w:afterAutospacing="1"/>
    </w:pPr>
    <w:rPr>
      <w:rFonts w:ascii="Times New Roman" w:eastAsia="Times New Roman" w:hAnsi="Times New Roman" w:cs="Times New Roman"/>
    </w:rPr>
  </w:style>
  <w:style w:type="paragraph" w:customStyle="1" w:styleId="noteslist">
    <w:name w:val="notes list"/>
    <w:basedOn w:val="Normal"/>
    <w:link w:val="noteslistChar"/>
    <w:qFormat/>
    <w:rsid w:val="00B65038"/>
    <w:pPr>
      <w:spacing w:after="0" w:line="276" w:lineRule="auto"/>
      <w:ind w:left="360" w:hanging="360"/>
    </w:pPr>
    <w:rPr>
      <w:rFonts w:ascii="Calibri" w:eastAsia="Times New Roman" w:hAnsi="Calibri" w:cs="Times New Roman"/>
      <w:sz w:val="18"/>
    </w:rPr>
  </w:style>
  <w:style w:type="character" w:customStyle="1" w:styleId="noteslistChar">
    <w:name w:val="notes list Char"/>
    <w:basedOn w:val="DefaultParagraphFont"/>
    <w:link w:val="noteslist"/>
    <w:rsid w:val="00B65038"/>
    <w:rPr>
      <w:rFonts w:ascii="Calibri" w:eastAsia="Times New Roman" w:hAnsi="Calibri" w:cs="Times New Roman"/>
      <w:sz w:val="18"/>
    </w:rPr>
  </w:style>
  <w:style w:type="paragraph" w:customStyle="1" w:styleId="Style1">
    <w:name w:val="Style1"/>
    <w:basedOn w:val="Normal"/>
    <w:next w:val="TOC1"/>
    <w:link w:val="Style1Char"/>
    <w:qFormat/>
    <w:rsid w:val="00A43736"/>
    <w:pPr>
      <w:jc w:val="center"/>
    </w:pPr>
  </w:style>
  <w:style w:type="paragraph" w:styleId="BodyText3">
    <w:name w:val="Body Text 3"/>
    <w:basedOn w:val="Normal"/>
    <w:link w:val="BodyText3Char"/>
    <w:uiPriority w:val="99"/>
    <w:unhideWhenUsed/>
    <w:rsid w:val="002B1046"/>
    <w:pPr>
      <w:spacing w:after="120"/>
    </w:pPr>
    <w:rPr>
      <w:sz w:val="16"/>
      <w:szCs w:val="16"/>
    </w:rPr>
  </w:style>
  <w:style w:type="character" w:customStyle="1" w:styleId="Style1Char">
    <w:name w:val="Style1 Char"/>
    <w:basedOn w:val="DefaultParagraphFont"/>
    <w:link w:val="Style1"/>
    <w:rsid w:val="00A43736"/>
  </w:style>
  <w:style w:type="character" w:customStyle="1" w:styleId="BodyText3Char">
    <w:name w:val="Body Text 3 Char"/>
    <w:basedOn w:val="DefaultParagraphFont"/>
    <w:link w:val="BodyText3"/>
    <w:uiPriority w:val="99"/>
    <w:rsid w:val="002B1046"/>
    <w:rPr>
      <w:sz w:val="16"/>
      <w:szCs w:val="16"/>
    </w:rPr>
  </w:style>
  <w:style w:type="paragraph" w:customStyle="1" w:styleId="BSbullet1">
    <w:name w:val="BS_bullet 1"/>
    <w:basedOn w:val="BodyTextIndent"/>
    <w:link w:val="BSbullet1Char"/>
    <w:qFormat/>
    <w:rsid w:val="003F3458"/>
    <w:pPr>
      <w:numPr>
        <w:numId w:val="16"/>
      </w:numPr>
      <w:spacing w:before="200"/>
    </w:pPr>
    <w:rPr>
      <w:rFonts w:ascii="Calibri" w:eastAsia="Times New Roman" w:hAnsi="Calibri" w:cs="Times New Roman"/>
    </w:rPr>
  </w:style>
  <w:style w:type="character" w:customStyle="1" w:styleId="BSbullet1Char">
    <w:name w:val="BS_bullet 1 Char"/>
    <w:link w:val="BSbullet1"/>
    <w:rsid w:val="003F3458"/>
    <w:rPr>
      <w:rFonts w:ascii="Calibri" w:eastAsia="Times New Roman" w:hAnsi="Calibri" w:cs="Times New Roman"/>
    </w:rPr>
  </w:style>
  <w:style w:type="paragraph" w:customStyle="1" w:styleId="CM61">
    <w:name w:val="CM61"/>
    <w:basedOn w:val="Normal"/>
    <w:next w:val="Normal"/>
    <w:uiPriority w:val="99"/>
    <w:rsid w:val="003F3458"/>
    <w:pPr>
      <w:autoSpaceDE w:val="0"/>
      <w:autoSpaceDN w:val="0"/>
      <w:adjustRightInd w:val="0"/>
      <w:spacing w:after="0"/>
    </w:pPr>
    <w:rPr>
      <w:rFonts w:ascii="Century Gothic" w:eastAsia="Calibri" w:hAnsi="Century Gothic" w:cs="Times New Roman"/>
    </w:rPr>
  </w:style>
  <w:style w:type="paragraph" w:styleId="BodyTextIndent">
    <w:name w:val="Body Text Indent"/>
    <w:basedOn w:val="Normal"/>
    <w:link w:val="BodyTextIndentChar"/>
    <w:uiPriority w:val="99"/>
    <w:semiHidden/>
    <w:unhideWhenUsed/>
    <w:rsid w:val="003F3458"/>
    <w:pPr>
      <w:spacing w:after="120"/>
      <w:ind w:left="283"/>
    </w:pPr>
  </w:style>
  <w:style w:type="character" w:customStyle="1" w:styleId="BodyTextIndentChar">
    <w:name w:val="Body Text Indent Char"/>
    <w:basedOn w:val="DefaultParagraphFont"/>
    <w:link w:val="BodyTextIndent"/>
    <w:uiPriority w:val="99"/>
    <w:semiHidden/>
    <w:rsid w:val="003F3458"/>
  </w:style>
  <w:style w:type="table" w:customStyle="1" w:styleId="ARTable1">
    <w:name w:val="AR Table1"/>
    <w:basedOn w:val="TableNormal"/>
    <w:uiPriority w:val="99"/>
    <w:rsid w:val="002E71BB"/>
    <w:rPr>
      <w:rFonts w:ascii="Calibri" w:eastAsia="Calibri" w:hAnsi="Calibri" w:cs="Arial"/>
      <w:sz w:val="22"/>
      <w:szCs w:val="22"/>
    </w:rPr>
    <w:tblPr>
      <w:tblStyleRowBandSize w:val="1"/>
    </w:tblPr>
    <w:tcPr>
      <w:tcMar>
        <w:top w:w="28" w:type="dxa"/>
        <w:left w:w="113" w:type="dxa"/>
        <w:bottom w:w="28" w:type="dxa"/>
        <w:right w:w="113" w:type="dxa"/>
      </w:tcMar>
    </w:tcPr>
    <w:tblStylePr w:type="firstRow">
      <w:tblPr/>
      <w:tcPr>
        <w:shd w:val="clear" w:color="auto" w:fill="274177"/>
      </w:tcPr>
    </w:tblStylePr>
    <w:tblStylePr w:type="band2Horz">
      <w:tblPr/>
      <w:tcPr>
        <w:shd w:val="clear" w:color="auto" w:fill="E4E5E3"/>
      </w:tcPr>
    </w:tblStylePr>
  </w:style>
  <w:style w:type="paragraph" w:customStyle="1" w:styleId="Default">
    <w:name w:val="Default"/>
    <w:rsid w:val="0024157C"/>
    <w:pPr>
      <w:autoSpaceDE w:val="0"/>
      <w:autoSpaceDN w:val="0"/>
      <w:adjustRightInd w:val="0"/>
    </w:pPr>
    <w:rPr>
      <w:rFonts w:ascii="Calibri" w:hAnsi="Calibri" w:cs="Calibri"/>
      <w:color w:val="000000"/>
      <w:lang w:val="en-GB"/>
    </w:rPr>
  </w:style>
  <w:style w:type="paragraph" w:customStyle="1" w:styleId="ListParagraph0">
    <w:name w:val="List Paragraph_0"/>
    <w:basedOn w:val="Normal"/>
    <w:link w:val="ListParagraphChar0"/>
    <w:uiPriority w:val="34"/>
    <w:qFormat/>
    <w:rsid w:val="00D072DC"/>
    <w:pPr>
      <w:spacing w:before="200" w:after="0"/>
      <w:ind w:left="357" w:hanging="357"/>
    </w:pPr>
    <w:rPr>
      <w:rFonts w:ascii="Calibri" w:eastAsia="Times New Roman" w:hAnsi="Calibri" w:cs="Times New Roman"/>
      <w:sz w:val="16"/>
    </w:rPr>
  </w:style>
  <w:style w:type="character" w:customStyle="1" w:styleId="ListParagraphChar0">
    <w:name w:val="List Paragraph Char_0"/>
    <w:link w:val="ListParagraph0"/>
    <w:uiPriority w:val="34"/>
    <w:locked/>
    <w:rsid w:val="00D072DC"/>
    <w:rPr>
      <w:rFonts w:ascii="Calibri" w:eastAsia="Times New Roman" w:hAnsi="Calibri" w:cs="Times New Roman"/>
      <w:sz w:val="16"/>
    </w:rPr>
  </w:style>
  <w:style w:type="paragraph" w:customStyle="1" w:styleId="Pa4">
    <w:name w:val="Pa4"/>
    <w:basedOn w:val="Normal"/>
    <w:next w:val="Normal"/>
    <w:uiPriority w:val="99"/>
    <w:rsid w:val="00337688"/>
    <w:pPr>
      <w:autoSpaceDE w:val="0"/>
      <w:autoSpaceDN w:val="0"/>
      <w:adjustRightInd w:val="0"/>
      <w:spacing w:after="0" w:line="301" w:lineRule="atLeast"/>
    </w:pPr>
    <w:rPr>
      <w:rFonts w:ascii="Montserrat Semi Bold" w:hAnsi="Montserrat Semi Bold"/>
    </w:rPr>
  </w:style>
  <w:style w:type="paragraph" w:customStyle="1" w:styleId="Pa6">
    <w:name w:val="Pa6"/>
    <w:basedOn w:val="Normal"/>
    <w:next w:val="Revision"/>
    <w:uiPriority w:val="99"/>
    <w:rsid w:val="00284B69"/>
    <w:pPr>
      <w:autoSpaceDE w:val="0"/>
      <w:autoSpaceDN w:val="0"/>
      <w:adjustRightInd w:val="0"/>
      <w:spacing w:after="0" w:line="201" w:lineRule="atLeast"/>
    </w:pPr>
    <w:rPr>
      <w:rFonts w:ascii="Helvetica 45 Light" w:eastAsia="Calibri" w:hAnsi="Helvetica 45 Light" w:cs="Times New Roman"/>
      <w:lang w:eastAsia="en-AU"/>
    </w:rPr>
  </w:style>
  <w:style w:type="paragraph" w:customStyle="1" w:styleId="Chapterdivider-Parttext">
    <w:name w:val="Chapter divider - 'Part' text"/>
    <w:basedOn w:val="Heading1"/>
    <w:qFormat/>
    <w:rsid w:val="003E62D2"/>
    <w:pPr>
      <w:spacing w:after="120"/>
    </w:pPr>
    <w:rPr>
      <w:rFonts w:ascii="Montserrat" w:hAnsi="Montserrat"/>
      <w:b w:val="0"/>
      <w:bCs/>
      <w:color w:val="FFFFFF" w:themeColor="background1"/>
      <w:sz w:val="110"/>
      <w:szCs w:val="110"/>
    </w:rPr>
  </w:style>
  <w:style w:type="paragraph" w:customStyle="1" w:styleId="Chapterdivider-subheadingtext">
    <w:name w:val="Chapter divider - subheading text"/>
    <w:basedOn w:val="Heading1"/>
    <w:qFormat/>
    <w:rsid w:val="003E62D2"/>
    <w:pPr>
      <w:spacing w:after="120"/>
    </w:pPr>
    <w:rPr>
      <w:rFonts w:ascii="Montserrat" w:hAnsi="Montserrat"/>
      <w:b w:val="0"/>
      <w:bCs/>
      <w:color w:val="FFFFFF" w:themeColor="background1"/>
    </w:rPr>
  </w:style>
  <w:style w:type="paragraph" w:customStyle="1" w:styleId="Infoheader">
    <w:name w:val="Info_header"/>
    <w:basedOn w:val="Normal"/>
    <w:qFormat/>
    <w:rsid w:val="00CC3640"/>
    <w:pPr>
      <w:spacing w:before="400" w:after="120"/>
    </w:pPr>
    <w:rPr>
      <w:rFonts w:eastAsia="Times New Roman" w:cstheme="minorHAnsi"/>
      <w:b/>
      <w:bCs/>
      <w:iCs/>
      <w:color w:val="262626" w:themeColor="text1" w:themeTint="D9"/>
      <w:sz w:val="36"/>
      <w:szCs w:val="36"/>
    </w:rPr>
  </w:style>
  <w:style w:type="paragraph" w:styleId="TOCHeading">
    <w:name w:val="TOC Heading"/>
    <w:next w:val="Normal"/>
    <w:uiPriority w:val="39"/>
    <w:unhideWhenUsed/>
    <w:qFormat/>
    <w:rsid w:val="004E4BEA"/>
    <w:pPr>
      <w:spacing w:before="200" w:after="1000"/>
    </w:pPr>
    <w:rPr>
      <w:rFonts w:ascii="Arial" w:eastAsia="Times New Roman" w:hAnsi="Arial" w:cs="Arial"/>
      <w:b/>
      <w:bCs/>
      <w:color w:val="492581" w:themeColor="accent1"/>
      <w:sz w:val="48"/>
      <w:szCs w:val="48"/>
    </w:rPr>
  </w:style>
  <w:style w:type="paragraph" w:customStyle="1" w:styleId="VAText">
    <w:name w:val="VAText"/>
    <w:basedOn w:val="Normal"/>
    <w:rsid w:val="00D331D2"/>
    <w:pPr>
      <w:spacing w:after="0" w:line="240" w:lineRule="auto"/>
    </w:pPr>
    <w:rPr>
      <w:rFonts w:ascii="Times New Roman" w:eastAsia="Times New Roman" w:hAnsi="Times New Roman" w:cs="Times New Roman"/>
      <w:sz w:val="18"/>
      <w:szCs w:val="20"/>
    </w:rPr>
  </w:style>
  <w:style w:type="paragraph" w:customStyle="1" w:styleId="Pa10">
    <w:name w:val="Pa10"/>
    <w:basedOn w:val="Default"/>
    <w:next w:val="Default"/>
    <w:uiPriority w:val="99"/>
    <w:rsid w:val="00D331D2"/>
    <w:pPr>
      <w:spacing w:line="181" w:lineRule="atLeast"/>
    </w:pPr>
    <w:rPr>
      <w:rFonts w:ascii="Source Sans Pro Light" w:hAnsi="Source Sans Pro Light" w:cstheme="minorBidi"/>
      <w:color w:val="auto"/>
      <w:lang w:val="en-AU"/>
    </w:rPr>
  </w:style>
  <w:style w:type="paragraph" w:customStyle="1" w:styleId="Pa11">
    <w:name w:val="Pa11"/>
    <w:basedOn w:val="Default"/>
    <w:next w:val="Default"/>
    <w:uiPriority w:val="99"/>
    <w:rsid w:val="00FA12D4"/>
    <w:pPr>
      <w:spacing w:line="261" w:lineRule="atLeast"/>
    </w:pPr>
    <w:rPr>
      <w:rFonts w:ascii="Montserrat Semi Bold" w:hAnsi="Montserrat Semi Bold" w:cstheme="minorBidi"/>
      <w:color w:val="auto"/>
      <w:lang w:val="en-AU"/>
    </w:rPr>
  </w:style>
  <w:style w:type="paragraph" w:customStyle="1" w:styleId="Indent1">
    <w:name w:val="Indent 1"/>
    <w:basedOn w:val="Normal"/>
    <w:uiPriority w:val="49"/>
    <w:qFormat/>
    <w:rsid w:val="009C559D"/>
    <w:pPr>
      <w:numPr>
        <w:ilvl w:val="1"/>
        <w:numId w:val="35"/>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rPr>
  </w:style>
  <w:style w:type="paragraph" w:customStyle="1" w:styleId="Indent2">
    <w:name w:val="Indent 2"/>
    <w:basedOn w:val="Indent1"/>
    <w:uiPriority w:val="49"/>
    <w:qFormat/>
    <w:rsid w:val="009C559D"/>
    <w:pPr>
      <w:numPr>
        <w:ilvl w:val="2"/>
      </w:numPr>
    </w:pPr>
  </w:style>
  <w:style w:type="paragraph" w:customStyle="1" w:styleId="Indent3">
    <w:name w:val="Indent 3"/>
    <w:basedOn w:val="Indent2"/>
    <w:uiPriority w:val="49"/>
    <w:qFormat/>
    <w:rsid w:val="009C559D"/>
    <w:pPr>
      <w:numPr>
        <w:ilvl w:val="3"/>
      </w:numPr>
    </w:pPr>
  </w:style>
  <w:style w:type="paragraph" w:customStyle="1" w:styleId="Indent5">
    <w:name w:val="Indent 5"/>
    <w:basedOn w:val="Indent4"/>
    <w:uiPriority w:val="49"/>
    <w:rsid w:val="009C559D"/>
    <w:pPr>
      <w:numPr>
        <w:ilvl w:val="5"/>
      </w:numPr>
      <w:tabs>
        <w:tab w:val="num" w:pos="4680"/>
      </w:tabs>
      <w:ind w:left="4680" w:hanging="360"/>
    </w:pPr>
  </w:style>
  <w:style w:type="paragraph" w:customStyle="1" w:styleId="Indent6">
    <w:name w:val="Indent 6"/>
    <w:basedOn w:val="Indent5"/>
    <w:uiPriority w:val="49"/>
    <w:rsid w:val="009C559D"/>
    <w:pPr>
      <w:numPr>
        <w:ilvl w:val="6"/>
      </w:numPr>
      <w:tabs>
        <w:tab w:val="num" w:pos="5400"/>
      </w:tabs>
      <w:ind w:left="5400" w:hanging="360"/>
    </w:pPr>
  </w:style>
  <w:style w:type="paragraph" w:customStyle="1" w:styleId="Indent7">
    <w:name w:val="Indent 7"/>
    <w:basedOn w:val="Indent6"/>
    <w:uiPriority w:val="49"/>
    <w:rsid w:val="009C559D"/>
    <w:pPr>
      <w:numPr>
        <w:ilvl w:val="7"/>
      </w:numPr>
      <w:tabs>
        <w:tab w:val="num" w:pos="6120"/>
      </w:tabs>
      <w:ind w:left="6120" w:hanging="360"/>
    </w:pPr>
  </w:style>
  <w:style w:type="paragraph" w:customStyle="1" w:styleId="Indent4">
    <w:name w:val="Indent 4"/>
    <w:basedOn w:val="Indent3"/>
    <w:uiPriority w:val="49"/>
    <w:rsid w:val="009C559D"/>
    <w:pPr>
      <w:numPr>
        <w:ilvl w:val="4"/>
      </w:numPr>
      <w:tabs>
        <w:tab w:val="num" w:pos="3960"/>
      </w:tabs>
      <w:ind w:left="3960" w:hanging="360"/>
    </w:pPr>
  </w:style>
  <w:style w:type="paragraph" w:customStyle="1" w:styleId="PwCNormal">
    <w:name w:val="PwC Normal"/>
    <w:basedOn w:val="Normal"/>
    <w:qFormat/>
    <w:rsid w:val="009C559D"/>
    <w:pPr>
      <w:numPr>
        <w:numId w:val="35"/>
      </w:numPr>
      <w:kinsoku w:val="0"/>
      <w:overflowPunct w:val="0"/>
      <w:autoSpaceDE w:val="0"/>
      <w:autoSpaceDN w:val="0"/>
      <w:adjustRightInd w:val="0"/>
      <w:snapToGrid w:val="0"/>
      <w:spacing w:before="240" w:after="120" w:line="281" w:lineRule="auto"/>
      <w:ind w:left="360" w:hanging="360"/>
    </w:pPr>
    <w:rPr>
      <w:rFonts w:eastAsia="Times New Roman" w:cs="Arial"/>
      <w:snapToGrid w:val="0"/>
      <w:color w:val="000000"/>
      <w:sz w:val="18"/>
      <w:szCs w:val="20"/>
    </w:rPr>
  </w:style>
  <w:style w:type="paragraph" w:customStyle="1" w:styleId="Indent8">
    <w:name w:val="Indent 8"/>
    <w:basedOn w:val="Indent7"/>
    <w:uiPriority w:val="49"/>
    <w:rsid w:val="009C559D"/>
    <w:pPr>
      <w:numPr>
        <w:ilvl w:val="8"/>
      </w:numPr>
      <w:tabs>
        <w:tab w:val="num" w:pos="6840"/>
      </w:tabs>
      <w:ind w:left="6840" w:hanging="360"/>
    </w:pPr>
  </w:style>
  <w:style w:type="numbering" w:customStyle="1" w:styleId="Bullets">
    <w:name w:val="Bullets"/>
    <w:uiPriority w:val="99"/>
    <w:rsid w:val="009C559D"/>
    <w:pPr>
      <w:numPr>
        <w:numId w:val="39"/>
      </w:numPr>
    </w:pPr>
  </w:style>
  <w:style w:type="paragraph" w:customStyle="1" w:styleId="Bulletintropara">
    <w:name w:val="Bullet intro para"/>
    <w:basedOn w:val="Normal"/>
    <w:qFormat/>
    <w:rsid w:val="007E11B3"/>
    <w:pPr>
      <w:spacing w:after="120"/>
    </w:pPr>
    <w:rPr>
      <w:rFonts w:eastAsia="Times New Roman" w:cs="Arial"/>
      <w:bCs/>
      <w:iCs/>
      <w:color w:val="262626" w:themeColor="text1" w:themeTint="D9"/>
    </w:rPr>
  </w:style>
  <w:style w:type="paragraph" w:customStyle="1" w:styleId="Infobody">
    <w:name w:val="Info_body"/>
    <w:basedOn w:val="Infoheader"/>
    <w:qFormat/>
    <w:rsid w:val="00763B59"/>
    <w:pPr>
      <w:spacing w:before="0" w:line="260" w:lineRule="exact"/>
    </w:pPr>
    <w:rPr>
      <w:b w:val="0"/>
      <w:sz w:val="24"/>
      <w:szCs w:val="24"/>
    </w:rPr>
  </w:style>
  <w:style w:type="paragraph" w:customStyle="1" w:styleId="BodyCopy">
    <w:name w:val="Body Copy"/>
    <w:basedOn w:val="Normal"/>
    <w:qFormat/>
    <w:rsid w:val="00924BA4"/>
    <w:rPr>
      <w:rFonts w:eastAsia="Times New Roman" w:cstheme="minorHAnsi"/>
      <w:bCs/>
      <w:iCs/>
      <w:color w:val="262626" w:themeColor="text1" w:themeTint="D9"/>
    </w:rPr>
  </w:style>
  <w:style w:type="character" w:customStyle="1" w:styleId="apple-converted-space">
    <w:name w:val="apple-converted-space"/>
    <w:basedOn w:val="DefaultParagraphFont"/>
    <w:rsid w:val="009238CF"/>
  </w:style>
  <w:style w:type="character" w:customStyle="1" w:styleId="grame">
    <w:name w:val="grame"/>
    <w:basedOn w:val="DefaultParagraphFont"/>
    <w:rsid w:val="009238CF"/>
  </w:style>
  <w:style w:type="paragraph" w:customStyle="1" w:styleId="Pa17">
    <w:name w:val="Pa17"/>
    <w:basedOn w:val="Normal"/>
    <w:next w:val="Normal"/>
    <w:uiPriority w:val="99"/>
    <w:rsid w:val="00D26112"/>
    <w:pPr>
      <w:autoSpaceDE w:val="0"/>
      <w:autoSpaceDN w:val="0"/>
      <w:adjustRightInd w:val="0"/>
      <w:spacing w:after="0" w:line="181" w:lineRule="atLeast"/>
    </w:pPr>
    <w:rPr>
      <w:rFonts w:ascii="Montserrat Semi Bold" w:hAnsi="Montserrat Semi Bold"/>
    </w:rPr>
  </w:style>
  <w:style w:type="paragraph" w:customStyle="1" w:styleId="Pa28">
    <w:name w:val="Pa28"/>
    <w:basedOn w:val="Normal"/>
    <w:next w:val="Normal"/>
    <w:uiPriority w:val="99"/>
    <w:rsid w:val="001161EF"/>
    <w:pPr>
      <w:autoSpaceDE w:val="0"/>
      <w:autoSpaceDN w:val="0"/>
      <w:adjustRightInd w:val="0"/>
      <w:spacing w:after="0" w:line="181" w:lineRule="atLeast"/>
    </w:pPr>
    <w:rPr>
      <w:rFonts w:ascii="Montserrat Semi Bold" w:hAnsi="Montserrat Semi Bold"/>
    </w:rPr>
  </w:style>
  <w:style w:type="paragraph" w:customStyle="1" w:styleId="Appxhead2">
    <w:name w:val="Appxhead2"/>
    <w:basedOn w:val="Normal"/>
    <w:link w:val="Appxhead2Char"/>
    <w:qFormat/>
    <w:rsid w:val="003C6E2A"/>
    <w:pPr>
      <w:spacing w:before="240" w:after="120" w:line="240" w:lineRule="auto"/>
    </w:pPr>
    <w:rPr>
      <w:rFonts w:ascii="Arial" w:eastAsia="Times New Roman" w:hAnsi="Arial" w:cs="Times New Roman"/>
      <w:b/>
      <w:caps/>
      <w:sz w:val="28"/>
      <w:szCs w:val="28"/>
    </w:rPr>
  </w:style>
  <w:style w:type="character" w:customStyle="1" w:styleId="Appxhead2Char">
    <w:name w:val="Appxhead2 Char"/>
    <w:basedOn w:val="DefaultParagraphFont"/>
    <w:link w:val="Appxhead2"/>
    <w:rsid w:val="003C6E2A"/>
    <w:rPr>
      <w:rFonts w:ascii="Arial" w:eastAsia="Times New Roman" w:hAnsi="Arial" w:cs="Times New Roman"/>
      <w:b/>
      <w:caps/>
      <w:sz w:val="28"/>
      <w:szCs w:val="28"/>
    </w:rPr>
  </w:style>
  <w:style w:type="paragraph" w:customStyle="1" w:styleId="Pa21">
    <w:name w:val="Pa21"/>
    <w:basedOn w:val="Normal"/>
    <w:next w:val="Normal"/>
    <w:uiPriority w:val="99"/>
    <w:rsid w:val="00512B44"/>
    <w:pPr>
      <w:autoSpaceDE w:val="0"/>
      <w:autoSpaceDN w:val="0"/>
      <w:adjustRightInd w:val="0"/>
      <w:spacing w:after="0" w:line="181" w:lineRule="atLeast"/>
    </w:pPr>
    <w:rPr>
      <w:rFonts w:ascii="Montserrat Semi Bold" w:hAnsi="Montserrat Semi Bold"/>
    </w:rPr>
  </w:style>
  <w:style w:type="numbering" w:customStyle="1" w:styleId="Bullets1">
    <w:name w:val="Bullets1"/>
    <w:uiPriority w:val="99"/>
    <w:rsid w:val="00F14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7065">
      <w:bodyDiv w:val="1"/>
      <w:marLeft w:val="0"/>
      <w:marRight w:val="0"/>
      <w:marTop w:val="0"/>
      <w:marBottom w:val="0"/>
      <w:divBdr>
        <w:top w:val="none" w:sz="0" w:space="0" w:color="auto"/>
        <w:left w:val="none" w:sz="0" w:space="0" w:color="auto"/>
        <w:bottom w:val="none" w:sz="0" w:space="0" w:color="auto"/>
        <w:right w:val="none" w:sz="0" w:space="0" w:color="auto"/>
      </w:divBdr>
    </w:div>
    <w:div w:id="163470556">
      <w:bodyDiv w:val="1"/>
      <w:marLeft w:val="0"/>
      <w:marRight w:val="0"/>
      <w:marTop w:val="0"/>
      <w:marBottom w:val="0"/>
      <w:divBdr>
        <w:top w:val="none" w:sz="0" w:space="0" w:color="auto"/>
        <w:left w:val="none" w:sz="0" w:space="0" w:color="auto"/>
        <w:bottom w:val="none" w:sz="0" w:space="0" w:color="auto"/>
        <w:right w:val="none" w:sz="0" w:space="0" w:color="auto"/>
      </w:divBdr>
    </w:div>
    <w:div w:id="222108154">
      <w:bodyDiv w:val="1"/>
      <w:marLeft w:val="0"/>
      <w:marRight w:val="0"/>
      <w:marTop w:val="0"/>
      <w:marBottom w:val="0"/>
      <w:divBdr>
        <w:top w:val="none" w:sz="0" w:space="0" w:color="auto"/>
        <w:left w:val="none" w:sz="0" w:space="0" w:color="auto"/>
        <w:bottom w:val="none" w:sz="0" w:space="0" w:color="auto"/>
        <w:right w:val="none" w:sz="0" w:space="0" w:color="auto"/>
      </w:divBdr>
    </w:div>
    <w:div w:id="428283527">
      <w:bodyDiv w:val="1"/>
      <w:marLeft w:val="0"/>
      <w:marRight w:val="0"/>
      <w:marTop w:val="0"/>
      <w:marBottom w:val="0"/>
      <w:divBdr>
        <w:top w:val="none" w:sz="0" w:space="0" w:color="auto"/>
        <w:left w:val="none" w:sz="0" w:space="0" w:color="auto"/>
        <w:bottom w:val="none" w:sz="0" w:space="0" w:color="auto"/>
        <w:right w:val="none" w:sz="0" w:space="0" w:color="auto"/>
      </w:divBdr>
    </w:div>
    <w:div w:id="487525735">
      <w:bodyDiv w:val="1"/>
      <w:marLeft w:val="0"/>
      <w:marRight w:val="0"/>
      <w:marTop w:val="0"/>
      <w:marBottom w:val="0"/>
      <w:divBdr>
        <w:top w:val="none" w:sz="0" w:space="0" w:color="auto"/>
        <w:left w:val="none" w:sz="0" w:space="0" w:color="auto"/>
        <w:bottom w:val="none" w:sz="0" w:space="0" w:color="auto"/>
        <w:right w:val="none" w:sz="0" w:space="0" w:color="auto"/>
      </w:divBdr>
    </w:div>
    <w:div w:id="649017844">
      <w:bodyDiv w:val="1"/>
      <w:marLeft w:val="0"/>
      <w:marRight w:val="0"/>
      <w:marTop w:val="0"/>
      <w:marBottom w:val="0"/>
      <w:divBdr>
        <w:top w:val="none" w:sz="0" w:space="0" w:color="auto"/>
        <w:left w:val="none" w:sz="0" w:space="0" w:color="auto"/>
        <w:bottom w:val="none" w:sz="0" w:space="0" w:color="auto"/>
        <w:right w:val="none" w:sz="0" w:space="0" w:color="auto"/>
      </w:divBdr>
    </w:div>
    <w:div w:id="731346904">
      <w:bodyDiv w:val="1"/>
      <w:marLeft w:val="0"/>
      <w:marRight w:val="0"/>
      <w:marTop w:val="0"/>
      <w:marBottom w:val="0"/>
      <w:divBdr>
        <w:top w:val="none" w:sz="0" w:space="0" w:color="auto"/>
        <w:left w:val="none" w:sz="0" w:space="0" w:color="auto"/>
        <w:bottom w:val="none" w:sz="0" w:space="0" w:color="auto"/>
        <w:right w:val="none" w:sz="0" w:space="0" w:color="auto"/>
      </w:divBdr>
    </w:div>
    <w:div w:id="794711983">
      <w:bodyDiv w:val="1"/>
      <w:marLeft w:val="0"/>
      <w:marRight w:val="0"/>
      <w:marTop w:val="0"/>
      <w:marBottom w:val="0"/>
      <w:divBdr>
        <w:top w:val="none" w:sz="0" w:space="0" w:color="auto"/>
        <w:left w:val="none" w:sz="0" w:space="0" w:color="auto"/>
        <w:bottom w:val="none" w:sz="0" w:space="0" w:color="auto"/>
        <w:right w:val="none" w:sz="0" w:space="0" w:color="auto"/>
      </w:divBdr>
    </w:div>
    <w:div w:id="831019625">
      <w:bodyDiv w:val="1"/>
      <w:marLeft w:val="0"/>
      <w:marRight w:val="0"/>
      <w:marTop w:val="0"/>
      <w:marBottom w:val="0"/>
      <w:divBdr>
        <w:top w:val="none" w:sz="0" w:space="0" w:color="auto"/>
        <w:left w:val="none" w:sz="0" w:space="0" w:color="auto"/>
        <w:bottom w:val="none" w:sz="0" w:space="0" w:color="auto"/>
        <w:right w:val="none" w:sz="0" w:space="0" w:color="auto"/>
      </w:divBdr>
    </w:div>
    <w:div w:id="917254454">
      <w:bodyDiv w:val="1"/>
      <w:marLeft w:val="0"/>
      <w:marRight w:val="0"/>
      <w:marTop w:val="0"/>
      <w:marBottom w:val="0"/>
      <w:divBdr>
        <w:top w:val="none" w:sz="0" w:space="0" w:color="auto"/>
        <w:left w:val="none" w:sz="0" w:space="0" w:color="auto"/>
        <w:bottom w:val="none" w:sz="0" w:space="0" w:color="auto"/>
        <w:right w:val="none" w:sz="0" w:space="0" w:color="auto"/>
      </w:divBdr>
    </w:div>
    <w:div w:id="972558101">
      <w:bodyDiv w:val="1"/>
      <w:marLeft w:val="0"/>
      <w:marRight w:val="0"/>
      <w:marTop w:val="0"/>
      <w:marBottom w:val="0"/>
      <w:divBdr>
        <w:top w:val="none" w:sz="0" w:space="0" w:color="auto"/>
        <w:left w:val="none" w:sz="0" w:space="0" w:color="auto"/>
        <w:bottom w:val="none" w:sz="0" w:space="0" w:color="auto"/>
        <w:right w:val="none" w:sz="0" w:space="0" w:color="auto"/>
      </w:divBdr>
    </w:div>
    <w:div w:id="1121144650">
      <w:bodyDiv w:val="1"/>
      <w:marLeft w:val="0"/>
      <w:marRight w:val="0"/>
      <w:marTop w:val="0"/>
      <w:marBottom w:val="0"/>
      <w:divBdr>
        <w:top w:val="none" w:sz="0" w:space="0" w:color="auto"/>
        <w:left w:val="none" w:sz="0" w:space="0" w:color="auto"/>
        <w:bottom w:val="none" w:sz="0" w:space="0" w:color="auto"/>
        <w:right w:val="none" w:sz="0" w:space="0" w:color="auto"/>
      </w:divBdr>
    </w:div>
    <w:div w:id="1296134706">
      <w:bodyDiv w:val="1"/>
      <w:marLeft w:val="0"/>
      <w:marRight w:val="0"/>
      <w:marTop w:val="0"/>
      <w:marBottom w:val="0"/>
      <w:divBdr>
        <w:top w:val="none" w:sz="0" w:space="0" w:color="auto"/>
        <w:left w:val="none" w:sz="0" w:space="0" w:color="auto"/>
        <w:bottom w:val="none" w:sz="0" w:space="0" w:color="auto"/>
        <w:right w:val="none" w:sz="0" w:space="0" w:color="auto"/>
      </w:divBdr>
    </w:div>
    <w:div w:id="1334602602">
      <w:bodyDiv w:val="1"/>
      <w:marLeft w:val="0"/>
      <w:marRight w:val="0"/>
      <w:marTop w:val="0"/>
      <w:marBottom w:val="0"/>
      <w:divBdr>
        <w:top w:val="none" w:sz="0" w:space="0" w:color="auto"/>
        <w:left w:val="none" w:sz="0" w:space="0" w:color="auto"/>
        <w:bottom w:val="none" w:sz="0" w:space="0" w:color="auto"/>
        <w:right w:val="none" w:sz="0" w:space="0" w:color="auto"/>
      </w:divBdr>
    </w:div>
    <w:div w:id="1460345349">
      <w:bodyDiv w:val="1"/>
      <w:marLeft w:val="0"/>
      <w:marRight w:val="0"/>
      <w:marTop w:val="0"/>
      <w:marBottom w:val="0"/>
      <w:divBdr>
        <w:top w:val="none" w:sz="0" w:space="0" w:color="auto"/>
        <w:left w:val="none" w:sz="0" w:space="0" w:color="auto"/>
        <w:bottom w:val="none" w:sz="0" w:space="0" w:color="auto"/>
        <w:right w:val="none" w:sz="0" w:space="0" w:color="auto"/>
      </w:divBdr>
    </w:div>
    <w:div w:id="1608275653">
      <w:bodyDiv w:val="1"/>
      <w:marLeft w:val="0"/>
      <w:marRight w:val="0"/>
      <w:marTop w:val="0"/>
      <w:marBottom w:val="0"/>
      <w:divBdr>
        <w:top w:val="none" w:sz="0" w:space="0" w:color="auto"/>
        <w:left w:val="none" w:sz="0" w:space="0" w:color="auto"/>
        <w:bottom w:val="none" w:sz="0" w:space="0" w:color="auto"/>
        <w:right w:val="none" w:sz="0" w:space="0" w:color="auto"/>
      </w:divBdr>
    </w:div>
    <w:div w:id="1654479653">
      <w:bodyDiv w:val="1"/>
      <w:marLeft w:val="0"/>
      <w:marRight w:val="0"/>
      <w:marTop w:val="0"/>
      <w:marBottom w:val="0"/>
      <w:divBdr>
        <w:top w:val="none" w:sz="0" w:space="0" w:color="auto"/>
        <w:left w:val="none" w:sz="0" w:space="0" w:color="auto"/>
        <w:bottom w:val="none" w:sz="0" w:space="0" w:color="auto"/>
        <w:right w:val="none" w:sz="0" w:space="0" w:color="auto"/>
      </w:divBdr>
    </w:div>
    <w:div w:id="1719428705">
      <w:bodyDiv w:val="1"/>
      <w:marLeft w:val="0"/>
      <w:marRight w:val="0"/>
      <w:marTop w:val="0"/>
      <w:marBottom w:val="0"/>
      <w:divBdr>
        <w:top w:val="none" w:sz="0" w:space="0" w:color="auto"/>
        <w:left w:val="none" w:sz="0" w:space="0" w:color="auto"/>
        <w:bottom w:val="none" w:sz="0" w:space="0" w:color="auto"/>
        <w:right w:val="none" w:sz="0" w:space="0" w:color="auto"/>
      </w:divBdr>
    </w:div>
    <w:div w:id="1737237394">
      <w:bodyDiv w:val="1"/>
      <w:marLeft w:val="0"/>
      <w:marRight w:val="0"/>
      <w:marTop w:val="0"/>
      <w:marBottom w:val="0"/>
      <w:divBdr>
        <w:top w:val="none" w:sz="0" w:space="0" w:color="auto"/>
        <w:left w:val="none" w:sz="0" w:space="0" w:color="auto"/>
        <w:bottom w:val="none" w:sz="0" w:space="0" w:color="auto"/>
        <w:right w:val="none" w:sz="0" w:space="0" w:color="auto"/>
      </w:divBdr>
    </w:div>
    <w:div w:id="1875003170">
      <w:bodyDiv w:val="1"/>
      <w:marLeft w:val="0"/>
      <w:marRight w:val="0"/>
      <w:marTop w:val="0"/>
      <w:marBottom w:val="0"/>
      <w:divBdr>
        <w:top w:val="none" w:sz="0" w:space="0" w:color="auto"/>
        <w:left w:val="none" w:sz="0" w:space="0" w:color="auto"/>
        <w:bottom w:val="none" w:sz="0" w:space="0" w:color="auto"/>
        <w:right w:val="none" w:sz="0" w:space="0" w:color="auto"/>
      </w:divBdr>
    </w:div>
    <w:div w:id="1888058531">
      <w:bodyDiv w:val="1"/>
      <w:marLeft w:val="0"/>
      <w:marRight w:val="0"/>
      <w:marTop w:val="0"/>
      <w:marBottom w:val="0"/>
      <w:divBdr>
        <w:top w:val="none" w:sz="0" w:space="0" w:color="auto"/>
        <w:left w:val="none" w:sz="0" w:space="0" w:color="auto"/>
        <w:bottom w:val="none" w:sz="0" w:space="0" w:color="auto"/>
        <w:right w:val="none" w:sz="0" w:space="0" w:color="auto"/>
      </w:divBdr>
    </w:div>
    <w:div w:id="2005545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creativecommons.org/licenses/by/4.0/" TargetMode="External"/><Relationship Id="rId42" Type="http://schemas.openxmlformats.org/officeDocument/2006/relationships/chart" Target="charts/chart4.xml"/><Relationship Id="rId47" Type="http://schemas.openxmlformats.org/officeDocument/2006/relationships/header" Target="header8.xml"/><Relationship Id="rId63" Type="http://schemas.openxmlformats.org/officeDocument/2006/relationships/header" Target="header15.xml"/><Relationship Id="rId68" Type="http://schemas.openxmlformats.org/officeDocument/2006/relationships/header" Target="header18.xml"/><Relationship Id="rId16" Type="http://schemas.openxmlformats.org/officeDocument/2006/relationships/hyperlink" Target="mailto:ACTInsuranceAuthority@act.gov.au"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chart" Target="charts/chart2.xml"/><Relationship Id="rId45" Type="http://schemas.openxmlformats.org/officeDocument/2006/relationships/header" Target="header7.xml"/><Relationship Id="rId53" Type="http://schemas.openxmlformats.org/officeDocument/2006/relationships/image" Target="media/image10.png"/><Relationship Id="rId58" Type="http://schemas.openxmlformats.org/officeDocument/2006/relationships/header" Target="header12.xml"/><Relationship Id="rId66" Type="http://schemas.openxmlformats.org/officeDocument/2006/relationships/footer" Target="footer13.xm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tenders.act.gov.au/contract/search" TargetMode="External"/><Relationship Id="rId19" Type="http://schemas.openxmlformats.org/officeDocument/2006/relationships/hyperlink" Target="http://www.accesshub.gov.au" TargetMode="External"/><Relationship Id="rId14" Type="http://schemas.openxmlformats.org/officeDocument/2006/relationships/footer" Target="footer2.xml"/><Relationship Id="rId22" Type="http://schemas.openxmlformats.org/officeDocument/2006/relationships/hyperlink" Target="https://www.treasury.act.gov.au/insurance-and-risk-management" TargetMode="External"/><Relationship Id="rId27" Type="http://schemas.openxmlformats.org/officeDocument/2006/relationships/image" Target="media/image3.jpeg"/><Relationship Id="rId30" Type="http://schemas.openxmlformats.org/officeDocument/2006/relationships/hyperlink" Target="http://www.cmd.act.gov.au/open_government/report/annual_reports" TargetMode="External"/><Relationship Id="rId35" Type="http://schemas.openxmlformats.org/officeDocument/2006/relationships/image" Target="media/image5.png"/><Relationship Id="rId43" Type="http://schemas.openxmlformats.org/officeDocument/2006/relationships/chart" Target="charts/chart5.xml"/><Relationship Id="rId48" Type="http://schemas.openxmlformats.org/officeDocument/2006/relationships/image" Target="media/image6.jpeg"/><Relationship Id="rId56" Type="http://schemas.openxmlformats.org/officeDocument/2006/relationships/header" Target="header10.xml"/><Relationship Id="rId64" Type="http://schemas.openxmlformats.org/officeDocument/2006/relationships/footer" Target="footer12.xml"/><Relationship Id="rId69" Type="http://schemas.openxmlformats.org/officeDocument/2006/relationships/footer" Target="footer14.xml"/><Relationship Id="rId77"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image" Target="media/image8.jpeg"/><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reasury.act.gov.au/insurance-and-risk-management"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yperlink" Target="https://www.cmtedd.act.gov.au/functions/foi" TargetMode="External"/><Relationship Id="rId46" Type="http://schemas.openxmlformats.org/officeDocument/2006/relationships/footer" Target="footer9.xml"/><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image" Target="media/image2.png"/><Relationship Id="rId41" Type="http://schemas.openxmlformats.org/officeDocument/2006/relationships/chart" Target="charts/chart3.xml"/><Relationship Id="rId54" Type="http://schemas.openxmlformats.org/officeDocument/2006/relationships/header" Target="header9.xml"/><Relationship Id="rId62" Type="http://schemas.openxmlformats.org/officeDocument/2006/relationships/image" Target="media/image11.jpeg"/><Relationship Id="rId70" Type="http://schemas.openxmlformats.org/officeDocument/2006/relationships/header" Target="header1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1.xml"/><Relationship Id="rId28" Type="http://schemas.openxmlformats.org/officeDocument/2006/relationships/image" Target="media/image4.JPG"/><Relationship Id="rId36" Type="http://schemas.openxmlformats.org/officeDocument/2006/relationships/footer" Target="footer8.xml"/><Relationship Id="rId49" Type="http://schemas.openxmlformats.org/officeDocument/2006/relationships/image" Target="media/image7.png"/><Relationship Id="rId57"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image" Target="media/image9.png"/><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mtedd.act.gov.au/functions/foi" TargetMode="External"/><Relationship Id="rId39" Type="http://schemas.openxmlformats.org/officeDocument/2006/relationships/chart" Target="charts/chart1.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footer" Target="footer11.xml"/><Relationship Id="rId76" Type="http://schemas.microsoft.com/office/2019/05/relationships/documenttasks" Target="documenttasks/documenttasks1.xml"/><Relationship Id="rId7" Type="http://schemas.openxmlformats.org/officeDocument/2006/relationships/styles" Target="styles.xml"/><Relationship Id="rId71"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hyperlink" Target="https://www.legislation.act.gov.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73315703161918"/>
          <c:y val="0.15986635665579027"/>
          <c:w val="0.45117464761349274"/>
          <c:h val="0.70823927241652929"/>
        </c:manualLayout>
      </c:layout>
      <c:pieChart>
        <c:varyColors val="1"/>
        <c:ser>
          <c:idx val="0"/>
          <c:order val="0"/>
          <c:tx>
            <c:strRef>
              <c:f>Sheet1!$B$1</c:f>
              <c:strCache>
                <c:ptCount val="1"/>
                <c:pt idx="0">
                  <c:v>Other Revenue</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DE62-42D4-B2D6-435D222628F9}"/>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DE62-42D4-B2D6-435D222628F9}"/>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DE62-42D4-B2D6-435D222628F9}"/>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DE62-42D4-B2D6-435D222628F9}"/>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DE62-42D4-B2D6-435D222628F9}"/>
              </c:ext>
            </c:extLst>
          </c:dPt>
          <c:dPt>
            <c:idx val="5"/>
            <c:bubble3D val="0"/>
            <c:spPr>
              <a:solidFill>
                <a:schemeClr val="accent1">
                  <a:tint val="2000"/>
                </a:schemeClr>
              </a:solidFill>
              <a:ln w="19050">
                <a:solidFill>
                  <a:schemeClr val="lt1"/>
                </a:solidFill>
              </a:ln>
              <a:effectLst/>
            </c:spPr>
            <c:extLst>
              <c:ext xmlns:c16="http://schemas.microsoft.com/office/drawing/2014/chart" uri="{C3380CC4-5D6E-409C-BE32-E72D297353CC}">
                <c16:uniqueId val="{0000000B-DE62-42D4-B2D6-435D222628F9}"/>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DE62-42D4-B2D6-435D222628F9}"/>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DE62-42D4-B2D6-435D222628F9}"/>
              </c:ext>
            </c:extLst>
          </c:dPt>
          <c:dLbls>
            <c:dLbl>
              <c:idx val="0"/>
              <c:layout>
                <c:manualLayout>
                  <c:x val="0.10988005693919133"/>
                  <c:y val="0.10576111749990086"/>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1106BAFD-22FE-46AF-8826-2324E01DDF74}"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9%</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770815560806577"/>
                      <c:h val="0.1895774031092621"/>
                    </c:manualLayout>
                  </c15:layout>
                  <c15:dlblFieldTable/>
                  <c15:showDataLabelsRange val="1"/>
                </c:ext>
                <c:ext xmlns:c16="http://schemas.microsoft.com/office/drawing/2014/chart" uri="{C3380CC4-5D6E-409C-BE32-E72D297353CC}">
                  <c16:uniqueId val="{00000001-DE62-42D4-B2D6-435D222628F9}"/>
                </c:ext>
              </c:extLst>
            </c:dLbl>
            <c:dLbl>
              <c:idx val="1"/>
              <c:layout>
                <c:manualLayout>
                  <c:x val="7.4297759759895859E-2"/>
                  <c:y val="-5.6930151083862575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9B104DE1-A209-4440-9EA9-4BE7527AE8E9}"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17%</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3-DE62-42D4-B2D6-435D222628F9}"/>
                </c:ext>
              </c:extLst>
            </c:dLbl>
            <c:dLbl>
              <c:idx val="2"/>
              <c:layout>
                <c:manualLayout>
                  <c:x val="-0.16183463644225679"/>
                  <c:y val="-9.7259870105463886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A5F60392-7F00-4D6E-94CF-1C1F5C7B4CB8}"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38%</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5-DE62-42D4-B2D6-435D222628F9}"/>
                </c:ext>
              </c:extLst>
            </c:dLbl>
            <c:dLbl>
              <c:idx val="3"/>
              <c:layout>
                <c:manualLayout>
                  <c:x val="-0.19649523675312397"/>
                  <c:y val="4.9162685406605761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
</a:t>
                    </a:r>
                    <a:fld id="{6C1B5074-C7B5-47F9-BBCA-27533BAA7D16}" type="CATEGORYNAME">
                      <a:rPr lang="en-US" sz="1100" baseline="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18%</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7-DE62-42D4-B2D6-435D222628F9}"/>
                </c:ext>
              </c:extLst>
            </c:dLbl>
            <c:dLbl>
              <c:idx val="4"/>
              <c:layout>
                <c:manualLayout>
                  <c:x val="0.13299897915445133"/>
                  <c:y val="4.500550853521238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927AB849-9EE2-457A-AD6E-5FB8BCC97EF6}" type="CATEGORYNAME">
                      <a:rPr lang="en-US" sz="1100" b="1" baseline="0">
                        <a:solidFill>
                          <a:sysClr val="windowText" lastClr="000000"/>
                        </a:solidFill>
                        <a:latin typeface="+mn-lt"/>
                      </a:rPr>
                      <a:pPr>
                        <a:defRPr sz="1100" b="1">
                          <a:solidFill>
                            <a:sysClr val="windowText" lastClr="000000"/>
                          </a:solidFill>
                        </a:defRPr>
                      </a:pPr>
                      <a:t>[CATEGORY NAME]</a:t>
                    </a:fld>
                    <a:r>
                      <a:rPr lang="en-US" sz="1100" b="1" baseline="0">
                        <a:solidFill>
                          <a:sysClr val="windowText" lastClr="000000"/>
                        </a:solidFill>
                        <a:latin typeface="+mn-lt"/>
                      </a:rPr>
                      <a:t> 18%</a:t>
                    </a:r>
                  </a:p>
                </c:rich>
              </c:tx>
              <c:numFmt formatCode="General"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600396426956698"/>
                      <c:h val="0.1895774031092621"/>
                    </c:manualLayout>
                  </c15:layout>
                  <c15:dlblFieldTable/>
                  <c15:showDataLabelsRange val="1"/>
                </c:ext>
                <c:ext xmlns:c16="http://schemas.microsoft.com/office/drawing/2014/chart" uri="{C3380CC4-5D6E-409C-BE32-E72D297353CC}">
                  <c16:uniqueId val="{00000009-DE62-42D4-B2D6-435D222628F9}"/>
                </c:ext>
              </c:extLst>
            </c:dLbl>
            <c:dLbl>
              <c:idx val="5"/>
              <c:layout>
                <c:manualLayout>
                  <c:x val="0"/>
                  <c:y val="-0.16879352366158429"/>
                </c:manualLayout>
              </c:layout>
              <c:tx>
                <c:rich>
                  <a:bodyPr/>
                  <a:lstStyle/>
                  <a:p>
                    <a:fld id="{26ED6CDF-2801-42EE-9F05-93EFA69012BB}" type="CATEGORYNAME">
                      <a:rPr lang="en-US"/>
                      <a:pPr/>
                      <a:t>[CATEGORY NAME]</a:t>
                    </a:fld>
                    <a:r>
                      <a:rPr lang="en-US" baseline="0"/>
                      <a:t> 0.2%</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DE62-42D4-B2D6-435D222628F9}"/>
                </c:ext>
              </c:extLst>
            </c:dLbl>
            <c:dLbl>
              <c:idx val="6"/>
              <c:layout>
                <c:manualLayout>
                  <c:x val="-0.12488434706661496"/>
                  <c:y val="-1.4883720930232573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D-DE62-42D4-B2D6-435D222628F9}"/>
                </c:ext>
              </c:extLst>
            </c:dLbl>
            <c:dLbl>
              <c:idx val="7"/>
              <c:layout>
                <c:manualLayout>
                  <c:x val="-2.1773500534655391E-3"/>
                  <c:y val="-5.9527803210645179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F-DE62-42D4-B2D6-435D222628F9}"/>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strRef>
              <c:f>Sheet1!$A$2:$A$6</c:f>
              <c:strCache>
                <c:ptCount val="5"/>
                <c:pt idx="0">
                  <c:v>Agency External Insurance Contracts</c:v>
                </c:pt>
                <c:pt idx="1">
                  <c:v>Agency Contract Works Insurance</c:v>
                </c:pt>
                <c:pt idx="2">
                  <c:v>BWI Premiums</c:v>
                </c:pt>
                <c:pt idx="3">
                  <c:v>Income from Support Services</c:v>
                </c:pt>
                <c:pt idx="4">
                  <c:v>PSA Indemnity Scheme Related Revenue</c:v>
                </c:pt>
              </c:strCache>
            </c:strRef>
          </c:cat>
          <c:val>
            <c:numRef>
              <c:f>Sheet1!$B$2:$B$6</c:f>
              <c:numCache>
                <c:formatCode>_-* #,##0_-;\-* #,##0_-;_-* "-"??_-;_-@_-</c:formatCode>
                <c:ptCount val="5"/>
                <c:pt idx="0">
                  <c:v>590</c:v>
                </c:pt>
                <c:pt idx="1">
                  <c:v>1101</c:v>
                </c:pt>
                <c:pt idx="2">
                  <c:v>2394</c:v>
                </c:pt>
                <c:pt idx="3">
                  <c:v>1132</c:v>
                </c:pt>
                <c:pt idx="4">
                  <c:v>1117</c:v>
                </c:pt>
              </c:numCache>
            </c:numRef>
          </c:val>
          <c:extLst>
            <c:ext xmlns:c15="http://schemas.microsoft.com/office/drawing/2012/chart" uri="{02D57815-91ED-43cb-92C2-25804820EDAC}">
              <c15:datalabelsRange>
                <c15:f>Sheet1!$C$2:$C$6</c15:f>
                <c15:dlblRangeCache>
                  <c:ptCount val="5"/>
                  <c:pt idx="0">
                    <c:v>9.3%</c:v>
                  </c:pt>
                  <c:pt idx="1">
                    <c:v>17.4%</c:v>
                  </c:pt>
                  <c:pt idx="2">
                    <c:v>37.8%</c:v>
                  </c:pt>
                  <c:pt idx="3">
                    <c:v>17.9%</c:v>
                  </c:pt>
                  <c:pt idx="4">
                    <c:v>17.6%</c:v>
                  </c:pt>
                </c15:dlblRangeCache>
              </c15:datalabelsRange>
            </c:ext>
            <c:ext xmlns:c16="http://schemas.microsoft.com/office/drawing/2014/chart" uri="{C3380CC4-5D6E-409C-BE32-E72D297353CC}">
              <c16:uniqueId val="{00000010-DE62-42D4-B2D6-435D222628F9}"/>
            </c:ext>
          </c:extLst>
        </c:ser>
        <c:ser>
          <c:idx val="1"/>
          <c:order val="1"/>
          <c:tx>
            <c:strRef>
              <c:f>Sheet1!$C$1</c:f>
              <c:strCache>
                <c:ptCount val="1"/>
                <c:pt idx="0">
                  <c:v>Column1</c:v>
                </c:pt>
              </c:strCache>
            </c:strRef>
          </c:tx>
          <c:dPt>
            <c:idx val="0"/>
            <c:bubble3D val="0"/>
            <c:spPr>
              <a:solidFill>
                <a:schemeClr val="accent1">
                  <a:shade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2-DE62-42D4-B2D6-435D222628F9}"/>
              </c:ext>
            </c:extLst>
          </c:dPt>
          <c:dPt>
            <c:idx val="1"/>
            <c:bubble3D val="0"/>
            <c:spPr>
              <a:solidFill>
                <a:schemeClr val="accent1">
                  <a:shade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4-DE62-42D4-B2D6-435D222628F9}"/>
              </c:ext>
            </c:extLst>
          </c:dPt>
          <c:dPt>
            <c:idx val="2"/>
            <c:bubble3D val="0"/>
            <c:spPr>
              <a:solidFill>
                <a:schemeClr val="accent1">
                  <a:tint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6-DE62-42D4-B2D6-435D222628F9}"/>
              </c:ext>
            </c:extLst>
          </c:dPt>
          <c:dPt>
            <c:idx val="3"/>
            <c:bubble3D val="0"/>
            <c:spPr>
              <a:solidFill>
                <a:schemeClr val="accent1">
                  <a:tint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8-DE62-42D4-B2D6-435D222628F9}"/>
              </c:ext>
            </c:extLst>
          </c:dPt>
          <c:dPt>
            <c:idx val="4"/>
            <c:bubble3D val="0"/>
            <c:spPr>
              <a:solidFill>
                <a:schemeClr val="accent1">
                  <a:tint val="30000"/>
                </a:schemeClr>
              </a:solidFill>
              <a:ln w="19050">
                <a:solidFill>
                  <a:schemeClr val="lt1"/>
                </a:solidFill>
              </a:ln>
              <a:effectLst/>
            </c:spPr>
            <c:extLst xmlns:c15="http://schemas.microsoft.com/office/drawing/2012/chart">
              <c:ext xmlns:c16="http://schemas.microsoft.com/office/drawing/2014/chart" uri="{C3380CC4-5D6E-409C-BE32-E72D297353CC}">
                <c16:uniqueId val="{0000001A-DE62-42D4-B2D6-435D222628F9}"/>
              </c:ext>
            </c:extLst>
          </c:dPt>
          <c:dPt>
            <c:idx val="5"/>
            <c:bubble3D val="0"/>
            <c:spPr>
              <a:solidFill>
                <a:schemeClr val="accent1">
                  <a:tint val="2000"/>
                </a:schemeClr>
              </a:solidFill>
              <a:ln w="19050">
                <a:solidFill>
                  <a:schemeClr val="lt1"/>
                </a:solidFill>
              </a:ln>
              <a:effectLst/>
            </c:spPr>
            <c:extLst xmlns:c15="http://schemas.microsoft.com/office/drawing/2012/chart">
              <c:ext xmlns:c16="http://schemas.microsoft.com/office/drawing/2014/chart" uri="{C3380CC4-5D6E-409C-BE32-E72D297353CC}">
                <c16:uniqueId val="{0000001C-DE62-42D4-B2D6-435D222628F9}"/>
              </c:ext>
            </c:extLst>
          </c:dPt>
          <c:dPt>
            <c:idx val="6"/>
            <c:bubble3D val="0"/>
            <c:spPr>
              <a:solidFill>
                <a:schemeClr val="accent1">
                  <a:tint val="74000"/>
                </a:schemeClr>
              </a:solidFill>
              <a:ln w="19050">
                <a:solidFill>
                  <a:schemeClr val="lt1"/>
                </a:solidFill>
              </a:ln>
              <a:effectLst/>
            </c:spPr>
            <c:extLst xmlns:c15="http://schemas.microsoft.com/office/drawing/2012/chart">
              <c:ext xmlns:c16="http://schemas.microsoft.com/office/drawing/2014/chart" uri="{C3380CC4-5D6E-409C-BE32-E72D297353CC}">
                <c16:uniqueId val="{0000001E-DE62-42D4-B2D6-435D222628F9}"/>
              </c:ext>
            </c:extLst>
          </c:dPt>
          <c:dPt>
            <c:idx val="7"/>
            <c:bubble3D val="0"/>
            <c:spPr>
              <a:solidFill>
                <a:schemeClr val="accent1">
                  <a:tint val="46000"/>
                </a:schemeClr>
              </a:solidFill>
              <a:ln w="19050">
                <a:solidFill>
                  <a:schemeClr val="lt1"/>
                </a:solidFill>
              </a:ln>
              <a:effectLst/>
            </c:spPr>
            <c:extLst xmlns:c15="http://schemas.microsoft.com/office/drawing/2012/chart">
              <c:ext xmlns:c16="http://schemas.microsoft.com/office/drawing/2014/chart" uri="{C3380CC4-5D6E-409C-BE32-E72D297353CC}">
                <c16:uniqueId val="{00000020-DE62-42D4-B2D6-435D222628F9}"/>
              </c:ext>
            </c:extLst>
          </c:dPt>
          <c:cat>
            <c:strRef>
              <c:f>Sheet1!$A$2:$A$6</c:f>
              <c:strCache>
                <c:ptCount val="5"/>
                <c:pt idx="0">
                  <c:v>Agency External Insurance Contracts</c:v>
                </c:pt>
                <c:pt idx="1">
                  <c:v>Agency Contract Works Insurance</c:v>
                </c:pt>
                <c:pt idx="2">
                  <c:v>BWI Premiums</c:v>
                </c:pt>
                <c:pt idx="3">
                  <c:v>Income from Support Services</c:v>
                </c:pt>
                <c:pt idx="4">
                  <c:v>PSA Indemnity Scheme Related Revenue</c:v>
                </c:pt>
              </c:strCache>
            </c:strRef>
          </c:cat>
          <c:val>
            <c:numRef>
              <c:f>Sheet1!$C$2:$C$6</c:f>
              <c:numCache>
                <c:formatCode>0.0%</c:formatCode>
                <c:ptCount val="5"/>
                <c:pt idx="0">
                  <c:v>9.3148089674771076E-2</c:v>
                </c:pt>
                <c:pt idx="1">
                  <c:v>0.17382380802020839</c:v>
                </c:pt>
                <c:pt idx="2">
                  <c:v>0.37796021471424063</c:v>
                </c:pt>
                <c:pt idx="3">
                  <c:v>0.17871802968108619</c:v>
                </c:pt>
                <c:pt idx="4">
                  <c:v>0.17634985790969371</c:v>
                </c:pt>
              </c:numCache>
            </c:numRef>
          </c:val>
          <c:extLst xmlns:c15="http://schemas.microsoft.com/office/drawing/2012/chart">
            <c:ext xmlns:c16="http://schemas.microsoft.com/office/drawing/2014/chart" uri="{C3380CC4-5D6E-409C-BE32-E72D297353CC}">
              <c16:uniqueId val="{00000021-DE62-42D4-B2D6-435D222628F9}"/>
            </c:ext>
          </c:extLst>
        </c:ser>
        <c:dLbls>
          <c:showLegendKey val="0"/>
          <c:showVal val="0"/>
          <c:showCatName val="0"/>
          <c:showSerName val="0"/>
          <c:showPercent val="0"/>
          <c:showBubbleSize val="0"/>
          <c:showLeaderLines val="1"/>
        </c:dLbls>
        <c:firstSliceAng val="41"/>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53084475551671"/>
          <c:y val="0.15290262023711151"/>
          <c:w val="0.44687656265189074"/>
          <c:h val="0.70138353694782107"/>
        </c:manualLayout>
      </c:layout>
      <c:pieChart>
        <c:varyColors val="1"/>
        <c:ser>
          <c:idx val="0"/>
          <c:order val="0"/>
          <c:tx>
            <c:strRef>
              <c:f>Sheet1!$B$1</c:f>
              <c:strCache>
                <c:ptCount val="1"/>
                <c:pt idx="0">
                  <c:v>Other Expenses</c:v>
                </c:pt>
              </c:strCache>
            </c:strRef>
          </c:tx>
          <c:explosion val="4"/>
          <c:dPt>
            <c:idx val="0"/>
            <c:bubble3D val="0"/>
            <c:explosion val="1"/>
            <c:spPr>
              <a:solidFill>
                <a:schemeClr val="accent1">
                  <a:shade val="53000"/>
                </a:schemeClr>
              </a:solidFill>
              <a:ln w="19050">
                <a:solidFill>
                  <a:schemeClr val="lt1"/>
                </a:solidFill>
              </a:ln>
              <a:effectLst/>
            </c:spPr>
            <c:extLst>
              <c:ext xmlns:c16="http://schemas.microsoft.com/office/drawing/2014/chart" uri="{C3380CC4-5D6E-409C-BE32-E72D297353CC}">
                <c16:uniqueId val="{00000001-3324-45BA-BD52-D10B71E3345A}"/>
              </c:ext>
            </c:extLst>
          </c:dPt>
          <c:dPt>
            <c:idx val="1"/>
            <c:bubble3D val="0"/>
            <c:explosion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3324-45BA-BD52-D10B71E3345A}"/>
              </c:ext>
            </c:extLst>
          </c:dPt>
          <c:dPt>
            <c:idx val="2"/>
            <c:bubble3D val="0"/>
            <c:explosion val="0"/>
            <c:spPr>
              <a:solidFill>
                <a:schemeClr val="accent1"/>
              </a:solidFill>
              <a:ln w="19050">
                <a:solidFill>
                  <a:schemeClr val="lt1"/>
                </a:solidFill>
              </a:ln>
              <a:effectLst/>
            </c:spPr>
            <c:extLst>
              <c:ext xmlns:c16="http://schemas.microsoft.com/office/drawing/2014/chart" uri="{C3380CC4-5D6E-409C-BE32-E72D297353CC}">
                <c16:uniqueId val="{00000005-3324-45BA-BD52-D10B71E3345A}"/>
              </c:ext>
            </c:extLst>
          </c:dPt>
          <c:dPt>
            <c:idx val="3"/>
            <c:bubble3D val="0"/>
            <c:explosion val="1"/>
            <c:spPr>
              <a:solidFill>
                <a:schemeClr val="accent1">
                  <a:tint val="77000"/>
                </a:schemeClr>
              </a:solidFill>
              <a:ln w="19050">
                <a:solidFill>
                  <a:schemeClr val="lt1"/>
                </a:solidFill>
              </a:ln>
              <a:effectLst/>
            </c:spPr>
            <c:extLst>
              <c:ext xmlns:c16="http://schemas.microsoft.com/office/drawing/2014/chart" uri="{C3380CC4-5D6E-409C-BE32-E72D297353CC}">
                <c16:uniqueId val="{00000007-3324-45BA-BD52-D10B71E3345A}"/>
              </c:ext>
            </c:extLst>
          </c:dPt>
          <c:dPt>
            <c:idx val="4"/>
            <c:bubble3D val="0"/>
            <c:explosion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3324-45BA-BD52-D10B71E3345A}"/>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3324-45BA-BD52-D10B71E3345A}"/>
              </c:ext>
            </c:extLst>
          </c:dPt>
          <c:dLbls>
            <c:dLbl>
              <c:idx val="0"/>
              <c:layout>
                <c:manualLayout>
                  <c:x val="2.6275251977185322E-2"/>
                  <c:y val="2.162591237961373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73B4BF3A-63BD-43D6-A152-5B70C8145AE9}" type="CATEGORYNAME">
                      <a:rPr lang="en-US" sz="1100">
                        <a:solidFill>
                          <a:sysClr val="windowText" lastClr="000000"/>
                        </a:solidFill>
                        <a:latin typeface="Calibri (Body)"/>
                      </a:rPr>
                      <a:pPr>
                        <a:defRPr sz="1100" b="1">
                          <a:solidFill>
                            <a:sysClr val="windowText" lastClr="000000"/>
                          </a:solidFill>
                          <a:latin typeface="Calibri (Body)"/>
                        </a:defRPr>
                      </a:pPr>
                      <a:t>[CATEGORY NAME]</a:t>
                    </a:fld>
                    <a:r>
                      <a:rPr lang="en-US" sz="1100" baseline="0">
                        <a:solidFill>
                          <a:sysClr val="windowText" lastClr="000000"/>
                        </a:solidFill>
                        <a:latin typeface="Calibri (Body)"/>
                      </a:rPr>
                      <a:t> </a:t>
                    </a:r>
                    <a:fld id="{522ACD6F-38D5-497C-BE8F-79B8C5EE8AC2}" type="PERCENTAGE">
                      <a:rPr lang="en-US" sz="1100" baseline="0">
                        <a:solidFill>
                          <a:sysClr val="windowText" lastClr="000000"/>
                        </a:solidFill>
                        <a:latin typeface="Calibri (Body)"/>
                      </a:rPr>
                      <a:pPr>
                        <a:defRPr sz="1100" b="1">
                          <a:solidFill>
                            <a:sysClr val="windowText" lastClr="000000"/>
                          </a:solidFill>
                          <a:latin typeface="Calibri (Body)"/>
                        </a:defRPr>
                      </a:pPr>
                      <a:t>[PERCENTAGE]</a:t>
                    </a:fld>
                    <a:endParaRPr lang="en-US" sz="1100" baseline="0">
                      <a:solidFill>
                        <a:sysClr val="windowText" lastClr="000000"/>
                      </a:solidFill>
                      <a:latin typeface="Calibri (Body)"/>
                    </a:endParaRP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475019316080529"/>
                      <c:h val="0.13719825589752599"/>
                    </c:manualLayout>
                  </c15:layout>
                  <c15:dlblFieldTable/>
                  <c15:showDataLabelsRange val="0"/>
                </c:ext>
                <c:ext xmlns:c16="http://schemas.microsoft.com/office/drawing/2014/chart" uri="{C3380CC4-5D6E-409C-BE32-E72D297353CC}">
                  <c16:uniqueId val="{00000001-3324-45BA-BD52-D10B71E3345A}"/>
                </c:ext>
              </c:extLst>
            </c:dLbl>
            <c:dLbl>
              <c:idx val="1"/>
              <c:layout>
                <c:manualLayout>
                  <c:x val="4.8740125908479565E-2"/>
                  <c:y val="7.3022152656881376E-2"/>
                </c:manualLayout>
              </c:layout>
              <c:tx>
                <c:rich>
                  <a:bodyPr/>
                  <a:lstStyle/>
                  <a:p>
                    <a:fld id="{0698DBC8-1A65-4B4F-B172-3D4E388A56B9}" type="CATEGORYNAME">
                      <a:rPr lang="en-US"/>
                      <a:pPr/>
                      <a:t>[CATEGORY NAME]</a:t>
                    </a:fld>
                    <a:r>
                      <a:rPr lang="en-US" baseline="0"/>
                      <a:t> </a:t>
                    </a:r>
                    <a:fld id="{11B3A640-5CB2-406A-8569-D525FE6DF3E6}"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324-45BA-BD52-D10B71E3345A}"/>
                </c:ext>
              </c:extLst>
            </c:dLbl>
            <c:dLbl>
              <c:idx val="2"/>
              <c:layout>
                <c:manualLayout>
                  <c:x val="-0.13284712656928818"/>
                  <c:y val="-2.4619795243647255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92C3D1DE-D956-42B3-A867-4B9ABB2317AA}" type="CATEGORYNAME">
                      <a:rPr lang="en-US"/>
                      <a:pPr>
                        <a:defRPr sz="1100" b="1">
                          <a:solidFill>
                            <a:sysClr val="windowText" lastClr="000000"/>
                          </a:solidFill>
                          <a:latin typeface="Calibri (Body)"/>
                        </a:defRPr>
                      </a:pPr>
                      <a:t>[CATEGORY NAME]</a:t>
                    </a:fld>
                    <a:r>
                      <a:rPr lang="en-US"/>
                      <a:t> and Claims</a:t>
                    </a:r>
                    <a:r>
                      <a:rPr lang="en-US" baseline="0"/>
                      <a:t>
</a:t>
                    </a:r>
                    <a:fld id="{CA6B0831-9A7E-4023-A4DB-ED77B01D5AB0}" type="PERCENTAGE">
                      <a:rPr lang="en-US" baseline="0"/>
                      <a:pPr>
                        <a:defRPr sz="1100" b="1">
                          <a:solidFill>
                            <a:sysClr val="windowText" lastClr="000000"/>
                          </a:solidFill>
                          <a:latin typeface="Calibri (Body)"/>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657797185495139"/>
                      <c:h val="0.20691859257957868"/>
                    </c:manualLayout>
                  </c15:layout>
                  <c15:dlblFieldTable/>
                  <c15:showDataLabelsRange val="0"/>
                </c:ext>
                <c:ext xmlns:c16="http://schemas.microsoft.com/office/drawing/2014/chart" uri="{C3380CC4-5D6E-409C-BE32-E72D297353CC}">
                  <c16:uniqueId val="{00000005-3324-45BA-BD52-D10B71E3345A}"/>
                </c:ext>
              </c:extLst>
            </c:dLbl>
            <c:dLbl>
              <c:idx val="3"/>
              <c:layout>
                <c:manualLayout>
                  <c:x val="-0.2961784661139491"/>
                  <c:y val="5.618405711456453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324-45BA-BD52-D10B71E3345A}"/>
                </c:ext>
              </c:extLst>
            </c:dLbl>
            <c:dLbl>
              <c:idx val="4"/>
              <c:layout>
                <c:manualLayout>
                  <c:x val="8.6206896551724144E-2"/>
                  <c:y val="-7.345961572247689E-2"/>
                </c:manualLayout>
              </c:layout>
              <c:tx>
                <c:rich>
                  <a:bodyPr/>
                  <a:lstStyle/>
                  <a:p>
                    <a:r>
                      <a:rPr lang="en-US" baseline="0"/>
                      <a:t>Amortisation </a:t>
                    </a:r>
                    <a:fld id="{A0CAAAA2-1BE4-4E53-9430-3A7429163BE5}"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3324-45BA-BD52-D10B71E3345A}"/>
                </c:ext>
              </c:extLst>
            </c:dLbl>
            <c:dLbl>
              <c:idx val="5"/>
              <c:layout>
                <c:manualLayout>
                  <c:x val="9.8235765838011371E-2"/>
                  <c:y val="0.109533468559837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324-45BA-BD52-D10B71E3345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libri (Body)"/>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Agency External Insurance Contracts</c:v>
                </c:pt>
                <c:pt idx="1">
                  <c:v>Agency Contract Works Insurance</c:v>
                </c:pt>
                <c:pt idx="2">
                  <c:v>BWI Commission</c:v>
                </c:pt>
                <c:pt idx="3">
                  <c:v>PSA Claims</c:v>
                </c:pt>
                <c:pt idx="4">
                  <c:v>Depreciation</c:v>
                </c:pt>
              </c:strCache>
            </c:strRef>
          </c:cat>
          <c:val>
            <c:numRef>
              <c:f>Sheet1!$B$2:$B$6</c:f>
              <c:numCache>
                <c:formatCode>General</c:formatCode>
                <c:ptCount val="5"/>
                <c:pt idx="0">
                  <c:v>652</c:v>
                </c:pt>
                <c:pt idx="1">
                  <c:v>1218</c:v>
                </c:pt>
                <c:pt idx="2">
                  <c:v>3451</c:v>
                </c:pt>
                <c:pt idx="3">
                  <c:v>3365</c:v>
                </c:pt>
                <c:pt idx="4">
                  <c:v>56</c:v>
                </c:pt>
              </c:numCache>
            </c:numRef>
          </c:val>
          <c:extLst>
            <c:ext xmlns:c16="http://schemas.microsoft.com/office/drawing/2014/chart" uri="{C3380CC4-5D6E-409C-BE32-E72D297353CC}">
              <c16:uniqueId val="{0000000C-3324-45BA-BD52-D10B71E3345A}"/>
            </c:ext>
          </c:extLst>
        </c:ser>
        <c:dLbls>
          <c:showLegendKey val="0"/>
          <c:showVal val="1"/>
          <c:showCatName val="1"/>
          <c:showSerName val="0"/>
          <c:showPercent val="0"/>
          <c:showBubbleSize val="0"/>
          <c:showLeaderLines val="1"/>
        </c:dLbls>
        <c:firstSliceAng val="68"/>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556224360843784"/>
          <c:y val="0.15304103496131344"/>
          <c:w val="0.45761757558083016"/>
          <c:h val="0.69980032514059898"/>
        </c:manualLayout>
      </c:layout>
      <c:pieChart>
        <c:varyColors val="1"/>
        <c:ser>
          <c:idx val="0"/>
          <c:order val="0"/>
          <c:tx>
            <c:strRef>
              <c:f>Sheet1!$B$1</c:f>
              <c:strCache>
                <c:ptCount val="1"/>
                <c:pt idx="0">
                  <c:v>General and Administration Expenses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02FC-49BB-B307-90D797533D65}"/>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2FC-49BB-B307-90D797533D65}"/>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02FC-49BB-B307-90D797533D65}"/>
              </c:ext>
            </c:extLst>
          </c:dPt>
          <c:dLbls>
            <c:dLbl>
              <c:idx val="0"/>
              <c:layout>
                <c:manualLayout>
                  <c:x val="3.8031480578849489E-2"/>
                  <c:y val="1.880712472634955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080736875916972"/>
                      <c:h val="0.19382008563552891"/>
                    </c:manualLayout>
                  </c15:layout>
                </c:ext>
                <c:ext xmlns:c16="http://schemas.microsoft.com/office/drawing/2014/chart" uri="{C3380CC4-5D6E-409C-BE32-E72D297353CC}">
                  <c16:uniqueId val="{00000001-02FC-49BB-B307-90D797533D65}"/>
                </c:ext>
              </c:extLst>
            </c:dLbl>
            <c:dLbl>
              <c:idx val="1"/>
              <c:layout>
                <c:manualLayout>
                  <c:x val="-0.11685611711592957"/>
                  <c:y val="1.925885556772168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136940159216591"/>
                      <c:h val="0.19814306815783916"/>
                    </c:manualLayout>
                  </c15:layout>
                </c:ext>
                <c:ext xmlns:c16="http://schemas.microsoft.com/office/drawing/2014/chart" uri="{C3380CC4-5D6E-409C-BE32-E72D297353CC}">
                  <c16:uniqueId val="{00000003-02FC-49BB-B307-90D797533D65}"/>
                </c:ext>
              </c:extLst>
            </c:dLbl>
            <c:dLbl>
              <c:idx val="2"/>
              <c:layout>
                <c:manualLayout>
                  <c:x val="-3.2400666411543926E-2"/>
                  <c:y val="-5.865087245326006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499271353967349"/>
                      <c:h val="0.1262952101661779"/>
                    </c:manualLayout>
                  </c15:layout>
                </c:ext>
                <c:ext xmlns:c16="http://schemas.microsoft.com/office/drawing/2014/chart" uri="{C3380CC4-5D6E-409C-BE32-E72D297353CC}">
                  <c16:uniqueId val="{00000005-02FC-49BB-B307-90D797533D6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Employee Expenses </c:v>
                </c:pt>
                <c:pt idx="1">
                  <c:v>Supplies and Services</c:v>
                </c:pt>
              </c:strCache>
            </c:strRef>
          </c:cat>
          <c:val>
            <c:numRef>
              <c:f>Sheet1!$B$2:$B$3</c:f>
              <c:numCache>
                <c:formatCode>General</c:formatCode>
                <c:ptCount val="2"/>
                <c:pt idx="0">
                  <c:v>4668</c:v>
                </c:pt>
                <c:pt idx="1">
                  <c:v>1393</c:v>
                </c:pt>
              </c:numCache>
            </c:numRef>
          </c:val>
          <c:extLst>
            <c:ext xmlns:c16="http://schemas.microsoft.com/office/drawing/2014/chart" uri="{C3380CC4-5D6E-409C-BE32-E72D297353CC}">
              <c16:uniqueId val="{00000006-02FC-49BB-B307-90D797533D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65617186740546"/>
          <c:y val="0.1462079369981093"/>
          <c:w val="0.44885187129386606"/>
          <c:h val="0.70448383147580118"/>
        </c:manualLayout>
      </c:layout>
      <c:pieChart>
        <c:varyColors val="1"/>
        <c:ser>
          <c:idx val="0"/>
          <c:order val="0"/>
          <c:tx>
            <c:strRef>
              <c:f>Sheet1!$B$1</c:f>
              <c:strCache>
                <c:ptCount val="1"/>
                <c:pt idx="0">
                  <c:v>Assets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0107-4D28-890D-F7AA02054B9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107-4D28-890D-F7AA02054B9F}"/>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0107-4D28-890D-F7AA02054B9F}"/>
              </c:ext>
            </c:extLst>
          </c:dPt>
          <c:dPt>
            <c:idx val="3"/>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7-0107-4D28-890D-F7AA02054B9F}"/>
              </c:ext>
            </c:extLst>
          </c:dPt>
          <c:dPt>
            <c:idx val="4"/>
            <c:bubble3D val="0"/>
            <c:spPr>
              <a:solidFill>
                <a:schemeClr val="accent1">
                  <a:tint val="95000"/>
                </a:schemeClr>
              </a:solidFill>
              <a:ln w="19050">
                <a:solidFill>
                  <a:schemeClr val="lt1"/>
                </a:solidFill>
              </a:ln>
              <a:effectLst/>
            </c:spPr>
            <c:extLst>
              <c:ext xmlns:c16="http://schemas.microsoft.com/office/drawing/2014/chart" uri="{C3380CC4-5D6E-409C-BE32-E72D297353CC}">
                <c16:uniqueId val="{00000009-0107-4D28-890D-F7AA02054B9F}"/>
              </c:ext>
            </c:extLst>
          </c:dPt>
          <c:dPt>
            <c:idx val="5"/>
            <c:bubble3D val="0"/>
            <c:spPr>
              <a:solidFill>
                <a:schemeClr val="accent1">
                  <a:tint val="60000"/>
                </a:schemeClr>
              </a:solidFill>
              <a:ln w="19050">
                <a:solidFill>
                  <a:schemeClr val="lt1"/>
                </a:solidFill>
              </a:ln>
              <a:effectLst/>
            </c:spPr>
            <c:extLst>
              <c:ext xmlns:c16="http://schemas.microsoft.com/office/drawing/2014/chart" uri="{C3380CC4-5D6E-409C-BE32-E72D297353CC}">
                <c16:uniqueId val="{0000000B-0107-4D28-890D-F7AA02054B9F}"/>
              </c:ext>
            </c:extLst>
          </c:dPt>
          <c:dPt>
            <c:idx val="6"/>
            <c:bubble3D val="0"/>
            <c:spPr>
              <a:solidFill>
                <a:schemeClr val="accent1">
                  <a:tint val="25000"/>
                </a:schemeClr>
              </a:solidFill>
              <a:ln w="19050">
                <a:solidFill>
                  <a:schemeClr val="lt1"/>
                </a:solidFill>
              </a:ln>
              <a:effectLst/>
            </c:spPr>
            <c:extLst>
              <c:ext xmlns:c16="http://schemas.microsoft.com/office/drawing/2014/chart" uri="{C3380CC4-5D6E-409C-BE32-E72D297353CC}">
                <c16:uniqueId val="{0000000D-0107-4D28-890D-F7AA02054B9F}"/>
              </c:ext>
            </c:extLst>
          </c:dPt>
          <c:dLbls>
            <c:dLbl>
              <c:idx val="0"/>
              <c:layout>
                <c:manualLayout>
                  <c:x val="-4.9471620734908149E-2"/>
                  <c:y val="-4.970069776496721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90A7A23-6A89-4A38-9BB6-B2C442B9B920}" type="CATEGORYNAME">
                      <a:rPr lang="en-US" sz="1100" b="1">
                        <a:solidFill>
                          <a:schemeClr val="tx1"/>
                        </a:solidFill>
                      </a:rPr>
                      <a:pPr>
                        <a:defRPr/>
                      </a:pPr>
                      <a:t>[CATEGORY NAME]</a:t>
                    </a:fld>
                    <a:r>
                      <a:rPr lang="en-US" sz="1100" b="1">
                        <a:solidFill>
                          <a:schemeClr val="tx1"/>
                        </a:solidFill>
                      </a:rPr>
                      <a:t> </a:t>
                    </a:r>
                    <a:fld id="{B597EC0F-DCC8-4A8E-93E5-921D3B76C9CB}" type="PERCENTAGE">
                      <a:rPr lang="en-US" sz="1100" b="1">
                        <a:solidFill>
                          <a:schemeClr val="tx1"/>
                        </a:solidFill>
                      </a:rPr>
                      <a:pPr>
                        <a:defRPr/>
                      </a:pPr>
                      <a:t>[PERCENTAGE]</a:t>
                    </a:fld>
                    <a:endParaRPr lang="en-US" sz="1100" b="1">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0107-4D28-890D-F7AA02054B9F}"/>
                </c:ext>
              </c:extLst>
            </c:dLbl>
            <c:dLbl>
              <c:idx val="1"/>
              <c:layout>
                <c:manualLayout>
                  <c:x val="-0.10767585301837271"/>
                  <c:y val="-5.2406602856606636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6E29EAC-4EA4-4C6D-8789-116B90E2B834}" type="CATEGORYNAME">
                      <a:rPr lang="en-US" sz="1100" b="1">
                        <a:solidFill>
                          <a:schemeClr val="tx1"/>
                        </a:solidFill>
                      </a:rPr>
                      <a:pPr>
                        <a:defRPr/>
                      </a:pPr>
                      <a:t>[CATEGORY NAME]</a:t>
                    </a:fld>
                    <a:r>
                      <a:rPr lang="en-US" sz="1100" b="0">
                        <a:solidFill>
                          <a:schemeClr val="tx1"/>
                        </a:solidFill>
                      </a:rPr>
                      <a:t> </a:t>
                    </a:r>
                    <a:fld id="{F7DFD59D-D369-4EEA-9B9E-394320DDBD49}" type="PERCENTAGE">
                      <a:rPr lang="en-US" sz="1100" b="1">
                        <a:solidFill>
                          <a:schemeClr val="tx1"/>
                        </a:solidFill>
                      </a:rPr>
                      <a:pPr>
                        <a:defRPr/>
                      </a:pPr>
                      <a:t>[PERCENTAGE]</a:t>
                    </a:fld>
                    <a:endParaRPr lang="en-US" sz="1100" b="0">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0107-4D28-890D-F7AA02054B9F}"/>
                </c:ext>
              </c:extLst>
            </c:dLbl>
            <c:dLbl>
              <c:idx val="2"/>
              <c:layout>
                <c:manualLayout>
                  <c:x val="9.9405328968122555E-2"/>
                  <c:y val="5.6197192100909336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B975FBB-9DD5-42F5-B71C-8B8956CEBF81}" type="CATEGORYNAME">
                      <a:rPr lang="en-US" sz="1100" b="1">
                        <a:solidFill>
                          <a:schemeClr val="tx1"/>
                        </a:solidFill>
                      </a:rPr>
                      <a:pPr>
                        <a:defRPr/>
                      </a:pPr>
                      <a:t>[CATEGORY NAME]</a:t>
                    </a:fld>
                    <a:r>
                      <a:rPr lang="en-US" sz="1100" b="1">
                        <a:solidFill>
                          <a:schemeClr val="tx1"/>
                        </a:solidFill>
                      </a:rPr>
                      <a:t> </a:t>
                    </a:r>
                    <a:fld id="{B0B9C136-9B74-4248-8B8A-F7C596A9DC3B}" type="PERCENTAGE">
                      <a:rPr lang="en-US" sz="1100" b="1" baseline="0">
                        <a:solidFill>
                          <a:schemeClr val="tx1"/>
                        </a:solidFill>
                      </a:rPr>
                      <a:pPr>
                        <a:defRPr/>
                      </a:pPr>
                      <a:t>[PERCENTAGE]</a:t>
                    </a:fld>
                    <a:endParaRPr lang="en-US" sz="1100" b="1">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0107-4D28-890D-F7AA02054B9F}"/>
                </c:ext>
              </c:extLst>
            </c:dLbl>
            <c:dLbl>
              <c:idx val="3"/>
              <c:layout>
                <c:manualLayout>
                  <c:x val="7.9866720865592405E-2"/>
                  <c:y val="-2.8294340197796891E-2"/>
                </c:manualLayout>
              </c:layout>
              <c:tx>
                <c:rich>
                  <a:bodyPr/>
                  <a:lstStyle/>
                  <a:p>
                    <a:fld id="{E76144D9-912C-4FE7-AD04-4A48385F0711}" type="CATEGORYNAME">
                      <a:rPr lang="en-US" sz="1100">
                        <a:solidFill>
                          <a:sysClr val="windowText" lastClr="000000"/>
                        </a:solidFill>
                      </a:rPr>
                      <a:pPr/>
                      <a:t>[CATEGORY NAME]</a:t>
                    </a:fld>
                    <a:r>
                      <a:rPr lang="en-US" sz="1100" baseline="0">
                        <a:solidFill>
                          <a:sysClr val="windowText" lastClr="000000"/>
                        </a:solidFill>
                      </a:rPr>
                      <a:t> </a:t>
                    </a:r>
                    <a:fld id="{83A6DF29-C085-4D62-822D-0458586E1AED}" type="PERCENTAGE">
                      <a:rPr lang="en-US" sz="1100" baseline="0">
                        <a:solidFill>
                          <a:sysClr val="windowText" lastClr="000000"/>
                        </a:solidFill>
                      </a:rPr>
                      <a:pPr/>
                      <a:t>[PERCENTAGE]</a:t>
                    </a:fld>
                    <a:endParaRPr lang="en-US" sz="1100" baseline="0">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107-4D28-890D-F7AA02054B9F}"/>
                </c:ext>
              </c:extLst>
            </c:dLbl>
            <c:dLbl>
              <c:idx val="4"/>
              <c:layout>
                <c:manualLayout>
                  <c:x val="2.6843666763876738E-2"/>
                  <c:y val="0.129451455368574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107-4D28-890D-F7AA02054B9F}"/>
                </c:ext>
              </c:extLst>
            </c:dLbl>
            <c:dLbl>
              <c:idx val="5"/>
              <c:layout>
                <c:manualLayout>
                  <c:x val="8.9205560416059107E-2"/>
                  <c:y val="-9.21434386660433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0107-4D28-890D-F7AA02054B9F}"/>
                </c:ext>
              </c:extLst>
            </c:dLbl>
            <c:dLbl>
              <c:idx val="6"/>
              <c:layout>
                <c:manualLayout>
                  <c:x val="5.4584543598716825E-2"/>
                  <c:y val="2.4833481227960637E-2"/>
                </c:manualLayout>
              </c:layout>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0107-4D28-890D-F7AA02054B9F}"/>
                </c:ext>
              </c:extLst>
            </c:dLbl>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Cash and Investment</c:v>
                </c:pt>
                <c:pt idx="1">
                  <c:v>Receivables and Others</c:v>
                </c:pt>
                <c:pt idx="2">
                  <c:v>Claims Related Recoveries</c:v>
                </c:pt>
              </c:strCache>
            </c:strRef>
          </c:cat>
          <c:val>
            <c:numRef>
              <c:f>Sheet1!$B$2:$B$4</c:f>
              <c:numCache>
                <c:formatCode>_(* #,##0.00_);_(* \(#,##0.00\);_(* "-"??_);_(@_)</c:formatCode>
                <c:ptCount val="3"/>
                <c:pt idx="0">
                  <c:v>410318</c:v>
                </c:pt>
                <c:pt idx="1">
                  <c:v>7678</c:v>
                </c:pt>
                <c:pt idx="2">
                  <c:v>58396</c:v>
                </c:pt>
              </c:numCache>
            </c:numRef>
          </c:val>
          <c:extLst>
            <c:ext xmlns:c16="http://schemas.microsoft.com/office/drawing/2014/chart" uri="{C3380CC4-5D6E-409C-BE32-E72D297353CC}">
              <c16:uniqueId val="{0000000E-0107-4D28-890D-F7AA02054B9F}"/>
            </c:ext>
          </c:extLst>
        </c:ser>
        <c:dLbls>
          <c:dLblPos val="outEnd"/>
          <c:showLegendKey val="0"/>
          <c:showVal val="0"/>
          <c:showCatName val="1"/>
          <c:showSerName val="0"/>
          <c:showPercent val="0"/>
          <c:showBubbleSize val="0"/>
          <c:showLeaderLines val="1"/>
        </c:dLbls>
        <c:firstSliceAng val="6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58641003207929"/>
          <c:y val="0.1462079369981093"/>
          <c:w val="0.44885187129386606"/>
          <c:h val="0.70448383147580118"/>
        </c:manualLayout>
      </c:layout>
      <c:pieChart>
        <c:varyColors val="1"/>
        <c:ser>
          <c:idx val="0"/>
          <c:order val="0"/>
          <c:tx>
            <c:strRef>
              <c:f>Sheet1!$B$1</c:f>
              <c:strCache>
                <c:ptCount val="1"/>
                <c:pt idx="0">
                  <c:v>Liabilities</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A800-47C5-9498-386E8BA86E16}"/>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A800-47C5-9498-386E8BA86E16}"/>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A800-47C5-9498-386E8BA86E16}"/>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A800-47C5-9498-386E8BA86E16}"/>
              </c:ext>
            </c:extLst>
          </c:dPt>
          <c:dLbls>
            <c:dLbl>
              <c:idx val="0"/>
              <c:delete val="1"/>
              <c:extLst>
                <c:ext xmlns:c15="http://schemas.microsoft.com/office/drawing/2012/chart" uri="{CE6537A1-D6FC-4f65-9D91-7224C49458BB}"/>
                <c:ext xmlns:c16="http://schemas.microsoft.com/office/drawing/2014/chart" uri="{C3380CC4-5D6E-409C-BE32-E72D297353CC}">
                  <c16:uniqueId val="{00000001-A800-47C5-9498-386E8BA86E16}"/>
                </c:ext>
              </c:extLst>
            </c:dLbl>
            <c:dLbl>
              <c:idx val="1"/>
              <c:layout>
                <c:manualLayout>
                  <c:x val="-3.1149177909916975E-2"/>
                  <c:y val="-6.6297278079283914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4B66D1C7-E965-43FE-8D4B-FA4415B6D330}"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B7E958BD-1C47-4F79-BF42-23487A5BA332}"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260326032603257"/>
                      <c:h val="0.20451527224435592"/>
                    </c:manualLayout>
                  </c15:layout>
                  <c15:dlblFieldTable/>
                  <c15:showDataLabelsRange val="0"/>
                </c:ext>
                <c:ext xmlns:c16="http://schemas.microsoft.com/office/drawing/2014/chart" uri="{C3380CC4-5D6E-409C-BE32-E72D297353CC}">
                  <c16:uniqueId val="{00000003-A800-47C5-9498-386E8BA86E16}"/>
                </c:ext>
              </c:extLst>
            </c:dLbl>
            <c:dLbl>
              <c:idx val="2"/>
              <c:layout>
                <c:manualLayout>
                  <c:x val="5.6454464344072058E-2"/>
                  <c:y val="-6.858785331116484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A3521923-A25F-43FD-A46A-6CBDB8534D75}"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235025B9-4A3D-4ADA-8E38-94BDC3DA5B31}"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238831757191468"/>
                      <c:h val="0.20451527224435592"/>
                    </c:manualLayout>
                  </c15:layout>
                  <c15:dlblFieldTable/>
                  <c15:showDataLabelsRange val="0"/>
                </c:ext>
                <c:ext xmlns:c16="http://schemas.microsoft.com/office/drawing/2014/chart" uri="{C3380CC4-5D6E-409C-BE32-E72D297353CC}">
                  <c16:uniqueId val="{00000005-A800-47C5-9498-386E8BA86E16}"/>
                </c:ext>
              </c:extLst>
            </c:dLbl>
            <c:dLbl>
              <c:idx val="3"/>
              <c:layout>
                <c:manualLayout>
                  <c:x val="-1.2779776886040721E-2"/>
                  <c:y val="3.9433088998590202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EE68563B-3D0F-43DA-9702-B6F23BDC525F}" type="CATEGORYNAME">
                      <a:rPr lang="en-US" sz="1100"/>
                      <a:pPr>
                        <a:defRPr sz="1100" b="1">
                          <a:solidFill>
                            <a:sysClr val="windowText" lastClr="000000"/>
                          </a:solidFill>
                        </a:defRPr>
                      </a:pPr>
                      <a:t>[CATEGORY NAME]</a:t>
                    </a:fld>
                    <a:r>
                      <a:rPr lang="en-US" sz="1100" baseline="0"/>
                      <a:t>
2%</a:t>
                    </a:r>
                  </a:p>
                </c:rich>
              </c:tx>
              <c:numFmt formatCode="\&lt;\1\%"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4715479421957945"/>
                      <c:h val="0.20451527224435592"/>
                    </c:manualLayout>
                  </c15:layout>
                  <c15:dlblFieldTable/>
                  <c15:showDataLabelsRange val="0"/>
                </c:ext>
                <c:ext xmlns:c16="http://schemas.microsoft.com/office/drawing/2014/chart" uri="{C3380CC4-5D6E-409C-BE32-E72D297353CC}">
                  <c16:uniqueId val="{00000007-A800-47C5-9498-386E8BA86E16}"/>
                </c:ext>
              </c:extLst>
            </c:dLbl>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Sheet1!$A$1:$A$4</c:f>
              <c:strCache>
                <c:ptCount val="4"/>
                <c:pt idx="0">
                  <c:v> </c:v>
                </c:pt>
                <c:pt idx="1">
                  <c:v>Current Outstanding Claims</c:v>
                </c:pt>
                <c:pt idx="2">
                  <c:v>Non-Current Outstanding Claims</c:v>
                </c:pt>
                <c:pt idx="3">
                  <c:v>Other Liabilities</c:v>
                </c:pt>
              </c:strCache>
            </c:strRef>
          </c:cat>
          <c:val>
            <c:numRef>
              <c:f>Sheet1!$B$1:$B$4</c:f>
              <c:numCache>
                <c:formatCode>_(* #,##0.00_);_(* \(#,##0.00\);_(* "-"??_);_(@_)</c:formatCode>
                <c:ptCount val="4"/>
                <c:pt idx="0" formatCode="General">
                  <c:v>0</c:v>
                </c:pt>
                <c:pt idx="1">
                  <c:v>87132</c:v>
                </c:pt>
                <c:pt idx="2">
                  <c:v>332963</c:v>
                </c:pt>
                <c:pt idx="3">
                  <c:v>6513</c:v>
                </c:pt>
              </c:numCache>
            </c:numRef>
          </c:val>
          <c:extLst>
            <c:ext xmlns:c16="http://schemas.microsoft.com/office/drawing/2014/chart" uri="{C3380CC4-5D6E-409C-BE32-E72D297353CC}">
              <c16:uniqueId val="{00000008-A800-47C5-9498-386E8BA86E16}"/>
            </c:ext>
          </c:extLst>
        </c:ser>
        <c:dLbls>
          <c:dLblPos val="ctr"/>
          <c:showLegendKey val="0"/>
          <c:showVal val="0"/>
          <c:showCatName val="0"/>
          <c:showSerName val="0"/>
          <c:showPercent val="1"/>
          <c:showBubbleSize val="0"/>
          <c:showLeaderLines val="1"/>
        </c:dLbls>
        <c:firstSliceAng val="23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644A40C-C635-465D-BE55-92DE8A40745F}">
    <t:Anchor>
      <t:Comment id="677118805"/>
    </t:Anchor>
    <t:History>
      <t:Event id="{6296A751-3B92-44BD-8E5E-C468B5EA802B}" time="2023-07-24T01:11:06.85Z">
        <t:Attribution userId="S::jayde.hayman@act.gov.au::5af71909-7f65-4bac-94c8-6f790885ee70" userProvider="AD" userName="Hayman, Jayde"/>
        <t:Anchor>
          <t:Comment id="1426508346"/>
        </t:Anchor>
        <t:Create/>
      </t:Event>
      <t:Event id="{AAFA1846-1B00-4C82-A9A2-22E6A3824BE5}" time="2023-07-24T01:11:06.85Z">
        <t:Attribution userId="S::jayde.hayman@act.gov.au::5af71909-7f65-4bac-94c8-6f790885ee70" userProvider="AD" userName="Hayman, Jayde"/>
        <t:Anchor>
          <t:Comment id="1426508346"/>
        </t:Anchor>
        <t:Assign userId="S::Damian.Black@act.gov.au::903c094f-95b7-4645-84d2-b5cde8bf47e8" userProvider="AD" userName="Black, Damian"/>
      </t:Event>
      <t:Event id="{60D45F43-5315-46E6-AE7C-5676FB236A43}" time="2023-07-24T01:11:06.85Z">
        <t:Attribution userId="S::jayde.hayman@act.gov.au::5af71909-7f65-4bac-94c8-6f790885ee70" userProvider="AD" userName="Hayman, Jayde"/>
        <t:Anchor>
          <t:Comment id="1426508346"/>
        </t:Anchor>
        <t:SetTitle title="@Black, Damian Can you please confirm if you want me to add any commentary around the changes to the Med Mal Structure? Also, should we note that the increase in CW premium was largely due to claims history, or leave it as increase in construction …"/>
      </t:Event>
    </t:History>
  </t:Task>
</t:Tasks>
</file>

<file path=word/drawings/drawing1.xml><?xml version="1.0" encoding="utf-8"?>
<c:userShapes xmlns:c="http://schemas.openxmlformats.org/drawingml/2006/chart">
  <cdr:relSizeAnchor xmlns:cdr="http://schemas.openxmlformats.org/drawingml/2006/chartDrawing">
    <cdr:from>
      <cdr:x>0.31544</cdr:x>
      <cdr:y>0.44671</cdr:y>
    </cdr:from>
    <cdr:to>
      <cdr:x>0.44271</cdr:x>
      <cdr:y>0.65424</cdr:y>
    </cdr:to>
    <cdr:sp macro="" textlink="">
      <cdr:nvSpPr>
        <cdr:cNvPr id="7" name="Text Box 1"/>
        <cdr:cNvSpPr txBox="1"/>
      </cdr:nvSpPr>
      <cdr:spPr>
        <a:xfrm xmlns:a="http://schemas.openxmlformats.org/drawingml/2006/main" flipV="1">
          <a:off x="2022474" y="1612900"/>
          <a:ext cx="815975" cy="74930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0.33481</cdr:x>
      <cdr:y>0.45833</cdr:y>
    </cdr:from>
    <cdr:to>
      <cdr:x>0.41298</cdr:x>
      <cdr:y>0.55655</cdr:y>
    </cdr:to>
    <cdr:sp macro="" textlink="">
      <cdr:nvSpPr>
        <cdr:cNvPr id="2" name="Text Box 1"/>
        <cdr:cNvSpPr txBox="1"/>
      </cdr:nvSpPr>
      <cdr:spPr>
        <a:xfrm xmlns:a="http://schemas.openxmlformats.org/drawingml/2006/main">
          <a:off x="2162175" y="1466850"/>
          <a:ext cx="5048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ACTGov_AR">
  <a:themeElements>
    <a:clrScheme name="ACTGOV_AR">
      <a:dk1>
        <a:srgbClr val="000000"/>
      </a:dk1>
      <a:lt1>
        <a:srgbClr val="FFFFFF"/>
      </a:lt1>
      <a:dk2>
        <a:srgbClr val="492581"/>
      </a:dk2>
      <a:lt2>
        <a:srgbClr val="EBE9E8"/>
      </a:lt2>
      <a:accent1>
        <a:srgbClr val="492581"/>
      </a:accent1>
      <a:accent2>
        <a:srgbClr val="B03A8D"/>
      </a:accent2>
      <a:accent3>
        <a:srgbClr val="00808C"/>
      </a:accent3>
      <a:accent4>
        <a:srgbClr val="009FE3"/>
      </a:accent4>
      <a:accent5>
        <a:srgbClr val="A7C017"/>
      </a:accent5>
      <a:accent6>
        <a:srgbClr val="EC6310"/>
      </a:accent6>
      <a:hlink>
        <a:srgbClr val="A7C017"/>
      </a:hlink>
      <a:folHlink>
        <a:srgbClr val="B03A8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Urls xmlns="http://schemas.microsoft.com/sharepoint/v3/contenttype/forms/url">
  <Display>~site/SitePages/KWizCom/redirect.aspx?PageType=4</Display>
  <Edit>~site/SitePages/KWizCom/redirect.aspx?PageType=6</Edit>
  <New>~site/SitePages/KWizCom/redirect.aspx?PageType=8</New>
  <MobileDisplay>~site/SitePages/KWizCom/redirect.aspx?PageType=4</MobileDisplay>
  <MobileEdit>~site/SitePages/KWizCom/redirect.aspx?PageType=6</MobileEdit>
  <MobileNew>~site/SitePages/KWizCom/redirect.aspx?PageType=8</MobileNew>
  <DisplayFormTarget>NewWindow</DisplayFormTarget>
  <EditFormTarget>NewWindow</EditFormTarget>
  <NewFormTarget>NewWindow</NewFormTarget>
</FormUrls>
</file>

<file path=customXml/item3.xml><?xml version="1.0" encoding="utf-8"?>
<ct:contentTypeSchema xmlns:ct="http://schemas.microsoft.com/office/2006/metadata/contentType" xmlns:ma="http://schemas.microsoft.com/office/2006/metadata/properties/metaAttributes" ct:_="" ma:_="" ma:contentTypeName="Document" ma:contentTypeID="0x0101004AC650B56D8128439AF958D3470E3156" ma:contentTypeVersion="19" ma:contentTypeDescription="Create a new document." ma:contentTypeScope="" ma:versionID="557c69e764a73d6b2b00d5ae3709b27e">
  <xsd:schema xmlns:xsd="http://www.w3.org/2001/XMLSchema" xmlns:xs="http://www.w3.org/2001/XMLSchema" xmlns:p="http://schemas.microsoft.com/office/2006/metadata/properties" xmlns:ns2="c7f033ec-4cdb-4f40-b5de-f1f9fd4aaa87" xmlns:ns3="5e8377c1-3129-4e80-9bd1-832a51dbad3f" targetNamespace="http://schemas.microsoft.com/office/2006/metadata/properties" ma:root="true" ma:fieldsID="58172e86538a22c30d9831a333badcd4" ns2:_="" ns3:_="">
    <xsd:import namespace="c7f033ec-4cdb-4f40-b5de-f1f9fd4aaa87"/>
    <xsd:import namespace="5e8377c1-3129-4e80-9bd1-832a51dbad3f"/>
    <xsd:element name="properties">
      <xsd:complexType>
        <xsd:sequence>
          <xsd:element name="documentManagement">
            <xsd:complexType>
              <xsd:all>
                <xsd:element ref="ns2:MediaServiceMetadata" minOccurs="0"/>
                <xsd:element ref="ns2:MediaServiceFastMetadata" minOccurs="0"/>
                <xsd:element ref="ns2:WIRELink" minOccurs="0"/>
                <xsd:element ref="ns2:WIREReferenc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033ec-4cdb-4f40-b5de-f1f9fd4aa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WIRELink" ma:index="10" nillable="true" ma:displayName="VOID" ma:format="Hyperlink" ma:internalName="WIRELink">
      <xsd:complexType>
        <xsd:complexContent>
          <xsd:extension base="dms:URL">
            <xsd:sequence>
              <xsd:element name="Url" type="dms:ValidUrl" minOccurs="0" nillable="true"/>
              <xsd:element name="Description" type="xsd:string" nillable="true"/>
            </xsd:sequence>
          </xsd:extension>
        </xsd:complexContent>
      </xsd:complexType>
    </xsd:element>
    <xsd:element name="WIREReference" ma:index="11" nillable="true" ma:displayName="TRIM Ref" ma:description="For the document record number in TRIM" ma:format="Dropdown" ma:internalName="WIREReference">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8377c1-3129-4e80-9bd1-832a51dbad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2c7832-82f6-4c57-91e4-e942a8e835fa}" ma:internalName="TaxCatchAll" ma:showField="CatchAllData" ma:web="5e8377c1-3129-4e80-9bd1-832a51dbad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WIREReference xmlns="c7f033ec-4cdb-4f40-b5de-f1f9fd4aaa87" xsi:nil="true"/>
    <TaxCatchAll xmlns="5e8377c1-3129-4e80-9bd1-832a51dbad3f" xsi:nil="true"/>
    <lcf76f155ced4ddcb4097134ff3c332f xmlns="c7f033ec-4cdb-4f40-b5de-f1f9fd4aaa87">
      <Terms xmlns="http://schemas.microsoft.com/office/infopath/2007/PartnerControls"/>
    </lcf76f155ced4ddcb4097134ff3c332f>
    <Comments xmlns="c7f033ec-4cdb-4f40-b5de-f1f9fd4aaa87" xsi:nil="true"/>
    <WIRELink xmlns="c7f033ec-4cdb-4f40-b5de-f1f9fd4aaa87">
      <Url xsi:nil="true"/>
      <Description xsi:nil="true"/>
    </WIRELink>
  </documentManagement>
</p:properties>
</file>

<file path=customXml/itemProps1.xml><?xml version="1.0" encoding="utf-8"?>
<ds:datastoreItem xmlns:ds="http://schemas.openxmlformats.org/officeDocument/2006/customXml" ds:itemID="{30D8F351-C0D7-ED4F-B087-A0A432485D4A}">
  <ds:schemaRefs>
    <ds:schemaRef ds:uri="http://schemas.openxmlformats.org/officeDocument/2006/bibliography"/>
  </ds:schemaRefs>
</ds:datastoreItem>
</file>

<file path=customXml/itemProps2.xml><?xml version="1.0" encoding="utf-8"?>
<ds:datastoreItem xmlns:ds="http://schemas.openxmlformats.org/officeDocument/2006/customXml" ds:itemID="{0F9D8217-6889-4196-89F5-3CA9120CF97B}">
  <ds:schemaRefs>
    <ds:schemaRef ds:uri="http://schemas.microsoft.com/sharepoint/v3/contenttype/forms/url"/>
  </ds:schemaRefs>
</ds:datastoreItem>
</file>

<file path=customXml/itemProps3.xml><?xml version="1.0" encoding="utf-8"?>
<ds:datastoreItem xmlns:ds="http://schemas.openxmlformats.org/officeDocument/2006/customXml" ds:itemID="{FD4041D6-AF8A-4CD7-907C-5F16DB3EE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033ec-4cdb-4f40-b5de-f1f9fd4aaa87"/>
    <ds:schemaRef ds:uri="5e8377c1-3129-4e80-9bd1-832a51dba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5.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c7f033ec-4cdb-4f40-b5de-f1f9fd4aaa87"/>
    <ds:schemaRef ds:uri="5e8377c1-3129-4e80-9bd1-832a51dbad3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30131</Words>
  <Characters>171750</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
    </vt:vector>
  </TitlesOfParts>
  <Manager/>
  <Company>ACT Government</Company>
  <LinksUpToDate>false</LinksUpToDate>
  <CharactersWithSpaces>201479</CharactersWithSpaces>
  <SharedDoc>false</SharedDoc>
  <HyperlinkBase/>
  <HLinks>
    <vt:vector size="60" baseType="variant">
      <vt:variant>
        <vt:i4>2097273</vt:i4>
      </vt:variant>
      <vt:variant>
        <vt:i4>30</vt:i4>
      </vt:variant>
      <vt:variant>
        <vt:i4>0</vt:i4>
      </vt:variant>
      <vt:variant>
        <vt:i4>5</vt:i4>
      </vt:variant>
      <vt:variant>
        <vt:lpwstr>https://www.tenders.act.gov.au/contract/search</vt:lpwstr>
      </vt:variant>
      <vt:variant>
        <vt:lpwstr/>
      </vt:variant>
      <vt:variant>
        <vt:i4>4128866</vt:i4>
      </vt:variant>
      <vt:variant>
        <vt:i4>24</vt:i4>
      </vt:variant>
      <vt:variant>
        <vt:i4>0</vt:i4>
      </vt:variant>
      <vt:variant>
        <vt:i4>5</vt:i4>
      </vt:variant>
      <vt:variant>
        <vt:lpwstr>https://www.cmtedd.act.gov.au/functions/foi</vt:lpwstr>
      </vt:variant>
      <vt:variant>
        <vt:lpwstr/>
      </vt:variant>
      <vt:variant>
        <vt:i4>393234</vt:i4>
      </vt:variant>
      <vt:variant>
        <vt:i4>21</vt:i4>
      </vt:variant>
      <vt:variant>
        <vt:i4>0</vt:i4>
      </vt:variant>
      <vt:variant>
        <vt:i4>5</vt:i4>
      </vt:variant>
      <vt:variant>
        <vt:lpwstr>http://www.cmd.act.gov.au/open_government/report/annual_reports</vt:lpwstr>
      </vt:variant>
      <vt:variant>
        <vt:lpwstr/>
      </vt:variant>
      <vt:variant>
        <vt:i4>6553659</vt:i4>
      </vt:variant>
      <vt:variant>
        <vt:i4>18</vt:i4>
      </vt:variant>
      <vt:variant>
        <vt:i4>0</vt:i4>
      </vt:variant>
      <vt:variant>
        <vt:i4>5</vt:i4>
      </vt:variant>
      <vt:variant>
        <vt:lpwstr>https://www.legislation.act.gov.au/</vt:lpwstr>
      </vt:variant>
      <vt:variant>
        <vt:lpwstr/>
      </vt:variant>
      <vt:variant>
        <vt:i4>983117</vt:i4>
      </vt:variant>
      <vt:variant>
        <vt:i4>15</vt:i4>
      </vt:variant>
      <vt:variant>
        <vt:i4>0</vt:i4>
      </vt:variant>
      <vt:variant>
        <vt:i4>5</vt:i4>
      </vt:variant>
      <vt:variant>
        <vt:lpwstr>https://www.treasury.act.gov.au/insurance-and-risk-management</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983114</vt:i4>
      </vt:variant>
      <vt:variant>
        <vt:i4>9</vt:i4>
      </vt:variant>
      <vt:variant>
        <vt:i4>0</vt:i4>
      </vt:variant>
      <vt:variant>
        <vt:i4>5</vt:i4>
      </vt:variant>
      <vt:variant>
        <vt:lpwstr>http://www.accesshub.gov.au/</vt:lpwstr>
      </vt:variant>
      <vt:variant>
        <vt:lpwstr/>
      </vt:variant>
      <vt:variant>
        <vt:i4>4128866</vt:i4>
      </vt:variant>
      <vt:variant>
        <vt:i4>6</vt:i4>
      </vt:variant>
      <vt:variant>
        <vt:i4>0</vt:i4>
      </vt:variant>
      <vt:variant>
        <vt:i4>5</vt:i4>
      </vt:variant>
      <vt:variant>
        <vt:lpwstr>https://www.cmtedd.act.gov.au/functions/foi</vt:lpwstr>
      </vt:variant>
      <vt:variant>
        <vt:lpwstr/>
      </vt:variant>
      <vt:variant>
        <vt:i4>983117</vt:i4>
      </vt:variant>
      <vt:variant>
        <vt:i4>3</vt:i4>
      </vt:variant>
      <vt:variant>
        <vt:i4>0</vt:i4>
      </vt:variant>
      <vt:variant>
        <vt:i4>5</vt:i4>
      </vt:variant>
      <vt:variant>
        <vt:lpwstr>https://www.treasury.act.gov.au/insurance-and-risk-management</vt:lpwstr>
      </vt:variant>
      <vt:variant>
        <vt:lpwstr/>
      </vt:variant>
      <vt:variant>
        <vt:i4>6357021</vt:i4>
      </vt:variant>
      <vt:variant>
        <vt:i4>0</vt:i4>
      </vt:variant>
      <vt:variant>
        <vt:i4>0</vt:i4>
      </vt:variant>
      <vt:variant>
        <vt:i4>5</vt:i4>
      </vt:variant>
      <vt:variant>
        <vt:lpwstr>mailto:ACTInsuranceAuthority@act.gov.au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Nadudvary, Bryce</dc:creator>
  <cp:keywords/>
  <dc:description/>
  <cp:lastModifiedBy>Chapman, Colleen</cp:lastModifiedBy>
  <cp:revision>2</cp:revision>
  <cp:lastPrinted>2024-10-02T03:48:00Z</cp:lastPrinted>
  <dcterms:created xsi:type="dcterms:W3CDTF">2024-10-02T04:01:00Z</dcterms:created>
  <dcterms:modified xsi:type="dcterms:W3CDTF">2024-10-02T04:01:00Z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0x0101004AC650B56D8128439AF958D3470E3156</vt:lpwstr>
  </property>
  <property fmtid="{D5CDD505-2E9C-101B-9397-08002B2CF9AE}" pid="3" name="MSIP_Label_69af8531-eb46-4968-8cb3-105d2f5ea87e_Enabled">
    <vt:lpwstr>true</vt:lpwstr>
  </property>
  <property fmtid="{D5CDD505-2E9C-101B-9397-08002B2CF9AE}" pid="4" name="MSIP_Label_69af8531-eb46-4968-8cb3-105d2f5ea87e_SetDate">
    <vt:lpwstr>2021-06-08T05:57:07Z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2100becf-0235-466e-8fca-7d57ba5b4c21</vt:lpwstr>
  </property>
  <property fmtid="{D5CDD505-2E9C-101B-9397-08002B2CF9AE}" pid="9" name="MSIP_Label_69af8531-eb46-4968-8cb3-105d2f5ea87e_ContentBits">
    <vt:lpwstr>0</vt:lpwstr>
  </property>
  <property fmtid="{D5CDD505-2E9C-101B-9397-08002B2CF9AE}" pid="10" name="MediaServiceImageTags">
    <vt:lpwstr/>
  </property>
</Properties>
</file>