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23C1" w14:textId="77777777" w:rsidR="00DC269B" w:rsidRPr="00CF1B2C" w:rsidRDefault="00520FA1" w:rsidP="00704EF9">
      <w:pPr>
        <w:jc w:val="both"/>
        <w:rPr>
          <w:rFonts w:cs="Calibri"/>
          <w:lang w:val="en-US"/>
        </w:rPr>
      </w:pPr>
      <w:r>
        <w:rPr>
          <w:rFonts w:cs="Calibri"/>
          <w:b/>
          <w:noProof/>
          <w:lang w:eastAsia="en-AU"/>
        </w:rPr>
        <w:drawing>
          <wp:inline distT="0" distB="0" distL="0" distR="0" wp14:anchorId="4AF42363" wp14:editId="12FE660F">
            <wp:extent cx="2400300" cy="1135380"/>
            <wp:effectExtent l="19050" t="0" r="0" b="0"/>
            <wp:docPr id="5" name="Picture 4"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Government"/>
                    <pic:cNvPicPr>
                      <a:picLocks noChangeAspect="1" noChangeArrowheads="1"/>
                    </pic:cNvPicPr>
                  </pic:nvPicPr>
                  <pic:blipFill>
                    <a:blip r:embed="rId8" cstate="print"/>
                    <a:srcRect/>
                    <a:stretch>
                      <a:fillRect/>
                    </a:stretch>
                  </pic:blipFill>
                  <pic:spPr bwMode="auto">
                    <a:xfrm>
                      <a:off x="0" y="0"/>
                      <a:ext cx="2400300" cy="1135380"/>
                    </a:xfrm>
                    <a:prstGeom prst="rect">
                      <a:avLst/>
                    </a:prstGeom>
                    <a:noFill/>
                    <a:ln w="9525">
                      <a:noFill/>
                      <a:miter lim="800000"/>
                      <a:headEnd/>
                      <a:tailEnd/>
                    </a:ln>
                  </pic:spPr>
                </pic:pic>
              </a:graphicData>
            </a:graphic>
          </wp:inline>
        </w:drawing>
      </w:r>
    </w:p>
    <w:p w14:paraId="5C227DB3" w14:textId="77777777" w:rsidR="00DC269B" w:rsidRPr="00CF1B2C" w:rsidRDefault="00DC269B" w:rsidP="00704EF9">
      <w:pPr>
        <w:jc w:val="both"/>
        <w:rPr>
          <w:rFonts w:cs="Calibri"/>
          <w:lang w:val="en-US"/>
        </w:rPr>
      </w:pPr>
    </w:p>
    <w:p w14:paraId="323D2D05" w14:textId="77777777" w:rsidR="00DC269B" w:rsidRPr="00CF1B2C" w:rsidRDefault="00DC269B" w:rsidP="007643BD">
      <w:bookmarkStart w:id="0" w:name="_Toc149104839"/>
    </w:p>
    <w:p w14:paraId="6FF4EF5B" w14:textId="77777777" w:rsidR="007643BD" w:rsidRPr="00CF1B2C" w:rsidRDefault="007643BD" w:rsidP="007643BD"/>
    <w:bookmarkEnd w:id="0"/>
    <w:p w14:paraId="32E92FB4" w14:textId="77777777" w:rsidR="0026504F" w:rsidRPr="00CF1B2C" w:rsidRDefault="0026504F" w:rsidP="0026504F">
      <w:pPr>
        <w:jc w:val="center"/>
        <w:rPr>
          <w:rFonts w:cs="Calibri"/>
          <w:lang w:val="en-US"/>
        </w:rPr>
      </w:pPr>
    </w:p>
    <w:p w14:paraId="108EDACD" w14:textId="77777777" w:rsidR="00F5271C" w:rsidRPr="00CF1B2C" w:rsidRDefault="00F5271C" w:rsidP="00704EF9">
      <w:pPr>
        <w:jc w:val="both"/>
        <w:rPr>
          <w:rFonts w:cs="Calibri"/>
          <w:lang w:val="en-US"/>
        </w:rPr>
      </w:pPr>
    </w:p>
    <w:p w14:paraId="2FD13B86" w14:textId="0DF8D7C2" w:rsidR="007F7FC1" w:rsidRPr="007F7FC1" w:rsidRDefault="007F7FC1" w:rsidP="007F7FC1">
      <w:pPr>
        <w:pStyle w:val="Title"/>
        <w:spacing w:line="259" w:lineRule="auto"/>
        <w:rPr>
          <w:rFonts w:ascii="Arial" w:hAnsi="Arial"/>
          <w:b w:val="0"/>
          <w:bCs w:val="0"/>
          <w:sz w:val="52"/>
          <w:szCs w:val="52"/>
        </w:rPr>
      </w:pPr>
      <w:bookmarkStart w:id="1" w:name="OLE_LINK1"/>
      <w:bookmarkStart w:id="2" w:name="OLE_LINK2"/>
      <w:r w:rsidRPr="007F7FC1">
        <w:rPr>
          <w:rFonts w:ascii="Arial" w:hAnsi="Arial"/>
          <w:sz w:val="52"/>
          <w:szCs w:val="52"/>
        </w:rPr>
        <w:t>AAPP 10</w:t>
      </w:r>
      <w:r w:rsidR="003E2AEB">
        <w:rPr>
          <w:rFonts w:ascii="Arial" w:hAnsi="Arial"/>
          <w:sz w:val="52"/>
          <w:szCs w:val="52"/>
        </w:rPr>
        <w:t>5</w:t>
      </w:r>
      <w:r w:rsidRPr="007F7FC1">
        <w:rPr>
          <w:rFonts w:ascii="Arial" w:hAnsi="Arial"/>
          <w:sz w:val="52"/>
          <w:szCs w:val="52"/>
        </w:rPr>
        <w:t xml:space="preserve"> - ACT Accounting Policy Paper </w:t>
      </w:r>
    </w:p>
    <w:p w14:paraId="492EDD33" w14:textId="77777777" w:rsidR="001531B1" w:rsidRDefault="007F7FC1" w:rsidP="007F7FC1">
      <w:pPr>
        <w:pStyle w:val="Title"/>
        <w:spacing w:line="259" w:lineRule="auto"/>
        <w:rPr>
          <w:rFonts w:ascii="Arial" w:hAnsi="Arial"/>
          <w:sz w:val="52"/>
          <w:szCs w:val="52"/>
        </w:rPr>
      </w:pPr>
      <w:r w:rsidRPr="007F7FC1">
        <w:rPr>
          <w:rFonts w:ascii="Arial" w:hAnsi="Arial"/>
          <w:sz w:val="52"/>
          <w:szCs w:val="52"/>
        </w:rPr>
        <w:t xml:space="preserve">on </w:t>
      </w:r>
    </w:p>
    <w:p w14:paraId="536CB660" w14:textId="65B418F8" w:rsidR="00F5271C" w:rsidRPr="007F7FC1" w:rsidRDefault="007B4500" w:rsidP="007F7FC1">
      <w:pPr>
        <w:pStyle w:val="Title"/>
        <w:spacing w:line="259" w:lineRule="auto"/>
        <w:rPr>
          <w:rFonts w:ascii="Arial" w:hAnsi="Arial"/>
          <w:sz w:val="52"/>
          <w:szCs w:val="52"/>
        </w:rPr>
      </w:pPr>
      <w:r w:rsidRPr="007F7FC1">
        <w:rPr>
          <w:rFonts w:ascii="Arial" w:hAnsi="Arial"/>
          <w:sz w:val="52"/>
          <w:szCs w:val="52"/>
        </w:rPr>
        <w:t xml:space="preserve">PUBLIC PRIVATE PARTNERSHIPS FINANCED BY THE OPERATOR WITH THE </w:t>
      </w:r>
      <w:r w:rsidR="008F559E" w:rsidRPr="007F7FC1">
        <w:rPr>
          <w:rFonts w:ascii="Arial" w:hAnsi="Arial"/>
          <w:sz w:val="52"/>
          <w:szCs w:val="52"/>
        </w:rPr>
        <w:t>ASSETS BEING TERRITORY ASSETS AT THE END OF THE ARRANGEMENT</w:t>
      </w:r>
      <w:bookmarkEnd w:id="1"/>
      <w:bookmarkEnd w:id="2"/>
    </w:p>
    <w:p w14:paraId="0C9D5ACB" w14:textId="77777777" w:rsidR="00F5271C" w:rsidRPr="00CF1B2C" w:rsidRDefault="00F5271C" w:rsidP="00704EF9">
      <w:pPr>
        <w:jc w:val="both"/>
        <w:rPr>
          <w:rFonts w:cs="Calibri"/>
          <w:lang w:val="en-US"/>
        </w:rPr>
      </w:pPr>
    </w:p>
    <w:p w14:paraId="0BB0D007" w14:textId="77777777" w:rsidR="00F5271C" w:rsidRPr="00CF1B2C" w:rsidRDefault="00F5271C" w:rsidP="00704EF9">
      <w:pPr>
        <w:jc w:val="both"/>
        <w:rPr>
          <w:rFonts w:cs="Calibri"/>
          <w:lang w:val="en-US"/>
        </w:rPr>
      </w:pPr>
    </w:p>
    <w:p w14:paraId="19294B73" w14:textId="01FF5BD6" w:rsidR="002A2C60" w:rsidRDefault="002A2C60" w:rsidP="00704EF9">
      <w:pPr>
        <w:jc w:val="both"/>
        <w:rPr>
          <w:rFonts w:cs="Calibri"/>
          <w:lang w:val="en-US"/>
        </w:rPr>
      </w:pPr>
    </w:p>
    <w:p w14:paraId="3C72D5A4" w14:textId="77777777" w:rsidR="007F7FC1" w:rsidRPr="00CF1B2C" w:rsidRDefault="007F7FC1" w:rsidP="00704EF9">
      <w:pPr>
        <w:jc w:val="both"/>
        <w:rPr>
          <w:rFonts w:cs="Calibri"/>
          <w:lang w:val="en-US"/>
        </w:rPr>
      </w:pPr>
    </w:p>
    <w:p w14:paraId="60404960" w14:textId="77777777" w:rsidR="006B3592" w:rsidRPr="00CF1B2C" w:rsidRDefault="002A2C60" w:rsidP="007643BD">
      <w:pPr>
        <w:pStyle w:val="Title"/>
      </w:pPr>
      <w:r w:rsidRPr="00CF1B2C">
        <w:t xml:space="preserve">For reporting periods </w:t>
      </w:r>
    </w:p>
    <w:p w14:paraId="1D4BD679" w14:textId="77777777" w:rsidR="002A2C60" w:rsidRPr="00CF1B2C" w:rsidRDefault="002A2C60" w:rsidP="007643BD">
      <w:pPr>
        <w:pStyle w:val="Title"/>
      </w:pPr>
      <w:r w:rsidRPr="00CF1B2C">
        <w:t>ending on or after 30 June 20</w:t>
      </w:r>
      <w:r w:rsidR="00FB2726" w:rsidRPr="00CF1B2C">
        <w:t>1</w:t>
      </w:r>
      <w:r w:rsidR="00A92271" w:rsidRPr="00CF1B2C">
        <w:t>6</w:t>
      </w:r>
    </w:p>
    <w:p w14:paraId="016F9755" w14:textId="77777777" w:rsidR="002A2C60" w:rsidRPr="00CF1B2C" w:rsidRDefault="002A2C60" w:rsidP="00704EF9">
      <w:pPr>
        <w:jc w:val="both"/>
        <w:rPr>
          <w:rFonts w:cs="Calibri"/>
          <w:lang w:val="en-US"/>
        </w:rPr>
        <w:sectPr w:rsidR="002A2C60" w:rsidRPr="00CF1B2C">
          <w:footerReference w:type="even" r:id="rId9"/>
          <w:footerReference w:type="default" r:id="rId10"/>
          <w:pgSz w:w="12240" w:h="15840"/>
          <w:pgMar w:top="1440" w:right="1800" w:bottom="1440" w:left="1800" w:header="720" w:footer="720" w:gutter="0"/>
          <w:cols w:space="720"/>
          <w:noEndnote/>
          <w:titlePg/>
        </w:sectPr>
      </w:pPr>
    </w:p>
    <w:p w14:paraId="310D5446" w14:textId="77777777" w:rsidR="00F5271C" w:rsidRPr="00CF1B2C" w:rsidRDefault="00F5271C" w:rsidP="007643BD">
      <w:pPr>
        <w:pStyle w:val="Subtitle"/>
      </w:pPr>
      <w:r w:rsidRPr="00CF1B2C">
        <w:lastRenderedPageBreak/>
        <w:t>TABLE OF CONTENTS</w:t>
      </w:r>
    </w:p>
    <w:p w14:paraId="6766C457" w14:textId="77777777" w:rsidR="00405248" w:rsidRDefault="004A0FF0">
      <w:pPr>
        <w:pStyle w:val="TOC1"/>
        <w:tabs>
          <w:tab w:val="left" w:pos="480"/>
          <w:tab w:val="right" w:leader="dot" w:pos="8630"/>
        </w:tabs>
        <w:rPr>
          <w:rFonts w:eastAsiaTheme="minorEastAsia" w:cstheme="minorBidi"/>
          <w:b w:val="0"/>
          <w:bCs w:val="0"/>
          <w:caps w:val="0"/>
          <w:noProof/>
          <w:sz w:val="22"/>
          <w:szCs w:val="22"/>
          <w:lang w:eastAsia="en-AU"/>
        </w:rPr>
      </w:pPr>
      <w:r w:rsidRPr="00CF1B2C">
        <w:rPr>
          <w:rFonts w:cstheme="minorHAnsi"/>
        </w:rPr>
        <w:fldChar w:fldCharType="begin"/>
      </w:r>
      <w:r w:rsidR="00092D81" w:rsidRPr="00CF1B2C">
        <w:rPr>
          <w:rFonts w:cstheme="minorHAnsi"/>
        </w:rPr>
        <w:instrText xml:space="preserve"> TOC \o "2-3" \h \z \t "Heading 1,1,Header,1" </w:instrText>
      </w:r>
      <w:r w:rsidRPr="00CF1B2C">
        <w:rPr>
          <w:rFonts w:cstheme="minorHAnsi"/>
        </w:rPr>
        <w:fldChar w:fldCharType="separate"/>
      </w:r>
      <w:hyperlink w:anchor="_Toc456694681" w:history="1">
        <w:r w:rsidR="00405248" w:rsidRPr="00BB688D">
          <w:rPr>
            <w:rStyle w:val="Hyperlink"/>
            <w:rFonts w:cs="Calibri"/>
            <w:noProof/>
            <w:lang w:val="en-US"/>
          </w:rPr>
          <w:t>1</w:t>
        </w:r>
        <w:r w:rsidR="00405248">
          <w:rPr>
            <w:rFonts w:eastAsiaTheme="minorEastAsia" w:cstheme="minorBidi"/>
            <w:b w:val="0"/>
            <w:bCs w:val="0"/>
            <w:caps w:val="0"/>
            <w:noProof/>
            <w:sz w:val="22"/>
            <w:szCs w:val="22"/>
            <w:lang w:eastAsia="en-AU"/>
          </w:rPr>
          <w:tab/>
        </w:r>
        <w:r w:rsidR="00405248" w:rsidRPr="00BB688D">
          <w:rPr>
            <w:rStyle w:val="Hyperlink"/>
            <w:rFonts w:cs="Calibri"/>
            <w:noProof/>
            <w:lang w:val="en-US"/>
          </w:rPr>
          <w:t>Introduction</w:t>
        </w:r>
        <w:r w:rsidR="00405248">
          <w:rPr>
            <w:noProof/>
            <w:webHidden/>
          </w:rPr>
          <w:tab/>
        </w:r>
        <w:r>
          <w:rPr>
            <w:noProof/>
            <w:webHidden/>
          </w:rPr>
          <w:fldChar w:fldCharType="begin"/>
        </w:r>
        <w:r w:rsidR="00405248">
          <w:rPr>
            <w:noProof/>
            <w:webHidden/>
          </w:rPr>
          <w:instrText xml:space="preserve"> PAGEREF _Toc456694681 \h </w:instrText>
        </w:r>
        <w:r>
          <w:rPr>
            <w:noProof/>
            <w:webHidden/>
          </w:rPr>
        </w:r>
        <w:r>
          <w:rPr>
            <w:noProof/>
            <w:webHidden/>
          </w:rPr>
          <w:fldChar w:fldCharType="separate"/>
        </w:r>
        <w:r w:rsidR="002619BB">
          <w:rPr>
            <w:noProof/>
            <w:webHidden/>
          </w:rPr>
          <w:t>1</w:t>
        </w:r>
        <w:r>
          <w:rPr>
            <w:noProof/>
            <w:webHidden/>
          </w:rPr>
          <w:fldChar w:fldCharType="end"/>
        </w:r>
      </w:hyperlink>
    </w:p>
    <w:p w14:paraId="6C872AD0" w14:textId="77777777" w:rsidR="00405248" w:rsidRDefault="001531B1">
      <w:pPr>
        <w:pStyle w:val="TOC2"/>
        <w:rPr>
          <w:rFonts w:eastAsiaTheme="minorEastAsia" w:cstheme="minorBidi"/>
          <w:smallCaps w:val="0"/>
          <w:sz w:val="22"/>
          <w:szCs w:val="22"/>
          <w:lang w:val="en-AU" w:eastAsia="en-AU"/>
        </w:rPr>
      </w:pPr>
      <w:hyperlink w:anchor="_Toc456694682" w:history="1">
        <w:r w:rsidR="00405248" w:rsidRPr="00BB688D">
          <w:rPr>
            <w:rStyle w:val="Hyperlink"/>
          </w:rPr>
          <w:t>1.1</w:t>
        </w:r>
        <w:r w:rsidR="00405248">
          <w:rPr>
            <w:rFonts w:eastAsiaTheme="minorEastAsia" w:cstheme="minorBidi"/>
            <w:smallCaps w:val="0"/>
            <w:sz w:val="22"/>
            <w:szCs w:val="22"/>
            <w:lang w:val="en-AU" w:eastAsia="en-AU"/>
          </w:rPr>
          <w:tab/>
        </w:r>
        <w:r w:rsidR="00405248" w:rsidRPr="00BB688D">
          <w:rPr>
            <w:rStyle w:val="Hyperlink"/>
          </w:rPr>
          <w:t>Application</w:t>
        </w:r>
        <w:r w:rsidR="00405248">
          <w:rPr>
            <w:webHidden/>
          </w:rPr>
          <w:tab/>
        </w:r>
        <w:r w:rsidR="004A0FF0">
          <w:rPr>
            <w:webHidden/>
          </w:rPr>
          <w:fldChar w:fldCharType="begin"/>
        </w:r>
        <w:r w:rsidR="00405248">
          <w:rPr>
            <w:webHidden/>
          </w:rPr>
          <w:instrText xml:space="preserve"> PAGEREF _Toc456694682 \h </w:instrText>
        </w:r>
        <w:r w:rsidR="004A0FF0">
          <w:rPr>
            <w:webHidden/>
          </w:rPr>
        </w:r>
        <w:r w:rsidR="004A0FF0">
          <w:rPr>
            <w:webHidden/>
          </w:rPr>
          <w:fldChar w:fldCharType="separate"/>
        </w:r>
        <w:r w:rsidR="002619BB">
          <w:rPr>
            <w:webHidden/>
          </w:rPr>
          <w:t>1</w:t>
        </w:r>
        <w:r w:rsidR="004A0FF0">
          <w:rPr>
            <w:webHidden/>
          </w:rPr>
          <w:fldChar w:fldCharType="end"/>
        </w:r>
      </w:hyperlink>
    </w:p>
    <w:p w14:paraId="1882509F" w14:textId="77777777" w:rsidR="00405248" w:rsidRDefault="001531B1">
      <w:pPr>
        <w:pStyle w:val="TOC3"/>
        <w:tabs>
          <w:tab w:val="left" w:pos="1200"/>
          <w:tab w:val="right" w:leader="dot" w:pos="8630"/>
        </w:tabs>
        <w:rPr>
          <w:rFonts w:eastAsiaTheme="minorEastAsia" w:cstheme="minorBidi"/>
          <w:i w:val="0"/>
          <w:iCs w:val="0"/>
          <w:noProof/>
          <w:sz w:val="22"/>
          <w:szCs w:val="22"/>
          <w:lang w:eastAsia="en-AU"/>
        </w:rPr>
      </w:pPr>
      <w:hyperlink w:anchor="_Toc456694683" w:history="1">
        <w:r w:rsidR="00405248" w:rsidRPr="00BB688D">
          <w:rPr>
            <w:rStyle w:val="Hyperlink"/>
            <w:rFonts w:cs="Calibri"/>
            <w:noProof/>
          </w:rPr>
          <w:t>1.1.1</w:t>
        </w:r>
        <w:r w:rsidR="00405248">
          <w:rPr>
            <w:rFonts w:eastAsiaTheme="minorEastAsia" w:cstheme="minorBidi"/>
            <w:i w:val="0"/>
            <w:iCs w:val="0"/>
            <w:noProof/>
            <w:sz w:val="22"/>
            <w:szCs w:val="22"/>
            <w:lang w:eastAsia="en-AU"/>
          </w:rPr>
          <w:tab/>
        </w:r>
        <w:r w:rsidR="00405248" w:rsidRPr="00BB688D">
          <w:rPr>
            <w:rStyle w:val="Hyperlink"/>
            <w:rFonts w:cs="Calibri"/>
            <w:noProof/>
          </w:rPr>
          <w:t>Purpose</w:t>
        </w:r>
        <w:r w:rsidR="00405248">
          <w:rPr>
            <w:noProof/>
            <w:webHidden/>
          </w:rPr>
          <w:tab/>
        </w:r>
        <w:r w:rsidR="004A0FF0">
          <w:rPr>
            <w:noProof/>
            <w:webHidden/>
          </w:rPr>
          <w:fldChar w:fldCharType="begin"/>
        </w:r>
        <w:r w:rsidR="00405248">
          <w:rPr>
            <w:noProof/>
            <w:webHidden/>
          </w:rPr>
          <w:instrText xml:space="preserve"> PAGEREF _Toc456694683 \h </w:instrText>
        </w:r>
        <w:r w:rsidR="004A0FF0">
          <w:rPr>
            <w:noProof/>
            <w:webHidden/>
          </w:rPr>
        </w:r>
        <w:r w:rsidR="004A0FF0">
          <w:rPr>
            <w:noProof/>
            <w:webHidden/>
          </w:rPr>
          <w:fldChar w:fldCharType="separate"/>
        </w:r>
        <w:r w:rsidR="002619BB">
          <w:rPr>
            <w:noProof/>
            <w:webHidden/>
          </w:rPr>
          <w:t>1</w:t>
        </w:r>
        <w:r w:rsidR="004A0FF0">
          <w:rPr>
            <w:noProof/>
            <w:webHidden/>
          </w:rPr>
          <w:fldChar w:fldCharType="end"/>
        </w:r>
      </w:hyperlink>
    </w:p>
    <w:p w14:paraId="5A5B9C55" w14:textId="77777777" w:rsidR="00405248" w:rsidRDefault="001531B1">
      <w:pPr>
        <w:pStyle w:val="TOC3"/>
        <w:tabs>
          <w:tab w:val="left" w:pos="1200"/>
          <w:tab w:val="right" w:leader="dot" w:pos="8630"/>
        </w:tabs>
        <w:rPr>
          <w:rFonts w:eastAsiaTheme="minorEastAsia" w:cstheme="minorBidi"/>
          <w:i w:val="0"/>
          <w:iCs w:val="0"/>
          <w:noProof/>
          <w:sz w:val="22"/>
          <w:szCs w:val="22"/>
          <w:lang w:eastAsia="en-AU"/>
        </w:rPr>
      </w:pPr>
      <w:hyperlink w:anchor="_Toc456694684" w:history="1">
        <w:r w:rsidR="00405248" w:rsidRPr="00BB688D">
          <w:rPr>
            <w:rStyle w:val="Hyperlink"/>
            <w:rFonts w:cs="Calibri"/>
            <w:noProof/>
          </w:rPr>
          <w:t>1.1.2</w:t>
        </w:r>
        <w:r w:rsidR="00405248">
          <w:rPr>
            <w:rFonts w:eastAsiaTheme="minorEastAsia" w:cstheme="minorBidi"/>
            <w:i w:val="0"/>
            <w:iCs w:val="0"/>
            <w:noProof/>
            <w:sz w:val="22"/>
            <w:szCs w:val="22"/>
            <w:lang w:eastAsia="en-AU"/>
          </w:rPr>
          <w:tab/>
        </w:r>
        <w:r w:rsidR="00405248" w:rsidRPr="00BB688D">
          <w:rPr>
            <w:rStyle w:val="Hyperlink"/>
            <w:rFonts w:cs="Calibri"/>
            <w:noProof/>
          </w:rPr>
          <w:t>Relationship to Accounting Standards</w:t>
        </w:r>
        <w:r w:rsidR="00405248">
          <w:rPr>
            <w:noProof/>
            <w:webHidden/>
          </w:rPr>
          <w:tab/>
        </w:r>
        <w:r w:rsidR="004A0FF0">
          <w:rPr>
            <w:noProof/>
            <w:webHidden/>
          </w:rPr>
          <w:fldChar w:fldCharType="begin"/>
        </w:r>
        <w:r w:rsidR="00405248">
          <w:rPr>
            <w:noProof/>
            <w:webHidden/>
          </w:rPr>
          <w:instrText xml:space="preserve"> PAGEREF _Toc456694684 \h </w:instrText>
        </w:r>
        <w:r w:rsidR="004A0FF0">
          <w:rPr>
            <w:noProof/>
            <w:webHidden/>
          </w:rPr>
        </w:r>
        <w:r w:rsidR="004A0FF0">
          <w:rPr>
            <w:noProof/>
            <w:webHidden/>
          </w:rPr>
          <w:fldChar w:fldCharType="separate"/>
        </w:r>
        <w:r w:rsidR="002619BB">
          <w:rPr>
            <w:noProof/>
            <w:webHidden/>
          </w:rPr>
          <w:t>1</w:t>
        </w:r>
        <w:r w:rsidR="004A0FF0">
          <w:rPr>
            <w:noProof/>
            <w:webHidden/>
          </w:rPr>
          <w:fldChar w:fldCharType="end"/>
        </w:r>
      </w:hyperlink>
    </w:p>
    <w:p w14:paraId="0789480B" w14:textId="77777777" w:rsidR="00405248" w:rsidRDefault="001531B1">
      <w:pPr>
        <w:pStyle w:val="TOC3"/>
        <w:tabs>
          <w:tab w:val="left" w:pos="1200"/>
          <w:tab w:val="right" w:leader="dot" w:pos="8630"/>
        </w:tabs>
        <w:rPr>
          <w:rFonts w:eastAsiaTheme="minorEastAsia" w:cstheme="minorBidi"/>
          <w:i w:val="0"/>
          <w:iCs w:val="0"/>
          <w:noProof/>
          <w:sz w:val="22"/>
          <w:szCs w:val="22"/>
          <w:lang w:eastAsia="en-AU"/>
        </w:rPr>
      </w:pPr>
      <w:hyperlink w:anchor="_Toc456694685" w:history="1">
        <w:r w:rsidR="00405248" w:rsidRPr="00BB688D">
          <w:rPr>
            <w:rStyle w:val="Hyperlink"/>
            <w:rFonts w:cs="Calibri"/>
            <w:noProof/>
          </w:rPr>
          <w:t>1.1.3</w:t>
        </w:r>
        <w:r w:rsidR="00405248">
          <w:rPr>
            <w:rFonts w:eastAsiaTheme="minorEastAsia" w:cstheme="minorBidi"/>
            <w:i w:val="0"/>
            <w:iCs w:val="0"/>
            <w:noProof/>
            <w:sz w:val="22"/>
            <w:szCs w:val="22"/>
            <w:lang w:eastAsia="en-AU"/>
          </w:rPr>
          <w:tab/>
        </w:r>
        <w:r w:rsidR="00405248" w:rsidRPr="00BB688D">
          <w:rPr>
            <w:rStyle w:val="Hyperlink"/>
            <w:rFonts w:cs="Calibri"/>
            <w:noProof/>
          </w:rPr>
          <w:t>Application Date</w:t>
        </w:r>
        <w:r w:rsidR="00405248">
          <w:rPr>
            <w:noProof/>
            <w:webHidden/>
          </w:rPr>
          <w:tab/>
        </w:r>
        <w:r w:rsidR="004A0FF0">
          <w:rPr>
            <w:noProof/>
            <w:webHidden/>
          </w:rPr>
          <w:fldChar w:fldCharType="begin"/>
        </w:r>
        <w:r w:rsidR="00405248">
          <w:rPr>
            <w:noProof/>
            <w:webHidden/>
          </w:rPr>
          <w:instrText xml:space="preserve"> PAGEREF _Toc456694685 \h </w:instrText>
        </w:r>
        <w:r w:rsidR="004A0FF0">
          <w:rPr>
            <w:noProof/>
            <w:webHidden/>
          </w:rPr>
        </w:r>
        <w:r w:rsidR="004A0FF0">
          <w:rPr>
            <w:noProof/>
            <w:webHidden/>
          </w:rPr>
          <w:fldChar w:fldCharType="separate"/>
        </w:r>
        <w:r w:rsidR="002619BB">
          <w:rPr>
            <w:noProof/>
            <w:webHidden/>
          </w:rPr>
          <w:t>1</w:t>
        </w:r>
        <w:r w:rsidR="004A0FF0">
          <w:rPr>
            <w:noProof/>
            <w:webHidden/>
          </w:rPr>
          <w:fldChar w:fldCharType="end"/>
        </w:r>
      </w:hyperlink>
    </w:p>
    <w:p w14:paraId="389D7556" w14:textId="77777777" w:rsidR="00405248" w:rsidRDefault="001531B1">
      <w:pPr>
        <w:pStyle w:val="TOC3"/>
        <w:tabs>
          <w:tab w:val="left" w:pos="1200"/>
          <w:tab w:val="right" w:leader="dot" w:pos="8630"/>
        </w:tabs>
        <w:rPr>
          <w:rFonts w:eastAsiaTheme="minorEastAsia" w:cstheme="minorBidi"/>
          <w:i w:val="0"/>
          <w:iCs w:val="0"/>
          <w:noProof/>
          <w:sz w:val="22"/>
          <w:szCs w:val="22"/>
          <w:lang w:eastAsia="en-AU"/>
        </w:rPr>
      </w:pPr>
      <w:hyperlink w:anchor="_Toc456694686" w:history="1">
        <w:r w:rsidR="00405248" w:rsidRPr="00BB688D">
          <w:rPr>
            <w:rStyle w:val="Hyperlink"/>
            <w:rFonts w:cs="Calibri"/>
            <w:noProof/>
          </w:rPr>
          <w:t>1.1.4</w:t>
        </w:r>
        <w:r w:rsidR="00405248">
          <w:rPr>
            <w:rFonts w:eastAsiaTheme="minorEastAsia" w:cstheme="minorBidi"/>
            <w:i w:val="0"/>
            <w:iCs w:val="0"/>
            <w:noProof/>
            <w:sz w:val="22"/>
            <w:szCs w:val="22"/>
            <w:lang w:eastAsia="en-AU"/>
          </w:rPr>
          <w:tab/>
        </w:r>
        <w:r w:rsidR="00405248" w:rsidRPr="00BB688D">
          <w:rPr>
            <w:rStyle w:val="Hyperlink"/>
            <w:rFonts w:cs="Calibri"/>
            <w:noProof/>
          </w:rPr>
          <w:t>Agencies covered by this policy</w:t>
        </w:r>
        <w:r w:rsidR="00405248">
          <w:rPr>
            <w:noProof/>
            <w:webHidden/>
          </w:rPr>
          <w:tab/>
        </w:r>
        <w:r w:rsidR="004A0FF0">
          <w:rPr>
            <w:noProof/>
            <w:webHidden/>
          </w:rPr>
          <w:fldChar w:fldCharType="begin"/>
        </w:r>
        <w:r w:rsidR="00405248">
          <w:rPr>
            <w:noProof/>
            <w:webHidden/>
          </w:rPr>
          <w:instrText xml:space="preserve"> PAGEREF _Toc456694686 \h </w:instrText>
        </w:r>
        <w:r w:rsidR="004A0FF0">
          <w:rPr>
            <w:noProof/>
            <w:webHidden/>
          </w:rPr>
        </w:r>
        <w:r w:rsidR="004A0FF0">
          <w:rPr>
            <w:noProof/>
            <w:webHidden/>
          </w:rPr>
          <w:fldChar w:fldCharType="separate"/>
        </w:r>
        <w:r w:rsidR="002619BB">
          <w:rPr>
            <w:noProof/>
            <w:webHidden/>
          </w:rPr>
          <w:t>1</w:t>
        </w:r>
        <w:r w:rsidR="004A0FF0">
          <w:rPr>
            <w:noProof/>
            <w:webHidden/>
          </w:rPr>
          <w:fldChar w:fldCharType="end"/>
        </w:r>
      </w:hyperlink>
    </w:p>
    <w:p w14:paraId="0BAB2595" w14:textId="77777777" w:rsidR="00405248" w:rsidRDefault="001531B1">
      <w:pPr>
        <w:pStyle w:val="TOC3"/>
        <w:tabs>
          <w:tab w:val="left" w:pos="1200"/>
          <w:tab w:val="right" w:leader="dot" w:pos="8630"/>
        </w:tabs>
        <w:rPr>
          <w:rFonts w:eastAsiaTheme="minorEastAsia" w:cstheme="minorBidi"/>
          <w:i w:val="0"/>
          <w:iCs w:val="0"/>
          <w:noProof/>
          <w:sz w:val="22"/>
          <w:szCs w:val="22"/>
          <w:lang w:eastAsia="en-AU"/>
        </w:rPr>
      </w:pPr>
      <w:hyperlink w:anchor="_Toc456694687" w:history="1">
        <w:r w:rsidR="00405248" w:rsidRPr="00BB688D">
          <w:rPr>
            <w:rStyle w:val="Hyperlink"/>
            <w:rFonts w:cs="Calibri"/>
            <w:noProof/>
          </w:rPr>
          <w:t>1.1.5</w:t>
        </w:r>
        <w:r w:rsidR="00405248">
          <w:rPr>
            <w:rFonts w:eastAsiaTheme="minorEastAsia" w:cstheme="minorBidi"/>
            <w:i w:val="0"/>
            <w:iCs w:val="0"/>
            <w:noProof/>
            <w:sz w:val="22"/>
            <w:szCs w:val="22"/>
            <w:lang w:eastAsia="en-AU"/>
          </w:rPr>
          <w:tab/>
        </w:r>
        <w:r w:rsidR="00405248" w:rsidRPr="00BB688D">
          <w:rPr>
            <w:rStyle w:val="Hyperlink"/>
            <w:rFonts w:cs="Calibri"/>
            <w:noProof/>
          </w:rPr>
          <w:t>Contact</w:t>
        </w:r>
        <w:r w:rsidR="00405248">
          <w:rPr>
            <w:noProof/>
            <w:webHidden/>
          </w:rPr>
          <w:tab/>
        </w:r>
        <w:r w:rsidR="004A0FF0">
          <w:rPr>
            <w:noProof/>
            <w:webHidden/>
          </w:rPr>
          <w:fldChar w:fldCharType="begin"/>
        </w:r>
        <w:r w:rsidR="00405248">
          <w:rPr>
            <w:noProof/>
            <w:webHidden/>
          </w:rPr>
          <w:instrText xml:space="preserve"> PAGEREF _Toc456694687 \h </w:instrText>
        </w:r>
        <w:r w:rsidR="004A0FF0">
          <w:rPr>
            <w:noProof/>
            <w:webHidden/>
          </w:rPr>
        </w:r>
        <w:r w:rsidR="004A0FF0">
          <w:rPr>
            <w:noProof/>
            <w:webHidden/>
          </w:rPr>
          <w:fldChar w:fldCharType="separate"/>
        </w:r>
        <w:r w:rsidR="002619BB">
          <w:rPr>
            <w:noProof/>
            <w:webHidden/>
          </w:rPr>
          <w:t>1</w:t>
        </w:r>
        <w:r w:rsidR="004A0FF0">
          <w:rPr>
            <w:noProof/>
            <w:webHidden/>
          </w:rPr>
          <w:fldChar w:fldCharType="end"/>
        </w:r>
      </w:hyperlink>
    </w:p>
    <w:p w14:paraId="3FCD8797" w14:textId="77777777" w:rsidR="00405248" w:rsidRDefault="001531B1">
      <w:pPr>
        <w:pStyle w:val="TOC1"/>
        <w:tabs>
          <w:tab w:val="left" w:pos="480"/>
          <w:tab w:val="right" w:leader="dot" w:pos="8630"/>
        </w:tabs>
        <w:rPr>
          <w:rFonts w:eastAsiaTheme="minorEastAsia" w:cstheme="minorBidi"/>
          <w:b w:val="0"/>
          <w:bCs w:val="0"/>
          <w:caps w:val="0"/>
          <w:noProof/>
          <w:sz w:val="22"/>
          <w:szCs w:val="22"/>
          <w:lang w:eastAsia="en-AU"/>
        </w:rPr>
      </w:pPr>
      <w:hyperlink w:anchor="_Toc456694688" w:history="1">
        <w:r w:rsidR="00405248" w:rsidRPr="00BB688D">
          <w:rPr>
            <w:rStyle w:val="Hyperlink"/>
            <w:rFonts w:cs="Calibri"/>
            <w:noProof/>
          </w:rPr>
          <w:t>2</w:t>
        </w:r>
        <w:r w:rsidR="00405248">
          <w:rPr>
            <w:rFonts w:eastAsiaTheme="minorEastAsia" w:cstheme="minorBidi"/>
            <w:b w:val="0"/>
            <w:bCs w:val="0"/>
            <w:caps w:val="0"/>
            <w:noProof/>
            <w:sz w:val="22"/>
            <w:szCs w:val="22"/>
            <w:lang w:eastAsia="en-AU"/>
          </w:rPr>
          <w:tab/>
        </w:r>
        <w:r w:rsidR="00405248" w:rsidRPr="00BB688D">
          <w:rPr>
            <w:rStyle w:val="Hyperlink"/>
            <w:rFonts w:cs="Calibri"/>
            <w:noProof/>
            <w:lang w:val="en-US"/>
          </w:rPr>
          <w:t>Public Private Partnerships</w:t>
        </w:r>
        <w:r w:rsidR="00405248">
          <w:rPr>
            <w:noProof/>
            <w:webHidden/>
          </w:rPr>
          <w:tab/>
        </w:r>
        <w:r w:rsidR="004A0FF0">
          <w:rPr>
            <w:noProof/>
            <w:webHidden/>
          </w:rPr>
          <w:fldChar w:fldCharType="begin"/>
        </w:r>
        <w:r w:rsidR="00405248">
          <w:rPr>
            <w:noProof/>
            <w:webHidden/>
          </w:rPr>
          <w:instrText xml:space="preserve"> PAGEREF _Toc456694688 \h </w:instrText>
        </w:r>
        <w:r w:rsidR="004A0FF0">
          <w:rPr>
            <w:noProof/>
            <w:webHidden/>
          </w:rPr>
        </w:r>
        <w:r w:rsidR="004A0FF0">
          <w:rPr>
            <w:noProof/>
            <w:webHidden/>
          </w:rPr>
          <w:fldChar w:fldCharType="separate"/>
        </w:r>
        <w:r w:rsidR="002619BB">
          <w:rPr>
            <w:noProof/>
            <w:webHidden/>
          </w:rPr>
          <w:t>2</w:t>
        </w:r>
        <w:r w:rsidR="004A0FF0">
          <w:rPr>
            <w:noProof/>
            <w:webHidden/>
          </w:rPr>
          <w:fldChar w:fldCharType="end"/>
        </w:r>
      </w:hyperlink>
    </w:p>
    <w:p w14:paraId="4AD78A1D" w14:textId="77777777" w:rsidR="00405248" w:rsidRDefault="001531B1">
      <w:pPr>
        <w:pStyle w:val="TOC2"/>
        <w:rPr>
          <w:rFonts w:eastAsiaTheme="minorEastAsia" w:cstheme="minorBidi"/>
          <w:smallCaps w:val="0"/>
          <w:sz w:val="22"/>
          <w:szCs w:val="22"/>
          <w:lang w:val="en-AU" w:eastAsia="en-AU"/>
        </w:rPr>
      </w:pPr>
      <w:hyperlink w:anchor="_Toc456694689" w:history="1">
        <w:r w:rsidR="00405248" w:rsidRPr="00BB688D">
          <w:rPr>
            <w:rStyle w:val="Hyperlink"/>
          </w:rPr>
          <w:t>2.1</w:t>
        </w:r>
        <w:r w:rsidR="00405248">
          <w:rPr>
            <w:rFonts w:eastAsiaTheme="minorEastAsia" w:cstheme="minorBidi"/>
            <w:smallCaps w:val="0"/>
            <w:sz w:val="22"/>
            <w:szCs w:val="22"/>
            <w:lang w:val="en-AU" w:eastAsia="en-AU"/>
          </w:rPr>
          <w:tab/>
        </w:r>
        <w:r w:rsidR="00405248" w:rsidRPr="00BB688D">
          <w:rPr>
            <w:rStyle w:val="Hyperlink"/>
          </w:rPr>
          <w:t>What is a Public Private Partnership?</w:t>
        </w:r>
        <w:r w:rsidR="00405248">
          <w:rPr>
            <w:webHidden/>
          </w:rPr>
          <w:tab/>
        </w:r>
        <w:r w:rsidR="004A0FF0">
          <w:rPr>
            <w:webHidden/>
          </w:rPr>
          <w:fldChar w:fldCharType="begin"/>
        </w:r>
        <w:r w:rsidR="00405248">
          <w:rPr>
            <w:webHidden/>
          </w:rPr>
          <w:instrText xml:space="preserve"> PAGEREF _Toc456694689 \h </w:instrText>
        </w:r>
        <w:r w:rsidR="004A0FF0">
          <w:rPr>
            <w:webHidden/>
          </w:rPr>
        </w:r>
        <w:r w:rsidR="004A0FF0">
          <w:rPr>
            <w:webHidden/>
          </w:rPr>
          <w:fldChar w:fldCharType="separate"/>
        </w:r>
        <w:r w:rsidR="002619BB">
          <w:rPr>
            <w:webHidden/>
          </w:rPr>
          <w:t>2</w:t>
        </w:r>
        <w:r w:rsidR="004A0FF0">
          <w:rPr>
            <w:webHidden/>
          </w:rPr>
          <w:fldChar w:fldCharType="end"/>
        </w:r>
      </w:hyperlink>
    </w:p>
    <w:p w14:paraId="49DA67B5" w14:textId="77777777" w:rsidR="00405248" w:rsidRDefault="001531B1">
      <w:pPr>
        <w:pStyle w:val="TOC2"/>
        <w:rPr>
          <w:rFonts w:eastAsiaTheme="minorEastAsia" w:cstheme="minorBidi"/>
          <w:smallCaps w:val="0"/>
          <w:sz w:val="22"/>
          <w:szCs w:val="22"/>
          <w:lang w:val="en-AU" w:eastAsia="en-AU"/>
        </w:rPr>
      </w:pPr>
      <w:hyperlink w:anchor="_Toc456694690" w:history="1">
        <w:r w:rsidR="00405248" w:rsidRPr="00BB688D">
          <w:rPr>
            <w:rStyle w:val="Hyperlink"/>
          </w:rPr>
          <w:t>2.2</w:t>
        </w:r>
        <w:r w:rsidR="00405248">
          <w:rPr>
            <w:rFonts w:eastAsiaTheme="minorEastAsia" w:cstheme="minorBidi"/>
            <w:smallCaps w:val="0"/>
            <w:sz w:val="22"/>
            <w:szCs w:val="22"/>
            <w:lang w:val="en-AU" w:eastAsia="en-AU"/>
          </w:rPr>
          <w:tab/>
        </w:r>
        <w:r w:rsidR="00405248" w:rsidRPr="00BB688D">
          <w:rPr>
            <w:rStyle w:val="Hyperlink"/>
          </w:rPr>
          <w:t>Examples of Public Private Partnerships</w:t>
        </w:r>
        <w:r w:rsidR="00405248">
          <w:rPr>
            <w:webHidden/>
          </w:rPr>
          <w:tab/>
        </w:r>
        <w:r w:rsidR="004A0FF0">
          <w:rPr>
            <w:webHidden/>
          </w:rPr>
          <w:fldChar w:fldCharType="begin"/>
        </w:r>
        <w:r w:rsidR="00405248">
          <w:rPr>
            <w:webHidden/>
          </w:rPr>
          <w:instrText xml:space="preserve"> PAGEREF _Toc456694690 \h </w:instrText>
        </w:r>
        <w:r w:rsidR="004A0FF0">
          <w:rPr>
            <w:webHidden/>
          </w:rPr>
        </w:r>
        <w:r w:rsidR="004A0FF0">
          <w:rPr>
            <w:webHidden/>
          </w:rPr>
          <w:fldChar w:fldCharType="separate"/>
        </w:r>
        <w:r w:rsidR="002619BB">
          <w:rPr>
            <w:webHidden/>
          </w:rPr>
          <w:t>2</w:t>
        </w:r>
        <w:r w:rsidR="004A0FF0">
          <w:rPr>
            <w:webHidden/>
          </w:rPr>
          <w:fldChar w:fldCharType="end"/>
        </w:r>
      </w:hyperlink>
    </w:p>
    <w:p w14:paraId="5AC9572E" w14:textId="77777777" w:rsidR="00405248" w:rsidRDefault="001531B1">
      <w:pPr>
        <w:pStyle w:val="TOC1"/>
        <w:tabs>
          <w:tab w:val="left" w:pos="480"/>
          <w:tab w:val="right" w:leader="dot" w:pos="8630"/>
        </w:tabs>
        <w:rPr>
          <w:rFonts w:eastAsiaTheme="minorEastAsia" w:cstheme="minorBidi"/>
          <w:b w:val="0"/>
          <w:bCs w:val="0"/>
          <w:caps w:val="0"/>
          <w:noProof/>
          <w:sz w:val="22"/>
          <w:szCs w:val="22"/>
          <w:lang w:eastAsia="en-AU"/>
        </w:rPr>
      </w:pPr>
      <w:hyperlink w:anchor="_Toc456694691" w:history="1">
        <w:r w:rsidR="00405248" w:rsidRPr="00BB688D">
          <w:rPr>
            <w:rStyle w:val="Hyperlink"/>
            <w:rFonts w:cs="Calibri"/>
            <w:noProof/>
          </w:rPr>
          <w:t>3</w:t>
        </w:r>
        <w:r w:rsidR="00405248">
          <w:rPr>
            <w:rFonts w:eastAsiaTheme="minorEastAsia" w:cstheme="minorBidi"/>
            <w:b w:val="0"/>
            <w:bCs w:val="0"/>
            <w:caps w:val="0"/>
            <w:noProof/>
            <w:sz w:val="22"/>
            <w:szCs w:val="22"/>
            <w:lang w:eastAsia="en-AU"/>
          </w:rPr>
          <w:tab/>
        </w:r>
        <w:r w:rsidR="00405248" w:rsidRPr="00BB688D">
          <w:rPr>
            <w:rStyle w:val="Hyperlink"/>
            <w:rFonts w:cs="Calibri"/>
            <w:noProof/>
          </w:rPr>
          <w:t>Policy Position</w:t>
        </w:r>
        <w:r w:rsidR="00405248">
          <w:rPr>
            <w:noProof/>
            <w:webHidden/>
          </w:rPr>
          <w:tab/>
        </w:r>
        <w:r w:rsidR="004A0FF0">
          <w:rPr>
            <w:noProof/>
            <w:webHidden/>
          </w:rPr>
          <w:fldChar w:fldCharType="begin"/>
        </w:r>
        <w:r w:rsidR="00405248">
          <w:rPr>
            <w:noProof/>
            <w:webHidden/>
          </w:rPr>
          <w:instrText xml:space="preserve"> PAGEREF _Toc456694691 \h </w:instrText>
        </w:r>
        <w:r w:rsidR="004A0FF0">
          <w:rPr>
            <w:noProof/>
            <w:webHidden/>
          </w:rPr>
        </w:r>
        <w:r w:rsidR="004A0FF0">
          <w:rPr>
            <w:noProof/>
            <w:webHidden/>
          </w:rPr>
          <w:fldChar w:fldCharType="separate"/>
        </w:r>
        <w:r w:rsidR="002619BB">
          <w:rPr>
            <w:noProof/>
            <w:webHidden/>
          </w:rPr>
          <w:t>2</w:t>
        </w:r>
        <w:r w:rsidR="004A0FF0">
          <w:rPr>
            <w:noProof/>
            <w:webHidden/>
          </w:rPr>
          <w:fldChar w:fldCharType="end"/>
        </w:r>
      </w:hyperlink>
    </w:p>
    <w:p w14:paraId="79226409" w14:textId="77777777" w:rsidR="00405248" w:rsidRDefault="001531B1">
      <w:pPr>
        <w:pStyle w:val="TOC2"/>
        <w:rPr>
          <w:rFonts w:eastAsiaTheme="minorEastAsia" w:cstheme="minorBidi"/>
          <w:smallCaps w:val="0"/>
          <w:sz w:val="22"/>
          <w:szCs w:val="22"/>
          <w:lang w:val="en-AU" w:eastAsia="en-AU"/>
        </w:rPr>
      </w:pPr>
      <w:hyperlink w:anchor="_Toc456694692" w:history="1">
        <w:r w:rsidR="00405248" w:rsidRPr="00BB688D">
          <w:rPr>
            <w:rStyle w:val="Hyperlink"/>
            <w:rFonts w:cs="Calibri"/>
          </w:rPr>
          <w:t>3.1</w:t>
        </w:r>
        <w:r w:rsidR="00405248">
          <w:rPr>
            <w:rFonts w:eastAsiaTheme="minorEastAsia" w:cstheme="minorBidi"/>
            <w:smallCaps w:val="0"/>
            <w:sz w:val="22"/>
            <w:szCs w:val="22"/>
            <w:lang w:val="en-AU" w:eastAsia="en-AU"/>
          </w:rPr>
          <w:tab/>
        </w:r>
        <w:r w:rsidR="00405248" w:rsidRPr="00BB688D">
          <w:rPr>
            <w:rStyle w:val="Hyperlink"/>
            <w:rFonts w:cs="Calibri"/>
          </w:rPr>
          <w:t>Scope of Policy</w:t>
        </w:r>
        <w:r w:rsidR="00405248">
          <w:rPr>
            <w:webHidden/>
          </w:rPr>
          <w:tab/>
        </w:r>
        <w:r w:rsidR="004A0FF0">
          <w:rPr>
            <w:webHidden/>
          </w:rPr>
          <w:fldChar w:fldCharType="begin"/>
        </w:r>
        <w:r w:rsidR="00405248">
          <w:rPr>
            <w:webHidden/>
          </w:rPr>
          <w:instrText xml:space="preserve"> PAGEREF _Toc456694692 \h </w:instrText>
        </w:r>
        <w:r w:rsidR="004A0FF0">
          <w:rPr>
            <w:webHidden/>
          </w:rPr>
        </w:r>
        <w:r w:rsidR="004A0FF0">
          <w:rPr>
            <w:webHidden/>
          </w:rPr>
          <w:fldChar w:fldCharType="separate"/>
        </w:r>
        <w:r w:rsidR="002619BB">
          <w:rPr>
            <w:webHidden/>
          </w:rPr>
          <w:t>2</w:t>
        </w:r>
        <w:r w:rsidR="004A0FF0">
          <w:rPr>
            <w:webHidden/>
          </w:rPr>
          <w:fldChar w:fldCharType="end"/>
        </w:r>
      </w:hyperlink>
    </w:p>
    <w:p w14:paraId="3764B5CA" w14:textId="77777777" w:rsidR="00405248" w:rsidRDefault="001531B1">
      <w:pPr>
        <w:pStyle w:val="TOC2"/>
        <w:rPr>
          <w:rFonts w:eastAsiaTheme="minorEastAsia" w:cstheme="minorBidi"/>
          <w:smallCaps w:val="0"/>
          <w:sz w:val="22"/>
          <w:szCs w:val="22"/>
          <w:lang w:val="en-AU" w:eastAsia="en-AU"/>
        </w:rPr>
      </w:pPr>
      <w:hyperlink w:anchor="_Toc456694693" w:history="1">
        <w:r w:rsidR="00405248" w:rsidRPr="00BB688D">
          <w:rPr>
            <w:rStyle w:val="Hyperlink"/>
            <w:rFonts w:cs="Calibri"/>
          </w:rPr>
          <w:t>3.2</w:t>
        </w:r>
        <w:r w:rsidR="00405248">
          <w:rPr>
            <w:rFonts w:eastAsiaTheme="minorEastAsia" w:cstheme="minorBidi"/>
            <w:smallCaps w:val="0"/>
            <w:sz w:val="22"/>
            <w:szCs w:val="22"/>
            <w:lang w:val="en-AU" w:eastAsia="en-AU"/>
          </w:rPr>
          <w:tab/>
        </w:r>
        <w:r w:rsidR="00405248" w:rsidRPr="00BB688D">
          <w:rPr>
            <w:rStyle w:val="Hyperlink"/>
            <w:rFonts w:cs="Calibri"/>
          </w:rPr>
          <w:t>Policy Rationale</w:t>
        </w:r>
        <w:r w:rsidR="00405248">
          <w:rPr>
            <w:webHidden/>
          </w:rPr>
          <w:tab/>
        </w:r>
        <w:r w:rsidR="004A0FF0">
          <w:rPr>
            <w:webHidden/>
          </w:rPr>
          <w:fldChar w:fldCharType="begin"/>
        </w:r>
        <w:r w:rsidR="00405248">
          <w:rPr>
            <w:webHidden/>
          </w:rPr>
          <w:instrText xml:space="preserve"> PAGEREF _Toc456694693 \h </w:instrText>
        </w:r>
        <w:r w:rsidR="004A0FF0">
          <w:rPr>
            <w:webHidden/>
          </w:rPr>
        </w:r>
        <w:r w:rsidR="004A0FF0">
          <w:rPr>
            <w:webHidden/>
          </w:rPr>
          <w:fldChar w:fldCharType="separate"/>
        </w:r>
        <w:r w:rsidR="002619BB">
          <w:rPr>
            <w:webHidden/>
          </w:rPr>
          <w:t>3</w:t>
        </w:r>
        <w:r w:rsidR="004A0FF0">
          <w:rPr>
            <w:webHidden/>
          </w:rPr>
          <w:fldChar w:fldCharType="end"/>
        </w:r>
      </w:hyperlink>
    </w:p>
    <w:p w14:paraId="2D9EDE6D" w14:textId="77777777" w:rsidR="00405248" w:rsidRDefault="001531B1">
      <w:pPr>
        <w:pStyle w:val="TOC1"/>
        <w:tabs>
          <w:tab w:val="left" w:pos="480"/>
          <w:tab w:val="right" w:leader="dot" w:pos="8630"/>
        </w:tabs>
        <w:rPr>
          <w:rFonts w:eastAsiaTheme="minorEastAsia" w:cstheme="minorBidi"/>
          <w:b w:val="0"/>
          <w:bCs w:val="0"/>
          <w:caps w:val="0"/>
          <w:noProof/>
          <w:sz w:val="22"/>
          <w:szCs w:val="22"/>
          <w:lang w:eastAsia="en-AU"/>
        </w:rPr>
      </w:pPr>
      <w:hyperlink w:anchor="_Toc456694694" w:history="1">
        <w:r w:rsidR="00405248" w:rsidRPr="00BB688D">
          <w:rPr>
            <w:rStyle w:val="Hyperlink"/>
            <w:noProof/>
          </w:rPr>
          <w:t>4</w:t>
        </w:r>
        <w:r w:rsidR="00405248">
          <w:rPr>
            <w:rFonts w:eastAsiaTheme="minorEastAsia" w:cstheme="minorBidi"/>
            <w:b w:val="0"/>
            <w:bCs w:val="0"/>
            <w:caps w:val="0"/>
            <w:noProof/>
            <w:sz w:val="22"/>
            <w:szCs w:val="22"/>
            <w:lang w:eastAsia="en-AU"/>
          </w:rPr>
          <w:tab/>
        </w:r>
        <w:r w:rsidR="00405248" w:rsidRPr="00BB688D">
          <w:rPr>
            <w:rStyle w:val="Hyperlink"/>
            <w:noProof/>
          </w:rPr>
          <w:t xml:space="preserve">Public Private Partnerships in scope of this Policy to apply </w:t>
        </w:r>
        <w:r w:rsidR="00405248" w:rsidRPr="00BB688D">
          <w:rPr>
            <w:rStyle w:val="Hyperlink"/>
            <w:rFonts w:cs="Calibri"/>
            <w:noProof/>
          </w:rPr>
          <w:t xml:space="preserve">Amendment to UK FRS 5 </w:t>
        </w:r>
        <w:r w:rsidR="00405248" w:rsidRPr="00BB688D">
          <w:rPr>
            <w:rStyle w:val="Hyperlink"/>
            <w:rFonts w:cs="Calibri"/>
            <w:i/>
            <w:noProof/>
          </w:rPr>
          <w:t>Reporting the Substance of Transactions</w:t>
        </w:r>
        <w:r w:rsidR="00405248" w:rsidRPr="00BB688D">
          <w:rPr>
            <w:rStyle w:val="Hyperlink"/>
            <w:rFonts w:cs="Calibri"/>
            <w:noProof/>
          </w:rPr>
          <w:t xml:space="preserve">: Application Note F </w:t>
        </w:r>
        <w:r w:rsidR="00405248" w:rsidRPr="00BB688D">
          <w:rPr>
            <w:rStyle w:val="Hyperlink"/>
            <w:rFonts w:cs="Calibri"/>
            <w:i/>
            <w:noProof/>
          </w:rPr>
          <w:t xml:space="preserve">Private Finance Initiative and Similar Contracts </w:t>
        </w:r>
        <w:r w:rsidR="00405248" w:rsidRPr="00BB688D">
          <w:rPr>
            <w:rStyle w:val="Hyperlink"/>
            <w:rFonts w:cs="Calibri"/>
            <w:noProof/>
          </w:rPr>
          <w:t>(1998)</w:t>
        </w:r>
        <w:r w:rsidR="00405248">
          <w:rPr>
            <w:noProof/>
            <w:webHidden/>
          </w:rPr>
          <w:tab/>
        </w:r>
        <w:r w:rsidR="004A0FF0">
          <w:rPr>
            <w:noProof/>
            <w:webHidden/>
          </w:rPr>
          <w:fldChar w:fldCharType="begin"/>
        </w:r>
        <w:r w:rsidR="00405248">
          <w:rPr>
            <w:noProof/>
            <w:webHidden/>
          </w:rPr>
          <w:instrText xml:space="preserve"> PAGEREF _Toc456694694 \h </w:instrText>
        </w:r>
        <w:r w:rsidR="004A0FF0">
          <w:rPr>
            <w:noProof/>
            <w:webHidden/>
          </w:rPr>
        </w:r>
        <w:r w:rsidR="004A0FF0">
          <w:rPr>
            <w:noProof/>
            <w:webHidden/>
          </w:rPr>
          <w:fldChar w:fldCharType="separate"/>
        </w:r>
        <w:r w:rsidR="002619BB">
          <w:rPr>
            <w:noProof/>
            <w:webHidden/>
          </w:rPr>
          <w:t>3</w:t>
        </w:r>
        <w:r w:rsidR="004A0FF0">
          <w:rPr>
            <w:noProof/>
            <w:webHidden/>
          </w:rPr>
          <w:fldChar w:fldCharType="end"/>
        </w:r>
      </w:hyperlink>
    </w:p>
    <w:p w14:paraId="42C7BF7C" w14:textId="77777777" w:rsidR="00405248" w:rsidRDefault="001531B1">
      <w:pPr>
        <w:pStyle w:val="TOC2"/>
        <w:rPr>
          <w:rFonts w:eastAsiaTheme="minorEastAsia" w:cstheme="minorBidi"/>
          <w:smallCaps w:val="0"/>
          <w:sz w:val="22"/>
          <w:szCs w:val="22"/>
          <w:lang w:val="en-AU" w:eastAsia="en-AU"/>
        </w:rPr>
      </w:pPr>
      <w:hyperlink w:anchor="_Toc456694695" w:history="1">
        <w:r w:rsidR="00405248" w:rsidRPr="00BB688D">
          <w:rPr>
            <w:rStyle w:val="Hyperlink"/>
            <w:rFonts w:cs="Calibri"/>
          </w:rPr>
          <w:t>4.1</w:t>
        </w:r>
        <w:r w:rsidR="00405248">
          <w:rPr>
            <w:rFonts w:eastAsiaTheme="minorEastAsia" w:cstheme="minorBidi"/>
            <w:smallCaps w:val="0"/>
            <w:sz w:val="22"/>
            <w:szCs w:val="22"/>
            <w:lang w:val="en-AU" w:eastAsia="en-AU"/>
          </w:rPr>
          <w:tab/>
        </w:r>
        <w:r w:rsidR="00405248" w:rsidRPr="00BB688D">
          <w:rPr>
            <w:rStyle w:val="Hyperlink"/>
            <w:rFonts w:cs="Calibri"/>
          </w:rPr>
          <w:t xml:space="preserve">Applying the principles of FRS 5 (particularly Paragraph F7(a)) results in Public Private Partnerships in scope being accounted for under AASB 117 </w:t>
        </w:r>
        <w:r w:rsidR="00405248" w:rsidRPr="00BB688D">
          <w:rPr>
            <w:rStyle w:val="Hyperlink"/>
            <w:rFonts w:cs="Calibri"/>
            <w:i/>
          </w:rPr>
          <w:t>Leases</w:t>
        </w:r>
        <w:r w:rsidR="00405248">
          <w:rPr>
            <w:webHidden/>
          </w:rPr>
          <w:tab/>
        </w:r>
        <w:r w:rsidR="004A0FF0">
          <w:rPr>
            <w:webHidden/>
          </w:rPr>
          <w:fldChar w:fldCharType="begin"/>
        </w:r>
        <w:r w:rsidR="00405248">
          <w:rPr>
            <w:webHidden/>
          </w:rPr>
          <w:instrText xml:space="preserve"> PAGEREF _Toc456694695 \h </w:instrText>
        </w:r>
        <w:r w:rsidR="004A0FF0">
          <w:rPr>
            <w:webHidden/>
          </w:rPr>
        </w:r>
        <w:r w:rsidR="004A0FF0">
          <w:rPr>
            <w:webHidden/>
          </w:rPr>
          <w:fldChar w:fldCharType="separate"/>
        </w:r>
        <w:r w:rsidR="002619BB">
          <w:rPr>
            <w:webHidden/>
          </w:rPr>
          <w:t>3</w:t>
        </w:r>
        <w:r w:rsidR="004A0FF0">
          <w:rPr>
            <w:webHidden/>
          </w:rPr>
          <w:fldChar w:fldCharType="end"/>
        </w:r>
      </w:hyperlink>
    </w:p>
    <w:p w14:paraId="0409C141" w14:textId="77777777" w:rsidR="00405248" w:rsidRDefault="001531B1">
      <w:pPr>
        <w:pStyle w:val="TOC2"/>
        <w:rPr>
          <w:rFonts w:eastAsiaTheme="minorEastAsia" w:cstheme="minorBidi"/>
          <w:smallCaps w:val="0"/>
          <w:sz w:val="22"/>
          <w:szCs w:val="22"/>
          <w:lang w:val="en-AU" w:eastAsia="en-AU"/>
        </w:rPr>
      </w:pPr>
      <w:hyperlink w:anchor="_Toc456694696" w:history="1">
        <w:r w:rsidR="00405248" w:rsidRPr="00BB688D">
          <w:rPr>
            <w:rStyle w:val="Hyperlink"/>
            <w:rFonts w:cs="Calibri"/>
          </w:rPr>
          <w:t>4.2</w:t>
        </w:r>
        <w:r w:rsidR="00405248">
          <w:rPr>
            <w:rFonts w:eastAsiaTheme="minorEastAsia" w:cstheme="minorBidi"/>
            <w:smallCaps w:val="0"/>
            <w:sz w:val="22"/>
            <w:szCs w:val="22"/>
            <w:lang w:val="en-AU" w:eastAsia="en-AU"/>
          </w:rPr>
          <w:tab/>
        </w:r>
        <w:r w:rsidR="00405248" w:rsidRPr="00BB688D">
          <w:rPr>
            <w:rStyle w:val="Hyperlink"/>
            <w:rFonts w:cs="Calibri"/>
          </w:rPr>
          <w:t>Finance Leases</w:t>
        </w:r>
        <w:r w:rsidR="00405248">
          <w:rPr>
            <w:webHidden/>
          </w:rPr>
          <w:tab/>
        </w:r>
        <w:r w:rsidR="004A0FF0">
          <w:rPr>
            <w:webHidden/>
          </w:rPr>
          <w:fldChar w:fldCharType="begin"/>
        </w:r>
        <w:r w:rsidR="00405248">
          <w:rPr>
            <w:webHidden/>
          </w:rPr>
          <w:instrText xml:space="preserve"> PAGEREF _Toc456694696 \h </w:instrText>
        </w:r>
        <w:r w:rsidR="004A0FF0">
          <w:rPr>
            <w:webHidden/>
          </w:rPr>
        </w:r>
        <w:r w:rsidR="004A0FF0">
          <w:rPr>
            <w:webHidden/>
          </w:rPr>
          <w:fldChar w:fldCharType="separate"/>
        </w:r>
        <w:r w:rsidR="002619BB">
          <w:rPr>
            <w:webHidden/>
          </w:rPr>
          <w:t>4</w:t>
        </w:r>
        <w:r w:rsidR="004A0FF0">
          <w:rPr>
            <w:webHidden/>
          </w:rPr>
          <w:fldChar w:fldCharType="end"/>
        </w:r>
      </w:hyperlink>
    </w:p>
    <w:p w14:paraId="05479FDA" w14:textId="77777777" w:rsidR="00405248" w:rsidRDefault="001531B1">
      <w:pPr>
        <w:pStyle w:val="TOC2"/>
        <w:rPr>
          <w:rFonts w:eastAsiaTheme="minorEastAsia" w:cstheme="minorBidi"/>
          <w:smallCaps w:val="0"/>
          <w:sz w:val="22"/>
          <w:szCs w:val="22"/>
          <w:lang w:val="en-AU" w:eastAsia="en-AU"/>
        </w:rPr>
      </w:pPr>
      <w:hyperlink w:anchor="_Toc456694697" w:history="1">
        <w:r w:rsidR="00405248" w:rsidRPr="00BB688D">
          <w:rPr>
            <w:rStyle w:val="Hyperlink"/>
            <w:rFonts w:cs="Calibri"/>
          </w:rPr>
          <w:t>4.3</w:t>
        </w:r>
        <w:r w:rsidR="00405248">
          <w:rPr>
            <w:rFonts w:eastAsiaTheme="minorEastAsia" w:cstheme="minorBidi"/>
            <w:smallCaps w:val="0"/>
            <w:sz w:val="22"/>
            <w:szCs w:val="22"/>
            <w:lang w:val="en-AU" w:eastAsia="en-AU"/>
          </w:rPr>
          <w:tab/>
        </w:r>
        <w:r w:rsidR="00405248" w:rsidRPr="00BB688D">
          <w:rPr>
            <w:rStyle w:val="Hyperlink"/>
            <w:rFonts w:cs="Calibri"/>
          </w:rPr>
          <w:t>Timing of Recognition of Assets and Liabilities for Finance Leases</w:t>
        </w:r>
        <w:r w:rsidR="00405248">
          <w:rPr>
            <w:webHidden/>
          </w:rPr>
          <w:tab/>
        </w:r>
        <w:r w:rsidR="004A0FF0">
          <w:rPr>
            <w:webHidden/>
          </w:rPr>
          <w:fldChar w:fldCharType="begin"/>
        </w:r>
        <w:r w:rsidR="00405248">
          <w:rPr>
            <w:webHidden/>
          </w:rPr>
          <w:instrText xml:space="preserve"> PAGEREF _Toc456694697 \h </w:instrText>
        </w:r>
        <w:r w:rsidR="004A0FF0">
          <w:rPr>
            <w:webHidden/>
          </w:rPr>
        </w:r>
        <w:r w:rsidR="004A0FF0">
          <w:rPr>
            <w:webHidden/>
          </w:rPr>
          <w:fldChar w:fldCharType="separate"/>
        </w:r>
        <w:r w:rsidR="002619BB">
          <w:rPr>
            <w:webHidden/>
          </w:rPr>
          <w:t>4</w:t>
        </w:r>
        <w:r w:rsidR="004A0FF0">
          <w:rPr>
            <w:webHidden/>
          </w:rPr>
          <w:fldChar w:fldCharType="end"/>
        </w:r>
      </w:hyperlink>
    </w:p>
    <w:p w14:paraId="27CC1B61" w14:textId="77777777" w:rsidR="00405248" w:rsidRDefault="001531B1">
      <w:pPr>
        <w:pStyle w:val="TOC2"/>
        <w:rPr>
          <w:rFonts w:eastAsiaTheme="minorEastAsia" w:cstheme="minorBidi"/>
          <w:smallCaps w:val="0"/>
          <w:sz w:val="22"/>
          <w:szCs w:val="22"/>
          <w:lang w:val="en-AU" w:eastAsia="en-AU"/>
        </w:rPr>
      </w:pPr>
      <w:hyperlink w:anchor="_Toc456694698" w:history="1">
        <w:r w:rsidR="00405248" w:rsidRPr="00BB688D">
          <w:rPr>
            <w:rStyle w:val="Hyperlink"/>
            <w:rFonts w:cs="Calibri"/>
          </w:rPr>
          <w:t>4.4</w:t>
        </w:r>
        <w:r w:rsidR="00405248">
          <w:rPr>
            <w:rFonts w:eastAsiaTheme="minorEastAsia" w:cstheme="minorBidi"/>
            <w:smallCaps w:val="0"/>
            <w:sz w:val="22"/>
            <w:szCs w:val="22"/>
            <w:lang w:val="en-AU" w:eastAsia="en-AU"/>
          </w:rPr>
          <w:tab/>
        </w:r>
        <w:r w:rsidR="00405248" w:rsidRPr="00BB688D">
          <w:rPr>
            <w:rStyle w:val="Hyperlink"/>
            <w:rFonts w:cs="Calibri"/>
          </w:rPr>
          <w:t>Detailed Accounting Advice</w:t>
        </w:r>
        <w:r w:rsidR="00405248">
          <w:rPr>
            <w:webHidden/>
          </w:rPr>
          <w:tab/>
        </w:r>
        <w:r w:rsidR="004A0FF0">
          <w:rPr>
            <w:webHidden/>
          </w:rPr>
          <w:fldChar w:fldCharType="begin"/>
        </w:r>
        <w:r w:rsidR="00405248">
          <w:rPr>
            <w:webHidden/>
          </w:rPr>
          <w:instrText xml:space="preserve"> PAGEREF _Toc456694698 \h </w:instrText>
        </w:r>
        <w:r w:rsidR="004A0FF0">
          <w:rPr>
            <w:webHidden/>
          </w:rPr>
        </w:r>
        <w:r w:rsidR="004A0FF0">
          <w:rPr>
            <w:webHidden/>
          </w:rPr>
          <w:fldChar w:fldCharType="separate"/>
        </w:r>
        <w:r w:rsidR="002619BB">
          <w:rPr>
            <w:webHidden/>
          </w:rPr>
          <w:t>4</w:t>
        </w:r>
        <w:r w:rsidR="004A0FF0">
          <w:rPr>
            <w:webHidden/>
          </w:rPr>
          <w:fldChar w:fldCharType="end"/>
        </w:r>
      </w:hyperlink>
    </w:p>
    <w:p w14:paraId="5C432005" w14:textId="77777777" w:rsidR="00405248" w:rsidRDefault="001531B1">
      <w:pPr>
        <w:pStyle w:val="TOC1"/>
        <w:tabs>
          <w:tab w:val="left" w:pos="480"/>
          <w:tab w:val="right" w:leader="dot" w:pos="8630"/>
        </w:tabs>
        <w:rPr>
          <w:rFonts w:eastAsiaTheme="minorEastAsia" w:cstheme="minorBidi"/>
          <w:b w:val="0"/>
          <w:bCs w:val="0"/>
          <w:caps w:val="0"/>
          <w:noProof/>
          <w:sz w:val="22"/>
          <w:szCs w:val="22"/>
          <w:lang w:eastAsia="en-AU"/>
        </w:rPr>
      </w:pPr>
      <w:hyperlink w:anchor="_Toc456694699" w:history="1">
        <w:r w:rsidR="00405248" w:rsidRPr="00BB688D">
          <w:rPr>
            <w:rStyle w:val="Hyperlink"/>
            <w:rFonts w:cs="Calibri"/>
            <w:noProof/>
          </w:rPr>
          <w:t>5</w:t>
        </w:r>
        <w:r w:rsidR="00405248">
          <w:rPr>
            <w:rFonts w:eastAsiaTheme="minorEastAsia" w:cstheme="minorBidi"/>
            <w:b w:val="0"/>
            <w:bCs w:val="0"/>
            <w:caps w:val="0"/>
            <w:noProof/>
            <w:sz w:val="22"/>
            <w:szCs w:val="22"/>
            <w:lang w:eastAsia="en-AU"/>
          </w:rPr>
          <w:tab/>
        </w:r>
        <w:r w:rsidR="00405248" w:rsidRPr="00BB688D">
          <w:rPr>
            <w:rStyle w:val="Hyperlink"/>
            <w:rFonts w:cs="Calibri"/>
            <w:noProof/>
          </w:rPr>
          <w:t>Disclosures</w:t>
        </w:r>
        <w:r w:rsidR="00405248">
          <w:rPr>
            <w:noProof/>
            <w:webHidden/>
          </w:rPr>
          <w:tab/>
        </w:r>
        <w:r w:rsidR="004A0FF0">
          <w:rPr>
            <w:noProof/>
            <w:webHidden/>
          </w:rPr>
          <w:fldChar w:fldCharType="begin"/>
        </w:r>
        <w:r w:rsidR="00405248">
          <w:rPr>
            <w:noProof/>
            <w:webHidden/>
          </w:rPr>
          <w:instrText xml:space="preserve"> PAGEREF _Toc456694699 \h </w:instrText>
        </w:r>
        <w:r w:rsidR="004A0FF0">
          <w:rPr>
            <w:noProof/>
            <w:webHidden/>
          </w:rPr>
        </w:r>
        <w:r w:rsidR="004A0FF0">
          <w:rPr>
            <w:noProof/>
            <w:webHidden/>
          </w:rPr>
          <w:fldChar w:fldCharType="separate"/>
        </w:r>
        <w:r w:rsidR="002619BB">
          <w:rPr>
            <w:noProof/>
            <w:webHidden/>
          </w:rPr>
          <w:t>5</w:t>
        </w:r>
        <w:r w:rsidR="004A0FF0">
          <w:rPr>
            <w:noProof/>
            <w:webHidden/>
          </w:rPr>
          <w:fldChar w:fldCharType="end"/>
        </w:r>
      </w:hyperlink>
    </w:p>
    <w:p w14:paraId="16303A1C" w14:textId="77777777" w:rsidR="00405248" w:rsidRDefault="001531B1">
      <w:pPr>
        <w:pStyle w:val="TOC2"/>
        <w:rPr>
          <w:rFonts w:eastAsiaTheme="minorEastAsia" w:cstheme="minorBidi"/>
          <w:smallCaps w:val="0"/>
          <w:sz w:val="22"/>
          <w:szCs w:val="22"/>
          <w:lang w:val="en-AU" w:eastAsia="en-AU"/>
        </w:rPr>
      </w:pPr>
      <w:hyperlink w:anchor="_Toc456694700" w:history="1">
        <w:r w:rsidR="00405248" w:rsidRPr="00BB688D">
          <w:rPr>
            <w:rStyle w:val="Hyperlink"/>
            <w:rFonts w:cs="Calibri"/>
          </w:rPr>
          <w:t>5.1</w:t>
        </w:r>
        <w:r w:rsidR="00405248">
          <w:rPr>
            <w:rFonts w:eastAsiaTheme="minorEastAsia" w:cstheme="minorBidi"/>
            <w:smallCaps w:val="0"/>
            <w:sz w:val="22"/>
            <w:szCs w:val="22"/>
            <w:lang w:val="en-AU" w:eastAsia="en-AU"/>
          </w:rPr>
          <w:tab/>
        </w:r>
        <w:r w:rsidR="00405248" w:rsidRPr="00BB688D">
          <w:rPr>
            <w:rStyle w:val="Hyperlink"/>
            <w:rFonts w:cs="Calibri"/>
          </w:rPr>
          <w:t xml:space="preserve">Grantor Disclosures under AASB Interpretation 129 </w:t>
        </w:r>
        <w:r w:rsidR="00405248" w:rsidRPr="00BB688D">
          <w:rPr>
            <w:rStyle w:val="Hyperlink"/>
            <w:rFonts w:cs="Calibri"/>
            <w:i/>
          </w:rPr>
          <w:t>Service Concession Arrangements: Disclosures</w:t>
        </w:r>
        <w:r w:rsidR="00405248">
          <w:rPr>
            <w:webHidden/>
          </w:rPr>
          <w:tab/>
        </w:r>
        <w:r w:rsidR="004A0FF0">
          <w:rPr>
            <w:webHidden/>
          </w:rPr>
          <w:fldChar w:fldCharType="begin"/>
        </w:r>
        <w:r w:rsidR="00405248">
          <w:rPr>
            <w:webHidden/>
          </w:rPr>
          <w:instrText xml:space="preserve"> PAGEREF _Toc456694700 \h </w:instrText>
        </w:r>
        <w:r w:rsidR="004A0FF0">
          <w:rPr>
            <w:webHidden/>
          </w:rPr>
        </w:r>
        <w:r w:rsidR="004A0FF0">
          <w:rPr>
            <w:webHidden/>
          </w:rPr>
          <w:fldChar w:fldCharType="separate"/>
        </w:r>
        <w:r w:rsidR="002619BB">
          <w:rPr>
            <w:webHidden/>
          </w:rPr>
          <w:t>5</w:t>
        </w:r>
        <w:r w:rsidR="004A0FF0">
          <w:rPr>
            <w:webHidden/>
          </w:rPr>
          <w:fldChar w:fldCharType="end"/>
        </w:r>
      </w:hyperlink>
    </w:p>
    <w:p w14:paraId="5331F2ED" w14:textId="77777777" w:rsidR="00F5271C" w:rsidRPr="00CF1B2C" w:rsidRDefault="004A0FF0" w:rsidP="00704EF9">
      <w:pPr>
        <w:pStyle w:val="TITLE10"/>
        <w:jc w:val="both"/>
        <w:rPr>
          <w:rFonts w:cs="Calibri"/>
        </w:rPr>
        <w:sectPr w:rsidR="00F5271C" w:rsidRPr="00CF1B2C">
          <w:headerReference w:type="even" r:id="rId11"/>
          <w:headerReference w:type="default" r:id="rId12"/>
          <w:headerReference w:type="first" r:id="rId13"/>
          <w:pgSz w:w="12240" w:h="15840"/>
          <w:pgMar w:top="1440" w:right="1800" w:bottom="1440" w:left="1800" w:header="720" w:footer="720" w:gutter="0"/>
          <w:pgNumType w:fmt="lowerRoman" w:start="1"/>
          <w:cols w:space="720"/>
          <w:noEndnote/>
        </w:sectPr>
      </w:pPr>
      <w:r w:rsidRPr="00CF1B2C">
        <w:rPr>
          <w:rFonts w:cstheme="minorHAnsi"/>
        </w:rPr>
        <w:fldChar w:fldCharType="end"/>
      </w:r>
    </w:p>
    <w:p w14:paraId="3E415520" w14:textId="77777777" w:rsidR="00F5271C" w:rsidRPr="00CF1B2C" w:rsidRDefault="00F5271C" w:rsidP="00704EF9">
      <w:pPr>
        <w:pStyle w:val="Heading1"/>
        <w:jc w:val="both"/>
        <w:rPr>
          <w:rFonts w:cs="Calibri"/>
          <w:lang w:val="en-US"/>
        </w:rPr>
      </w:pPr>
      <w:bookmarkStart w:id="3" w:name="_Toc91480210"/>
      <w:bookmarkStart w:id="4" w:name="_Toc98757559"/>
      <w:bookmarkStart w:id="5" w:name="_Toc98821839"/>
      <w:bookmarkStart w:id="6" w:name="_Toc98826654"/>
      <w:bookmarkStart w:id="7" w:name="_Toc98826841"/>
      <w:bookmarkStart w:id="8" w:name="_Toc101586632"/>
      <w:bookmarkStart w:id="9" w:name="_Toc108849417"/>
      <w:bookmarkStart w:id="10" w:name="_Toc149104774"/>
      <w:bookmarkStart w:id="11" w:name="_Toc149104841"/>
      <w:bookmarkStart w:id="12" w:name="_Toc456694681"/>
      <w:r w:rsidRPr="00CF1B2C">
        <w:rPr>
          <w:rFonts w:cs="Calibri"/>
          <w:lang w:val="en-US"/>
        </w:rPr>
        <w:lastRenderedPageBreak/>
        <w:t>Introduction</w:t>
      </w:r>
      <w:bookmarkEnd w:id="3"/>
      <w:bookmarkEnd w:id="4"/>
      <w:bookmarkEnd w:id="5"/>
      <w:bookmarkEnd w:id="6"/>
      <w:bookmarkEnd w:id="7"/>
      <w:bookmarkEnd w:id="8"/>
      <w:bookmarkEnd w:id="9"/>
      <w:bookmarkEnd w:id="10"/>
      <w:bookmarkEnd w:id="11"/>
      <w:bookmarkEnd w:id="12"/>
    </w:p>
    <w:p w14:paraId="6B6B7D18" w14:textId="77777777" w:rsidR="00F5271C" w:rsidRPr="001A06C9" w:rsidRDefault="00F5271C" w:rsidP="001A06C9">
      <w:pPr>
        <w:pStyle w:val="Heading2"/>
      </w:pPr>
      <w:bookmarkStart w:id="13" w:name="_Toc98757560"/>
      <w:bookmarkStart w:id="14" w:name="_Toc98821840"/>
      <w:bookmarkStart w:id="15" w:name="_Toc98826655"/>
      <w:bookmarkStart w:id="16" w:name="_Toc98826842"/>
      <w:bookmarkStart w:id="17" w:name="_Toc101586633"/>
      <w:bookmarkStart w:id="18" w:name="_Toc108849418"/>
      <w:bookmarkStart w:id="19" w:name="_Toc149104775"/>
      <w:bookmarkStart w:id="20" w:name="_Toc149104842"/>
      <w:bookmarkStart w:id="21" w:name="_Toc456694682"/>
      <w:r w:rsidRPr="001A06C9">
        <w:t>Application</w:t>
      </w:r>
      <w:bookmarkEnd w:id="13"/>
      <w:bookmarkEnd w:id="14"/>
      <w:bookmarkEnd w:id="15"/>
      <w:bookmarkEnd w:id="16"/>
      <w:bookmarkEnd w:id="17"/>
      <w:bookmarkEnd w:id="18"/>
      <w:bookmarkEnd w:id="19"/>
      <w:bookmarkEnd w:id="20"/>
      <w:bookmarkEnd w:id="21"/>
    </w:p>
    <w:p w14:paraId="15AB0512" w14:textId="77777777" w:rsidR="00F5271C" w:rsidRPr="00CF1B2C" w:rsidRDefault="006F1251" w:rsidP="006F1251">
      <w:pPr>
        <w:pStyle w:val="Heading3"/>
        <w:numPr>
          <w:ilvl w:val="0"/>
          <w:numId w:val="0"/>
        </w:numPr>
        <w:rPr>
          <w:rFonts w:cs="Calibri"/>
        </w:rPr>
      </w:pPr>
      <w:bookmarkStart w:id="22" w:name="_Toc149104776"/>
      <w:bookmarkStart w:id="23" w:name="_Toc149104843"/>
      <w:bookmarkStart w:id="24" w:name="_Toc456694683"/>
      <w:r w:rsidRPr="00CF1B2C">
        <w:rPr>
          <w:rFonts w:cs="Calibri"/>
        </w:rPr>
        <w:t>1.1.1</w:t>
      </w:r>
      <w:r w:rsidRPr="00CF1B2C">
        <w:rPr>
          <w:rFonts w:cs="Calibri"/>
        </w:rPr>
        <w:tab/>
      </w:r>
      <w:bookmarkEnd w:id="22"/>
      <w:bookmarkEnd w:id="23"/>
      <w:r w:rsidR="00C0170D" w:rsidRPr="00CF1B2C">
        <w:rPr>
          <w:rFonts w:cs="Calibri"/>
        </w:rPr>
        <w:t>Purpose</w:t>
      </w:r>
      <w:bookmarkEnd w:id="24"/>
    </w:p>
    <w:p w14:paraId="5CEE470C" w14:textId="77777777" w:rsidR="00C0170D" w:rsidRPr="00CF1B2C" w:rsidRDefault="00C0170D" w:rsidP="00C0170D">
      <w:pPr>
        <w:tabs>
          <w:tab w:val="left" w:pos="1985"/>
        </w:tabs>
        <w:rPr>
          <w:rFonts w:cs="Calibri"/>
        </w:rPr>
      </w:pPr>
      <w:r w:rsidRPr="00CF1B2C">
        <w:rPr>
          <w:rFonts w:cs="Calibri"/>
        </w:rPr>
        <w:t xml:space="preserve">This ACT Accounting Policy: </w:t>
      </w:r>
      <w:r w:rsidR="001902B9">
        <w:rPr>
          <w:rFonts w:cs="Calibri"/>
          <w:i/>
        </w:rPr>
        <w:t>Public Private Partnerships</w:t>
      </w:r>
      <w:r w:rsidR="001F395A" w:rsidRPr="00CF1B2C">
        <w:rPr>
          <w:rFonts w:cs="Calibri"/>
        </w:rPr>
        <w:t xml:space="preserve"> </w:t>
      </w:r>
      <w:r w:rsidR="001902B9" w:rsidRPr="001902B9">
        <w:rPr>
          <w:rFonts w:cs="Calibri"/>
          <w:i/>
        </w:rPr>
        <w:t>Financed by the Operator</w:t>
      </w:r>
      <w:r w:rsidR="001902B9">
        <w:rPr>
          <w:rFonts w:cs="Calibri"/>
        </w:rPr>
        <w:t xml:space="preserve"> </w:t>
      </w:r>
      <w:r w:rsidR="001902B9" w:rsidRPr="001902B9">
        <w:rPr>
          <w:rFonts w:cs="Calibri"/>
          <w:i/>
        </w:rPr>
        <w:t xml:space="preserve">with the Assets </w:t>
      </w:r>
      <w:r w:rsidR="00857CAB">
        <w:rPr>
          <w:rFonts w:cs="Calibri"/>
          <w:i/>
        </w:rPr>
        <w:t xml:space="preserve">being Territory Assets </w:t>
      </w:r>
      <w:r w:rsidR="001902B9">
        <w:rPr>
          <w:rFonts w:cs="Calibri"/>
          <w:i/>
        </w:rPr>
        <w:t>at the End of the</w:t>
      </w:r>
      <w:r w:rsidR="001902B9" w:rsidRPr="001902B9">
        <w:rPr>
          <w:rFonts w:cs="Calibri"/>
          <w:i/>
        </w:rPr>
        <w:t xml:space="preserve"> </w:t>
      </w:r>
      <w:r w:rsidR="00857CAB">
        <w:rPr>
          <w:rFonts w:cs="Calibri"/>
          <w:i/>
        </w:rPr>
        <w:t>Arrangement</w:t>
      </w:r>
      <w:r w:rsidR="001902B9" w:rsidRPr="001902B9">
        <w:rPr>
          <w:rFonts w:cs="Calibri"/>
          <w:i/>
        </w:rPr>
        <w:t xml:space="preserve"> </w:t>
      </w:r>
      <w:r w:rsidRPr="00CF1B2C">
        <w:rPr>
          <w:rFonts w:cs="Calibri"/>
        </w:rPr>
        <w:t xml:space="preserve">provides </w:t>
      </w:r>
      <w:r w:rsidR="007F1984">
        <w:rPr>
          <w:rFonts w:cs="Calibri"/>
        </w:rPr>
        <w:t>high level</w:t>
      </w:r>
      <w:r w:rsidRPr="00CF1B2C">
        <w:rPr>
          <w:rFonts w:cs="Calibri"/>
        </w:rPr>
        <w:t xml:space="preserve"> guidance to </w:t>
      </w:r>
      <w:r w:rsidR="00C0127F" w:rsidRPr="00CF1B2C">
        <w:rPr>
          <w:rFonts w:cs="Calibri"/>
        </w:rPr>
        <w:t>agencies</w:t>
      </w:r>
      <w:r w:rsidR="001F395A" w:rsidRPr="00CF1B2C">
        <w:rPr>
          <w:rFonts w:cs="Calibri"/>
        </w:rPr>
        <w:t xml:space="preserve"> </w:t>
      </w:r>
      <w:r w:rsidRPr="00CF1B2C">
        <w:rPr>
          <w:rFonts w:cs="Calibri"/>
        </w:rPr>
        <w:t xml:space="preserve">on the </w:t>
      </w:r>
      <w:r w:rsidR="00DD3381" w:rsidRPr="00CF1B2C">
        <w:rPr>
          <w:rFonts w:cs="Calibri"/>
        </w:rPr>
        <w:t xml:space="preserve">accounting for </w:t>
      </w:r>
      <w:r w:rsidR="002470B8">
        <w:rPr>
          <w:rFonts w:cs="Calibri"/>
        </w:rPr>
        <w:t>such projects</w:t>
      </w:r>
      <w:r w:rsidRPr="00CF1B2C">
        <w:rPr>
          <w:rFonts w:cs="Calibri"/>
        </w:rPr>
        <w:t>.</w:t>
      </w:r>
    </w:p>
    <w:p w14:paraId="3C288A73" w14:textId="77777777" w:rsidR="00C0170D" w:rsidRPr="00CF1B2C" w:rsidRDefault="00C0170D" w:rsidP="00C0170D">
      <w:pPr>
        <w:tabs>
          <w:tab w:val="left" w:pos="1985"/>
        </w:tabs>
        <w:rPr>
          <w:rFonts w:cs="Calibri"/>
        </w:rPr>
      </w:pPr>
    </w:p>
    <w:p w14:paraId="7A54379D" w14:textId="77777777" w:rsidR="00C0170D" w:rsidRPr="00CF1B2C" w:rsidRDefault="00C0170D" w:rsidP="00C0170D">
      <w:pPr>
        <w:tabs>
          <w:tab w:val="left" w:pos="1985"/>
        </w:tabs>
        <w:rPr>
          <w:rFonts w:cs="Calibri"/>
        </w:rPr>
      </w:pPr>
      <w:r w:rsidRPr="00CF1B2C">
        <w:rPr>
          <w:rFonts w:cs="Calibri"/>
        </w:rPr>
        <w:t>This Policy is to be read in conjunction with the following:</w:t>
      </w:r>
    </w:p>
    <w:p w14:paraId="0BE67A13" w14:textId="77777777" w:rsidR="00F5271C" w:rsidRDefault="00930872" w:rsidP="00704EF9">
      <w:pPr>
        <w:numPr>
          <w:ilvl w:val="0"/>
          <w:numId w:val="1"/>
        </w:numPr>
        <w:autoSpaceDE w:val="0"/>
        <w:autoSpaceDN w:val="0"/>
        <w:adjustRightInd w:val="0"/>
        <w:jc w:val="both"/>
        <w:rPr>
          <w:rFonts w:cs="Calibri"/>
          <w:i/>
        </w:rPr>
      </w:pPr>
      <w:r>
        <w:rPr>
          <w:rFonts w:cs="Calibri"/>
        </w:rPr>
        <w:t xml:space="preserve">Amendment to UK FRS 5 </w:t>
      </w:r>
      <w:r w:rsidRPr="00930872">
        <w:rPr>
          <w:rFonts w:cs="Calibri"/>
          <w:i/>
        </w:rPr>
        <w:t>Reporting the Substance of Transactions</w:t>
      </w:r>
      <w:r>
        <w:rPr>
          <w:rFonts w:cs="Calibri"/>
        </w:rPr>
        <w:t xml:space="preserve">: Application Note F </w:t>
      </w:r>
      <w:r w:rsidRPr="00930872">
        <w:rPr>
          <w:rFonts w:cs="Calibri"/>
          <w:i/>
        </w:rPr>
        <w:t>Private Finance Initiative and Similar Contracts</w:t>
      </w:r>
      <w:r w:rsidR="00DA6086">
        <w:rPr>
          <w:rFonts w:cs="Calibri"/>
          <w:i/>
        </w:rPr>
        <w:t xml:space="preserve"> </w:t>
      </w:r>
      <w:r w:rsidR="00DA6086" w:rsidRPr="00DA6086">
        <w:rPr>
          <w:rFonts w:cs="Calibri"/>
        </w:rPr>
        <w:t>(1998)</w:t>
      </w:r>
    </w:p>
    <w:p w14:paraId="23E5DE15" w14:textId="77777777" w:rsidR="00AB4C65" w:rsidRPr="00CF1B2C" w:rsidRDefault="00AB4C65" w:rsidP="00704EF9">
      <w:pPr>
        <w:numPr>
          <w:ilvl w:val="0"/>
          <w:numId w:val="1"/>
        </w:numPr>
        <w:autoSpaceDE w:val="0"/>
        <w:autoSpaceDN w:val="0"/>
        <w:adjustRightInd w:val="0"/>
        <w:jc w:val="both"/>
        <w:rPr>
          <w:rFonts w:cs="Calibri"/>
          <w:i/>
        </w:rPr>
      </w:pPr>
      <w:r w:rsidRPr="00AB4C65">
        <w:rPr>
          <w:rFonts w:cs="Calibri"/>
        </w:rPr>
        <w:t>AASB 17</w:t>
      </w:r>
      <w:r>
        <w:rPr>
          <w:rFonts w:cs="Calibri"/>
          <w:i/>
        </w:rPr>
        <w:t xml:space="preserve"> Leases</w:t>
      </w:r>
    </w:p>
    <w:p w14:paraId="4485816D" w14:textId="77777777" w:rsidR="00D84CEE" w:rsidRPr="00CF1B2C" w:rsidRDefault="00D84CEE" w:rsidP="009B5E09">
      <w:pPr>
        <w:numPr>
          <w:ilvl w:val="0"/>
          <w:numId w:val="1"/>
        </w:numPr>
        <w:autoSpaceDE w:val="0"/>
        <w:autoSpaceDN w:val="0"/>
        <w:adjustRightInd w:val="0"/>
        <w:jc w:val="both"/>
        <w:rPr>
          <w:rFonts w:cs="Calibri"/>
          <w:i/>
        </w:rPr>
      </w:pPr>
      <w:r w:rsidRPr="00CF1B2C">
        <w:rPr>
          <w:rFonts w:cs="Calibri"/>
        </w:rPr>
        <w:t xml:space="preserve">AASB Interpretation 129 </w:t>
      </w:r>
      <w:r w:rsidRPr="00CF1B2C">
        <w:rPr>
          <w:rFonts w:cs="Calibri"/>
          <w:i/>
        </w:rPr>
        <w:t>Service Concession Arrangements: Disclosures</w:t>
      </w:r>
    </w:p>
    <w:p w14:paraId="50C31C78" w14:textId="77777777" w:rsidR="00F5271C" w:rsidRPr="00CF1B2C" w:rsidRDefault="006F1251" w:rsidP="006F1251">
      <w:pPr>
        <w:pStyle w:val="Heading3"/>
        <w:numPr>
          <w:ilvl w:val="0"/>
          <w:numId w:val="0"/>
        </w:numPr>
        <w:jc w:val="both"/>
        <w:rPr>
          <w:rFonts w:cs="Calibri"/>
        </w:rPr>
      </w:pPr>
      <w:bookmarkStart w:id="25" w:name="_Toc149104777"/>
      <w:bookmarkStart w:id="26" w:name="_Toc149104844"/>
      <w:bookmarkStart w:id="27" w:name="_Toc456694684"/>
      <w:r w:rsidRPr="00CF1B2C">
        <w:rPr>
          <w:rFonts w:cs="Calibri"/>
        </w:rPr>
        <w:t>1.1.2</w:t>
      </w:r>
      <w:r w:rsidRPr="00CF1B2C">
        <w:rPr>
          <w:rFonts w:cs="Calibri"/>
        </w:rPr>
        <w:tab/>
      </w:r>
      <w:r w:rsidR="00F5271C" w:rsidRPr="00CF1B2C">
        <w:rPr>
          <w:rFonts w:cs="Calibri"/>
        </w:rPr>
        <w:t xml:space="preserve">Relationship to </w:t>
      </w:r>
      <w:r w:rsidR="005E3A22">
        <w:rPr>
          <w:rFonts w:cs="Calibri"/>
        </w:rPr>
        <w:t>Accounting</w:t>
      </w:r>
      <w:r w:rsidR="00F5271C" w:rsidRPr="00CF1B2C">
        <w:rPr>
          <w:rFonts w:cs="Calibri"/>
        </w:rPr>
        <w:t xml:space="preserve"> Standards</w:t>
      </w:r>
      <w:bookmarkEnd w:id="25"/>
      <w:bookmarkEnd w:id="26"/>
      <w:bookmarkEnd w:id="27"/>
    </w:p>
    <w:p w14:paraId="68281AAE" w14:textId="77777777" w:rsidR="00C0170D" w:rsidRPr="00CF1B2C" w:rsidRDefault="00C0170D" w:rsidP="003C6215">
      <w:pPr>
        <w:jc w:val="both"/>
        <w:rPr>
          <w:rFonts w:cs="Calibri"/>
          <w:lang w:val="en-US"/>
        </w:rPr>
      </w:pPr>
      <w:r w:rsidRPr="00CF1B2C">
        <w:rPr>
          <w:rFonts w:cs="Calibri"/>
          <w:lang w:val="en-US"/>
        </w:rPr>
        <w:t>ACT Accounting Policies are to be read in conjunction with the applicable Australian Accounting Standards. Australian Accounting Standards incorporate International Financial Reporting Standards</w:t>
      </w:r>
      <w:r w:rsidR="0058256D" w:rsidRPr="00CF1B2C">
        <w:rPr>
          <w:rFonts w:cs="Calibri"/>
          <w:lang w:val="en-US"/>
        </w:rPr>
        <w:t xml:space="preserve"> (IFRS)</w:t>
      </w:r>
      <w:r w:rsidRPr="00CF1B2C">
        <w:rPr>
          <w:rFonts w:cs="Calibri"/>
          <w:lang w:val="en-US"/>
        </w:rPr>
        <w:t xml:space="preserve"> issued by the International Accounting Standards Board, with the addition of paragraphs on the applicability of each standard in the Australian environment.  </w:t>
      </w:r>
    </w:p>
    <w:p w14:paraId="65948569" w14:textId="77777777" w:rsidR="00C0170D" w:rsidRPr="00CF1B2C" w:rsidRDefault="00C0170D" w:rsidP="00C0170D">
      <w:pPr>
        <w:pStyle w:val="BodyText2"/>
        <w:spacing w:after="0"/>
        <w:rPr>
          <w:rFonts w:cs="Calibri"/>
        </w:rPr>
      </w:pPr>
      <w:r w:rsidRPr="00CF1B2C">
        <w:rPr>
          <w:rFonts w:cs="Calibri"/>
        </w:rPr>
        <w:t>There is, however, no intention that the ACT Accounting Policies will replicate the Accounting Standards.  Consequently, directorates should ensure that they have a thorough understanding of the content of the standards before reading and applying relevant ACT Accounting Policies.</w:t>
      </w:r>
    </w:p>
    <w:p w14:paraId="0DCF052F" w14:textId="77777777" w:rsidR="00EE0965" w:rsidRDefault="009633D2" w:rsidP="00EE0965">
      <w:pPr>
        <w:pStyle w:val="BodyText2"/>
        <w:spacing w:after="0"/>
        <w:rPr>
          <w:rFonts w:cs="Calibri"/>
          <w:i/>
        </w:rPr>
      </w:pPr>
      <w:r>
        <w:rPr>
          <w:rFonts w:cs="Calibri"/>
        </w:rPr>
        <w:t>Public Private Partnerships within the scope of this</w:t>
      </w:r>
      <w:r w:rsidR="00512B63">
        <w:rPr>
          <w:rFonts w:cs="Calibri"/>
        </w:rPr>
        <w:t xml:space="preserve"> policy </w:t>
      </w:r>
      <w:r>
        <w:rPr>
          <w:rFonts w:cs="Calibri"/>
        </w:rPr>
        <w:t>are</w:t>
      </w:r>
      <w:r w:rsidR="00512B63">
        <w:rPr>
          <w:rFonts w:cs="Calibri"/>
        </w:rPr>
        <w:t xml:space="preserve"> to </w:t>
      </w:r>
      <w:r w:rsidR="009A772B">
        <w:rPr>
          <w:rFonts w:cs="Calibri"/>
        </w:rPr>
        <w:t>appl</w:t>
      </w:r>
      <w:r w:rsidR="00512B63">
        <w:rPr>
          <w:rFonts w:cs="Calibri"/>
        </w:rPr>
        <w:t>y</w:t>
      </w:r>
      <w:r w:rsidR="009A772B">
        <w:rPr>
          <w:rFonts w:cs="Calibri"/>
        </w:rPr>
        <w:t xml:space="preserve"> </w:t>
      </w:r>
      <w:r w:rsidR="007E25ED" w:rsidRPr="00857CAB">
        <w:rPr>
          <w:rFonts w:cs="Calibri"/>
          <w:color w:val="000000" w:themeColor="text1"/>
        </w:rPr>
        <w:t xml:space="preserve">the principles of </w:t>
      </w:r>
      <w:r w:rsidR="00EE0965">
        <w:rPr>
          <w:rFonts w:cs="Calibri"/>
        </w:rPr>
        <w:t>Amendment to UK F</w:t>
      </w:r>
      <w:r w:rsidR="00E072D4">
        <w:rPr>
          <w:rFonts w:cs="Calibri"/>
        </w:rPr>
        <w:t xml:space="preserve">inancial Reporting Standard 5 </w:t>
      </w:r>
      <w:r w:rsidR="00EE0965" w:rsidRPr="00930872">
        <w:rPr>
          <w:rFonts w:cs="Calibri"/>
          <w:i/>
        </w:rPr>
        <w:t>Reporting the Substance of Transactions</w:t>
      </w:r>
      <w:r w:rsidR="00EE0965">
        <w:rPr>
          <w:rFonts w:cs="Calibri"/>
        </w:rPr>
        <w:t xml:space="preserve">: Application Note F </w:t>
      </w:r>
      <w:r w:rsidR="00EE0965" w:rsidRPr="00930872">
        <w:rPr>
          <w:rFonts w:cs="Calibri"/>
          <w:i/>
        </w:rPr>
        <w:t xml:space="preserve">Private Finance Initiative and Similar </w:t>
      </w:r>
      <w:bookmarkStart w:id="28" w:name="_Toc201733832"/>
      <w:bookmarkStart w:id="29" w:name="_Toc286761110"/>
      <w:r w:rsidR="005F7E6B" w:rsidRPr="00930872">
        <w:rPr>
          <w:rFonts w:cs="Calibri"/>
          <w:i/>
        </w:rPr>
        <w:t>Contracts</w:t>
      </w:r>
      <w:r w:rsidR="005F7E6B">
        <w:rPr>
          <w:rFonts w:cs="Calibri"/>
          <w:i/>
        </w:rPr>
        <w:t xml:space="preserve"> (</w:t>
      </w:r>
      <w:r w:rsidR="00E072D4" w:rsidRPr="00E072D4">
        <w:rPr>
          <w:rFonts w:cs="Calibri"/>
        </w:rPr>
        <w:t>F</w:t>
      </w:r>
      <w:r w:rsidR="00E072D4">
        <w:rPr>
          <w:rFonts w:cs="Calibri"/>
        </w:rPr>
        <w:t>RS 5)</w:t>
      </w:r>
      <w:r w:rsidR="00B01231">
        <w:rPr>
          <w:rFonts w:cs="Calibri"/>
        </w:rPr>
        <w:t>.</w:t>
      </w:r>
    </w:p>
    <w:p w14:paraId="5A068F19" w14:textId="77777777" w:rsidR="00DD3381" w:rsidRPr="00F96CAF" w:rsidRDefault="00F96CAF" w:rsidP="00F96CAF">
      <w:pPr>
        <w:pStyle w:val="Heading3"/>
        <w:numPr>
          <w:ilvl w:val="0"/>
          <w:numId w:val="0"/>
        </w:numPr>
        <w:jc w:val="both"/>
        <w:rPr>
          <w:rFonts w:cs="Calibri"/>
        </w:rPr>
      </w:pPr>
      <w:bookmarkStart w:id="30" w:name="_Toc456694685"/>
      <w:r>
        <w:rPr>
          <w:rFonts w:cs="Calibri"/>
        </w:rPr>
        <w:t>1.1.3</w:t>
      </w:r>
      <w:r>
        <w:rPr>
          <w:rFonts w:cs="Calibri"/>
        </w:rPr>
        <w:tab/>
      </w:r>
      <w:r w:rsidR="009E0E35" w:rsidRPr="00F96CAF">
        <w:rPr>
          <w:rFonts w:cs="Calibri"/>
        </w:rPr>
        <w:t>Application Date</w:t>
      </w:r>
      <w:bookmarkEnd w:id="28"/>
      <w:bookmarkEnd w:id="29"/>
      <w:bookmarkEnd w:id="30"/>
    </w:p>
    <w:p w14:paraId="48ACA6AC" w14:textId="77777777" w:rsidR="009E0E35" w:rsidRDefault="009E0E35" w:rsidP="00704EF9">
      <w:pPr>
        <w:pStyle w:val="Footer"/>
        <w:tabs>
          <w:tab w:val="clear" w:pos="4153"/>
          <w:tab w:val="clear" w:pos="8306"/>
        </w:tabs>
        <w:jc w:val="both"/>
        <w:rPr>
          <w:rFonts w:cs="Calibri"/>
        </w:rPr>
      </w:pPr>
      <w:r w:rsidRPr="00CF1B2C">
        <w:rPr>
          <w:rFonts w:cs="Calibri"/>
        </w:rPr>
        <w:t>This ACT Accounting Policy applies to reporting periods ending on or afte</w:t>
      </w:r>
      <w:r w:rsidR="00933AC4" w:rsidRPr="00CF1B2C">
        <w:rPr>
          <w:rFonts w:cs="Calibri"/>
        </w:rPr>
        <w:t>r 30 June </w:t>
      </w:r>
      <w:r w:rsidR="00BB48B5" w:rsidRPr="00CF1B2C">
        <w:rPr>
          <w:rFonts w:cs="Calibri"/>
        </w:rPr>
        <w:t>2016</w:t>
      </w:r>
      <w:r w:rsidR="00933AC4" w:rsidRPr="00CF1B2C">
        <w:rPr>
          <w:rFonts w:cs="Calibri"/>
        </w:rPr>
        <w:t>.</w:t>
      </w:r>
      <w:r w:rsidR="009B5E09" w:rsidRPr="00CF1B2C">
        <w:rPr>
          <w:rFonts w:cs="Calibri"/>
        </w:rPr>
        <w:t xml:space="preserve"> </w:t>
      </w:r>
    </w:p>
    <w:p w14:paraId="2282E03D" w14:textId="77777777" w:rsidR="00317BC2" w:rsidRPr="00F96CAF" w:rsidRDefault="00317BC2" w:rsidP="00317BC2">
      <w:pPr>
        <w:pStyle w:val="Heading3"/>
        <w:numPr>
          <w:ilvl w:val="0"/>
          <w:numId w:val="0"/>
        </w:numPr>
        <w:jc w:val="both"/>
        <w:rPr>
          <w:rFonts w:cs="Calibri"/>
        </w:rPr>
      </w:pPr>
      <w:bookmarkStart w:id="31" w:name="_Toc456694686"/>
      <w:r>
        <w:rPr>
          <w:rFonts w:cs="Calibri"/>
        </w:rPr>
        <w:t>1.1.</w:t>
      </w:r>
      <w:r w:rsidR="007C4708">
        <w:rPr>
          <w:rFonts w:cs="Calibri"/>
        </w:rPr>
        <w:t>4</w:t>
      </w:r>
      <w:r>
        <w:rPr>
          <w:rFonts w:cs="Calibri"/>
        </w:rPr>
        <w:tab/>
      </w:r>
      <w:r w:rsidR="007C4708">
        <w:rPr>
          <w:rFonts w:cs="Calibri"/>
        </w:rPr>
        <w:t>Agencies covered by this policy</w:t>
      </w:r>
      <w:bookmarkEnd w:id="31"/>
    </w:p>
    <w:p w14:paraId="11E15024" w14:textId="77777777" w:rsidR="00317BC2" w:rsidRPr="00BD0E3E" w:rsidRDefault="007C4708" w:rsidP="00BD0E3E">
      <w:pPr>
        <w:pStyle w:val="Footer"/>
        <w:tabs>
          <w:tab w:val="clear" w:pos="4153"/>
          <w:tab w:val="clear" w:pos="8306"/>
        </w:tabs>
      </w:pPr>
      <w:r w:rsidRPr="007C4708">
        <w:t>This policy applies to directorates and territory authorities.</w:t>
      </w:r>
    </w:p>
    <w:p w14:paraId="0BCC2F9A" w14:textId="77777777" w:rsidR="00DD3381" w:rsidRPr="00CF1B2C" w:rsidRDefault="00C1028A" w:rsidP="00C1028A">
      <w:pPr>
        <w:pStyle w:val="Heading3"/>
        <w:numPr>
          <w:ilvl w:val="0"/>
          <w:numId w:val="0"/>
        </w:numPr>
        <w:jc w:val="both"/>
        <w:rPr>
          <w:rFonts w:cs="Calibri"/>
        </w:rPr>
      </w:pPr>
      <w:bookmarkStart w:id="32" w:name="_Toc286761111"/>
      <w:bookmarkStart w:id="33" w:name="_Toc456694687"/>
      <w:r>
        <w:rPr>
          <w:rFonts w:cs="Calibri"/>
        </w:rPr>
        <w:t>1.1.5</w:t>
      </w:r>
      <w:r>
        <w:rPr>
          <w:rFonts w:cs="Calibri"/>
        </w:rPr>
        <w:tab/>
      </w:r>
      <w:r w:rsidR="009E0E35" w:rsidRPr="00CF1B2C">
        <w:rPr>
          <w:rFonts w:cs="Calibri"/>
        </w:rPr>
        <w:t>Contact</w:t>
      </w:r>
      <w:bookmarkEnd w:id="32"/>
      <w:bookmarkEnd w:id="33"/>
    </w:p>
    <w:p w14:paraId="334AD51A" w14:textId="45E2547D" w:rsidR="00F5271C" w:rsidRPr="007F7FC1" w:rsidRDefault="007F7FC1" w:rsidP="007F7FC1">
      <w:pPr>
        <w:jc w:val="both"/>
        <w:rPr>
          <w:rFonts w:ascii="Calibri" w:hAnsi="Calibri"/>
        </w:rPr>
      </w:pPr>
      <w:r w:rsidRPr="00963B7E">
        <w:rPr>
          <w:rFonts w:ascii="Calibri" w:hAnsi="Calibri"/>
        </w:rPr>
        <w:t xml:space="preserve">If you have any questions regarding the content or application of this ACT Accounting Policy, please do not hesitate to contact the ACT Accounting Branch policy section to provide further clarification.  Contact details are listed on the website: </w:t>
      </w:r>
      <w:hyperlink r:id="rId14" w:history="1">
        <w:r w:rsidRPr="00963B7E">
          <w:rPr>
            <w:rStyle w:val="Hyperlink"/>
            <w:rFonts w:ascii="Calibri" w:hAnsi="Calibri"/>
          </w:rPr>
          <w:t>www.treasury.act.gov.au/accounting/html/contacts.htm</w:t>
        </w:r>
      </w:hyperlink>
      <w:r w:rsidR="001D4D36" w:rsidRPr="00CF1B2C">
        <w:rPr>
          <w:rFonts w:cs="Calibri"/>
        </w:rPr>
        <w:t xml:space="preserve">. </w:t>
      </w:r>
    </w:p>
    <w:p w14:paraId="58DE1C16" w14:textId="77777777" w:rsidR="00F5271C" w:rsidRPr="00CF1B2C" w:rsidRDefault="00BD0E3E" w:rsidP="00F96CAF">
      <w:pPr>
        <w:pStyle w:val="Heading1"/>
        <w:jc w:val="both"/>
        <w:rPr>
          <w:rFonts w:cs="Calibri"/>
        </w:rPr>
      </w:pPr>
      <w:bookmarkStart w:id="34" w:name="_Toc456694688"/>
      <w:r>
        <w:rPr>
          <w:rFonts w:cs="Calibri"/>
          <w:lang w:val="en-US"/>
        </w:rPr>
        <w:lastRenderedPageBreak/>
        <w:t>Public Private Partnerships</w:t>
      </w:r>
      <w:bookmarkEnd w:id="34"/>
    </w:p>
    <w:p w14:paraId="5BE8696F" w14:textId="77777777" w:rsidR="00791B3C" w:rsidRPr="002459DB" w:rsidRDefault="00D84CEE" w:rsidP="00F96CAF">
      <w:pPr>
        <w:pStyle w:val="Heading2"/>
      </w:pPr>
      <w:bookmarkStart w:id="35" w:name="_Toc456694689"/>
      <w:r w:rsidRPr="002459DB">
        <w:t xml:space="preserve">What is a </w:t>
      </w:r>
      <w:r w:rsidR="00BD0E3E">
        <w:t>Public Private Partnership</w:t>
      </w:r>
      <w:r w:rsidRPr="002459DB">
        <w:t>?</w:t>
      </w:r>
      <w:bookmarkEnd w:id="35"/>
    </w:p>
    <w:p w14:paraId="7E21A14F" w14:textId="77777777" w:rsidR="00404C5E" w:rsidRPr="00102C82" w:rsidRDefault="00A96663" w:rsidP="00404C5E">
      <w:pPr>
        <w:rPr>
          <w:color w:val="000000" w:themeColor="text1"/>
        </w:rPr>
      </w:pPr>
      <w:r>
        <w:t xml:space="preserve">Public Private Partnerships (PPPs) are long term contracts entered into </w:t>
      </w:r>
      <w:r w:rsidR="00216BB1">
        <w:t xml:space="preserve">between a government agency </w:t>
      </w:r>
      <w:r w:rsidR="001C780F">
        <w:t xml:space="preserve">(the grantor) </w:t>
      </w:r>
      <w:r w:rsidR="00216BB1">
        <w:t xml:space="preserve">and a </w:t>
      </w:r>
      <w:r w:rsidR="00DB5D58">
        <w:t xml:space="preserve">private sector consortium </w:t>
      </w:r>
      <w:r w:rsidR="001C780F">
        <w:t xml:space="preserve">(the operator) </w:t>
      </w:r>
      <w:r w:rsidR="00DB5D58">
        <w:t>to design, finance, construct</w:t>
      </w:r>
      <w:r w:rsidR="00102C82">
        <w:t>,</w:t>
      </w:r>
      <w:r w:rsidR="00DB5D58">
        <w:t xml:space="preserve"> operate</w:t>
      </w:r>
      <w:r w:rsidR="00B700C8">
        <w:t xml:space="preserve"> </w:t>
      </w:r>
      <w:r w:rsidR="00B700C8" w:rsidRPr="00102C82">
        <w:rPr>
          <w:color w:val="000000" w:themeColor="text1"/>
        </w:rPr>
        <w:t>and</w:t>
      </w:r>
      <w:r w:rsidR="00B700C8">
        <w:t xml:space="preserve"> </w:t>
      </w:r>
      <w:r w:rsidR="00DB5D58">
        <w:t>maintain infrastructure assets over a concession term (e.g. ACT Law Courts Facilities and the Light Rail Network)</w:t>
      </w:r>
      <w:r w:rsidR="00404C5E">
        <w:t>.</w:t>
      </w:r>
      <w:r>
        <w:t xml:space="preserve">  </w:t>
      </w:r>
      <w:bookmarkStart w:id="36" w:name="OLE_LINK6"/>
      <w:bookmarkStart w:id="37" w:name="OLE_LINK7"/>
      <w:r w:rsidR="00404C5E">
        <w:t xml:space="preserve">The private sector consortium receives service payments from the government agency over the life of the contract which are intended to cover the costs incurred by the consortium in constructing, delivering and maintaining and </w:t>
      </w:r>
      <w:r w:rsidR="008043CD">
        <w:t xml:space="preserve">sometimes </w:t>
      </w:r>
      <w:r w:rsidR="00404C5E">
        <w:t xml:space="preserve">operating the infrastructure assets over the term of the contract. </w:t>
      </w:r>
      <w:r w:rsidR="00343C61">
        <w:t xml:space="preserve"> </w:t>
      </w:r>
    </w:p>
    <w:p w14:paraId="6B3659AB" w14:textId="77777777" w:rsidR="00F5271C" w:rsidRPr="00404C5E" w:rsidRDefault="00404C5E" w:rsidP="009D366C">
      <w:pPr>
        <w:pStyle w:val="Heading2"/>
        <w:numPr>
          <w:ilvl w:val="0"/>
          <w:numId w:val="0"/>
        </w:numPr>
      </w:pPr>
      <w:bookmarkStart w:id="38" w:name="_Toc456694690"/>
      <w:r w:rsidRPr="00404C5E">
        <w:t>2.2</w:t>
      </w:r>
      <w:r w:rsidRPr="00404C5E">
        <w:tab/>
      </w:r>
      <w:r w:rsidR="00CA4D38" w:rsidRPr="00404C5E">
        <w:t xml:space="preserve">Examples of </w:t>
      </w:r>
      <w:r w:rsidR="00036BA8">
        <w:t>Public Private Partnerships</w:t>
      </w:r>
      <w:bookmarkEnd w:id="38"/>
    </w:p>
    <w:bookmarkEnd w:id="36"/>
    <w:bookmarkEnd w:id="37"/>
    <w:p w14:paraId="1F1AECA2" w14:textId="77777777" w:rsidR="004B5E5E" w:rsidRPr="00CF1B2C" w:rsidRDefault="00343C61" w:rsidP="00704EF9">
      <w:pPr>
        <w:jc w:val="both"/>
        <w:rPr>
          <w:rFonts w:cs="Calibri"/>
          <w:lang w:val="en-US"/>
        </w:rPr>
      </w:pPr>
      <w:r w:rsidRPr="00102C82">
        <w:rPr>
          <w:rFonts w:cs="Calibri"/>
          <w:color w:val="000000" w:themeColor="text1"/>
          <w:lang w:val="en-US"/>
        </w:rPr>
        <w:t xml:space="preserve">Under a PPP contract, the private sector is responsible for supplying services that traditionally have been provided by the public sector.  </w:t>
      </w:r>
      <w:r w:rsidR="00EB1933" w:rsidRPr="00CF1B2C">
        <w:rPr>
          <w:rFonts w:cs="Calibri"/>
          <w:lang w:val="en-US"/>
        </w:rPr>
        <w:t xml:space="preserve">Examples of </w:t>
      </w:r>
      <w:r w:rsidR="007E1605">
        <w:rPr>
          <w:rFonts w:cs="Calibri"/>
          <w:lang w:val="en-US"/>
        </w:rPr>
        <w:t>PPPs</w:t>
      </w:r>
      <w:r w:rsidR="00404C5E">
        <w:rPr>
          <w:rFonts w:cs="Calibri"/>
          <w:lang w:val="en-US"/>
        </w:rPr>
        <w:t xml:space="preserve"> </w:t>
      </w:r>
      <w:r w:rsidR="00977EB8">
        <w:rPr>
          <w:rFonts w:cs="Calibri"/>
          <w:lang w:val="en-US"/>
        </w:rPr>
        <w:t>could</w:t>
      </w:r>
      <w:r w:rsidR="00404C5E">
        <w:rPr>
          <w:rFonts w:cs="Calibri"/>
          <w:lang w:val="en-US"/>
        </w:rPr>
        <w:t xml:space="preserve"> </w:t>
      </w:r>
      <w:r w:rsidR="009368BD">
        <w:rPr>
          <w:rFonts w:cs="Calibri"/>
          <w:lang w:val="en-US"/>
        </w:rPr>
        <w:t>include</w:t>
      </w:r>
      <w:r w:rsidR="00EB1933" w:rsidRPr="00CF1B2C">
        <w:rPr>
          <w:rFonts w:cs="Calibri"/>
          <w:lang w:val="en-US"/>
        </w:rPr>
        <w:t xml:space="preserve"> motorways, car parks</w:t>
      </w:r>
      <w:r w:rsidR="008043CD">
        <w:rPr>
          <w:rFonts w:cs="Calibri"/>
          <w:lang w:val="en-US"/>
        </w:rPr>
        <w:t xml:space="preserve"> and </w:t>
      </w:r>
      <w:r w:rsidR="00EB1933" w:rsidRPr="00CF1B2C">
        <w:rPr>
          <w:rFonts w:cs="Calibri"/>
          <w:lang w:val="en-US"/>
        </w:rPr>
        <w:t>tunnels</w:t>
      </w:r>
      <w:r w:rsidR="008043CD">
        <w:rPr>
          <w:rFonts w:cs="Calibri"/>
          <w:lang w:val="en-US"/>
        </w:rPr>
        <w:t>.</w:t>
      </w:r>
      <w:r w:rsidR="00E02801">
        <w:rPr>
          <w:rFonts w:cs="Calibri"/>
          <w:lang w:val="en-US"/>
        </w:rPr>
        <w:t xml:space="preserve"> </w:t>
      </w:r>
      <w:r w:rsidR="008043CD">
        <w:rPr>
          <w:rFonts w:cs="Calibri"/>
          <w:lang w:val="en-US"/>
        </w:rPr>
        <w:t xml:space="preserve"> </w:t>
      </w:r>
      <w:r w:rsidR="00EB1933" w:rsidRPr="00CF1B2C">
        <w:rPr>
          <w:rFonts w:cs="Calibri"/>
          <w:lang w:val="en-US"/>
        </w:rPr>
        <w:t xml:space="preserve">Some examples of arrangements that are </w:t>
      </w:r>
      <w:r w:rsidR="0021026D">
        <w:rPr>
          <w:rFonts w:cs="Calibri"/>
          <w:lang w:val="en-US"/>
        </w:rPr>
        <w:t xml:space="preserve">not </w:t>
      </w:r>
      <w:r w:rsidR="00891AF8">
        <w:rPr>
          <w:rFonts w:cs="Calibri"/>
          <w:lang w:val="en-US"/>
        </w:rPr>
        <w:t>PPPs</w:t>
      </w:r>
      <w:r w:rsidR="00EB1933" w:rsidRPr="00CF1B2C">
        <w:rPr>
          <w:rFonts w:cs="Calibri"/>
          <w:lang w:val="en-US"/>
        </w:rPr>
        <w:t xml:space="preserve"> include an agency outsourcing the operation of its internal sources (</w:t>
      </w:r>
      <w:proofErr w:type="gramStart"/>
      <w:r w:rsidR="00EB1933" w:rsidRPr="00CF1B2C">
        <w:rPr>
          <w:rFonts w:cs="Calibri"/>
          <w:lang w:val="en-US"/>
        </w:rPr>
        <w:t>e.g.</w:t>
      </w:r>
      <w:proofErr w:type="gramEnd"/>
      <w:r w:rsidR="00EB1933" w:rsidRPr="00CF1B2C">
        <w:rPr>
          <w:rFonts w:cs="Calibri"/>
          <w:lang w:val="en-US"/>
        </w:rPr>
        <w:t xml:space="preserve"> employee cafeteria, building maintenance and accounting or information technology functions)</w:t>
      </w:r>
      <w:r w:rsidR="008043CD">
        <w:rPr>
          <w:rFonts w:cs="Calibri"/>
          <w:lang w:val="en-US"/>
        </w:rPr>
        <w:t>.</w:t>
      </w:r>
      <w:r w:rsidR="00A51EC7">
        <w:rPr>
          <w:rFonts w:cs="Calibri"/>
          <w:lang w:val="en-US"/>
        </w:rPr>
        <w:t xml:space="preserve"> </w:t>
      </w:r>
    </w:p>
    <w:p w14:paraId="66F4D1E6" w14:textId="77777777" w:rsidR="00F5271C" w:rsidRPr="00CF1B2C" w:rsidRDefault="00241591" w:rsidP="00F96CAF">
      <w:pPr>
        <w:pStyle w:val="Heading1"/>
        <w:jc w:val="both"/>
        <w:rPr>
          <w:rFonts w:cs="Calibri"/>
        </w:rPr>
      </w:pPr>
      <w:bookmarkStart w:id="39" w:name="_Toc456694691"/>
      <w:r w:rsidRPr="00CF1B2C">
        <w:rPr>
          <w:rFonts w:cs="Calibri"/>
        </w:rPr>
        <w:t>Policy Position</w:t>
      </w:r>
      <w:bookmarkEnd w:id="39"/>
    </w:p>
    <w:p w14:paraId="59255698" w14:textId="77777777" w:rsidR="00F5271C" w:rsidRDefault="00241591" w:rsidP="00F96CAF">
      <w:pPr>
        <w:pStyle w:val="Heading2"/>
        <w:jc w:val="both"/>
        <w:rPr>
          <w:rFonts w:cs="Calibri"/>
        </w:rPr>
      </w:pPr>
      <w:bookmarkStart w:id="40" w:name="_Toc456694692"/>
      <w:r w:rsidRPr="00CF1B2C">
        <w:rPr>
          <w:rFonts w:cs="Calibri"/>
        </w:rPr>
        <w:t>Scope of Policy</w:t>
      </w:r>
      <w:bookmarkEnd w:id="40"/>
    </w:p>
    <w:p w14:paraId="0877F098" w14:textId="77777777" w:rsidR="009F2F0D" w:rsidRPr="009F2F0D" w:rsidRDefault="009F2F0D" w:rsidP="009F2F0D">
      <w:r w:rsidRPr="00CF1B2C">
        <w:rPr>
          <w:rFonts w:cs="Calibri"/>
        </w:rPr>
        <w:t xml:space="preserve">Currently, there is no Australian Accounting Standard on </w:t>
      </w:r>
      <w:r w:rsidR="007E1605">
        <w:rPr>
          <w:rFonts w:cs="Calibri"/>
        </w:rPr>
        <w:t>PPPs</w:t>
      </w:r>
      <w:r w:rsidRPr="00CF1B2C">
        <w:rPr>
          <w:rFonts w:cs="Calibri"/>
        </w:rPr>
        <w:t xml:space="preserve"> that addresses accounting by grantors (i.e. government</w:t>
      </w:r>
      <w:r>
        <w:rPr>
          <w:rFonts w:cs="Calibri"/>
        </w:rPr>
        <w:t xml:space="preserve"> agencies</w:t>
      </w:r>
      <w:r w:rsidRPr="00CF1B2C">
        <w:rPr>
          <w:rFonts w:cs="Calibri"/>
        </w:rPr>
        <w:t xml:space="preserve">). </w:t>
      </w:r>
      <w:r w:rsidR="005C4855">
        <w:rPr>
          <w:rFonts w:cs="Calibri"/>
        </w:rPr>
        <w:t xml:space="preserve"> </w:t>
      </w:r>
      <w:r>
        <w:rPr>
          <w:rFonts w:cs="Calibri"/>
        </w:rPr>
        <w:t xml:space="preserve">In the absence of an Australian Accounting Standard, AASB 108 </w:t>
      </w:r>
      <w:r w:rsidRPr="00F96CAF">
        <w:rPr>
          <w:rFonts w:cs="Calibri"/>
          <w:i/>
        </w:rPr>
        <w:t>Accounting Policies, Changes in Accounting Policies and Errors</w:t>
      </w:r>
      <w:r>
        <w:rPr>
          <w:rFonts w:cs="Calibri"/>
        </w:rPr>
        <w:t xml:space="preserve"> provides a hierarchy for selection of accounting policies </w:t>
      </w:r>
      <w:r w:rsidR="007E25ED" w:rsidRPr="00E172B9">
        <w:rPr>
          <w:rFonts w:cs="Calibri"/>
        </w:rPr>
        <w:t>which includes</w:t>
      </w:r>
      <w:r w:rsidR="007E25ED">
        <w:rPr>
          <w:rFonts w:cs="Calibri"/>
        </w:rPr>
        <w:t xml:space="preserve"> </w:t>
      </w:r>
      <w:r>
        <w:rPr>
          <w:rFonts w:cs="Calibri"/>
        </w:rPr>
        <w:t xml:space="preserve">the pronouncements of other standard setting bodies that use a similar conceptual framework (AASB 108.10).  </w:t>
      </w:r>
      <w:r w:rsidR="00EF1862">
        <w:rPr>
          <w:rFonts w:cs="Calibri"/>
        </w:rPr>
        <w:t>Selection of an appropriate accounting policy under AASB 108.10 is not the adoption of an accounting standard including its scope – it is the selection of an accounting policy for a certain class of transactions, even</w:t>
      </w:r>
      <w:r w:rsidR="00A27E4A">
        <w:rPr>
          <w:rFonts w:cs="Calibri"/>
        </w:rPr>
        <w:t>ts or circumstances.  Therefore</w:t>
      </w:r>
      <w:r w:rsidR="00EF1862">
        <w:rPr>
          <w:rFonts w:cs="Calibri"/>
        </w:rPr>
        <w:t xml:space="preserve">, the Territory may define the scope of the </w:t>
      </w:r>
      <w:r w:rsidR="000E1B37">
        <w:rPr>
          <w:rFonts w:cs="Calibri"/>
        </w:rPr>
        <w:t xml:space="preserve">new </w:t>
      </w:r>
      <w:r w:rsidR="00EF1862">
        <w:rPr>
          <w:rFonts w:cs="Calibri"/>
        </w:rPr>
        <w:t xml:space="preserve">accounting policy in a </w:t>
      </w:r>
      <w:r w:rsidR="000E1B37">
        <w:rPr>
          <w:rFonts w:cs="Calibri"/>
        </w:rPr>
        <w:t xml:space="preserve">such a </w:t>
      </w:r>
      <w:r w:rsidR="00EF1862">
        <w:rPr>
          <w:rFonts w:cs="Calibri"/>
        </w:rPr>
        <w:t xml:space="preserve">way that only a certain class of transactions is </w:t>
      </w:r>
      <w:r w:rsidR="000E1B37">
        <w:rPr>
          <w:rFonts w:cs="Calibri"/>
        </w:rPr>
        <w:t>captured by that policy.</w:t>
      </w:r>
    </w:p>
    <w:p w14:paraId="7C55B5DB" w14:textId="77777777" w:rsidR="00241591" w:rsidRPr="00CF1B2C" w:rsidRDefault="00017045" w:rsidP="00241591">
      <w:r>
        <w:t>The policy is that f</w:t>
      </w:r>
      <w:r w:rsidR="00241591" w:rsidRPr="00CF1B2C">
        <w:t xml:space="preserve">or </w:t>
      </w:r>
      <w:r w:rsidR="007E1605">
        <w:t>PPP</w:t>
      </w:r>
      <w:r w:rsidR="00241591" w:rsidRPr="00CF1B2C">
        <w:t xml:space="preserve"> arrangements </w:t>
      </w:r>
      <w:r w:rsidR="009368BD">
        <w:t>that meet both of the following criteria</w:t>
      </w:r>
      <w:r w:rsidR="00241591" w:rsidRPr="00CF1B2C">
        <w:t>:</w:t>
      </w:r>
    </w:p>
    <w:p w14:paraId="7F2E8D10" w14:textId="77777777" w:rsidR="00241591" w:rsidRPr="00CF1B2C" w:rsidRDefault="00241591" w:rsidP="00241591">
      <w:pPr>
        <w:pStyle w:val="ListParagraph"/>
        <w:numPr>
          <w:ilvl w:val="0"/>
          <w:numId w:val="33"/>
        </w:numPr>
      </w:pPr>
      <w:r w:rsidRPr="00CF1B2C">
        <w:t xml:space="preserve">The Territory is compensating the operator for construction of the infrastructure assets through </w:t>
      </w:r>
      <w:r w:rsidR="00757033">
        <w:t xml:space="preserve">service </w:t>
      </w:r>
      <w:r w:rsidRPr="00CF1B2C">
        <w:t xml:space="preserve">payments over the period of the arrangement; and </w:t>
      </w:r>
    </w:p>
    <w:p w14:paraId="37E69E6B" w14:textId="77777777" w:rsidR="007E25ED" w:rsidRPr="007E25ED" w:rsidRDefault="008F559E" w:rsidP="00A51EC7">
      <w:pPr>
        <w:pStyle w:val="ListParagraph"/>
        <w:numPr>
          <w:ilvl w:val="0"/>
          <w:numId w:val="33"/>
        </w:numPr>
      </w:pPr>
      <w:r>
        <w:t>The assets used in the project are Territory assets at the end of the arrangement (this excludes arrangements where the operator has an indefin</w:t>
      </w:r>
      <w:r w:rsidR="00474618">
        <w:t xml:space="preserve">ite right of access to </w:t>
      </w:r>
      <w:r w:rsidR="00E172B9">
        <w:t xml:space="preserve">the </w:t>
      </w:r>
      <w:r>
        <w:t>assets or where the operator can continually renew access to</w:t>
      </w:r>
      <w:r w:rsidR="00474618">
        <w:t xml:space="preserve"> </w:t>
      </w:r>
      <w:r w:rsidR="00E172B9">
        <w:t xml:space="preserve">the </w:t>
      </w:r>
      <w:r w:rsidR="00474618">
        <w:t>assets</w:t>
      </w:r>
      <w:r w:rsidR="00E858D1">
        <w:t xml:space="preserve"> at an insignificant cost</w:t>
      </w:r>
      <w:r w:rsidR="00474618">
        <w:t>)</w:t>
      </w:r>
      <w:r w:rsidR="00CF1B2C" w:rsidRPr="00CF1B2C">
        <w:t>;</w:t>
      </w:r>
      <w:r w:rsidR="000F7437">
        <w:t xml:space="preserve"> </w:t>
      </w:r>
      <w:r w:rsidR="000F7437" w:rsidRPr="000F7437">
        <w:rPr>
          <w:b/>
        </w:rPr>
        <w:t>then</w:t>
      </w:r>
      <w:r w:rsidR="007E25ED">
        <w:rPr>
          <w:b/>
        </w:rPr>
        <w:t xml:space="preserve">: </w:t>
      </w:r>
    </w:p>
    <w:p w14:paraId="25582F3D" w14:textId="77777777" w:rsidR="000D6547" w:rsidRPr="00474618" w:rsidRDefault="004E1218" w:rsidP="00474618">
      <w:pPr>
        <w:pStyle w:val="ListParagraph"/>
        <w:numPr>
          <w:ilvl w:val="0"/>
          <w:numId w:val="33"/>
        </w:numPr>
      </w:pPr>
      <w:r>
        <w:t>T</w:t>
      </w:r>
      <w:r w:rsidR="007E25ED" w:rsidRPr="004E1218">
        <w:t>he principles of</w:t>
      </w:r>
      <w:r w:rsidR="007E25ED" w:rsidRPr="005B0E7A">
        <w:t xml:space="preserve"> </w:t>
      </w:r>
      <w:r w:rsidR="008A1388" w:rsidRPr="005B0E7A">
        <w:rPr>
          <w:rFonts w:cs="Calibri"/>
        </w:rPr>
        <w:t xml:space="preserve">UK FRS 5 </w:t>
      </w:r>
      <w:r w:rsidR="008A1388" w:rsidRPr="005B0E7A">
        <w:rPr>
          <w:rFonts w:cs="Calibri"/>
          <w:i/>
        </w:rPr>
        <w:t>Reporting the Substance of Transactions</w:t>
      </w:r>
      <w:r w:rsidR="008A1388" w:rsidRPr="005B0E7A">
        <w:rPr>
          <w:rFonts w:cs="Calibri"/>
        </w:rPr>
        <w:t xml:space="preserve">: Application Note F </w:t>
      </w:r>
      <w:r w:rsidR="008A1388" w:rsidRPr="005B0E7A">
        <w:rPr>
          <w:rFonts w:cs="Calibri"/>
          <w:i/>
        </w:rPr>
        <w:t xml:space="preserve">Private Finance Initiative and Similar Contracts </w:t>
      </w:r>
      <w:r w:rsidR="007E25ED" w:rsidRPr="00E172B9">
        <w:rPr>
          <w:rFonts w:cs="Calibri"/>
          <w:b/>
          <w:color w:val="000000" w:themeColor="text1"/>
        </w:rPr>
        <w:t>are</w:t>
      </w:r>
      <w:r w:rsidR="007E25ED" w:rsidRPr="005B0E7A">
        <w:rPr>
          <w:rFonts w:cs="Calibri"/>
          <w:b/>
        </w:rPr>
        <w:t xml:space="preserve"> </w:t>
      </w:r>
      <w:r w:rsidR="00757033" w:rsidRPr="005B0E7A">
        <w:rPr>
          <w:rFonts w:cs="Calibri"/>
          <w:b/>
        </w:rPr>
        <w:t>to be applied</w:t>
      </w:r>
      <w:r w:rsidR="00CF1B2C" w:rsidRPr="005B0E7A">
        <w:t>.</w:t>
      </w:r>
      <w:r w:rsidR="008A1388" w:rsidRPr="005B0E7A">
        <w:t xml:space="preserve"> </w:t>
      </w:r>
    </w:p>
    <w:p w14:paraId="4318EBC3" w14:textId="77777777" w:rsidR="00CF1B2C" w:rsidRPr="000D6547" w:rsidRDefault="00CF1B2C" w:rsidP="000D6547">
      <w:pPr>
        <w:pStyle w:val="Heading2"/>
        <w:jc w:val="both"/>
        <w:rPr>
          <w:rFonts w:cs="Calibri"/>
        </w:rPr>
      </w:pPr>
      <w:bookmarkStart w:id="41" w:name="_Toc456694693"/>
      <w:r w:rsidRPr="000D6547">
        <w:rPr>
          <w:rFonts w:cs="Calibri"/>
        </w:rPr>
        <w:lastRenderedPageBreak/>
        <w:t>Policy Rationale</w:t>
      </w:r>
      <w:bookmarkEnd w:id="41"/>
    </w:p>
    <w:p w14:paraId="2E195EF3" w14:textId="77777777" w:rsidR="00757033" w:rsidRDefault="00CF1B2C" w:rsidP="00CF1B2C">
      <w:r w:rsidRPr="00CF1B2C">
        <w:t>Th</w:t>
      </w:r>
      <w:r>
        <w:t>e</w:t>
      </w:r>
      <w:r w:rsidRPr="00CF1B2C">
        <w:t xml:space="preserve"> </w:t>
      </w:r>
      <w:r w:rsidR="007E1605">
        <w:t>PPP</w:t>
      </w:r>
      <w:r>
        <w:t xml:space="preserve"> arrangements this policy applies to are a form of financing by the </w:t>
      </w:r>
      <w:r w:rsidR="008A1388">
        <w:t>Territory</w:t>
      </w:r>
      <w:r>
        <w:t xml:space="preserve">.  This involves a long term contract between the government </w:t>
      </w:r>
      <w:r w:rsidR="0021516C">
        <w:t>(grantor</w:t>
      </w:r>
      <w:r w:rsidR="007C66E9">
        <w:t>) and</w:t>
      </w:r>
      <w:r>
        <w:t xml:space="preserve"> a private sector consortium </w:t>
      </w:r>
      <w:r w:rsidR="0021516C">
        <w:t xml:space="preserve">(operator) </w:t>
      </w:r>
      <w:r>
        <w:t>to construct</w:t>
      </w:r>
      <w:r w:rsidRPr="00CF1B2C">
        <w:t xml:space="preserve"> </w:t>
      </w:r>
      <w:r>
        <w:t xml:space="preserve">infrastructure and provide related services to the public with this infrastructure.  The </w:t>
      </w:r>
      <w:r w:rsidR="0021516C">
        <w:t>operator</w:t>
      </w:r>
      <w:r>
        <w:t xml:space="preserve"> arranges finance for the upfront capital required to construct </w:t>
      </w:r>
      <w:r w:rsidR="004E4304">
        <w:t>the infrastructure assets and is responsible for the design, construction, maintenance and</w:t>
      </w:r>
      <w:r w:rsidR="00EE0F74">
        <w:t>/</w:t>
      </w:r>
      <w:r w:rsidR="004E4304">
        <w:t xml:space="preserve"> or operation of the</w:t>
      </w:r>
      <w:r w:rsidR="0021516C">
        <w:t>se</w:t>
      </w:r>
      <w:r w:rsidR="004E4304">
        <w:t xml:space="preserve"> asset</w:t>
      </w:r>
      <w:r w:rsidR="0021516C">
        <w:t>s</w:t>
      </w:r>
      <w:r w:rsidR="004E4304">
        <w:t xml:space="preserve"> in accordance with the specifications in the agreement.  The operator receives periodic </w:t>
      </w:r>
      <w:r w:rsidR="003F454D">
        <w:t xml:space="preserve">service </w:t>
      </w:r>
      <w:r w:rsidR="004E4304">
        <w:t xml:space="preserve">payments from the </w:t>
      </w:r>
      <w:r w:rsidR="008A1388">
        <w:t>grantor</w:t>
      </w:r>
      <w:r w:rsidR="004E4304">
        <w:t xml:space="preserve"> during the project term which are intended to cover the costs incurred by the </w:t>
      </w:r>
      <w:r w:rsidR="008A1388">
        <w:t>operator</w:t>
      </w:r>
      <w:r w:rsidR="004E4304">
        <w:t xml:space="preserve"> in constructing, delivering, maintain</w:t>
      </w:r>
      <w:r w:rsidR="00E072D4">
        <w:t>ing</w:t>
      </w:r>
      <w:r w:rsidR="004E4304">
        <w:t xml:space="preserve"> and operating the infrastructure assets over the contract term or otherwise is provided with a right to charge users. </w:t>
      </w:r>
      <w:r w:rsidR="008A1388">
        <w:t xml:space="preserve"> The asset </w:t>
      </w:r>
      <w:r w:rsidR="00017045">
        <w:t>is a Territory asset</w:t>
      </w:r>
      <w:r w:rsidR="008A1388">
        <w:t xml:space="preserve"> at the end of the contract.</w:t>
      </w:r>
    </w:p>
    <w:p w14:paraId="1E5C5237" w14:textId="77777777" w:rsidR="00757033" w:rsidRDefault="00891AF8" w:rsidP="00757033">
      <w:pPr>
        <w:pStyle w:val="Heading1"/>
        <w:jc w:val="both"/>
      </w:pPr>
      <w:bookmarkStart w:id="42" w:name="_Toc456694694"/>
      <w:r>
        <w:t>Public Private Partnerships</w:t>
      </w:r>
      <w:r w:rsidR="000A6921">
        <w:t xml:space="preserve"> </w:t>
      </w:r>
      <w:r w:rsidR="004F0DC2">
        <w:t>in</w:t>
      </w:r>
      <w:r w:rsidR="000A6921">
        <w:t xml:space="preserve"> </w:t>
      </w:r>
      <w:r w:rsidR="004F0DC2">
        <w:t>scope</w:t>
      </w:r>
      <w:r w:rsidR="000A6921">
        <w:t xml:space="preserve"> </w:t>
      </w:r>
      <w:r w:rsidR="004F0DC2">
        <w:t>of</w:t>
      </w:r>
      <w:r w:rsidR="000A6921">
        <w:t xml:space="preserve"> </w:t>
      </w:r>
      <w:r w:rsidR="004F0DC2">
        <w:t>this</w:t>
      </w:r>
      <w:r w:rsidR="000A6921">
        <w:t xml:space="preserve"> P</w:t>
      </w:r>
      <w:r w:rsidR="004F0DC2">
        <w:t xml:space="preserve">olicy to apply </w:t>
      </w:r>
      <w:r w:rsidR="001C780F">
        <w:rPr>
          <w:rFonts w:cs="Calibri"/>
        </w:rPr>
        <w:t xml:space="preserve">Amendment to UK FRS 5 </w:t>
      </w:r>
      <w:r w:rsidR="001C780F" w:rsidRPr="00930872">
        <w:rPr>
          <w:rFonts w:cs="Calibri"/>
          <w:i/>
        </w:rPr>
        <w:t>Reporting the Substance of Transactions</w:t>
      </w:r>
      <w:r w:rsidR="001C780F">
        <w:rPr>
          <w:rFonts w:cs="Calibri"/>
        </w:rPr>
        <w:t xml:space="preserve">: Application Note F </w:t>
      </w:r>
      <w:r w:rsidR="001C780F" w:rsidRPr="00930872">
        <w:rPr>
          <w:rFonts w:cs="Calibri"/>
          <w:i/>
        </w:rPr>
        <w:t>Private Finance Initiative and Similar Contracts</w:t>
      </w:r>
      <w:r w:rsidR="001C780F">
        <w:rPr>
          <w:rFonts w:cs="Calibri"/>
          <w:i/>
        </w:rPr>
        <w:t xml:space="preserve"> </w:t>
      </w:r>
      <w:r w:rsidR="001C780F" w:rsidRPr="00DA6086">
        <w:rPr>
          <w:rFonts w:cs="Calibri"/>
        </w:rPr>
        <w:t>(1998)</w:t>
      </w:r>
      <w:bookmarkEnd w:id="42"/>
    </w:p>
    <w:p w14:paraId="56CADBD3" w14:textId="77777777" w:rsidR="004F0DC2" w:rsidRDefault="004F0DC2" w:rsidP="004F0DC2">
      <w:pPr>
        <w:pStyle w:val="Heading2"/>
        <w:jc w:val="both"/>
        <w:rPr>
          <w:rFonts w:cs="Calibri"/>
        </w:rPr>
      </w:pPr>
      <w:bookmarkStart w:id="43" w:name="_Toc456694695"/>
      <w:r>
        <w:rPr>
          <w:rFonts w:cs="Calibri"/>
        </w:rPr>
        <w:t xml:space="preserve">Applying </w:t>
      </w:r>
      <w:r w:rsidR="00474618">
        <w:rPr>
          <w:rFonts w:cs="Calibri"/>
        </w:rPr>
        <w:t>the principles</w:t>
      </w:r>
      <w:r>
        <w:rPr>
          <w:rFonts w:cs="Calibri"/>
        </w:rPr>
        <w:t xml:space="preserve"> of FRS 5 </w:t>
      </w:r>
      <w:r w:rsidR="00474618">
        <w:rPr>
          <w:rFonts w:cs="Calibri"/>
        </w:rPr>
        <w:t xml:space="preserve">(particularly </w:t>
      </w:r>
      <w:r w:rsidR="00097C7B" w:rsidRPr="00E858D1">
        <w:rPr>
          <w:rFonts w:cs="Calibri"/>
          <w:color w:val="000000" w:themeColor="text1"/>
        </w:rPr>
        <w:t xml:space="preserve">Paragraph </w:t>
      </w:r>
      <w:r w:rsidR="008C14DA">
        <w:rPr>
          <w:rFonts w:cs="Calibri"/>
          <w:color w:val="000000" w:themeColor="text1"/>
        </w:rPr>
        <w:t>F7</w:t>
      </w:r>
      <w:r w:rsidR="008C14DA" w:rsidRPr="00E858D1">
        <w:rPr>
          <w:rFonts w:cs="Calibri"/>
          <w:color w:val="000000" w:themeColor="text1"/>
        </w:rPr>
        <w:t>(</w:t>
      </w:r>
      <w:r w:rsidR="00097C7B" w:rsidRPr="00E858D1">
        <w:rPr>
          <w:rFonts w:cs="Calibri"/>
          <w:color w:val="000000" w:themeColor="text1"/>
        </w:rPr>
        <w:t>a)</w:t>
      </w:r>
      <w:r w:rsidR="00E858D1">
        <w:rPr>
          <w:rFonts w:cs="Calibri"/>
          <w:color w:val="000000" w:themeColor="text1"/>
        </w:rPr>
        <w:t>)</w:t>
      </w:r>
      <w:r w:rsidR="00097C7B">
        <w:rPr>
          <w:rFonts w:cs="Calibri"/>
        </w:rPr>
        <w:t xml:space="preserve"> </w:t>
      </w:r>
      <w:r>
        <w:rPr>
          <w:rFonts w:cs="Calibri"/>
        </w:rPr>
        <w:t xml:space="preserve">results in </w:t>
      </w:r>
      <w:r w:rsidR="00891AF8">
        <w:rPr>
          <w:rFonts w:cs="Calibri"/>
        </w:rPr>
        <w:t>Public Private Partnerships</w:t>
      </w:r>
      <w:r>
        <w:rPr>
          <w:rFonts w:cs="Calibri"/>
        </w:rPr>
        <w:t xml:space="preserve"> in scope being accounted for under AASB 117 </w:t>
      </w:r>
      <w:r w:rsidRPr="004F0DC2">
        <w:rPr>
          <w:rFonts w:cs="Calibri"/>
          <w:i/>
        </w:rPr>
        <w:t>Leases</w:t>
      </w:r>
      <w:bookmarkEnd w:id="43"/>
    </w:p>
    <w:p w14:paraId="3F60114F" w14:textId="77777777" w:rsidR="001012F6" w:rsidRDefault="004F0DC2" w:rsidP="006868E9">
      <w:pPr>
        <w:pStyle w:val="Default"/>
        <w:rPr>
          <w:rFonts w:asciiTheme="minorHAnsi" w:hAnsiTheme="minorHAnsi"/>
        </w:rPr>
      </w:pPr>
      <w:r w:rsidRPr="004F0DC2">
        <w:rPr>
          <w:rFonts w:asciiTheme="minorHAnsi" w:hAnsiTheme="minorHAnsi"/>
        </w:rPr>
        <w:t xml:space="preserve">FRS </w:t>
      </w:r>
      <w:r>
        <w:rPr>
          <w:rFonts w:asciiTheme="minorHAnsi" w:hAnsiTheme="minorHAnsi"/>
        </w:rPr>
        <w:t xml:space="preserve">5 applies </w:t>
      </w:r>
      <w:r w:rsidRPr="00A13BFE">
        <w:rPr>
          <w:rFonts w:asciiTheme="minorHAnsi" w:hAnsiTheme="minorHAnsi"/>
          <w:b/>
          <w:i/>
        </w:rPr>
        <w:t>a risks and rewards</w:t>
      </w:r>
      <w:r>
        <w:rPr>
          <w:rFonts w:asciiTheme="minorHAnsi" w:hAnsiTheme="minorHAnsi"/>
        </w:rPr>
        <w:t xml:space="preserve"> approach to the recognition of assets</w:t>
      </w:r>
      <w:r w:rsidR="003D60C8">
        <w:rPr>
          <w:rFonts w:asciiTheme="minorHAnsi" w:hAnsiTheme="minorHAnsi"/>
        </w:rPr>
        <w:t xml:space="preserve"> in a </w:t>
      </w:r>
      <w:r w:rsidR="00891AF8">
        <w:rPr>
          <w:rFonts w:asciiTheme="minorHAnsi" w:hAnsiTheme="minorHAnsi"/>
        </w:rPr>
        <w:t>PPP</w:t>
      </w:r>
      <w:r w:rsidR="003D60C8">
        <w:rPr>
          <w:rFonts w:asciiTheme="minorHAnsi" w:hAnsiTheme="minorHAnsi"/>
        </w:rPr>
        <w:t xml:space="preserve"> </w:t>
      </w:r>
      <w:r w:rsidR="00502138" w:rsidRPr="00E858D1">
        <w:rPr>
          <w:rFonts w:asciiTheme="minorHAnsi" w:hAnsiTheme="minorHAnsi"/>
          <w:color w:val="auto"/>
        </w:rPr>
        <w:t>arrangement</w:t>
      </w:r>
      <w:r>
        <w:rPr>
          <w:rFonts w:asciiTheme="minorHAnsi" w:hAnsiTheme="minorHAnsi"/>
        </w:rPr>
        <w:t>.</w:t>
      </w:r>
      <w:r w:rsidR="00885E4B">
        <w:rPr>
          <w:rFonts w:asciiTheme="minorHAnsi" w:hAnsiTheme="minorHAnsi"/>
        </w:rPr>
        <w:t xml:space="preserve"> </w:t>
      </w:r>
      <w:r w:rsidR="00F158B4">
        <w:rPr>
          <w:rFonts w:asciiTheme="minorHAnsi" w:hAnsiTheme="minorHAnsi"/>
        </w:rPr>
        <w:t xml:space="preserve"> </w:t>
      </w:r>
      <w:r w:rsidR="000B2E39">
        <w:rPr>
          <w:rFonts w:asciiTheme="minorHAnsi" w:hAnsiTheme="minorHAnsi"/>
        </w:rPr>
        <w:t xml:space="preserve">Under this approach, the focus is on the grantor’s obligations to the operator.  </w:t>
      </w:r>
      <w:r w:rsidR="00B76C93">
        <w:rPr>
          <w:rFonts w:asciiTheme="minorHAnsi" w:hAnsiTheme="minorHAnsi"/>
        </w:rPr>
        <w:t xml:space="preserve">Application of the requirements of FRS 5 </w:t>
      </w:r>
      <w:r w:rsidR="00C7775F">
        <w:rPr>
          <w:rFonts w:asciiTheme="minorHAnsi" w:hAnsiTheme="minorHAnsi"/>
        </w:rPr>
        <w:t xml:space="preserve">to </w:t>
      </w:r>
      <w:r w:rsidR="00891AF8">
        <w:rPr>
          <w:rFonts w:asciiTheme="minorHAnsi" w:hAnsiTheme="minorHAnsi"/>
        </w:rPr>
        <w:t>PPPs</w:t>
      </w:r>
      <w:r w:rsidR="00C7775F">
        <w:rPr>
          <w:rFonts w:asciiTheme="minorHAnsi" w:hAnsiTheme="minorHAnsi"/>
        </w:rPr>
        <w:t xml:space="preserve"> within the scope of this policy </w:t>
      </w:r>
      <w:r w:rsidR="00B76C93">
        <w:rPr>
          <w:rFonts w:asciiTheme="minorHAnsi" w:hAnsiTheme="minorHAnsi"/>
        </w:rPr>
        <w:t xml:space="preserve">results in </w:t>
      </w:r>
      <w:r w:rsidR="00502138" w:rsidRPr="00E858D1">
        <w:rPr>
          <w:rFonts w:asciiTheme="minorHAnsi" w:hAnsiTheme="minorHAnsi"/>
          <w:color w:val="000000" w:themeColor="text1"/>
        </w:rPr>
        <w:t>such</w:t>
      </w:r>
      <w:r w:rsidR="00502138">
        <w:rPr>
          <w:rFonts w:asciiTheme="minorHAnsi" w:hAnsiTheme="minorHAnsi"/>
        </w:rPr>
        <w:t xml:space="preserve"> </w:t>
      </w:r>
      <w:r w:rsidR="00B76C93">
        <w:rPr>
          <w:rFonts w:asciiTheme="minorHAnsi" w:hAnsiTheme="minorHAnsi"/>
        </w:rPr>
        <w:t>arrangements</w:t>
      </w:r>
      <w:r w:rsidR="00502138">
        <w:rPr>
          <w:rFonts w:asciiTheme="minorHAnsi" w:hAnsiTheme="minorHAnsi"/>
        </w:rPr>
        <w:t xml:space="preserve"> </w:t>
      </w:r>
      <w:r w:rsidR="00B76C93">
        <w:rPr>
          <w:rFonts w:asciiTheme="minorHAnsi" w:hAnsiTheme="minorHAnsi"/>
        </w:rPr>
        <w:t>being accounted for by the Territory as leases in accordance with AASB 117</w:t>
      </w:r>
      <w:r w:rsidR="00A56AB1">
        <w:rPr>
          <w:rFonts w:asciiTheme="minorHAnsi" w:hAnsiTheme="minorHAnsi"/>
        </w:rPr>
        <w:t xml:space="preserve"> </w:t>
      </w:r>
      <w:r w:rsidR="00A56AB1" w:rsidRPr="00A56AB1">
        <w:rPr>
          <w:rFonts w:asciiTheme="minorHAnsi" w:hAnsiTheme="minorHAnsi"/>
          <w:i/>
        </w:rPr>
        <w:t>Leases</w:t>
      </w:r>
      <w:r w:rsidR="00A56AB1">
        <w:rPr>
          <w:rFonts w:asciiTheme="minorHAnsi" w:hAnsiTheme="minorHAnsi"/>
        </w:rPr>
        <w:t xml:space="preserve">, </w:t>
      </w:r>
      <w:r w:rsidR="00B76C93">
        <w:rPr>
          <w:rFonts w:asciiTheme="minorHAnsi" w:hAnsiTheme="minorHAnsi"/>
        </w:rPr>
        <w:t xml:space="preserve">with the arrangements resulting in finance lease or operating lease accounting depending upon the contractual payment terms.  </w:t>
      </w:r>
      <w:r w:rsidR="00DB5DFE">
        <w:rPr>
          <w:rFonts w:asciiTheme="minorHAnsi" w:hAnsiTheme="minorHAnsi"/>
        </w:rPr>
        <w:t xml:space="preserve">Service payments for these types of arrangements are typically separated </w:t>
      </w:r>
      <w:r w:rsidR="003D60C8">
        <w:rPr>
          <w:rFonts w:asciiTheme="minorHAnsi" w:hAnsiTheme="minorHAnsi"/>
        </w:rPr>
        <w:t xml:space="preserve">into property and service </w:t>
      </w:r>
      <w:r w:rsidR="003F454D">
        <w:rPr>
          <w:rFonts w:asciiTheme="minorHAnsi" w:hAnsiTheme="minorHAnsi"/>
        </w:rPr>
        <w:t xml:space="preserve">(maintenance/operating) </w:t>
      </w:r>
      <w:r w:rsidR="003D60C8">
        <w:rPr>
          <w:rFonts w:asciiTheme="minorHAnsi" w:hAnsiTheme="minorHAnsi"/>
        </w:rPr>
        <w:t>elements</w:t>
      </w:r>
      <w:r w:rsidR="001012F6">
        <w:rPr>
          <w:rFonts w:asciiTheme="minorHAnsi" w:hAnsiTheme="minorHAnsi"/>
        </w:rPr>
        <w:t xml:space="preserve"> and</w:t>
      </w:r>
      <w:r w:rsidR="003D60C8">
        <w:rPr>
          <w:rFonts w:asciiTheme="minorHAnsi" w:hAnsiTheme="minorHAnsi"/>
        </w:rPr>
        <w:t xml:space="preserve"> </w:t>
      </w:r>
      <w:r w:rsidR="00DB5DFE">
        <w:rPr>
          <w:rFonts w:asciiTheme="minorHAnsi" w:hAnsiTheme="minorHAnsi"/>
        </w:rPr>
        <w:t xml:space="preserve">AASB 117 should be used to determine whether the arrangement (the provision of the property) is a finance lease (on balance sheet) or an operating lease (off balance sheet) for the grantor. </w:t>
      </w:r>
    </w:p>
    <w:p w14:paraId="6384CD80" w14:textId="77777777" w:rsidR="00405248" w:rsidRDefault="00A626B8" w:rsidP="006868E9">
      <w:pPr>
        <w:pStyle w:val="Default"/>
        <w:rPr>
          <w:rFonts w:asciiTheme="minorHAnsi" w:hAnsiTheme="minorHAnsi"/>
          <w:color w:val="000000" w:themeColor="text1"/>
        </w:rPr>
      </w:pPr>
      <w:r>
        <w:rPr>
          <w:rFonts w:asciiTheme="minorHAnsi" w:hAnsiTheme="minorHAnsi"/>
        </w:rPr>
        <w:t>Application Note F requires a disaggregation of the service payment to determine the accounting treatment.  Where elements of the service payment relate only to services</w:t>
      </w:r>
      <w:r w:rsidR="003F454D">
        <w:rPr>
          <w:rFonts w:asciiTheme="minorHAnsi" w:hAnsiTheme="minorHAnsi"/>
        </w:rPr>
        <w:t xml:space="preserve"> (maintenance/operating)</w:t>
      </w:r>
      <w:r>
        <w:rPr>
          <w:rFonts w:asciiTheme="minorHAnsi" w:hAnsiTheme="minorHAnsi"/>
        </w:rPr>
        <w:t>, they should be ignored for the purposes of determining who has the property</w:t>
      </w:r>
      <w:r w:rsidR="00B35D18">
        <w:rPr>
          <w:rFonts w:asciiTheme="minorHAnsi" w:hAnsiTheme="minorHAnsi"/>
        </w:rPr>
        <w:t xml:space="preserve"> </w:t>
      </w:r>
      <w:r w:rsidR="00C7775F">
        <w:rPr>
          <w:rFonts w:asciiTheme="minorHAnsi" w:hAnsiTheme="minorHAnsi"/>
        </w:rPr>
        <w:t>(Para F</w:t>
      </w:r>
      <w:r w:rsidR="000D6547" w:rsidRPr="00E858D1">
        <w:rPr>
          <w:rFonts w:asciiTheme="minorHAnsi" w:hAnsiTheme="minorHAnsi"/>
          <w:color w:val="auto"/>
        </w:rPr>
        <w:t>6</w:t>
      </w:r>
      <w:r w:rsidR="00C7775F">
        <w:rPr>
          <w:rFonts w:asciiTheme="minorHAnsi" w:hAnsiTheme="minorHAnsi"/>
        </w:rPr>
        <w:t>).</w:t>
      </w:r>
      <w:r w:rsidR="00B35D18">
        <w:rPr>
          <w:rFonts w:asciiTheme="minorHAnsi" w:hAnsiTheme="minorHAnsi"/>
        </w:rPr>
        <w:t xml:space="preserve"> Once the service component of the p</w:t>
      </w:r>
      <w:r w:rsidR="00C7775F">
        <w:rPr>
          <w:rFonts w:asciiTheme="minorHAnsi" w:hAnsiTheme="minorHAnsi"/>
        </w:rPr>
        <w:t xml:space="preserve">ayment has been excluded, PPPs </w:t>
      </w:r>
      <w:r w:rsidR="00B35D18">
        <w:rPr>
          <w:rFonts w:asciiTheme="minorHAnsi" w:hAnsiTheme="minorHAnsi"/>
        </w:rPr>
        <w:t>are then separated into two categories for accounting purposes</w:t>
      </w:r>
      <w:r w:rsidR="000D6547">
        <w:rPr>
          <w:rFonts w:asciiTheme="minorHAnsi" w:hAnsiTheme="minorHAnsi"/>
        </w:rPr>
        <w:t xml:space="preserve"> </w:t>
      </w:r>
      <w:r w:rsidR="000D6547" w:rsidRPr="00E858D1">
        <w:rPr>
          <w:rFonts w:asciiTheme="minorHAnsi" w:hAnsiTheme="minorHAnsi"/>
          <w:color w:val="000000" w:themeColor="text1"/>
        </w:rPr>
        <w:t>(Para F</w:t>
      </w:r>
      <w:r w:rsidR="00097C7B" w:rsidRPr="00E858D1">
        <w:rPr>
          <w:rFonts w:asciiTheme="minorHAnsi" w:hAnsiTheme="minorHAnsi"/>
          <w:color w:val="000000" w:themeColor="text1"/>
        </w:rPr>
        <w:t>7</w:t>
      </w:r>
      <w:r w:rsidR="00E858D1" w:rsidRPr="00E858D1">
        <w:rPr>
          <w:rFonts w:asciiTheme="minorHAnsi" w:hAnsiTheme="minorHAnsi"/>
          <w:color w:val="000000" w:themeColor="text1"/>
        </w:rPr>
        <w:t>)</w:t>
      </w:r>
      <w:r w:rsidR="00B35D18" w:rsidRPr="00E858D1">
        <w:rPr>
          <w:rFonts w:asciiTheme="minorHAnsi" w:hAnsiTheme="minorHAnsi"/>
          <w:color w:val="000000" w:themeColor="text1"/>
        </w:rPr>
        <w:t>:</w:t>
      </w:r>
    </w:p>
    <w:p w14:paraId="78CCA47A" w14:textId="77777777" w:rsidR="00405248" w:rsidRDefault="00405248">
      <w:pPr>
        <w:rPr>
          <w:rFonts w:cs="Arial"/>
          <w:color w:val="000000" w:themeColor="text1"/>
          <w:szCs w:val="24"/>
          <w:lang w:eastAsia="en-AU"/>
        </w:rPr>
      </w:pPr>
      <w:r>
        <w:rPr>
          <w:color w:val="000000" w:themeColor="text1"/>
        </w:rPr>
        <w:br w:type="page"/>
      </w:r>
    </w:p>
    <w:p w14:paraId="5DCEDB9F" w14:textId="77777777" w:rsidR="00A626B8" w:rsidRDefault="00B35D18" w:rsidP="00B35D18">
      <w:pPr>
        <w:pStyle w:val="Default"/>
        <w:numPr>
          <w:ilvl w:val="0"/>
          <w:numId w:val="42"/>
        </w:numPr>
        <w:rPr>
          <w:rFonts w:asciiTheme="minorHAnsi" w:hAnsiTheme="minorHAnsi"/>
        </w:rPr>
      </w:pPr>
      <w:r>
        <w:rPr>
          <w:rFonts w:asciiTheme="minorHAnsi" w:hAnsiTheme="minorHAnsi"/>
        </w:rPr>
        <w:lastRenderedPageBreak/>
        <w:t>PPPs where the only remaining element is for the property, (i.e</w:t>
      </w:r>
      <w:r w:rsidR="00C7775F">
        <w:rPr>
          <w:rFonts w:asciiTheme="minorHAnsi" w:hAnsiTheme="minorHAnsi"/>
        </w:rPr>
        <w:t>.</w:t>
      </w:r>
      <w:r>
        <w:rPr>
          <w:rFonts w:asciiTheme="minorHAnsi" w:hAnsiTheme="minorHAnsi"/>
        </w:rPr>
        <w:t xml:space="preserve"> the financing part of the infrastructure), which are treated akin to a lease and accounted for in accordance with the lease standard</w:t>
      </w:r>
      <w:r w:rsidR="00097C7B">
        <w:rPr>
          <w:rFonts w:asciiTheme="minorHAnsi" w:hAnsiTheme="minorHAnsi"/>
        </w:rPr>
        <w:t xml:space="preserve"> </w:t>
      </w:r>
      <w:r w:rsidR="00097C7B" w:rsidRPr="00E858D1">
        <w:rPr>
          <w:rFonts w:asciiTheme="minorHAnsi" w:hAnsiTheme="minorHAnsi"/>
          <w:color w:val="000000" w:themeColor="text1"/>
        </w:rPr>
        <w:t>Para F7(a)</w:t>
      </w:r>
      <w:r>
        <w:rPr>
          <w:rFonts w:asciiTheme="minorHAnsi" w:hAnsiTheme="minorHAnsi"/>
        </w:rPr>
        <w:t>; or</w:t>
      </w:r>
    </w:p>
    <w:p w14:paraId="63CC53FA" w14:textId="77777777" w:rsidR="00B35D18" w:rsidRDefault="00B35D18" w:rsidP="00B35D18">
      <w:pPr>
        <w:pStyle w:val="Default"/>
        <w:numPr>
          <w:ilvl w:val="0"/>
          <w:numId w:val="42"/>
        </w:numPr>
        <w:rPr>
          <w:rFonts w:asciiTheme="minorHAnsi" w:hAnsiTheme="minorHAnsi"/>
        </w:rPr>
      </w:pPr>
      <w:r>
        <w:rPr>
          <w:rFonts w:asciiTheme="minorHAnsi" w:hAnsiTheme="minorHAnsi"/>
        </w:rPr>
        <w:t xml:space="preserve">PPPs where the remaining element of the service payment </w:t>
      </w:r>
      <w:r w:rsidR="00C0503E">
        <w:rPr>
          <w:rFonts w:asciiTheme="minorHAnsi" w:hAnsiTheme="minorHAnsi"/>
        </w:rPr>
        <w:t xml:space="preserve">still </w:t>
      </w:r>
      <w:r>
        <w:rPr>
          <w:rFonts w:asciiTheme="minorHAnsi" w:hAnsiTheme="minorHAnsi"/>
        </w:rPr>
        <w:t>incorporates some services</w:t>
      </w:r>
      <w:r w:rsidR="00C0503E">
        <w:rPr>
          <w:rFonts w:asciiTheme="minorHAnsi" w:hAnsiTheme="minorHAnsi"/>
        </w:rPr>
        <w:t xml:space="preserve"> (maintenance/operating)</w:t>
      </w:r>
      <w:r>
        <w:rPr>
          <w:rFonts w:asciiTheme="minorHAnsi" w:hAnsiTheme="minorHAnsi"/>
        </w:rPr>
        <w:t>, in which case they are accounted for directly within FRS 5</w:t>
      </w:r>
      <w:r w:rsidR="00C7775F">
        <w:rPr>
          <w:rFonts w:asciiTheme="minorHAnsi" w:hAnsiTheme="minorHAnsi"/>
        </w:rPr>
        <w:t xml:space="preserve"> (Para </w:t>
      </w:r>
      <w:r w:rsidR="008C14DA" w:rsidRPr="00E858D1">
        <w:rPr>
          <w:rFonts w:asciiTheme="minorHAnsi" w:hAnsiTheme="minorHAnsi"/>
          <w:color w:val="000000" w:themeColor="text1"/>
        </w:rPr>
        <w:t>F7 (</w:t>
      </w:r>
      <w:r w:rsidR="00097C7B" w:rsidRPr="00E858D1">
        <w:rPr>
          <w:rFonts w:asciiTheme="minorHAnsi" w:hAnsiTheme="minorHAnsi"/>
          <w:color w:val="000000" w:themeColor="text1"/>
        </w:rPr>
        <w:t>b)</w:t>
      </w:r>
      <w:r w:rsidR="00C7775F" w:rsidRPr="00E858D1">
        <w:rPr>
          <w:rFonts w:asciiTheme="minorHAnsi" w:hAnsiTheme="minorHAnsi"/>
          <w:color w:val="000000" w:themeColor="text1"/>
        </w:rPr>
        <w:t>)</w:t>
      </w:r>
      <w:r w:rsidRPr="00E858D1">
        <w:rPr>
          <w:rFonts w:asciiTheme="minorHAnsi" w:hAnsiTheme="minorHAnsi"/>
          <w:color w:val="000000" w:themeColor="text1"/>
        </w:rPr>
        <w:t>.</w:t>
      </w:r>
      <w:r w:rsidR="00097C7B">
        <w:rPr>
          <w:rFonts w:asciiTheme="minorHAnsi" w:hAnsiTheme="minorHAnsi"/>
        </w:rPr>
        <w:t xml:space="preserve"> </w:t>
      </w:r>
    </w:p>
    <w:p w14:paraId="30BE8945" w14:textId="77777777" w:rsidR="00B35D18" w:rsidRDefault="007E1605" w:rsidP="00B35D18">
      <w:pPr>
        <w:pStyle w:val="Default"/>
        <w:rPr>
          <w:rFonts w:asciiTheme="minorHAnsi" w:hAnsiTheme="minorHAnsi"/>
        </w:rPr>
      </w:pPr>
      <w:r>
        <w:rPr>
          <w:rFonts w:asciiTheme="minorHAnsi" w:hAnsiTheme="minorHAnsi"/>
        </w:rPr>
        <w:t>To re-iterate, w</w:t>
      </w:r>
      <w:r w:rsidR="00B35D18">
        <w:rPr>
          <w:rFonts w:asciiTheme="minorHAnsi" w:hAnsiTheme="minorHAnsi"/>
        </w:rPr>
        <w:t xml:space="preserve">here a PPP contains service payments which can be fully disaggregated into their </w:t>
      </w:r>
      <w:r w:rsidR="00134A0E">
        <w:rPr>
          <w:rFonts w:asciiTheme="minorHAnsi" w:hAnsiTheme="minorHAnsi"/>
        </w:rPr>
        <w:t>financing component, such arrangements are required to be accounted for as leases.</w:t>
      </w:r>
      <w:r w:rsidR="00B35D18">
        <w:rPr>
          <w:rFonts w:asciiTheme="minorHAnsi" w:hAnsiTheme="minorHAnsi"/>
        </w:rPr>
        <w:t xml:space="preserve"> </w:t>
      </w:r>
    </w:p>
    <w:p w14:paraId="18A4E1AD" w14:textId="77777777" w:rsidR="001865B6" w:rsidRPr="006C12EB" w:rsidRDefault="006C12EB" w:rsidP="004F0DC2">
      <w:pPr>
        <w:pStyle w:val="Heading2"/>
        <w:jc w:val="both"/>
        <w:rPr>
          <w:rFonts w:cs="Calibri"/>
        </w:rPr>
      </w:pPr>
      <w:bookmarkStart w:id="44" w:name="_Toc456694696"/>
      <w:r>
        <w:rPr>
          <w:rFonts w:cs="Calibri"/>
        </w:rPr>
        <w:t>Finance Leases</w:t>
      </w:r>
      <w:bookmarkEnd w:id="44"/>
    </w:p>
    <w:p w14:paraId="087279E0" w14:textId="77777777" w:rsidR="00F158B4" w:rsidRDefault="00F158B4" w:rsidP="00F158B4">
      <w:pPr>
        <w:pStyle w:val="Default"/>
        <w:rPr>
          <w:rFonts w:asciiTheme="minorHAnsi" w:hAnsiTheme="minorHAnsi"/>
        </w:rPr>
      </w:pPr>
      <w:r w:rsidRPr="00C20E90">
        <w:rPr>
          <w:rFonts w:asciiTheme="minorHAnsi" w:hAnsiTheme="minorHAnsi"/>
          <w:szCs w:val="20"/>
        </w:rPr>
        <w:t xml:space="preserve">A lease is classified as a finance lease if it transfers substantially all the risks and rewards incidental to ownership. </w:t>
      </w:r>
      <w:r>
        <w:rPr>
          <w:rFonts w:asciiTheme="minorHAnsi" w:hAnsiTheme="minorHAnsi"/>
          <w:szCs w:val="20"/>
        </w:rPr>
        <w:t xml:space="preserve"> </w:t>
      </w:r>
      <w:r w:rsidRPr="00C20E90">
        <w:rPr>
          <w:rFonts w:asciiTheme="minorHAnsi" w:hAnsiTheme="minorHAnsi"/>
          <w:szCs w:val="20"/>
        </w:rPr>
        <w:t>A lease is classified as an operating lease if it does not transfer substantially all the risks and rewards incidental to ownership</w:t>
      </w:r>
      <w:r>
        <w:rPr>
          <w:rFonts w:asciiTheme="minorHAnsi" w:hAnsiTheme="minorHAnsi"/>
        </w:rPr>
        <w:t xml:space="preserve"> (AASB 117.8)</w:t>
      </w:r>
      <w:r w:rsidRPr="00C20E90">
        <w:rPr>
          <w:rFonts w:asciiTheme="minorHAnsi" w:hAnsiTheme="minorHAnsi"/>
          <w:szCs w:val="20"/>
        </w:rPr>
        <w:t>.</w:t>
      </w:r>
      <w:r>
        <w:rPr>
          <w:rFonts w:asciiTheme="minorHAnsi" w:hAnsiTheme="minorHAnsi"/>
        </w:rPr>
        <w:t xml:space="preserve"> The indicators of a finance lease include the following:</w:t>
      </w:r>
    </w:p>
    <w:p w14:paraId="2ABA398D" w14:textId="77777777" w:rsidR="00F158B4" w:rsidRPr="00C20E90" w:rsidRDefault="00F158B4" w:rsidP="00F158B4">
      <w:pPr>
        <w:pStyle w:val="Default"/>
        <w:numPr>
          <w:ilvl w:val="0"/>
          <w:numId w:val="40"/>
        </w:numPr>
        <w:rPr>
          <w:rFonts w:asciiTheme="minorHAnsi" w:hAnsiTheme="minorHAnsi"/>
          <w:szCs w:val="20"/>
        </w:rPr>
      </w:pPr>
      <w:r w:rsidRPr="00C20E90">
        <w:rPr>
          <w:rFonts w:asciiTheme="minorHAnsi" w:hAnsiTheme="minorHAnsi"/>
          <w:szCs w:val="20"/>
        </w:rPr>
        <w:t xml:space="preserve">the lease transfers ownership of the asset to the lessee by the end of the lease term; </w:t>
      </w:r>
    </w:p>
    <w:p w14:paraId="453EB262" w14:textId="77777777" w:rsidR="00F158B4" w:rsidRPr="00C20E90" w:rsidRDefault="00F158B4" w:rsidP="00F158B4">
      <w:pPr>
        <w:pStyle w:val="ListParagraph"/>
        <w:numPr>
          <w:ilvl w:val="0"/>
          <w:numId w:val="40"/>
        </w:numPr>
        <w:autoSpaceDE w:val="0"/>
        <w:autoSpaceDN w:val="0"/>
        <w:adjustRightInd w:val="0"/>
        <w:rPr>
          <w:rFonts w:cs="Arial"/>
          <w:color w:val="000000"/>
          <w:lang w:eastAsia="en-AU"/>
        </w:rPr>
      </w:pPr>
      <w:r w:rsidRPr="00C20E90">
        <w:rPr>
          <w:rFonts w:cs="Arial"/>
          <w:color w:val="000000"/>
          <w:lang w:eastAsia="en-AU"/>
        </w:rPr>
        <w:t xml:space="preserve">the lease term is for </w:t>
      </w:r>
      <w:proofErr w:type="gramStart"/>
      <w:r w:rsidRPr="00C20E90">
        <w:rPr>
          <w:rFonts w:cs="Arial"/>
          <w:color w:val="000000"/>
          <w:lang w:eastAsia="en-AU"/>
        </w:rPr>
        <w:t>the</w:t>
      </w:r>
      <w:proofErr w:type="gramEnd"/>
      <w:r w:rsidRPr="00C20E90">
        <w:rPr>
          <w:rFonts w:cs="Arial"/>
          <w:color w:val="000000"/>
          <w:lang w:eastAsia="en-AU"/>
        </w:rPr>
        <w:t xml:space="preserve"> major part of the economic life of the asset; </w:t>
      </w:r>
    </w:p>
    <w:p w14:paraId="114E437A" w14:textId="77777777" w:rsidR="00F158B4" w:rsidRPr="009B6D83" w:rsidRDefault="00F158B4" w:rsidP="00F158B4">
      <w:pPr>
        <w:pStyle w:val="ListParagraph"/>
        <w:numPr>
          <w:ilvl w:val="0"/>
          <w:numId w:val="40"/>
        </w:numPr>
      </w:pPr>
      <w:r w:rsidRPr="00C20E90">
        <w:rPr>
          <w:rFonts w:cs="Arial"/>
          <w:color w:val="000000"/>
          <w:lang w:eastAsia="en-AU"/>
        </w:rPr>
        <w:t>at the inception of the lease the present value of the minimum lease payments amounts to at least substantially all of the fair value of the leased asset</w:t>
      </w:r>
      <w:r w:rsidR="009B6D83">
        <w:rPr>
          <w:rFonts w:cs="Arial"/>
          <w:color w:val="000000"/>
          <w:lang w:eastAsia="en-AU"/>
        </w:rPr>
        <w:t>; and</w:t>
      </w:r>
    </w:p>
    <w:p w14:paraId="027F6C0D" w14:textId="77777777" w:rsidR="009B6D83" w:rsidRDefault="009B6D83" w:rsidP="009B6D83">
      <w:pPr>
        <w:pStyle w:val="ListParagraph"/>
        <w:numPr>
          <w:ilvl w:val="0"/>
          <w:numId w:val="40"/>
        </w:numPr>
      </w:pPr>
      <w:r>
        <w:t>The leased assets are of such a specialised mature that only the lessee can use them without major modifications.</w:t>
      </w:r>
    </w:p>
    <w:p w14:paraId="6D60E232" w14:textId="77777777" w:rsidR="00661C09" w:rsidRPr="00661C09" w:rsidRDefault="00661C09" w:rsidP="00661C09">
      <w:pPr>
        <w:rPr>
          <w:rFonts w:ascii="Calibri" w:hAnsi="Calibri" w:cs="Arial"/>
          <w:color w:val="000000"/>
          <w:lang w:eastAsia="en-AU"/>
        </w:rPr>
      </w:pPr>
      <w:r w:rsidRPr="00661C09">
        <w:rPr>
          <w:rFonts w:ascii="Calibri" w:hAnsi="Calibri" w:cs="Arial"/>
          <w:color w:val="000000"/>
          <w:lang w:eastAsia="en-AU"/>
        </w:rPr>
        <w:t xml:space="preserve">Indicative criteria for a finance lease are in AASB 117 at paragraphs 10 and 11.  Typically, the type of PPP project assets covered by this policy meet the finance lease definition.  </w:t>
      </w:r>
    </w:p>
    <w:p w14:paraId="38D29034" w14:textId="77777777" w:rsidR="00C7775F" w:rsidRPr="009B6D83" w:rsidRDefault="00C7775F" w:rsidP="009B6D83"/>
    <w:p w14:paraId="00F2E500" w14:textId="77777777" w:rsidR="009B6D83" w:rsidRPr="006C12EB" w:rsidRDefault="00C0503E" w:rsidP="009B6D83">
      <w:pPr>
        <w:pStyle w:val="Heading2"/>
        <w:jc w:val="both"/>
        <w:rPr>
          <w:rFonts w:cs="Calibri"/>
        </w:rPr>
      </w:pPr>
      <w:bookmarkStart w:id="45" w:name="_Toc456694697"/>
      <w:r>
        <w:rPr>
          <w:rFonts w:cs="Calibri"/>
        </w:rPr>
        <w:t xml:space="preserve">Timing of </w:t>
      </w:r>
      <w:r w:rsidR="009B6D83">
        <w:rPr>
          <w:rFonts w:cs="Calibri"/>
        </w:rPr>
        <w:t xml:space="preserve">Recognition of </w:t>
      </w:r>
      <w:r w:rsidR="00CC2497">
        <w:rPr>
          <w:rFonts w:cs="Calibri"/>
        </w:rPr>
        <w:t>A</w:t>
      </w:r>
      <w:r w:rsidR="009B6D83">
        <w:rPr>
          <w:rFonts w:cs="Calibri"/>
        </w:rPr>
        <w:t xml:space="preserve">ssets and </w:t>
      </w:r>
      <w:r w:rsidR="00CC2497">
        <w:rPr>
          <w:rFonts w:cs="Calibri"/>
        </w:rPr>
        <w:t>L</w:t>
      </w:r>
      <w:r w:rsidR="00C1028A">
        <w:rPr>
          <w:rFonts w:cs="Calibri"/>
        </w:rPr>
        <w:t>iabilities</w:t>
      </w:r>
      <w:r w:rsidR="00C7775F">
        <w:rPr>
          <w:rFonts w:cs="Calibri"/>
        </w:rPr>
        <w:t xml:space="preserve"> for </w:t>
      </w:r>
      <w:r w:rsidR="00421D6A">
        <w:rPr>
          <w:rFonts w:cs="Calibri"/>
        </w:rPr>
        <w:t>Finance Leases</w:t>
      </w:r>
      <w:bookmarkEnd w:id="45"/>
    </w:p>
    <w:p w14:paraId="0147D6C5" w14:textId="77777777" w:rsidR="00F158B4" w:rsidRDefault="009B6D83" w:rsidP="00653037">
      <w:pPr>
        <w:rPr>
          <w:rFonts w:cs="Arial"/>
          <w:color w:val="000000"/>
          <w:lang w:eastAsia="en-AU"/>
        </w:rPr>
      </w:pPr>
      <w:r>
        <w:t>T</w:t>
      </w:r>
      <w:r w:rsidRPr="00501FBE">
        <w:t xml:space="preserve">he leased assets and a corresponding lease liability will be recognised on the balance sheet at the commencement of the lease term i.e. at </w:t>
      </w:r>
      <w:r w:rsidRPr="00501FBE">
        <w:rPr>
          <w:b/>
          <w:i/>
        </w:rPr>
        <w:t>Commercial Acceptance</w:t>
      </w:r>
      <w:r w:rsidRPr="00501FBE">
        <w:t xml:space="preserve">, which is the date </w:t>
      </w:r>
      <w:r>
        <w:t xml:space="preserve">on which </w:t>
      </w:r>
      <w:r w:rsidRPr="00501FBE">
        <w:t xml:space="preserve">the </w:t>
      </w:r>
      <w:r>
        <w:t xml:space="preserve">lessee becomes entitled to use the leased </w:t>
      </w:r>
      <w:r w:rsidRPr="00501FBE">
        <w:t xml:space="preserve">assets for the provision of </w:t>
      </w:r>
      <w:r>
        <w:t xml:space="preserve">public </w:t>
      </w:r>
      <w:r w:rsidRPr="00501FBE">
        <w:t>services (AASB 117.20).</w:t>
      </w:r>
    </w:p>
    <w:p w14:paraId="3C06E5A9" w14:textId="77777777" w:rsidR="00661C09" w:rsidRDefault="00661C09" w:rsidP="00661C09">
      <w:pPr>
        <w:rPr>
          <w:rFonts w:cs="Arial"/>
          <w:color w:val="000000"/>
          <w:lang w:eastAsia="en-AU"/>
        </w:rPr>
      </w:pPr>
    </w:p>
    <w:p w14:paraId="6FA55C2B" w14:textId="77777777" w:rsidR="00B12BC0" w:rsidRPr="00661C09" w:rsidRDefault="00B12BC0" w:rsidP="00661C09">
      <w:pPr>
        <w:pStyle w:val="Heading2"/>
        <w:jc w:val="both"/>
        <w:rPr>
          <w:rFonts w:cs="Calibri"/>
        </w:rPr>
      </w:pPr>
      <w:bookmarkStart w:id="46" w:name="_Toc456694698"/>
      <w:r>
        <w:rPr>
          <w:rFonts w:cs="Calibri"/>
        </w:rPr>
        <w:t xml:space="preserve">Detailed Accounting </w:t>
      </w:r>
      <w:r w:rsidR="007F7724">
        <w:rPr>
          <w:rFonts w:cs="Calibri"/>
        </w:rPr>
        <w:t>Advice</w:t>
      </w:r>
      <w:bookmarkEnd w:id="46"/>
    </w:p>
    <w:p w14:paraId="35CDD210" w14:textId="77777777" w:rsidR="00405248" w:rsidRDefault="007F7724" w:rsidP="00405248">
      <w:r w:rsidRPr="00661C09">
        <w:t>Agencies should seek detailed accounting advice</w:t>
      </w:r>
      <w:r w:rsidR="00421D6A" w:rsidRPr="00661C09">
        <w:t xml:space="preserve"> from an accounting firm initially</w:t>
      </w:r>
      <w:r w:rsidR="006E78AA" w:rsidRPr="00661C09">
        <w:t xml:space="preserve"> </w:t>
      </w:r>
      <w:r w:rsidR="00421D6A" w:rsidRPr="00661C09">
        <w:t>and then</w:t>
      </w:r>
      <w:r w:rsidRPr="00661C09">
        <w:t xml:space="preserve"> as necessary</w:t>
      </w:r>
      <w:r w:rsidR="00BD1FF5" w:rsidRPr="00661C09">
        <w:t>, in</w:t>
      </w:r>
      <w:r w:rsidRPr="00661C09">
        <w:t xml:space="preserve"> applying this policy.</w:t>
      </w:r>
    </w:p>
    <w:p w14:paraId="34006DC7" w14:textId="77777777" w:rsidR="00405248" w:rsidRDefault="00405248">
      <w:r>
        <w:br w:type="page"/>
      </w:r>
    </w:p>
    <w:p w14:paraId="0F804D74" w14:textId="77777777" w:rsidR="00CB26FF" w:rsidRPr="00CF1B2C" w:rsidRDefault="00CB26FF" w:rsidP="00F96CAF">
      <w:pPr>
        <w:pStyle w:val="Heading1"/>
        <w:jc w:val="both"/>
        <w:rPr>
          <w:rFonts w:cs="Calibri"/>
        </w:rPr>
      </w:pPr>
      <w:bookmarkStart w:id="47" w:name="_Toc456694699"/>
      <w:r>
        <w:rPr>
          <w:rFonts w:cs="Calibri"/>
        </w:rPr>
        <w:lastRenderedPageBreak/>
        <w:t>Disclosures</w:t>
      </w:r>
      <w:bookmarkEnd w:id="47"/>
      <w:r w:rsidR="0016317E">
        <w:rPr>
          <w:rFonts w:cs="Calibri"/>
        </w:rPr>
        <w:t xml:space="preserve"> </w:t>
      </w:r>
    </w:p>
    <w:p w14:paraId="48280CAB" w14:textId="77777777" w:rsidR="00CB26FF" w:rsidRPr="00CF1B2C" w:rsidRDefault="00CB26FF" w:rsidP="00F96CAF">
      <w:pPr>
        <w:pStyle w:val="Heading2"/>
        <w:jc w:val="both"/>
        <w:rPr>
          <w:rFonts w:cs="Calibri"/>
        </w:rPr>
      </w:pPr>
      <w:bookmarkStart w:id="48" w:name="_Toc456694700"/>
      <w:r>
        <w:rPr>
          <w:rFonts w:cs="Calibri"/>
        </w:rPr>
        <w:t>Grantor Disclosures under AASB Interpretation</w:t>
      </w:r>
      <w:r w:rsidR="00B01231">
        <w:rPr>
          <w:rFonts w:cs="Calibri"/>
        </w:rPr>
        <w:t xml:space="preserve"> </w:t>
      </w:r>
      <w:r>
        <w:rPr>
          <w:rFonts w:cs="Calibri"/>
        </w:rPr>
        <w:t>129</w:t>
      </w:r>
      <w:r w:rsidR="00B01231">
        <w:rPr>
          <w:rFonts w:cs="Calibri"/>
        </w:rPr>
        <w:t xml:space="preserve"> </w:t>
      </w:r>
      <w:r w:rsidR="00B01231" w:rsidRPr="00CF1B2C">
        <w:rPr>
          <w:rFonts w:cs="Calibri"/>
          <w:i/>
        </w:rPr>
        <w:t>Service Concession Arrangements: Disclosures</w:t>
      </w:r>
      <w:bookmarkEnd w:id="48"/>
    </w:p>
    <w:p w14:paraId="437AD86F" w14:textId="77777777" w:rsidR="00CF1B2C" w:rsidRDefault="00CB26FF" w:rsidP="00CF1B2C">
      <w:r>
        <w:t>AASB Interpretation 129</w:t>
      </w:r>
      <w:r w:rsidR="00957298">
        <w:t>.6</w:t>
      </w:r>
      <w:r>
        <w:t xml:space="preserve"> requires grantors to disclose the following in each period:</w:t>
      </w:r>
    </w:p>
    <w:p w14:paraId="5ACDEBC5" w14:textId="77777777" w:rsidR="0098205A" w:rsidRPr="0098205A" w:rsidRDefault="0098205A" w:rsidP="0098205A">
      <w:r w:rsidRPr="0098205A">
        <w:t xml:space="preserve"> (a)</w:t>
      </w:r>
      <w:r>
        <w:tab/>
      </w:r>
      <w:r w:rsidRPr="0098205A">
        <w:t xml:space="preserve"> a description of the arrangement; </w:t>
      </w:r>
    </w:p>
    <w:p w14:paraId="28DACF6A" w14:textId="77777777" w:rsidR="0098205A" w:rsidRDefault="0098205A" w:rsidP="0098205A">
      <w:pPr>
        <w:ind w:left="720" w:hanging="720"/>
      </w:pPr>
      <w:r w:rsidRPr="0098205A">
        <w:t xml:space="preserve">(b) </w:t>
      </w:r>
      <w:r>
        <w:tab/>
      </w:r>
      <w:r w:rsidRPr="0098205A">
        <w:t>significant terms of the arrangement that may affect the amount, timing and certainty of future cash flows (</w:t>
      </w:r>
      <w:r w:rsidR="00636079" w:rsidRPr="0098205A">
        <w:t>e.g.</w:t>
      </w:r>
      <w:r w:rsidRPr="0098205A">
        <w:t xml:space="preserve"> the period of the concession, re-pricing dates and the basis upon which re-pricing or re-negotiation is determined); </w:t>
      </w:r>
    </w:p>
    <w:p w14:paraId="6D53F018" w14:textId="77777777" w:rsidR="0098205A" w:rsidRPr="0098205A" w:rsidRDefault="0098205A" w:rsidP="0098205A">
      <w:pPr>
        <w:ind w:left="720" w:hanging="720"/>
      </w:pPr>
      <w:r w:rsidRPr="0098205A">
        <w:t xml:space="preserve">(c) </w:t>
      </w:r>
      <w:r>
        <w:tab/>
      </w:r>
      <w:r w:rsidRPr="0098205A">
        <w:t>the nature and extent (</w:t>
      </w:r>
      <w:r w:rsidR="00636079" w:rsidRPr="0098205A">
        <w:t>e.g.</w:t>
      </w:r>
      <w:r w:rsidRPr="0098205A">
        <w:t xml:space="preserve"> quantity, time period or amount as appropriate) of: </w:t>
      </w:r>
    </w:p>
    <w:p w14:paraId="482EB9B6" w14:textId="77777777" w:rsidR="0098205A" w:rsidRPr="0098205A" w:rsidRDefault="0098205A" w:rsidP="0098205A">
      <w:pPr>
        <w:ind w:firstLine="720"/>
      </w:pPr>
      <w:r w:rsidRPr="0098205A">
        <w:t xml:space="preserve">(i) rights to use specified assets; </w:t>
      </w:r>
    </w:p>
    <w:p w14:paraId="439751A9" w14:textId="77777777" w:rsidR="0098205A" w:rsidRPr="0098205A" w:rsidRDefault="0098205A" w:rsidP="0098205A">
      <w:pPr>
        <w:pStyle w:val="ListParagraph"/>
      </w:pPr>
      <w:r w:rsidRPr="0098205A">
        <w:t xml:space="preserve">(ii) obligations to provide or rights to expect provision of services; </w:t>
      </w:r>
    </w:p>
    <w:p w14:paraId="1F24925E" w14:textId="77777777" w:rsidR="0098205A" w:rsidRPr="0098205A" w:rsidRDefault="0098205A" w:rsidP="0098205A">
      <w:pPr>
        <w:pStyle w:val="ListParagraph"/>
      </w:pPr>
      <w:r w:rsidRPr="0098205A">
        <w:t xml:space="preserve">(iii) obligations to acquire or build items of property, plant and equipment; </w:t>
      </w:r>
    </w:p>
    <w:p w14:paraId="590FEF0C" w14:textId="77777777" w:rsidR="0098205A" w:rsidRPr="0098205A" w:rsidRDefault="0098205A" w:rsidP="0098205A">
      <w:pPr>
        <w:pStyle w:val="ListParagraph"/>
      </w:pPr>
      <w:r w:rsidRPr="0098205A">
        <w:t xml:space="preserve">(iv) obligations to deliver or rights to receive specified assets at the end of the concession period; </w:t>
      </w:r>
    </w:p>
    <w:p w14:paraId="53528376" w14:textId="77777777" w:rsidR="0098205A" w:rsidRPr="0098205A" w:rsidRDefault="0098205A" w:rsidP="0098205A">
      <w:pPr>
        <w:pStyle w:val="ListParagraph"/>
      </w:pPr>
      <w:r w:rsidRPr="0098205A">
        <w:t xml:space="preserve">(v) renewal and termination options; and </w:t>
      </w:r>
    </w:p>
    <w:p w14:paraId="1F8A397C" w14:textId="77777777" w:rsidR="0098205A" w:rsidRPr="0098205A" w:rsidRDefault="0098205A" w:rsidP="0098205A">
      <w:pPr>
        <w:pStyle w:val="ListParagraph"/>
      </w:pPr>
      <w:r w:rsidRPr="0098205A">
        <w:t>(vi) other rights and obligations (e</w:t>
      </w:r>
      <w:r w:rsidR="0056591F">
        <w:t>.</w:t>
      </w:r>
      <w:r w:rsidRPr="0098205A">
        <w:t>g</w:t>
      </w:r>
      <w:r w:rsidR="0056591F">
        <w:t>.</w:t>
      </w:r>
      <w:r w:rsidRPr="0098205A">
        <w:t xml:space="preserve"> major overhauls); </w:t>
      </w:r>
    </w:p>
    <w:p w14:paraId="14CC07F1" w14:textId="77777777" w:rsidR="00B57748" w:rsidRDefault="0056591F" w:rsidP="0056591F">
      <w:r>
        <w:t xml:space="preserve">(d)        </w:t>
      </w:r>
      <w:r w:rsidR="0098205A" w:rsidRPr="0056591F">
        <w:t xml:space="preserve">changes in the arrangement occurring during the period; and </w:t>
      </w:r>
    </w:p>
    <w:p w14:paraId="72595D5F" w14:textId="77777777" w:rsidR="0098205A" w:rsidRDefault="0056591F" w:rsidP="0056591F">
      <w:r>
        <w:t xml:space="preserve">(e)       </w:t>
      </w:r>
      <w:r w:rsidR="0098205A" w:rsidRPr="0098205A">
        <w:t xml:space="preserve">how the service arrangement has been classified. </w:t>
      </w:r>
    </w:p>
    <w:p w14:paraId="696007E2" w14:textId="77777777" w:rsidR="0048284A" w:rsidRDefault="0048284A" w:rsidP="0056591F"/>
    <w:p w14:paraId="241B6B67" w14:textId="77777777" w:rsidR="0048284A" w:rsidRPr="0098205A" w:rsidRDefault="0048284A" w:rsidP="0056591F">
      <w:r>
        <w:t xml:space="preserve">Note that these disclosures apply to </w:t>
      </w:r>
      <w:r w:rsidR="003E7A7E">
        <w:t xml:space="preserve">any arrangement that meets the Service Concession Arrangement definition contained in </w:t>
      </w:r>
      <w:r w:rsidR="0029139A">
        <w:t xml:space="preserve">AASB Interpretation 129 which </w:t>
      </w:r>
      <w:r w:rsidR="0029139A" w:rsidRPr="0029139A">
        <w:rPr>
          <w:b/>
        </w:rPr>
        <w:t>is broader</w:t>
      </w:r>
      <w:r w:rsidR="0029139A">
        <w:t xml:space="preserve"> than the scope of this policy</w:t>
      </w:r>
      <w:r w:rsidR="005C4855">
        <w:t xml:space="preserve"> for recognition and measurement</w:t>
      </w:r>
      <w:r w:rsidR="0029139A">
        <w:t>.</w:t>
      </w:r>
    </w:p>
    <w:sectPr w:rsidR="0048284A" w:rsidRPr="0098205A" w:rsidSect="00405248">
      <w:pgSz w:w="12240" w:h="15840" w:code="1"/>
      <w:pgMar w:top="1806" w:right="1797" w:bottom="1440" w:left="1797" w:header="567"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8C65" w14:textId="77777777" w:rsidR="002D20D6" w:rsidRDefault="002D20D6">
      <w:r>
        <w:separator/>
      </w:r>
    </w:p>
  </w:endnote>
  <w:endnote w:type="continuationSeparator" w:id="0">
    <w:p w14:paraId="67840D7A" w14:textId="77777777" w:rsidR="002D20D6" w:rsidRDefault="002D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6053" w14:textId="77777777" w:rsidR="002D20D6" w:rsidRDefault="004A0FF0" w:rsidP="00BD3922">
    <w:pPr>
      <w:pStyle w:val="Footer"/>
      <w:framePr w:wrap="around" w:vAnchor="text" w:hAnchor="margin" w:xAlign="center" w:y="1"/>
      <w:jc w:val="both"/>
      <w:rPr>
        <w:rStyle w:val="PageNumber"/>
      </w:rPr>
    </w:pPr>
    <w:r>
      <w:rPr>
        <w:rStyle w:val="PageNumber"/>
      </w:rPr>
      <w:fldChar w:fldCharType="begin"/>
    </w:r>
    <w:r w:rsidR="002D20D6">
      <w:rPr>
        <w:rStyle w:val="PageNumber"/>
      </w:rPr>
      <w:instrText xml:space="preserve">PAGE  </w:instrText>
    </w:r>
    <w:r>
      <w:rPr>
        <w:rStyle w:val="PageNumber"/>
      </w:rPr>
      <w:fldChar w:fldCharType="end"/>
    </w:r>
  </w:p>
  <w:p w14:paraId="5D090593" w14:textId="77777777" w:rsidR="002D20D6" w:rsidRDefault="002D20D6" w:rsidP="00BD392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0472" w14:textId="77777777" w:rsidR="002D20D6" w:rsidRPr="00842FB9" w:rsidRDefault="004A0FF0" w:rsidP="00BD3922">
    <w:pPr>
      <w:pStyle w:val="Footer"/>
      <w:framePr w:wrap="around" w:vAnchor="text" w:hAnchor="margin" w:xAlign="center" w:y="1"/>
      <w:jc w:val="both"/>
      <w:rPr>
        <w:rStyle w:val="PageNumber"/>
        <w:rFonts w:ascii="Calibri" w:hAnsi="Calibri" w:cs="Calibri"/>
      </w:rPr>
    </w:pPr>
    <w:r w:rsidRPr="00842FB9">
      <w:rPr>
        <w:rStyle w:val="PageNumber"/>
        <w:rFonts w:ascii="Calibri" w:hAnsi="Calibri" w:cs="Calibri"/>
      </w:rPr>
      <w:fldChar w:fldCharType="begin"/>
    </w:r>
    <w:r w:rsidR="002D20D6" w:rsidRPr="00842FB9">
      <w:rPr>
        <w:rStyle w:val="PageNumber"/>
        <w:rFonts w:ascii="Calibri" w:hAnsi="Calibri" w:cs="Calibri"/>
      </w:rPr>
      <w:instrText xml:space="preserve">PAGE  </w:instrText>
    </w:r>
    <w:r w:rsidRPr="00842FB9">
      <w:rPr>
        <w:rStyle w:val="PageNumber"/>
        <w:rFonts w:ascii="Calibri" w:hAnsi="Calibri" w:cs="Calibri"/>
      </w:rPr>
      <w:fldChar w:fldCharType="separate"/>
    </w:r>
    <w:r w:rsidR="005D2897">
      <w:rPr>
        <w:rStyle w:val="PageNumber"/>
        <w:rFonts w:ascii="Calibri" w:hAnsi="Calibri" w:cs="Calibri"/>
        <w:noProof/>
      </w:rPr>
      <w:t>i</w:t>
    </w:r>
    <w:r w:rsidRPr="00842FB9">
      <w:rPr>
        <w:rStyle w:val="PageNumber"/>
        <w:rFonts w:ascii="Calibri" w:hAnsi="Calibri" w:cs="Calibri"/>
      </w:rPr>
      <w:fldChar w:fldCharType="end"/>
    </w:r>
  </w:p>
  <w:p w14:paraId="11A33B05" w14:textId="77777777" w:rsidR="002D20D6" w:rsidRDefault="002D20D6" w:rsidP="00BD39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FFCD" w14:textId="77777777" w:rsidR="002D20D6" w:rsidRDefault="002D20D6">
      <w:r>
        <w:separator/>
      </w:r>
    </w:p>
  </w:footnote>
  <w:footnote w:type="continuationSeparator" w:id="0">
    <w:p w14:paraId="38450B99" w14:textId="77777777" w:rsidR="002D20D6" w:rsidRDefault="002D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589F" w14:textId="77777777" w:rsidR="002D20D6" w:rsidRDefault="002D2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89C" w14:textId="18455835" w:rsidR="002D20D6" w:rsidRDefault="007F7FC1" w:rsidP="007F7FC1">
    <w:pPr>
      <w:pStyle w:val="Header"/>
    </w:pPr>
    <w:r>
      <w:rPr>
        <w:rFonts w:asciiTheme="minorHAnsi" w:hAnsiTheme="minorHAnsi" w:cstheme="minorHAnsi"/>
      </w:rPr>
      <w:t>AAPP 105</w:t>
    </w:r>
    <w:r w:rsidR="002D20D6" w:rsidRPr="006B3592">
      <w:rPr>
        <w:rFonts w:asciiTheme="minorHAnsi" w:hAnsiTheme="minorHAnsi" w:cstheme="minorHAnsi"/>
      </w:rPr>
      <w:t xml:space="preserve"> </w:t>
    </w:r>
    <w:r w:rsidR="002D20D6">
      <w:rPr>
        <w:rFonts w:asciiTheme="minorHAnsi" w:hAnsiTheme="minorHAnsi" w:cstheme="minorHAnsi"/>
      </w:rPr>
      <w:t>–</w:t>
    </w:r>
    <w:r w:rsidR="002D20D6" w:rsidRPr="006B3592">
      <w:rPr>
        <w:rFonts w:asciiTheme="minorHAnsi" w:hAnsiTheme="minorHAnsi" w:cstheme="minorHAnsi"/>
      </w:rPr>
      <w:t xml:space="preserve"> </w:t>
    </w:r>
    <w:r w:rsidR="002D20D6">
      <w:rPr>
        <w:rFonts w:asciiTheme="minorHAnsi" w:hAnsiTheme="minorHAnsi" w:cstheme="minorHAnsi"/>
      </w:rPr>
      <w:t>Public Private Partnerships Financed by the Operator with the Assets being Territory Assets at the end of the Arrangement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76B9" w14:textId="77777777" w:rsidR="002D20D6" w:rsidRDefault="002D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0D691D"/>
    <w:multiLevelType w:val="hybridMultilevel"/>
    <w:tmpl w:val="FBCAE0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23521"/>
    <w:multiLevelType w:val="hybridMultilevel"/>
    <w:tmpl w:val="3A567C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A0518"/>
    <w:multiLevelType w:val="hybridMultilevel"/>
    <w:tmpl w:val="1E3EA1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E7C29"/>
    <w:multiLevelType w:val="hybridMultilevel"/>
    <w:tmpl w:val="0CEABAD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BA0048E"/>
    <w:multiLevelType w:val="hybridMultilevel"/>
    <w:tmpl w:val="1CDED0E4"/>
    <w:lvl w:ilvl="0" w:tplc="FF028F54">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6E6B39"/>
    <w:multiLevelType w:val="hybridMultilevel"/>
    <w:tmpl w:val="3524F6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1B66A8A"/>
    <w:multiLevelType w:val="hybridMultilevel"/>
    <w:tmpl w:val="5AE464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66997"/>
    <w:multiLevelType w:val="hybridMultilevel"/>
    <w:tmpl w:val="30D0159C"/>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753F5"/>
    <w:multiLevelType w:val="hybridMultilevel"/>
    <w:tmpl w:val="DCB256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E57D9"/>
    <w:multiLevelType w:val="hybridMultilevel"/>
    <w:tmpl w:val="DD56DB88"/>
    <w:lvl w:ilvl="0" w:tplc="0C090001">
      <w:start w:val="1"/>
      <w:numFmt w:val="bullet"/>
      <w:lvlText w:val=""/>
      <w:lvlJc w:val="left"/>
      <w:pPr>
        <w:tabs>
          <w:tab w:val="num" w:pos="1636"/>
        </w:tabs>
        <w:ind w:left="1636" w:hanging="360"/>
      </w:pPr>
      <w:rPr>
        <w:rFonts w:ascii="Symbol" w:hAnsi="Symbol" w:hint="default"/>
      </w:rPr>
    </w:lvl>
    <w:lvl w:ilvl="1" w:tplc="0C090003" w:tentative="1">
      <w:start w:val="1"/>
      <w:numFmt w:val="bullet"/>
      <w:lvlText w:val="o"/>
      <w:lvlJc w:val="left"/>
      <w:pPr>
        <w:tabs>
          <w:tab w:val="num" w:pos="2356"/>
        </w:tabs>
        <w:ind w:left="2356" w:hanging="360"/>
      </w:pPr>
      <w:rPr>
        <w:rFonts w:ascii="Courier New" w:hAnsi="Courier New" w:cs="Courier New" w:hint="default"/>
      </w:rPr>
    </w:lvl>
    <w:lvl w:ilvl="2" w:tplc="0C090005" w:tentative="1">
      <w:start w:val="1"/>
      <w:numFmt w:val="bullet"/>
      <w:lvlText w:val=""/>
      <w:lvlJc w:val="left"/>
      <w:pPr>
        <w:tabs>
          <w:tab w:val="num" w:pos="3076"/>
        </w:tabs>
        <w:ind w:left="3076" w:hanging="360"/>
      </w:pPr>
      <w:rPr>
        <w:rFonts w:ascii="Wingdings" w:hAnsi="Wingdings" w:hint="default"/>
      </w:rPr>
    </w:lvl>
    <w:lvl w:ilvl="3" w:tplc="0C090001" w:tentative="1">
      <w:start w:val="1"/>
      <w:numFmt w:val="bullet"/>
      <w:lvlText w:val=""/>
      <w:lvlJc w:val="left"/>
      <w:pPr>
        <w:tabs>
          <w:tab w:val="num" w:pos="3796"/>
        </w:tabs>
        <w:ind w:left="3796" w:hanging="360"/>
      </w:pPr>
      <w:rPr>
        <w:rFonts w:ascii="Symbol" w:hAnsi="Symbol" w:hint="default"/>
      </w:rPr>
    </w:lvl>
    <w:lvl w:ilvl="4" w:tplc="0C090003" w:tentative="1">
      <w:start w:val="1"/>
      <w:numFmt w:val="bullet"/>
      <w:lvlText w:val="o"/>
      <w:lvlJc w:val="left"/>
      <w:pPr>
        <w:tabs>
          <w:tab w:val="num" w:pos="4516"/>
        </w:tabs>
        <w:ind w:left="4516" w:hanging="360"/>
      </w:pPr>
      <w:rPr>
        <w:rFonts w:ascii="Courier New" w:hAnsi="Courier New" w:cs="Courier New" w:hint="default"/>
      </w:rPr>
    </w:lvl>
    <w:lvl w:ilvl="5" w:tplc="0C090005" w:tentative="1">
      <w:start w:val="1"/>
      <w:numFmt w:val="bullet"/>
      <w:lvlText w:val=""/>
      <w:lvlJc w:val="left"/>
      <w:pPr>
        <w:tabs>
          <w:tab w:val="num" w:pos="5236"/>
        </w:tabs>
        <w:ind w:left="5236" w:hanging="360"/>
      </w:pPr>
      <w:rPr>
        <w:rFonts w:ascii="Wingdings" w:hAnsi="Wingdings" w:hint="default"/>
      </w:rPr>
    </w:lvl>
    <w:lvl w:ilvl="6" w:tplc="0C090001" w:tentative="1">
      <w:start w:val="1"/>
      <w:numFmt w:val="bullet"/>
      <w:lvlText w:val=""/>
      <w:lvlJc w:val="left"/>
      <w:pPr>
        <w:tabs>
          <w:tab w:val="num" w:pos="5956"/>
        </w:tabs>
        <w:ind w:left="5956" w:hanging="360"/>
      </w:pPr>
      <w:rPr>
        <w:rFonts w:ascii="Symbol" w:hAnsi="Symbol" w:hint="default"/>
      </w:rPr>
    </w:lvl>
    <w:lvl w:ilvl="7" w:tplc="0C090003" w:tentative="1">
      <w:start w:val="1"/>
      <w:numFmt w:val="bullet"/>
      <w:lvlText w:val="o"/>
      <w:lvlJc w:val="left"/>
      <w:pPr>
        <w:tabs>
          <w:tab w:val="num" w:pos="6676"/>
        </w:tabs>
        <w:ind w:left="6676" w:hanging="360"/>
      </w:pPr>
      <w:rPr>
        <w:rFonts w:ascii="Courier New" w:hAnsi="Courier New" w:cs="Courier New" w:hint="default"/>
      </w:rPr>
    </w:lvl>
    <w:lvl w:ilvl="8" w:tplc="0C090005" w:tentative="1">
      <w:start w:val="1"/>
      <w:numFmt w:val="bullet"/>
      <w:lvlText w:val=""/>
      <w:lvlJc w:val="left"/>
      <w:pPr>
        <w:tabs>
          <w:tab w:val="num" w:pos="7396"/>
        </w:tabs>
        <w:ind w:left="7396" w:hanging="360"/>
      </w:pPr>
      <w:rPr>
        <w:rFonts w:ascii="Wingdings" w:hAnsi="Wingdings" w:hint="default"/>
      </w:rPr>
    </w:lvl>
  </w:abstractNum>
  <w:abstractNum w:abstractNumId="11" w15:restartNumberingAfterBreak="0">
    <w:nsid w:val="2C5C7DDD"/>
    <w:multiLevelType w:val="multilevel"/>
    <w:tmpl w:val="C128ABA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A08B4"/>
    <w:multiLevelType w:val="multilevel"/>
    <w:tmpl w:val="3FD6725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FF492C"/>
    <w:multiLevelType w:val="hybridMultilevel"/>
    <w:tmpl w:val="D6C27B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829A8"/>
    <w:multiLevelType w:val="hybridMultilevel"/>
    <w:tmpl w:val="BF36EE3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103426"/>
    <w:multiLevelType w:val="hybridMultilevel"/>
    <w:tmpl w:val="C534F56A"/>
    <w:lvl w:ilvl="0" w:tplc="B4C4649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548AA"/>
    <w:multiLevelType w:val="hybridMultilevel"/>
    <w:tmpl w:val="BA0616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87E704B"/>
    <w:multiLevelType w:val="hybridMultilevel"/>
    <w:tmpl w:val="97946EF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F013A45"/>
    <w:multiLevelType w:val="hybridMultilevel"/>
    <w:tmpl w:val="3196C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93440"/>
    <w:multiLevelType w:val="hybridMultilevel"/>
    <w:tmpl w:val="7E587D0C"/>
    <w:lvl w:ilvl="0" w:tplc="8C284F4C">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2E21306"/>
    <w:multiLevelType w:val="hybridMultilevel"/>
    <w:tmpl w:val="FFE45C28"/>
    <w:lvl w:ilvl="0" w:tplc="0C090001">
      <w:start w:val="1"/>
      <w:numFmt w:val="bullet"/>
      <w:lvlText w:val=""/>
      <w:lvlJc w:val="left"/>
      <w:pPr>
        <w:tabs>
          <w:tab w:val="num" w:pos="1636"/>
        </w:tabs>
        <w:ind w:left="1636"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66C2A93"/>
    <w:multiLevelType w:val="multilevel"/>
    <w:tmpl w:val="66B6C190"/>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134"/>
        </w:tabs>
        <w:ind w:left="1134" w:hanging="41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33F19"/>
    <w:multiLevelType w:val="hybridMultilevel"/>
    <w:tmpl w:val="821E2B1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3" w15:restartNumberingAfterBreak="0">
    <w:nsid w:val="60334CB9"/>
    <w:multiLevelType w:val="hybridMultilevel"/>
    <w:tmpl w:val="31DC31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45A0C4C"/>
    <w:multiLevelType w:val="multilevel"/>
    <w:tmpl w:val="470ADAA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C.4.%3"/>
      <w:lvlJc w:val="left"/>
      <w:pPr>
        <w:tabs>
          <w:tab w:val="num" w:pos="720"/>
        </w:tabs>
        <w:ind w:left="720" w:hanging="720"/>
      </w:pPr>
      <w:rPr>
        <w:rFonts w:hint="default"/>
      </w:rPr>
    </w:lvl>
    <w:lvl w:ilvl="3">
      <w:start w:val="1"/>
      <w:numFmt w:val="decimal"/>
      <w:pStyle w:val="Heading4"/>
      <w:lvlText w:val="C.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4612AF5"/>
    <w:multiLevelType w:val="multilevel"/>
    <w:tmpl w:val="470ADA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C.4.%3"/>
      <w:lvlJc w:val="left"/>
      <w:pPr>
        <w:tabs>
          <w:tab w:val="num" w:pos="720"/>
        </w:tabs>
        <w:ind w:left="720" w:hanging="720"/>
      </w:pPr>
      <w:rPr>
        <w:rFonts w:hint="default"/>
      </w:rPr>
    </w:lvl>
    <w:lvl w:ilvl="3">
      <w:start w:val="1"/>
      <w:numFmt w:val="decimal"/>
      <w:lvlText w:val="C.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6B5C95"/>
    <w:multiLevelType w:val="multilevel"/>
    <w:tmpl w:val="EE609E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303BD2"/>
    <w:multiLevelType w:val="hybridMultilevel"/>
    <w:tmpl w:val="53D80A6C"/>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83737"/>
    <w:multiLevelType w:val="hybridMultilevel"/>
    <w:tmpl w:val="4DC4A912"/>
    <w:lvl w:ilvl="0" w:tplc="847AC75C">
      <w:start w:val="1"/>
      <w:numFmt w:val="decimal"/>
      <w:lvlText w:val="C.%1."/>
      <w:lvlJc w:val="left"/>
      <w:pPr>
        <w:tabs>
          <w:tab w:val="num" w:pos="360"/>
        </w:tabs>
        <w:ind w:left="360" w:hanging="360"/>
      </w:pPr>
      <w:rPr>
        <w:rFonts w:hint="default"/>
      </w:rPr>
    </w:lvl>
    <w:lvl w:ilvl="1" w:tplc="8C284F4C">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7B1C2384"/>
    <w:multiLevelType w:val="hybridMultilevel"/>
    <w:tmpl w:val="6DBC2D7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0" w15:restartNumberingAfterBreak="0">
    <w:nsid w:val="7DA2771B"/>
    <w:multiLevelType w:val="hybridMultilevel"/>
    <w:tmpl w:val="B6543794"/>
    <w:lvl w:ilvl="0" w:tplc="F4924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CE4E4E"/>
    <w:multiLevelType w:val="hybridMultilevel"/>
    <w:tmpl w:val="00506C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9"/>
  </w:num>
  <w:num w:numId="4">
    <w:abstractNumId w:val="1"/>
  </w:num>
  <w:num w:numId="5">
    <w:abstractNumId w:val="6"/>
  </w:num>
  <w:num w:numId="6">
    <w:abstractNumId w:val="10"/>
  </w:num>
  <w:num w:numId="7">
    <w:abstractNumId w:val="20"/>
  </w:num>
  <w:num w:numId="8">
    <w:abstractNumId w:val="16"/>
  </w:num>
  <w:num w:numId="9">
    <w:abstractNumId w:val="31"/>
  </w:num>
  <w:num w:numId="10">
    <w:abstractNumId w:val="27"/>
  </w:num>
  <w:num w:numId="11">
    <w:abstractNumId w:val="19"/>
  </w:num>
  <w:num w:numId="12">
    <w:abstractNumId w:val="3"/>
  </w:num>
  <w:num w:numId="13">
    <w:abstractNumId w:val="8"/>
  </w:num>
  <w:num w:numId="14">
    <w:abstractNumId w:val="28"/>
  </w:num>
  <w:num w:numId="15">
    <w:abstractNumId w:val="24"/>
  </w:num>
  <w:num w:numId="16">
    <w:abstractNumId w:val="24"/>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lvlText w:val="%1.%2"/>
        <w:lvlJc w:val="left"/>
        <w:pPr>
          <w:tabs>
            <w:tab w:val="num" w:pos="576"/>
          </w:tabs>
          <w:ind w:left="576" w:hanging="576"/>
        </w:pPr>
        <w:rPr>
          <w:rFonts w:hint="default"/>
        </w:rPr>
      </w:lvl>
    </w:lvlOverride>
    <w:lvlOverride w:ilvl="2">
      <w:lvl w:ilvl="2">
        <w:start w:val="1"/>
        <w:numFmt w:val="decimal"/>
        <w:pStyle w:val="Heading3"/>
        <w:lvlText w:val="3.2.%3"/>
        <w:lvlJc w:val="left"/>
        <w:pPr>
          <w:tabs>
            <w:tab w:val="num" w:pos="720"/>
          </w:tabs>
          <w:ind w:left="720" w:hanging="720"/>
        </w:pPr>
        <w:rPr>
          <w:rFonts w:hint="default"/>
        </w:rPr>
      </w:lvl>
    </w:lvlOverride>
    <w:lvlOverride w:ilvl="3">
      <w:lvl w:ilvl="3">
        <w:start w:val="1"/>
        <w:numFmt w:val="decimal"/>
        <w:pStyle w:val="Heading4"/>
        <w:lvlText w:val="C.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
    <w:abstractNumId w:val="24"/>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lvlText w:val="%1.%2"/>
        <w:lvlJc w:val="left"/>
        <w:pPr>
          <w:tabs>
            <w:tab w:val="num" w:pos="576"/>
          </w:tabs>
          <w:ind w:left="576" w:hanging="576"/>
        </w:pPr>
        <w:rPr>
          <w:rFonts w:hint="default"/>
        </w:rPr>
      </w:lvl>
    </w:lvlOverride>
    <w:lvlOverride w:ilvl="2">
      <w:lvl w:ilvl="2">
        <w:start w:val="1"/>
        <w:numFmt w:val="decimal"/>
        <w:pStyle w:val="Heading3"/>
        <w:lvlText w:val="5.1.%3"/>
        <w:lvlJc w:val="left"/>
        <w:pPr>
          <w:tabs>
            <w:tab w:val="num" w:pos="720"/>
          </w:tabs>
          <w:ind w:left="720" w:hanging="720"/>
        </w:pPr>
        <w:rPr>
          <w:rFonts w:hint="default"/>
        </w:rPr>
      </w:lvl>
    </w:lvlOverride>
    <w:lvlOverride w:ilvl="3">
      <w:lvl w:ilvl="3">
        <w:start w:val="1"/>
        <w:numFmt w:val="decimal"/>
        <w:pStyle w:val="Heading4"/>
        <w:lvlText w:val="C.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24"/>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lvlText w:val="%1.%2"/>
        <w:lvlJc w:val="left"/>
        <w:pPr>
          <w:tabs>
            <w:tab w:val="num" w:pos="576"/>
          </w:tabs>
          <w:ind w:left="576" w:hanging="576"/>
        </w:pPr>
        <w:rPr>
          <w:rFonts w:hint="default"/>
        </w:rPr>
      </w:lvl>
    </w:lvlOverride>
    <w:lvlOverride w:ilvl="2">
      <w:lvl w:ilvl="2">
        <w:start w:val="1"/>
        <w:numFmt w:val="decimal"/>
        <w:pStyle w:val="Heading3"/>
        <w:lvlText w:val="C.2.%3"/>
        <w:lvlJc w:val="left"/>
        <w:pPr>
          <w:tabs>
            <w:tab w:val="num" w:pos="720"/>
          </w:tabs>
          <w:ind w:left="720" w:hanging="720"/>
        </w:pPr>
        <w:rPr>
          <w:rFonts w:hint="default"/>
        </w:rPr>
      </w:lvl>
    </w:lvlOverride>
    <w:lvlOverride w:ilvl="3">
      <w:lvl w:ilvl="3">
        <w:start w:val="1"/>
        <w:numFmt w:val="decimal"/>
        <w:pStyle w:val="Heading4"/>
        <w:lvlText w:val="C.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4"/>
  </w:num>
  <w:num w:numId="22">
    <w:abstractNumId w:val="0"/>
  </w:num>
  <w:num w:numId="23">
    <w:abstractNumId w:val="25"/>
  </w:num>
  <w:num w:numId="24">
    <w:abstractNumId w:val="24"/>
  </w:num>
  <w:num w:numId="25">
    <w:abstractNumId w:val="2"/>
  </w:num>
  <w:num w:numId="26">
    <w:abstractNumId w:val="21"/>
  </w:num>
  <w:num w:numId="27">
    <w:abstractNumId w:val="24"/>
  </w:num>
  <w:num w:numId="28">
    <w:abstractNumId w:val="23"/>
  </w:num>
  <w:num w:numId="29">
    <w:abstractNumId w:val="24"/>
  </w:num>
  <w:num w:numId="30">
    <w:abstractNumId w:val="12"/>
  </w:num>
  <w:num w:numId="31">
    <w:abstractNumId w:val="29"/>
  </w:num>
  <w:num w:numId="32">
    <w:abstractNumId w:val="4"/>
  </w:num>
  <w:num w:numId="33">
    <w:abstractNumId w:val="15"/>
  </w:num>
  <w:num w:numId="34">
    <w:abstractNumId w:val="30"/>
  </w:num>
  <w:num w:numId="35">
    <w:abstractNumId w:val="24"/>
  </w:num>
  <w:num w:numId="36">
    <w:abstractNumId w:val="11"/>
  </w:num>
  <w:num w:numId="37">
    <w:abstractNumId w:val="14"/>
  </w:num>
  <w:num w:numId="38">
    <w:abstractNumId w:val="24"/>
  </w:num>
  <w:num w:numId="39">
    <w:abstractNumId w:val="24"/>
  </w:num>
  <w:num w:numId="40">
    <w:abstractNumId w:val="22"/>
  </w:num>
  <w:num w:numId="41">
    <w:abstractNumId w:val="5"/>
  </w:num>
  <w:num w:numId="42">
    <w:abstractNumId w:val="17"/>
  </w:num>
  <w:num w:numId="43">
    <w:abstractNumId w:val="24"/>
  </w:num>
  <w:num w:numId="44">
    <w:abstractNumId w:val="24"/>
  </w:num>
  <w:num w:numId="4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9"/>
    <w:rsid w:val="00000B30"/>
    <w:rsid w:val="0000289B"/>
    <w:rsid w:val="00017045"/>
    <w:rsid w:val="000232F3"/>
    <w:rsid w:val="0002765B"/>
    <w:rsid w:val="0002771C"/>
    <w:rsid w:val="0003071E"/>
    <w:rsid w:val="00031B6C"/>
    <w:rsid w:val="000326ED"/>
    <w:rsid w:val="000329BE"/>
    <w:rsid w:val="000334BF"/>
    <w:rsid w:val="000367A9"/>
    <w:rsid w:val="00036BA8"/>
    <w:rsid w:val="00040EBE"/>
    <w:rsid w:val="00041A4B"/>
    <w:rsid w:val="00045F19"/>
    <w:rsid w:val="00046A8C"/>
    <w:rsid w:val="00050AC6"/>
    <w:rsid w:val="00050F35"/>
    <w:rsid w:val="000537C5"/>
    <w:rsid w:val="00056C6D"/>
    <w:rsid w:val="000662A2"/>
    <w:rsid w:val="00072062"/>
    <w:rsid w:val="0007413B"/>
    <w:rsid w:val="000762B2"/>
    <w:rsid w:val="000765E5"/>
    <w:rsid w:val="0007790B"/>
    <w:rsid w:val="00077C61"/>
    <w:rsid w:val="00081017"/>
    <w:rsid w:val="000841C8"/>
    <w:rsid w:val="000910DC"/>
    <w:rsid w:val="00091B67"/>
    <w:rsid w:val="00092D81"/>
    <w:rsid w:val="0009740A"/>
    <w:rsid w:val="000979D6"/>
    <w:rsid w:val="00097C7B"/>
    <w:rsid w:val="000A1FAF"/>
    <w:rsid w:val="000A3B7F"/>
    <w:rsid w:val="000A4561"/>
    <w:rsid w:val="000A5BA0"/>
    <w:rsid w:val="000A6921"/>
    <w:rsid w:val="000B253E"/>
    <w:rsid w:val="000B2E39"/>
    <w:rsid w:val="000B2F13"/>
    <w:rsid w:val="000C070D"/>
    <w:rsid w:val="000C65FB"/>
    <w:rsid w:val="000C68BE"/>
    <w:rsid w:val="000C7CC9"/>
    <w:rsid w:val="000D4FE1"/>
    <w:rsid w:val="000D6547"/>
    <w:rsid w:val="000E1B37"/>
    <w:rsid w:val="000E1B92"/>
    <w:rsid w:val="000E1DE9"/>
    <w:rsid w:val="000E2077"/>
    <w:rsid w:val="000E3504"/>
    <w:rsid w:val="000F165F"/>
    <w:rsid w:val="000F1C91"/>
    <w:rsid w:val="000F2F63"/>
    <w:rsid w:val="000F5378"/>
    <w:rsid w:val="000F5934"/>
    <w:rsid w:val="000F7437"/>
    <w:rsid w:val="000F7C80"/>
    <w:rsid w:val="001012F6"/>
    <w:rsid w:val="00102C82"/>
    <w:rsid w:val="0011799A"/>
    <w:rsid w:val="00121728"/>
    <w:rsid w:val="0012263C"/>
    <w:rsid w:val="0012276B"/>
    <w:rsid w:val="0013077B"/>
    <w:rsid w:val="00130E4A"/>
    <w:rsid w:val="00133671"/>
    <w:rsid w:val="00134A0E"/>
    <w:rsid w:val="00140994"/>
    <w:rsid w:val="001436EE"/>
    <w:rsid w:val="001452E7"/>
    <w:rsid w:val="0014592B"/>
    <w:rsid w:val="00146BF4"/>
    <w:rsid w:val="001531B1"/>
    <w:rsid w:val="00156412"/>
    <w:rsid w:val="00156CB4"/>
    <w:rsid w:val="00160C0E"/>
    <w:rsid w:val="00162A71"/>
    <w:rsid w:val="0016317E"/>
    <w:rsid w:val="001675ED"/>
    <w:rsid w:val="00170BDC"/>
    <w:rsid w:val="00171367"/>
    <w:rsid w:val="0017144A"/>
    <w:rsid w:val="00171BEF"/>
    <w:rsid w:val="00172600"/>
    <w:rsid w:val="001750FB"/>
    <w:rsid w:val="00177D58"/>
    <w:rsid w:val="00183C27"/>
    <w:rsid w:val="00185D66"/>
    <w:rsid w:val="001865B6"/>
    <w:rsid w:val="0018662E"/>
    <w:rsid w:val="001902B9"/>
    <w:rsid w:val="00191491"/>
    <w:rsid w:val="001945EE"/>
    <w:rsid w:val="001A06C9"/>
    <w:rsid w:val="001A3F2B"/>
    <w:rsid w:val="001C0976"/>
    <w:rsid w:val="001C26C9"/>
    <w:rsid w:val="001C37B2"/>
    <w:rsid w:val="001C3D30"/>
    <w:rsid w:val="001C3DC5"/>
    <w:rsid w:val="001C6300"/>
    <w:rsid w:val="001C646F"/>
    <w:rsid w:val="001C6FE2"/>
    <w:rsid w:val="001C780F"/>
    <w:rsid w:val="001D1BCF"/>
    <w:rsid w:val="001D4D36"/>
    <w:rsid w:val="001E1E19"/>
    <w:rsid w:val="001E46F6"/>
    <w:rsid w:val="001E5711"/>
    <w:rsid w:val="001E67A7"/>
    <w:rsid w:val="001F395A"/>
    <w:rsid w:val="001F3EBF"/>
    <w:rsid w:val="002032C5"/>
    <w:rsid w:val="00204A68"/>
    <w:rsid w:val="0021026D"/>
    <w:rsid w:val="00212AD7"/>
    <w:rsid w:val="0021516C"/>
    <w:rsid w:val="00216BB1"/>
    <w:rsid w:val="00216C8C"/>
    <w:rsid w:val="00220092"/>
    <w:rsid w:val="00225D29"/>
    <w:rsid w:val="00236CFC"/>
    <w:rsid w:val="00241591"/>
    <w:rsid w:val="002459DB"/>
    <w:rsid w:val="00245F93"/>
    <w:rsid w:val="00246589"/>
    <w:rsid w:val="002470B8"/>
    <w:rsid w:val="002500F8"/>
    <w:rsid w:val="00251CAF"/>
    <w:rsid w:val="002527BA"/>
    <w:rsid w:val="0025500F"/>
    <w:rsid w:val="0025602E"/>
    <w:rsid w:val="00257BA6"/>
    <w:rsid w:val="002619BB"/>
    <w:rsid w:val="0026504F"/>
    <w:rsid w:val="00265299"/>
    <w:rsid w:val="0026532A"/>
    <w:rsid w:val="0027481C"/>
    <w:rsid w:val="0027609E"/>
    <w:rsid w:val="00282D84"/>
    <w:rsid w:val="00286D26"/>
    <w:rsid w:val="0029139A"/>
    <w:rsid w:val="002975D4"/>
    <w:rsid w:val="002979AA"/>
    <w:rsid w:val="002A2472"/>
    <w:rsid w:val="002A2983"/>
    <w:rsid w:val="002A2C60"/>
    <w:rsid w:val="002A4A68"/>
    <w:rsid w:val="002A642E"/>
    <w:rsid w:val="002B401D"/>
    <w:rsid w:val="002B533A"/>
    <w:rsid w:val="002B5784"/>
    <w:rsid w:val="002B794B"/>
    <w:rsid w:val="002C4548"/>
    <w:rsid w:val="002C50A0"/>
    <w:rsid w:val="002C6996"/>
    <w:rsid w:val="002D0DC1"/>
    <w:rsid w:val="002D20D6"/>
    <w:rsid w:val="002D311B"/>
    <w:rsid w:val="002D7E1F"/>
    <w:rsid w:val="002E0DE2"/>
    <w:rsid w:val="002E4B60"/>
    <w:rsid w:val="002E52FA"/>
    <w:rsid w:val="002E755E"/>
    <w:rsid w:val="002F16DE"/>
    <w:rsid w:val="002F1847"/>
    <w:rsid w:val="002F2D04"/>
    <w:rsid w:val="002F5110"/>
    <w:rsid w:val="002F59D4"/>
    <w:rsid w:val="002F6420"/>
    <w:rsid w:val="002F69FF"/>
    <w:rsid w:val="00300BF6"/>
    <w:rsid w:val="00303BA6"/>
    <w:rsid w:val="00307B7E"/>
    <w:rsid w:val="0031293A"/>
    <w:rsid w:val="003132F7"/>
    <w:rsid w:val="00315EA3"/>
    <w:rsid w:val="00317BC2"/>
    <w:rsid w:val="0032256C"/>
    <w:rsid w:val="00322B79"/>
    <w:rsid w:val="00324DD2"/>
    <w:rsid w:val="00331FC1"/>
    <w:rsid w:val="00332B42"/>
    <w:rsid w:val="0033477F"/>
    <w:rsid w:val="00335E9F"/>
    <w:rsid w:val="003379EA"/>
    <w:rsid w:val="00343C61"/>
    <w:rsid w:val="00345DD4"/>
    <w:rsid w:val="003575EA"/>
    <w:rsid w:val="00364C37"/>
    <w:rsid w:val="003668FC"/>
    <w:rsid w:val="003704BF"/>
    <w:rsid w:val="00373B10"/>
    <w:rsid w:val="0038389B"/>
    <w:rsid w:val="00384EB1"/>
    <w:rsid w:val="00386981"/>
    <w:rsid w:val="003875A2"/>
    <w:rsid w:val="003902C9"/>
    <w:rsid w:val="00394D42"/>
    <w:rsid w:val="0039542E"/>
    <w:rsid w:val="003A7F94"/>
    <w:rsid w:val="003B32C7"/>
    <w:rsid w:val="003B4F37"/>
    <w:rsid w:val="003B617C"/>
    <w:rsid w:val="003C142D"/>
    <w:rsid w:val="003C2357"/>
    <w:rsid w:val="003C6215"/>
    <w:rsid w:val="003D04FE"/>
    <w:rsid w:val="003D60C8"/>
    <w:rsid w:val="003D79C0"/>
    <w:rsid w:val="003E07B1"/>
    <w:rsid w:val="003E28D1"/>
    <w:rsid w:val="003E2AEB"/>
    <w:rsid w:val="003E7A7E"/>
    <w:rsid w:val="003F3F6F"/>
    <w:rsid w:val="003F454D"/>
    <w:rsid w:val="003F4AD4"/>
    <w:rsid w:val="003F4D18"/>
    <w:rsid w:val="003F6E8E"/>
    <w:rsid w:val="00403A40"/>
    <w:rsid w:val="00404C5E"/>
    <w:rsid w:val="00404E3A"/>
    <w:rsid w:val="00405248"/>
    <w:rsid w:val="004107C2"/>
    <w:rsid w:val="00416CAB"/>
    <w:rsid w:val="00417464"/>
    <w:rsid w:val="00421D6A"/>
    <w:rsid w:val="00421E01"/>
    <w:rsid w:val="004274FB"/>
    <w:rsid w:val="00431252"/>
    <w:rsid w:val="00432085"/>
    <w:rsid w:val="00443DA3"/>
    <w:rsid w:val="00445237"/>
    <w:rsid w:val="0044543B"/>
    <w:rsid w:val="00445B5E"/>
    <w:rsid w:val="00446D19"/>
    <w:rsid w:val="00456C3B"/>
    <w:rsid w:val="00462CD4"/>
    <w:rsid w:val="0046513C"/>
    <w:rsid w:val="00466480"/>
    <w:rsid w:val="00467F99"/>
    <w:rsid w:val="004709EB"/>
    <w:rsid w:val="00472D28"/>
    <w:rsid w:val="00474618"/>
    <w:rsid w:val="0047739F"/>
    <w:rsid w:val="0048044F"/>
    <w:rsid w:val="0048284A"/>
    <w:rsid w:val="00482B08"/>
    <w:rsid w:val="00485584"/>
    <w:rsid w:val="00487CCD"/>
    <w:rsid w:val="004945B9"/>
    <w:rsid w:val="004A0FF0"/>
    <w:rsid w:val="004A30EE"/>
    <w:rsid w:val="004A4709"/>
    <w:rsid w:val="004B219C"/>
    <w:rsid w:val="004B2D26"/>
    <w:rsid w:val="004B3572"/>
    <w:rsid w:val="004B5B64"/>
    <w:rsid w:val="004B5E5E"/>
    <w:rsid w:val="004B746F"/>
    <w:rsid w:val="004B7566"/>
    <w:rsid w:val="004B7B36"/>
    <w:rsid w:val="004C3580"/>
    <w:rsid w:val="004C35A3"/>
    <w:rsid w:val="004C7472"/>
    <w:rsid w:val="004D6B4D"/>
    <w:rsid w:val="004E0903"/>
    <w:rsid w:val="004E1218"/>
    <w:rsid w:val="004E196D"/>
    <w:rsid w:val="004E4304"/>
    <w:rsid w:val="004E6598"/>
    <w:rsid w:val="004E6CCF"/>
    <w:rsid w:val="004F002D"/>
    <w:rsid w:val="004F0DC2"/>
    <w:rsid w:val="004F15EA"/>
    <w:rsid w:val="00500291"/>
    <w:rsid w:val="00501FBE"/>
    <w:rsid w:val="00502138"/>
    <w:rsid w:val="00502A2F"/>
    <w:rsid w:val="00503127"/>
    <w:rsid w:val="00512562"/>
    <w:rsid w:val="00512B63"/>
    <w:rsid w:val="005160C9"/>
    <w:rsid w:val="00520FA1"/>
    <w:rsid w:val="00527C7D"/>
    <w:rsid w:val="00531278"/>
    <w:rsid w:val="0053306E"/>
    <w:rsid w:val="005342AB"/>
    <w:rsid w:val="00535851"/>
    <w:rsid w:val="00537BBE"/>
    <w:rsid w:val="005415A2"/>
    <w:rsid w:val="00544356"/>
    <w:rsid w:val="00553FDB"/>
    <w:rsid w:val="00554A19"/>
    <w:rsid w:val="00563526"/>
    <w:rsid w:val="0056463B"/>
    <w:rsid w:val="005654E9"/>
    <w:rsid w:val="0056591F"/>
    <w:rsid w:val="0056609C"/>
    <w:rsid w:val="005672D2"/>
    <w:rsid w:val="005705F8"/>
    <w:rsid w:val="00572C62"/>
    <w:rsid w:val="005771B9"/>
    <w:rsid w:val="005815C0"/>
    <w:rsid w:val="0058188B"/>
    <w:rsid w:val="0058256D"/>
    <w:rsid w:val="00591AD7"/>
    <w:rsid w:val="00592CF4"/>
    <w:rsid w:val="00594BC4"/>
    <w:rsid w:val="00596DCA"/>
    <w:rsid w:val="005A6DFC"/>
    <w:rsid w:val="005B0E7A"/>
    <w:rsid w:val="005C08F5"/>
    <w:rsid w:val="005C239D"/>
    <w:rsid w:val="005C3A2B"/>
    <w:rsid w:val="005C4855"/>
    <w:rsid w:val="005C5373"/>
    <w:rsid w:val="005C5A94"/>
    <w:rsid w:val="005D2897"/>
    <w:rsid w:val="005D5137"/>
    <w:rsid w:val="005E03EB"/>
    <w:rsid w:val="005E1BD4"/>
    <w:rsid w:val="005E3A22"/>
    <w:rsid w:val="005E3FEC"/>
    <w:rsid w:val="005F2684"/>
    <w:rsid w:val="005F7E6B"/>
    <w:rsid w:val="006012B5"/>
    <w:rsid w:val="00611D92"/>
    <w:rsid w:val="006163F7"/>
    <w:rsid w:val="0062215E"/>
    <w:rsid w:val="00622462"/>
    <w:rsid w:val="00623BB1"/>
    <w:rsid w:val="00625B27"/>
    <w:rsid w:val="00630A23"/>
    <w:rsid w:val="00632B6B"/>
    <w:rsid w:val="00635287"/>
    <w:rsid w:val="00635EB2"/>
    <w:rsid w:val="00636079"/>
    <w:rsid w:val="006459BA"/>
    <w:rsid w:val="006472CB"/>
    <w:rsid w:val="0064732A"/>
    <w:rsid w:val="006479D9"/>
    <w:rsid w:val="00653037"/>
    <w:rsid w:val="006544AF"/>
    <w:rsid w:val="00655173"/>
    <w:rsid w:val="00656A62"/>
    <w:rsid w:val="0066032D"/>
    <w:rsid w:val="0066119F"/>
    <w:rsid w:val="00661C09"/>
    <w:rsid w:val="00663B0F"/>
    <w:rsid w:val="00664A21"/>
    <w:rsid w:val="00665CBE"/>
    <w:rsid w:val="0067151F"/>
    <w:rsid w:val="006749FA"/>
    <w:rsid w:val="006760C8"/>
    <w:rsid w:val="0067697D"/>
    <w:rsid w:val="00677E60"/>
    <w:rsid w:val="00683D8C"/>
    <w:rsid w:val="0068559C"/>
    <w:rsid w:val="006868E9"/>
    <w:rsid w:val="00686B46"/>
    <w:rsid w:val="00687D66"/>
    <w:rsid w:val="00694554"/>
    <w:rsid w:val="006949FD"/>
    <w:rsid w:val="006A58C1"/>
    <w:rsid w:val="006A5D66"/>
    <w:rsid w:val="006B0BE6"/>
    <w:rsid w:val="006B3592"/>
    <w:rsid w:val="006B5B75"/>
    <w:rsid w:val="006B5E2F"/>
    <w:rsid w:val="006B7080"/>
    <w:rsid w:val="006B734F"/>
    <w:rsid w:val="006B7794"/>
    <w:rsid w:val="006C12EB"/>
    <w:rsid w:val="006C24A8"/>
    <w:rsid w:val="006D0AC2"/>
    <w:rsid w:val="006D0F0E"/>
    <w:rsid w:val="006D3BED"/>
    <w:rsid w:val="006E5FA5"/>
    <w:rsid w:val="006E78AA"/>
    <w:rsid w:val="006F060D"/>
    <w:rsid w:val="006F1251"/>
    <w:rsid w:val="006F170C"/>
    <w:rsid w:val="006F5EC3"/>
    <w:rsid w:val="00701AAA"/>
    <w:rsid w:val="00704933"/>
    <w:rsid w:val="00704EF9"/>
    <w:rsid w:val="00705A5C"/>
    <w:rsid w:val="00722158"/>
    <w:rsid w:val="00726372"/>
    <w:rsid w:val="00726BDC"/>
    <w:rsid w:val="00726E1E"/>
    <w:rsid w:val="00731693"/>
    <w:rsid w:val="007343E1"/>
    <w:rsid w:val="00734EF2"/>
    <w:rsid w:val="00740239"/>
    <w:rsid w:val="00742578"/>
    <w:rsid w:val="00743EA0"/>
    <w:rsid w:val="00746BE2"/>
    <w:rsid w:val="00750D77"/>
    <w:rsid w:val="007537B1"/>
    <w:rsid w:val="00753834"/>
    <w:rsid w:val="00757033"/>
    <w:rsid w:val="007602CA"/>
    <w:rsid w:val="007604AC"/>
    <w:rsid w:val="00763364"/>
    <w:rsid w:val="007643BD"/>
    <w:rsid w:val="007659F8"/>
    <w:rsid w:val="00774E7B"/>
    <w:rsid w:val="00776104"/>
    <w:rsid w:val="00777CCB"/>
    <w:rsid w:val="00783775"/>
    <w:rsid w:val="00784376"/>
    <w:rsid w:val="00786F2D"/>
    <w:rsid w:val="00790596"/>
    <w:rsid w:val="007908F9"/>
    <w:rsid w:val="00791B3C"/>
    <w:rsid w:val="00791F3A"/>
    <w:rsid w:val="00792005"/>
    <w:rsid w:val="00795769"/>
    <w:rsid w:val="00795F43"/>
    <w:rsid w:val="007A01BA"/>
    <w:rsid w:val="007A12C2"/>
    <w:rsid w:val="007B4500"/>
    <w:rsid w:val="007B57D2"/>
    <w:rsid w:val="007C205D"/>
    <w:rsid w:val="007C4162"/>
    <w:rsid w:val="007C4708"/>
    <w:rsid w:val="007C66E9"/>
    <w:rsid w:val="007D45A0"/>
    <w:rsid w:val="007D630B"/>
    <w:rsid w:val="007D6377"/>
    <w:rsid w:val="007D6606"/>
    <w:rsid w:val="007E1605"/>
    <w:rsid w:val="007E25ED"/>
    <w:rsid w:val="007E660C"/>
    <w:rsid w:val="007F13F0"/>
    <w:rsid w:val="007F1984"/>
    <w:rsid w:val="007F1CF2"/>
    <w:rsid w:val="007F3FCB"/>
    <w:rsid w:val="007F644E"/>
    <w:rsid w:val="007F7724"/>
    <w:rsid w:val="007F7FC1"/>
    <w:rsid w:val="00802C04"/>
    <w:rsid w:val="008043CD"/>
    <w:rsid w:val="00814B71"/>
    <w:rsid w:val="00815DA1"/>
    <w:rsid w:val="0082143F"/>
    <w:rsid w:val="00823286"/>
    <w:rsid w:val="00825CD0"/>
    <w:rsid w:val="00826A4B"/>
    <w:rsid w:val="0083358A"/>
    <w:rsid w:val="00837BAB"/>
    <w:rsid w:val="00841687"/>
    <w:rsid w:val="00841BC8"/>
    <w:rsid w:val="00842FB9"/>
    <w:rsid w:val="0084495D"/>
    <w:rsid w:val="00853D60"/>
    <w:rsid w:val="00857CAB"/>
    <w:rsid w:val="00861ADE"/>
    <w:rsid w:val="0086490B"/>
    <w:rsid w:val="00865570"/>
    <w:rsid w:val="00866356"/>
    <w:rsid w:val="008671AD"/>
    <w:rsid w:val="00872CB8"/>
    <w:rsid w:val="008825DB"/>
    <w:rsid w:val="00885874"/>
    <w:rsid w:val="00885934"/>
    <w:rsid w:val="00885E4B"/>
    <w:rsid w:val="00885F78"/>
    <w:rsid w:val="008903DA"/>
    <w:rsid w:val="008909B6"/>
    <w:rsid w:val="00891AF8"/>
    <w:rsid w:val="00893FE0"/>
    <w:rsid w:val="008A1388"/>
    <w:rsid w:val="008A1577"/>
    <w:rsid w:val="008A2001"/>
    <w:rsid w:val="008A25F0"/>
    <w:rsid w:val="008A2DB3"/>
    <w:rsid w:val="008A3858"/>
    <w:rsid w:val="008B41D8"/>
    <w:rsid w:val="008B60E8"/>
    <w:rsid w:val="008B672F"/>
    <w:rsid w:val="008B7064"/>
    <w:rsid w:val="008B7BFF"/>
    <w:rsid w:val="008C14DA"/>
    <w:rsid w:val="008D4887"/>
    <w:rsid w:val="008E0AFC"/>
    <w:rsid w:val="008E22AC"/>
    <w:rsid w:val="008F19F3"/>
    <w:rsid w:val="008F559E"/>
    <w:rsid w:val="00900BD1"/>
    <w:rsid w:val="00900E3F"/>
    <w:rsid w:val="00901A29"/>
    <w:rsid w:val="0090279C"/>
    <w:rsid w:val="00904851"/>
    <w:rsid w:val="00904E09"/>
    <w:rsid w:val="00905823"/>
    <w:rsid w:val="0091422B"/>
    <w:rsid w:val="00914D18"/>
    <w:rsid w:val="00914EDD"/>
    <w:rsid w:val="00922D70"/>
    <w:rsid w:val="0092470A"/>
    <w:rsid w:val="00930872"/>
    <w:rsid w:val="00932263"/>
    <w:rsid w:val="00932F9F"/>
    <w:rsid w:val="00933AC4"/>
    <w:rsid w:val="009368BD"/>
    <w:rsid w:val="00947CE9"/>
    <w:rsid w:val="00951A06"/>
    <w:rsid w:val="00955411"/>
    <w:rsid w:val="00957298"/>
    <w:rsid w:val="00961A7B"/>
    <w:rsid w:val="009633D2"/>
    <w:rsid w:val="00964EA0"/>
    <w:rsid w:val="00970DF3"/>
    <w:rsid w:val="00972559"/>
    <w:rsid w:val="00974E4B"/>
    <w:rsid w:val="00977EB8"/>
    <w:rsid w:val="009803E9"/>
    <w:rsid w:val="0098205A"/>
    <w:rsid w:val="0098208A"/>
    <w:rsid w:val="00986176"/>
    <w:rsid w:val="009978FA"/>
    <w:rsid w:val="009A1A84"/>
    <w:rsid w:val="009A4663"/>
    <w:rsid w:val="009A6A97"/>
    <w:rsid w:val="009A6F78"/>
    <w:rsid w:val="009A772B"/>
    <w:rsid w:val="009B5590"/>
    <w:rsid w:val="009B5E09"/>
    <w:rsid w:val="009B6D83"/>
    <w:rsid w:val="009C3F70"/>
    <w:rsid w:val="009C5668"/>
    <w:rsid w:val="009C7019"/>
    <w:rsid w:val="009C70B9"/>
    <w:rsid w:val="009D0F42"/>
    <w:rsid w:val="009D21B2"/>
    <w:rsid w:val="009D35F3"/>
    <w:rsid w:val="009D366C"/>
    <w:rsid w:val="009D617C"/>
    <w:rsid w:val="009E061A"/>
    <w:rsid w:val="009E0E35"/>
    <w:rsid w:val="009E0E5E"/>
    <w:rsid w:val="009E413A"/>
    <w:rsid w:val="009E4CCB"/>
    <w:rsid w:val="009F0972"/>
    <w:rsid w:val="009F2F0D"/>
    <w:rsid w:val="00A00210"/>
    <w:rsid w:val="00A0068E"/>
    <w:rsid w:val="00A0380F"/>
    <w:rsid w:val="00A049EC"/>
    <w:rsid w:val="00A13BFE"/>
    <w:rsid w:val="00A17801"/>
    <w:rsid w:val="00A27241"/>
    <w:rsid w:val="00A27288"/>
    <w:rsid w:val="00A27E4A"/>
    <w:rsid w:val="00A346EE"/>
    <w:rsid w:val="00A35C16"/>
    <w:rsid w:val="00A36B9B"/>
    <w:rsid w:val="00A410D9"/>
    <w:rsid w:val="00A41981"/>
    <w:rsid w:val="00A455BA"/>
    <w:rsid w:val="00A51EC7"/>
    <w:rsid w:val="00A54AAA"/>
    <w:rsid w:val="00A56AB1"/>
    <w:rsid w:val="00A626B8"/>
    <w:rsid w:val="00A703B7"/>
    <w:rsid w:val="00A772A0"/>
    <w:rsid w:val="00A819AC"/>
    <w:rsid w:val="00A85136"/>
    <w:rsid w:val="00A87BD1"/>
    <w:rsid w:val="00A91B45"/>
    <w:rsid w:val="00A92271"/>
    <w:rsid w:val="00A93AD7"/>
    <w:rsid w:val="00A96663"/>
    <w:rsid w:val="00AA27DF"/>
    <w:rsid w:val="00AA32DE"/>
    <w:rsid w:val="00AB1256"/>
    <w:rsid w:val="00AB4C65"/>
    <w:rsid w:val="00AC76FB"/>
    <w:rsid w:val="00AC7F5C"/>
    <w:rsid w:val="00AD1389"/>
    <w:rsid w:val="00AD1506"/>
    <w:rsid w:val="00AD4682"/>
    <w:rsid w:val="00AD6900"/>
    <w:rsid w:val="00AE4DD6"/>
    <w:rsid w:val="00AE7A70"/>
    <w:rsid w:val="00AF0A68"/>
    <w:rsid w:val="00AF3B8C"/>
    <w:rsid w:val="00AF615F"/>
    <w:rsid w:val="00AF7C1E"/>
    <w:rsid w:val="00B01231"/>
    <w:rsid w:val="00B0257F"/>
    <w:rsid w:val="00B045E0"/>
    <w:rsid w:val="00B10387"/>
    <w:rsid w:val="00B12BC0"/>
    <w:rsid w:val="00B16C81"/>
    <w:rsid w:val="00B177DA"/>
    <w:rsid w:val="00B17F93"/>
    <w:rsid w:val="00B21F85"/>
    <w:rsid w:val="00B22DAB"/>
    <w:rsid w:val="00B23206"/>
    <w:rsid w:val="00B233E5"/>
    <w:rsid w:val="00B24670"/>
    <w:rsid w:val="00B2581D"/>
    <w:rsid w:val="00B32D94"/>
    <w:rsid w:val="00B34FB7"/>
    <w:rsid w:val="00B356EF"/>
    <w:rsid w:val="00B35D18"/>
    <w:rsid w:val="00B36551"/>
    <w:rsid w:val="00B42119"/>
    <w:rsid w:val="00B463EE"/>
    <w:rsid w:val="00B47367"/>
    <w:rsid w:val="00B51F27"/>
    <w:rsid w:val="00B52517"/>
    <w:rsid w:val="00B57748"/>
    <w:rsid w:val="00B60A7E"/>
    <w:rsid w:val="00B60FF2"/>
    <w:rsid w:val="00B627AE"/>
    <w:rsid w:val="00B64712"/>
    <w:rsid w:val="00B652FA"/>
    <w:rsid w:val="00B666D7"/>
    <w:rsid w:val="00B700C8"/>
    <w:rsid w:val="00B72066"/>
    <w:rsid w:val="00B75620"/>
    <w:rsid w:val="00B76540"/>
    <w:rsid w:val="00B76C93"/>
    <w:rsid w:val="00B77CC4"/>
    <w:rsid w:val="00B816D1"/>
    <w:rsid w:val="00B920E6"/>
    <w:rsid w:val="00B92632"/>
    <w:rsid w:val="00B9463C"/>
    <w:rsid w:val="00B957DC"/>
    <w:rsid w:val="00B958DF"/>
    <w:rsid w:val="00BA3F55"/>
    <w:rsid w:val="00BA4FF2"/>
    <w:rsid w:val="00BB48B5"/>
    <w:rsid w:val="00BB6005"/>
    <w:rsid w:val="00BB7868"/>
    <w:rsid w:val="00BB7B1F"/>
    <w:rsid w:val="00BC07CA"/>
    <w:rsid w:val="00BC0EE1"/>
    <w:rsid w:val="00BC3C29"/>
    <w:rsid w:val="00BD0D03"/>
    <w:rsid w:val="00BD0E3E"/>
    <w:rsid w:val="00BD1FF5"/>
    <w:rsid w:val="00BD3922"/>
    <w:rsid w:val="00BD667C"/>
    <w:rsid w:val="00BF5901"/>
    <w:rsid w:val="00BF61A1"/>
    <w:rsid w:val="00C009BE"/>
    <w:rsid w:val="00C00EF0"/>
    <w:rsid w:val="00C011BC"/>
    <w:rsid w:val="00C0127F"/>
    <w:rsid w:val="00C0170D"/>
    <w:rsid w:val="00C0258B"/>
    <w:rsid w:val="00C02BD0"/>
    <w:rsid w:val="00C02C0B"/>
    <w:rsid w:val="00C0503E"/>
    <w:rsid w:val="00C1028A"/>
    <w:rsid w:val="00C1462A"/>
    <w:rsid w:val="00C16B74"/>
    <w:rsid w:val="00C16E16"/>
    <w:rsid w:val="00C17AC4"/>
    <w:rsid w:val="00C20E90"/>
    <w:rsid w:val="00C30E7A"/>
    <w:rsid w:val="00C35F28"/>
    <w:rsid w:val="00C425DE"/>
    <w:rsid w:val="00C42707"/>
    <w:rsid w:val="00C439A3"/>
    <w:rsid w:val="00C43C55"/>
    <w:rsid w:val="00C46627"/>
    <w:rsid w:val="00C76353"/>
    <w:rsid w:val="00C7775F"/>
    <w:rsid w:val="00C80091"/>
    <w:rsid w:val="00C81BD4"/>
    <w:rsid w:val="00C8398A"/>
    <w:rsid w:val="00C83DBA"/>
    <w:rsid w:val="00C959EF"/>
    <w:rsid w:val="00C96F77"/>
    <w:rsid w:val="00CA471D"/>
    <w:rsid w:val="00CA4D38"/>
    <w:rsid w:val="00CA5EE0"/>
    <w:rsid w:val="00CB1301"/>
    <w:rsid w:val="00CB26FF"/>
    <w:rsid w:val="00CB4782"/>
    <w:rsid w:val="00CB5F95"/>
    <w:rsid w:val="00CC07CC"/>
    <w:rsid w:val="00CC2497"/>
    <w:rsid w:val="00CD2E5E"/>
    <w:rsid w:val="00CE19FC"/>
    <w:rsid w:val="00CF0E85"/>
    <w:rsid w:val="00CF17AD"/>
    <w:rsid w:val="00CF1B2C"/>
    <w:rsid w:val="00CF20D7"/>
    <w:rsid w:val="00CF610B"/>
    <w:rsid w:val="00D00C31"/>
    <w:rsid w:val="00D01B19"/>
    <w:rsid w:val="00D04493"/>
    <w:rsid w:val="00D04D3D"/>
    <w:rsid w:val="00D05C86"/>
    <w:rsid w:val="00D109B5"/>
    <w:rsid w:val="00D1230D"/>
    <w:rsid w:val="00D213C2"/>
    <w:rsid w:val="00D25159"/>
    <w:rsid w:val="00D4333F"/>
    <w:rsid w:val="00D470DC"/>
    <w:rsid w:val="00D506E8"/>
    <w:rsid w:val="00D509B7"/>
    <w:rsid w:val="00D52A7C"/>
    <w:rsid w:val="00D535B1"/>
    <w:rsid w:val="00D5621C"/>
    <w:rsid w:val="00D57F0C"/>
    <w:rsid w:val="00D61A07"/>
    <w:rsid w:val="00D63710"/>
    <w:rsid w:val="00D65678"/>
    <w:rsid w:val="00D662D5"/>
    <w:rsid w:val="00D67124"/>
    <w:rsid w:val="00D7399D"/>
    <w:rsid w:val="00D7433F"/>
    <w:rsid w:val="00D74EE3"/>
    <w:rsid w:val="00D80BDA"/>
    <w:rsid w:val="00D8238B"/>
    <w:rsid w:val="00D84CEE"/>
    <w:rsid w:val="00D86385"/>
    <w:rsid w:val="00D939C8"/>
    <w:rsid w:val="00D945C8"/>
    <w:rsid w:val="00D94BA9"/>
    <w:rsid w:val="00D96590"/>
    <w:rsid w:val="00D97BA3"/>
    <w:rsid w:val="00DA1BB7"/>
    <w:rsid w:val="00DA572D"/>
    <w:rsid w:val="00DA6086"/>
    <w:rsid w:val="00DB3E35"/>
    <w:rsid w:val="00DB5D58"/>
    <w:rsid w:val="00DB5DFE"/>
    <w:rsid w:val="00DC269B"/>
    <w:rsid w:val="00DC4BB6"/>
    <w:rsid w:val="00DC7961"/>
    <w:rsid w:val="00DD05E9"/>
    <w:rsid w:val="00DD08B0"/>
    <w:rsid w:val="00DD3381"/>
    <w:rsid w:val="00DD3C4C"/>
    <w:rsid w:val="00DD533E"/>
    <w:rsid w:val="00DE252A"/>
    <w:rsid w:val="00DE5F09"/>
    <w:rsid w:val="00DE614B"/>
    <w:rsid w:val="00DF1EC5"/>
    <w:rsid w:val="00DF47DA"/>
    <w:rsid w:val="00DF5EF5"/>
    <w:rsid w:val="00DF6ED3"/>
    <w:rsid w:val="00DF6F60"/>
    <w:rsid w:val="00E008A7"/>
    <w:rsid w:val="00E02801"/>
    <w:rsid w:val="00E054D1"/>
    <w:rsid w:val="00E059B6"/>
    <w:rsid w:val="00E072D4"/>
    <w:rsid w:val="00E1013C"/>
    <w:rsid w:val="00E13441"/>
    <w:rsid w:val="00E16271"/>
    <w:rsid w:val="00E172B9"/>
    <w:rsid w:val="00E201A8"/>
    <w:rsid w:val="00E20330"/>
    <w:rsid w:val="00E23A77"/>
    <w:rsid w:val="00E25356"/>
    <w:rsid w:val="00E25E9A"/>
    <w:rsid w:val="00E26DC4"/>
    <w:rsid w:val="00E270A8"/>
    <w:rsid w:val="00E27C0B"/>
    <w:rsid w:val="00E30471"/>
    <w:rsid w:val="00E33442"/>
    <w:rsid w:val="00E33F7D"/>
    <w:rsid w:val="00E33FA6"/>
    <w:rsid w:val="00E3635E"/>
    <w:rsid w:val="00E36C9C"/>
    <w:rsid w:val="00E36F61"/>
    <w:rsid w:val="00E4080C"/>
    <w:rsid w:val="00E439F4"/>
    <w:rsid w:val="00E53A36"/>
    <w:rsid w:val="00E53FF8"/>
    <w:rsid w:val="00E54DEC"/>
    <w:rsid w:val="00E54E42"/>
    <w:rsid w:val="00E554E3"/>
    <w:rsid w:val="00E62D3C"/>
    <w:rsid w:val="00E63ED0"/>
    <w:rsid w:val="00E70326"/>
    <w:rsid w:val="00E809E4"/>
    <w:rsid w:val="00E80A58"/>
    <w:rsid w:val="00E8110D"/>
    <w:rsid w:val="00E812A7"/>
    <w:rsid w:val="00E8202C"/>
    <w:rsid w:val="00E858D1"/>
    <w:rsid w:val="00E945C4"/>
    <w:rsid w:val="00E95ABC"/>
    <w:rsid w:val="00E9664A"/>
    <w:rsid w:val="00EA122F"/>
    <w:rsid w:val="00EA389C"/>
    <w:rsid w:val="00EA5CA8"/>
    <w:rsid w:val="00EA6F08"/>
    <w:rsid w:val="00EB1933"/>
    <w:rsid w:val="00EB208B"/>
    <w:rsid w:val="00EB2B9C"/>
    <w:rsid w:val="00EB445C"/>
    <w:rsid w:val="00EC31F7"/>
    <w:rsid w:val="00EC3919"/>
    <w:rsid w:val="00ED498D"/>
    <w:rsid w:val="00EE0965"/>
    <w:rsid w:val="00EE0F74"/>
    <w:rsid w:val="00EE3F97"/>
    <w:rsid w:val="00EE5BE8"/>
    <w:rsid w:val="00EE69AA"/>
    <w:rsid w:val="00EE6DA5"/>
    <w:rsid w:val="00EE73AC"/>
    <w:rsid w:val="00EE7CD8"/>
    <w:rsid w:val="00EE7D74"/>
    <w:rsid w:val="00EF0F24"/>
    <w:rsid w:val="00EF1862"/>
    <w:rsid w:val="00EF1CA3"/>
    <w:rsid w:val="00EF25E6"/>
    <w:rsid w:val="00F0053A"/>
    <w:rsid w:val="00F02E0F"/>
    <w:rsid w:val="00F04540"/>
    <w:rsid w:val="00F04DFB"/>
    <w:rsid w:val="00F1046E"/>
    <w:rsid w:val="00F158B4"/>
    <w:rsid w:val="00F204AD"/>
    <w:rsid w:val="00F21B3B"/>
    <w:rsid w:val="00F22BCA"/>
    <w:rsid w:val="00F23F37"/>
    <w:rsid w:val="00F319DB"/>
    <w:rsid w:val="00F32C5B"/>
    <w:rsid w:val="00F32D42"/>
    <w:rsid w:val="00F35CFA"/>
    <w:rsid w:val="00F36940"/>
    <w:rsid w:val="00F36974"/>
    <w:rsid w:val="00F36F8B"/>
    <w:rsid w:val="00F524E5"/>
    <w:rsid w:val="00F5271C"/>
    <w:rsid w:val="00F55BC0"/>
    <w:rsid w:val="00F719B4"/>
    <w:rsid w:val="00F7455B"/>
    <w:rsid w:val="00F76042"/>
    <w:rsid w:val="00F766E4"/>
    <w:rsid w:val="00F8046B"/>
    <w:rsid w:val="00F81410"/>
    <w:rsid w:val="00F84202"/>
    <w:rsid w:val="00F879E1"/>
    <w:rsid w:val="00F96341"/>
    <w:rsid w:val="00F96CAF"/>
    <w:rsid w:val="00FB2726"/>
    <w:rsid w:val="00FC03F8"/>
    <w:rsid w:val="00FC61F8"/>
    <w:rsid w:val="00FD5DCE"/>
    <w:rsid w:val="00FE47E4"/>
    <w:rsid w:val="00FE7794"/>
    <w:rsid w:val="00FF4654"/>
    <w:rsid w:val="00FF5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160D691"/>
  <w15:docId w15:val="{C0431D32-0A73-406B-9FB5-7C68FFC0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3BD"/>
    <w:rPr>
      <w:rFonts w:asciiTheme="minorHAnsi" w:hAnsiTheme="minorHAnsi"/>
      <w:sz w:val="24"/>
      <w:lang w:eastAsia="en-US"/>
    </w:rPr>
  </w:style>
  <w:style w:type="paragraph" w:styleId="Heading1">
    <w:name w:val="heading 1"/>
    <w:basedOn w:val="Normal"/>
    <w:next w:val="Normal"/>
    <w:qFormat/>
    <w:rsid w:val="00783775"/>
    <w:pPr>
      <w:keepNext/>
      <w:numPr>
        <w:numId w:val="15"/>
      </w:numPr>
      <w:spacing w:before="360" w:after="240"/>
      <w:ind w:left="431" w:hanging="431"/>
      <w:outlineLvl w:val="0"/>
    </w:pPr>
    <w:rPr>
      <w:rFonts w:ascii="Arial Bold" w:hAnsi="Arial Bold"/>
      <w:b/>
      <w:bCs/>
      <w:caps/>
      <w:sz w:val="28"/>
    </w:rPr>
  </w:style>
  <w:style w:type="paragraph" w:styleId="Heading2">
    <w:name w:val="heading 2"/>
    <w:basedOn w:val="Normal"/>
    <w:next w:val="Normal"/>
    <w:link w:val="Heading2Char"/>
    <w:qFormat/>
    <w:rsid w:val="00783775"/>
    <w:pPr>
      <w:keepNext/>
      <w:numPr>
        <w:ilvl w:val="1"/>
        <w:numId w:val="15"/>
      </w:numPr>
      <w:spacing w:before="240" w:after="120"/>
      <w:ind w:left="578" w:hanging="578"/>
      <w:outlineLvl w:val="1"/>
    </w:pPr>
    <w:rPr>
      <w:rFonts w:ascii="Arial Bold" w:hAnsi="Arial Bold" w:cs="Arial"/>
      <w:b/>
      <w:bCs/>
      <w:iCs/>
      <w:caps/>
      <w:szCs w:val="28"/>
    </w:rPr>
  </w:style>
  <w:style w:type="paragraph" w:styleId="Heading3">
    <w:name w:val="heading 3"/>
    <w:basedOn w:val="Normal"/>
    <w:next w:val="Normal"/>
    <w:qFormat/>
    <w:rsid w:val="009D366C"/>
    <w:pPr>
      <w:keepNext/>
      <w:numPr>
        <w:ilvl w:val="2"/>
        <w:numId w:val="15"/>
      </w:numPr>
      <w:spacing w:before="120"/>
      <w:outlineLvl w:val="2"/>
    </w:pPr>
    <w:rPr>
      <w:rFonts w:ascii="Arial" w:hAnsi="Arial" w:cs="Arial"/>
      <w:b/>
      <w:bCs/>
      <w:smallCaps/>
      <w:szCs w:val="26"/>
    </w:rPr>
  </w:style>
  <w:style w:type="paragraph" w:styleId="Heading4">
    <w:name w:val="heading 4"/>
    <w:basedOn w:val="Normal"/>
    <w:next w:val="Normal"/>
    <w:rsid w:val="00170BDC"/>
    <w:pPr>
      <w:keepNext/>
      <w:numPr>
        <w:ilvl w:val="3"/>
        <w:numId w:val="15"/>
      </w:numPr>
      <w:spacing w:before="120" w:after="120"/>
      <w:outlineLvl w:val="3"/>
    </w:pPr>
    <w:rPr>
      <w:bCs/>
      <w:i/>
      <w:szCs w:val="28"/>
    </w:rPr>
  </w:style>
  <w:style w:type="paragraph" w:styleId="Heading5">
    <w:name w:val="heading 5"/>
    <w:basedOn w:val="Normal"/>
    <w:next w:val="Normal"/>
    <w:rsid w:val="00170BDC"/>
    <w:pPr>
      <w:keepNext/>
      <w:numPr>
        <w:ilvl w:val="4"/>
        <w:numId w:val="15"/>
      </w:numPr>
      <w:outlineLvl w:val="4"/>
    </w:pPr>
    <w:rPr>
      <w:i/>
      <w:iCs/>
      <w:szCs w:val="24"/>
    </w:rPr>
  </w:style>
  <w:style w:type="paragraph" w:styleId="Heading6">
    <w:name w:val="heading 6"/>
    <w:basedOn w:val="Normal"/>
    <w:next w:val="Normal"/>
    <w:rsid w:val="00170BDC"/>
    <w:pPr>
      <w:keepNext/>
      <w:numPr>
        <w:ilvl w:val="5"/>
        <w:numId w:val="15"/>
      </w:numPr>
      <w:outlineLvl w:val="5"/>
    </w:pPr>
    <w:rPr>
      <w:b/>
      <w:bCs/>
      <w:i/>
      <w:iCs/>
      <w:szCs w:val="24"/>
    </w:rPr>
  </w:style>
  <w:style w:type="paragraph" w:styleId="Heading7">
    <w:name w:val="heading 7"/>
    <w:basedOn w:val="Normal"/>
    <w:next w:val="Normal"/>
    <w:rsid w:val="00170BDC"/>
    <w:pPr>
      <w:keepNext/>
      <w:numPr>
        <w:ilvl w:val="6"/>
        <w:numId w:val="15"/>
      </w:numPr>
      <w:outlineLvl w:val="6"/>
    </w:pPr>
    <w:rPr>
      <w:szCs w:val="24"/>
      <w:u w:val="single"/>
    </w:rPr>
  </w:style>
  <w:style w:type="paragraph" w:styleId="Heading8">
    <w:name w:val="heading 8"/>
    <w:basedOn w:val="Normal"/>
    <w:next w:val="Normal"/>
    <w:rsid w:val="00170BDC"/>
    <w:pPr>
      <w:numPr>
        <w:ilvl w:val="7"/>
        <w:numId w:val="15"/>
      </w:numPr>
      <w:spacing w:before="240" w:after="60"/>
      <w:outlineLvl w:val="7"/>
    </w:pPr>
    <w:rPr>
      <w:i/>
      <w:iCs/>
      <w:szCs w:val="24"/>
    </w:rPr>
  </w:style>
  <w:style w:type="paragraph" w:styleId="Heading9">
    <w:name w:val="heading 9"/>
    <w:basedOn w:val="Normal"/>
    <w:next w:val="Normal"/>
    <w:rsid w:val="00170BDC"/>
    <w:pPr>
      <w:spacing w:before="240" w:after="60"/>
      <w:jc w:val="right"/>
      <w:outlineLvl w:val="8"/>
    </w:pPr>
    <w:rPr>
      <w:rFonts w:ascii="Times New Roman Bold" w:hAnsi="Times New Roman Bold"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BDC"/>
    <w:pPr>
      <w:tabs>
        <w:tab w:val="center" w:pos="4153"/>
        <w:tab w:val="right" w:pos="8306"/>
      </w:tabs>
      <w:spacing w:after="240"/>
      <w:jc w:val="right"/>
    </w:pPr>
    <w:rPr>
      <w:rFonts w:ascii="Times New Roman Bold" w:hAnsi="Times New Roman Bold"/>
      <w:b/>
    </w:rPr>
  </w:style>
  <w:style w:type="paragraph" w:styleId="Index1">
    <w:name w:val="index 1"/>
    <w:basedOn w:val="Normal"/>
    <w:next w:val="Normal"/>
    <w:autoRedefine/>
    <w:semiHidden/>
    <w:rsid w:val="00170BDC"/>
    <w:pPr>
      <w:ind w:left="240" w:hanging="240"/>
    </w:pPr>
  </w:style>
  <w:style w:type="paragraph" w:styleId="IndexHeading">
    <w:name w:val="index heading"/>
    <w:basedOn w:val="Normal"/>
    <w:next w:val="Index1"/>
    <w:semiHidden/>
    <w:rsid w:val="00170BDC"/>
    <w:pPr>
      <w:jc w:val="right"/>
    </w:pPr>
    <w:rPr>
      <w:rFonts w:cs="Arial"/>
      <w:b/>
      <w:bCs/>
      <w:sz w:val="32"/>
    </w:rPr>
  </w:style>
  <w:style w:type="paragraph" w:styleId="FootnoteText">
    <w:name w:val="footnote text"/>
    <w:basedOn w:val="Normal"/>
    <w:semiHidden/>
    <w:rsid w:val="00170BDC"/>
    <w:rPr>
      <w:color w:val="008000"/>
      <w:sz w:val="16"/>
      <w:szCs w:val="16"/>
    </w:rPr>
  </w:style>
  <w:style w:type="character" w:styleId="FootnoteReference">
    <w:name w:val="footnote reference"/>
    <w:basedOn w:val="DefaultParagraphFont"/>
    <w:semiHidden/>
    <w:rsid w:val="00170BDC"/>
    <w:rPr>
      <w:vertAlign w:val="superscript"/>
    </w:rPr>
  </w:style>
  <w:style w:type="paragraph" w:customStyle="1" w:styleId="BoldNormal">
    <w:name w:val="Bold Normal"/>
    <w:basedOn w:val="Normal"/>
    <w:rsid w:val="00170BDC"/>
    <w:pPr>
      <w:spacing w:before="120" w:after="120"/>
    </w:pPr>
    <w:rPr>
      <w:b/>
      <w:bCs/>
    </w:rPr>
  </w:style>
  <w:style w:type="paragraph" w:customStyle="1" w:styleId="Title1">
    <w:name w:val="Title1"/>
    <w:basedOn w:val="Title"/>
    <w:rsid w:val="00170BDC"/>
    <w:pPr>
      <w:spacing w:before="120" w:after="120"/>
    </w:pPr>
    <w:rPr>
      <w:rFonts w:ascii="Times New Roman" w:hAnsi="Times New Roman"/>
      <w:sz w:val="48"/>
      <w:lang w:val="en-US"/>
    </w:rPr>
  </w:style>
  <w:style w:type="paragraph" w:styleId="Title">
    <w:name w:val="Title"/>
    <w:basedOn w:val="Normal"/>
    <w:link w:val="TitleChar"/>
    <w:qFormat/>
    <w:rsid w:val="007643BD"/>
    <w:pPr>
      <w:spacing w:before="240" w:after="240"/>
      <w:jc w:val="center"/>
      <w:outlineLvl w:val="0"/>
    </w:pPr>
    <w:rPr>
      <w:rFonts w:ascii="Arial Bold" w:hAnsi="Arial Bold" w:cs="Arial"/>
      <w:b/>
      <w:bCs/>
      <w:caps/>
      <w:kern w:val="28"/>
      <w:sz w:val="44"/>
      <w:szCs w:val="32"/>
    </w:rPr>
  </w:style>
  <w:style w:type="paragraph" w:customStyle="1" w:styleId="TITLE10">
    <w:name w:val="TITLE 1"/>
    <w:basedOn w:val="Normal"/>
    <w:rsid w:val="00170BDC"/>
    <w:pPr>
      <w:spacing w:before="240" w:after="240"/>
      <w:jc w:val="center"/>
    </w:pPr>
    <w:rPr>
      <w:b/>
      <w:sz w:val="36"/>
      <w:lang w:val="en-US"/>
    </w:rPr>
  </w:style>
  <w:style w:type="paragraph" w:styleId="BodyTextIndent">
    <w:name w:val="Body Text Indent"/>
    <w:basedOn w:val="Normal"/>
    <w:rsid w:val="00170BDC"/>
    <w:pPr>
      <w:ind w:left="1069"/>
    </w:pPr>
    <w:rPr>
      <w:lang w:val="en-US"/>
    </w:rPr>
  </w:style>
  <w:style w:type="paragraph" w:styleId="BodyTextIndent2">
    <w:name w:val="Body Text Indent 2"/>
    <w:basedOn w:val="Normal"/>
    <w:rsid w:val="00170BDC"/>
    <w:pPr>
      <w:ind w:left="426"/>
    </w:pPr>
    <w:rPr>
      <w:szCs w:val="24"/>
    </w:rPr>
  </w:style>
  <w:style w:type="paragraph" w:styleId="TOC2">
    <w:name w:val="toc 2"/>
    <w:basedOn w:val="Normal"/>
    <w:next w:val="Normal"/>
    <w:autoRedefine/>
    <w:uiPriority w:val="39"/>
    <w:rsid w:val="006B3592"/>
    <w:pPr>
      <w:tabs>
        <w:tab w:val="left" w:pos="960"/>
        <w:tab w:val="right" w:leader="dot" w:pos="8630"/>
      </w:tabs>
      <w:ind w:left="240"/>
    </w:pPr>
    <w:rPr>
      <w:rFonts w:cstheme="minorHAnsi"/>
      <w:smallCaps/>
      <w:noProof/>
      <w:szCs w:val="24"/>
      <w:lang w:val="en-US"/>
    </w:rPr>
  </w:style>
  <w:style w:type="paragraph" w:styleId="TOC1">
    <w:name w:val="toc 1"/>
    <w:basedOn w:val="Normal"/>
    <w:next w:val="Normal"/>
    <w:autoRedefine/>
    <w:uiPriority w:val="39"/>
    <w:rsid w:val="00170BDC"/>
    <w:pPr>
      <w:spacing w:before="120" w:after="120"/>
    </w:pPr>
    <w:rPr>
      <w:b/>
      <w:bCs/>
      <w:caps/>
      <w:szCs w:val="24"/>
    </w:rPr>
  </w:style>
  <w:style w:type="paragraph" w:styleId="TOC3">
    <w:name w:val="toc 3"/>
    <w:basedOn w:val="Normal"/>
    <w:next w:val="Normal"/>
    <w:autoRedefine/>
    <w:uiPriority w:val="39"/>
    <w:rsid w:val="00170BDC"/>
    <w:pPr>
      <w:ind w:left="480"/>
    </w:pPr>
    <w:rPr>
      <w:i/>
      <w:iCs/>
      <w:szCs w:val="24"/>
    </w:rPr>
  </w:style>
  <w:style w:type="paragraph" w:styleId="TOC4">
    <w:name w:val="toc 4"/>
    <w:basedOn w:val="Normal"/>
    <w:next w:val="Normal"/>
    <w:autoRedefine/>
    <w:semiHidden/>
    <w:rsid w:val="00170BDC"/>
    <w:pPr>
      <w:ind w:left="720"/>
    </w:pPr>
    <w:rPr>
      <w:szCs w:val="21"/>
    </w:rPr>
  </w:style>
  <w:style w:type="paragraph" w:styleId="TOC5">
    <w:name w:val="toc 5"/>
    <w:basedOn w:val="Normal"/>
    <w:next w:val="Normal"/>
    <w:autoRedefine/>
    <w:semiHidden/>
    <w:rsid w:val="00170BDC"/>
    <w:pPr>
      <w:ind w:left="960"/>
    </w:pPr>
    <w:rPr>
      <w:szCs w:val="21"/>
    </w:rPr>
  </w:style>
  <w:style w:type="paragraph" w:styleId="TOC6">
    <w:name w:val="toc 6"/>
    <w:basedOn w:val="Normal"/>
    <w:next w:val="Normal"/>
    <w:autoRedefine/>
    <w:semiHidden/>
    <w:rsid w:val="00170BDC"/>
    <w:pPr>
      <w:ind w:left="1200"/>
    </w:pPr>
    <w:rPr>
      <w:szCs w:val="21"/>
    </w:rPr>
  </w:style>
  <w:style w:type="paragraph" w:styleId="TOC7">
    <w:name w:val="toc 7"/>
    <w:basedOn w:val="Normal"/>
    <w:next w:val="Normal"/>
    <w:autoRedefine/>
    <w:semiHidden/>
    <w:rsid w:val="00170BDC"/>
    <w:pPr>
      <w:ind w:left="1440"/>
    </w:pPr>
    <w:rPr>
      <w:szCs w:val="21"/>
    </w:rPr>
  </w:style>
  <w:style w:type="paragraph" w:styleId="TOC8">
    <w:name w:val="toc 8"/>
    <w:basedOn w:val="Normal"/>
    <w:next w:val="Normal"/>
    <w:autoRedefine/>
    <w:semiHidden/>
    <w:rsid w:val="00170BDC"/>
    <w:pPr>
      <w:ind w:left="1680"/>
    </w:pPr>
    <w:rPr>
      <w:szCs w:val="21"/>
    </w:rPr>
  </w:style>
  <w:style w:type="paragraph" w:styleId="TOC9">
    <w:name w:val="toc 9"/>
    <w:basedOn w:val="Normal"/>
    <w:next w:val="Normal"/>
    <w:autoRedefine/>
    <w:semiHidden/>
    <w:rsid w:val="00170BDC"/>
    <w:pPr>
      <w:ind w:left="1920"/>
    </w:pPr>
    <w:rPr>
      <w:szCs w:val="21"/>
    </w:rPr>
  </w:style>
  <w:style w:type="character" w:styleId="Hyperlink">
    <w:name w:val="Hyperlink"/>
    <w:basedOn w:val="DefaultParagraphFont"/>
    <w:uiPriority w:val="99"/>
    <w:rsid w:val="00170BDC"/>
    <w:rPr>
      <w:color w:val="0000FF"/>
      <w:u w:val="single"/>
    </w:rPr>
  </w:style>
  <w:style w:type="paragraph" w:styleId="Footer">
    <w:name w:val="footer"/>
    <w:basedOn w:val="Normal"/>
    <w:rsid w:val="00170BDC"/>
    <w:pPr>
      <w:tabs>
        <w:tab w:val="center" w:pos="4153"/>
        <w:tab w:val="right" w:pos="8306"/>
      </w:tabs>
    </w:pPr>
  </w:style>
  <w:style w:type="character" w:styleId="PageNumber">
    <w:name w:val="page number"/>
    <w:basedOn w:val="DefaultParagraphFont"/>
    <w:rsid w:val="00170BDC"/>
  </w:style>
  <w:style w:type="paragraph" w:styleId="BodyText">
    <w:name w:val="Body Text"/>
    <w:basedOn w:val="Normal"/>
    <w:rsid w:val="00170BDC"/>
    <w:rPr>
      <w:i/>
      <w:iCs/>
    </w:rPr>
  </w:style>
  <w:style w:type="paragraph" w:styleId="BlockText">
    <w:name w:val="Block Text"/>
    <w:aliases w:val="Italics Normal"/>
    <w:basedOn w:val="Normal"/>
    <w:rsid w:val="00170BDC"/>
    <w:pPr>
      <w:spacing w:before="120" w:after="120"/>
    </w:pPr>
    <w:rPr>
      <w:i/>
    </w:rPr>
  </w:style>
  <w:style w:type="paragraph" w:styleId="BodyText2">
    <w:name w:val="Body Text 2"/>
    <w:basedOn w:val="Normal"/>
    <w:rsid w:val="00170BDC"/>
    <w:pPr>
      <w:spacing w:before="120" w:after="120"/>
      <w:jc w:val="both"/>
    </w:pPr>
  </w:style>
  <w:style w:type="paragraph" w:customStyle="1" w:styleId="Normal1">
    <w:name w:val="Normal1"/>
    <w:basedOn w:val="Normal"/>
    <w:rsid w:val="00170BDC"/>
    <w:rPr>
      <w:sz w:val="20"/>
    </w:rPr>
  </w:style>
  <w:style w:type="paragraph" w:customStyle="1" w:styleId="BoldNormal1">
    <w:name w:val="Bold Normal1"/>
    <w:basedOn w:val="Normal1"/>
    <w:rsid w:val="00170BDC"/>
    <w:rPr>
      <w:rFonts w:ascii="Times New Roman Bold" w:hAnsi="Times New Roman Bold"/>
      <w:b/>
    </w:rPr>
  </w:style>
  <w:style w:type="paragraph" w:styleId="BodyText3">
    <w:name w:val="Body Text 3"/>
    <w:basedOn w:val="Normal"/>
    <w:rsid w:val="00170BDC"/>
    <w:pPr>
      <w:spacing w:before="120" w:after="120"/>
      <w:jc w:val="both"/>
    </w:pPr>
    <w:rPr>
      <w:b/>
      <w:bCs/>
      <w:i/>
      <w:iCs/>
      <w:lang w:val="en-US"/>
    </w:rPr>
  </w:style>
  <w:style w:type="paragraph" w:customStyle="1" w:styleId="Numbering">
    <w:name w:val="Numbering"/>
    <w:basedOn w:val="Normal"/>
    <w:rsid w:val="00170BDC"/>
    <w:pPr>
      <w:spacing w:before="120" w:after="120"/>
    </w:pPr>
    <w:rPr>
      <w:lang w:val="en-US"/>
    </w:rPr>
  </w:style>
  <w:style w:type="table" w:styleId="TableGrid">
    <w:name w:val="Table Grid"/>
    <w:basedOn w:val="TableNormal"/>
    <w:rsid w:val="0046513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83775"/>
    <w:rPr>
      <w:rFonts w:ascii="Arial Bold" w:hAnsi="Arial Bold" w:cs="Arial"/>
      <w:b/>
      <w:bCs/>
      <w:iCs/>
      <w:caps/>
      <w:sz w:val="24"/>
      <w:szCs w:val="28"/>
      <w:lang w:eastAsia="en-US"/>
    </w:rPr>
  </w:style>
  <w:style w:type="paragraph" w:styleId="BalloonText">
    <w:name w:val="Balloon Text"/>
    <w:basedOn w:val="Normal"/>
    <w:semiHidden/>
    <w:rsid w:val="00BC0EE1"/>
    <w:rPr>
      <w:rFonts w:ascii="Tahoma" w:hAnsi="Tahoma" w:cs="Tahoma"/>
      <w:sz w:val="16"/>
      <w:szCs w:val="16"/>
    </w:rPr>
  </w:style>
  <w:style w:type="paragraph" w:styleId="DocumentMap">
    <w:name w:val="Document Map"/>
    <w:basedOn w:val="Normal"/>
    <w:semiHidden/>
    <w:rsid w:val="00B51F27"/>
    <w:pPr>
      <w:shd w:val="clear" w:color="auto" w:fill="000080"/>
    </w:pPr>
    <w:rPr>
      <w:rFonts w:ascii="Tahoma" w:hAnsi="Tahoma" w:cs="Tahoma"/>
      <w:sz w:val="20"/>
    </w:rPr>
  </w:style>
  <w:style w:type="character" w:styleId="CommentReference">
    <w:name w:val="annotation reference"/>
    <w:basedOn w:val="DefaultParagraphFont"/>
    <w:semiHidden/>
    <w:rsid w:val="00B0257F"/>
    <w:rPr>
      <w:sz w:val="16"/>
      <w:szCs w:val="16"/>
    </w:rPr>
  </w:style>
  <w:style w:type="paragraph" w:styleId="CommentText">
    <w:name w:val="annotation text"/>
    <w:basedOn w:val="Normal"/>
    <w:semiHidden/>
    <w:rsid w:val="00B0257F"/>
    <w:rPr>
      <w:sz w:val="20"/>
    </w:rPr>
  </w:style>
  <w:style w:type="paragraph" w:styleId="CommentSubject">
    <w:name w:val="annotation subject"/>
    <w:basedOn w:val="CommentText"/>
    <w:next w:val="CommentText"/>
    <w:semiHidden/>
    <w:rsid w:val="00B0257F"/>
    <w:rPr>
      <w:b/>
      <w:bCs/>
    </w:rPr>
  </w:style>
  <w:style w:type="character" w:styleId="FollowedHyperlink">
    <w:name w:val="FollowedHyperlink"/>
    <w:basedOn w:val="DefaultParagraphFont"/>
    <w:rsid w:val="007D6377"/>
    <w:rPr>
      <w:color w:val="800080"/>
      <w:u w:val="single"/>
    </w:rPr>
  </w:style>
  <w:style w:type="paragraph" w:customStyle="1" w:styleId="FormText">
    <w:name w:val="Form Text"/>
    <w:basedOn w:val="Normal"/>
    <w:rsid w:val="007659F8"/>
    <w:pPr>
      <w:spacing w:before="120" w:after="120"/>
    </w:pPr>
    <w:rPr>
      <w:rFonts w:ascii="Arial" w:hAnsi="Arial"/>
      <w:sz w:val="20"/>
    </w:rPr>
  </w:style>
  <w:style w:type="paragraph" w:customStyle="1" w:styleId="RowHeading">
    <w:name w:val="Row Heading"/>
    <w:basedOn w:val="Normal"/>
    <w:rsid w:val="007659F8"/>
    <w:pPr>
      <w:overflowPunct w:val="0"/>
      <w:autoSpaceDE w:val="0"/>
      <w:autoSpaceDN w:val="0"/>
      <w:adjustRightInd w:val="0"/>
      <w:spacing w:before="60" w:after="60"/>
      <w:textAlignment w:val="baseline"/>
    </w:pPr>
    <w:rPr>
      <w:rFonts w:ascii="Arial" w:hAnsi="Arial" w:cs="Arial"/>
      <w:b/>
      <w:color w:val="FFFFFF"/>
      <w:sz w:val="22"/>
    </w:rPr>
  </w:style>
  <w:style w:type="paragraph" w:customStyle="1" w:styleId="Default">
    <w:name w:val="Default"/>
    <w:rsid w:val="00ED498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semiHidden/>
    <w:locked/>
    <w:rsid w:val="00146BF4"/>
    <w:rPr>
      <w:rFonts w:ascii="Times New Roman Bold" w:hAnsi="Times New Roman Bold"/>
      <w:b/>
      <w:sz w:val="24"/>
      <w:lang w:val="en-AU" w:eastAsia="en-US" w:bidi="ar-SA"/>
    </w:rPr>
  </w:style>
  <w:style w:type="paragraph" w:styleId="EndnoteText">
    <w:name w:val="endnote text"/>
    <w:basedOn w:val="Normal"/>
    <w:link w:val="EndnoteTextChar"/>
    <w:rsid w:val="0044543B"/>
    <w:rPr>
      <w:sz w:val="20"/>
    </w:rPr>
  </w:style>
  <w:style w:type="character" w:customStyle="1" w:styleId="EndnoteTextChar">
    <w:name w:val="Endnote Text Char"/>
    <w:basedOn w:val="DefaultParagraphFont"/>
    <w:link w:val="EndnoteText"/>
    <w:rsid w:val="0044543B"/>
    <w:rPr>
      <w:lang w:eastAsia="en-US"/>
    </w:rPr>
  </w:style>
  <w:style w:type="character" w:styleId="EndnoteReference">
    <w:name w:val="endnote reference"/>
    <w:basedOn w:val="DefaultParagraphFont"/>
    <w:rsid w:val="0044543B"/>
    <w:rPr>
      <w:vertAlign w:val="superscript"/>
    </w:rPr>
  </w:style>
  <w:style w:type="paragraph" w:styleId="ListParagraph">
    <w:name w:val="List Paragraph"/>
    <w:basedOn w:val="Normal"/>
    <w:uiPriority w:val="34"/>
    <w:rsid w:val="0098208A"/>
    <w:pPr>
      <w:ind w:left="720"/>
      <w:contextualSpacing/>
    </w:pPr>
  </w:style>
  <w:style w:type="paragraph" w:styleId="Subtitle">
    <w:name w:val="Subtitle"/>
    <w:basedOn w:val="Normal"/>
    <w:next w:val="Normal"/>
    <w:link w:val="SubtitleChar"/>
    <w:qFormat/>
    <w:rsid w:val="007643BD"/>
    <w:pPr>
      <w:numPr>
        <w:ilvl w:val="1"/>
      </w:numPr>
      <w:spacing w:before="120" w:after="240"/>
      <w:jc w:val="center"/>
    </w:pPr>
    <w:rPr>
      <w:rFonts w:ascii="Arial Bold" w:eastAsiaTheme="majorEastAsia" w:hAnsi="Arial Bold" w:cstheme="majorBidi"/>
      <w:b/>
      <w:iCs/>
      <w:caps/>
      <w:spacing w:val="15"/>
      <w:sz w:val="36"/>
      <w:szCs w:val="24"/>
    </w:rPr>
  </w:style>
  <w:style w:type="character" w:customStyle="1" w:styleId="SubtitleChar">
    <w:name w:val="Subtitle Char"/>
    <w:basedOn w:val="DefaultParagraphFont"/>
    <w:link w:val="Subtitle"/>
    <w:rsid w:val="007643BD"/>
    <w:rPr>
      <w:rFonts w:ascii="Arial Bold" w:eastAsiaTheme="majorEastAsia" w:hAnsi="Arial Bold" w:cstheme="majorBidi"/>
      <w:b/>
      <w:iCs/>
      <w:caps/>
      <w:spacing w:val="15"/>
      <w:sz w:val="36"/>
      <w:szCs w:val="24"/>
      <w:lang w:eastAsia="en-US"/>
    </w:rPr>
  </w:style>
  <w:style w:type="paragraph" w:customStyle="1" w:styleId="Bullet4">
    <w:name w:val="Bullet4"/>
    <w:basedOn w:val="Normal"/>
    <w:rsid w:val="007F7FC1"/>
    <w:pPr>
      <w:numPr>
        <w:numId w:val="45"/>
      </w:numPr>
      <w:spacing w:after="200" w:line="200" w:lineRule="exact"/>
    </w:pPr>
    <w:rPr>
      <w:rFonts w:ascii="Times New Roman" w:hAnsi="Times New Roman"/>
      <w:sz w:val="20"/>
    </w:rPr>
  </w:style>
  <w:style w:type="character" w:customStyle="1" w:styleId="TitleChar">
    <w:name w:val="Title Char"/>
    <w:link w:val="Title"/>
    <w:rsid w:val="007F7FC1"/>
    <w:rPr>
      <w:rFonts w:ascii="Arial Bold" w:hAnsi="Arial Bold" w:cs="Arial"/>
      <w:b/>
      <w:bCs/>
      <w:caps/>
      <w:kern w:val="28"/>
      <w:sz w:val="4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774">
      <w:bodyDiv w:val="1"/>
      <w:marLeft w:val="0"/>
      <w:marRight w:val="0"/>
      <w:marTop w:val="0"/>
      <w:marBottom w:val="0"/>
      <w:divBdr>
        <w:top w:val="none" w:sz="0" w:space="0" w:color="auto"/>
        <w:left w:val="none" w:sz="0" w:space="0" w:color="auto"/>
        <w:bottom w:val="none" w:sz="0" w:space="0" w:color="auto"/>
        <w:right w:val="none" w:sz="0" w:space="0" w:color="auto"/>
      </w:divBdr>
    </w:div>
    <w:div w:id="19135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easury.act.gov.au/accounting/html/cont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14389-1F20-47FE-8BD8-86B6D623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1810</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PUBLIC PRIVATE PARTNERSHIPS FINANCED BY THE OPERATOR WITH THE ASSETS BEING TERRITORY ASSETS AT THE END OF THE ARRANGEMENT</vt:lpstr>
    </vt:vector>
  </TitlesOfParts>
  <Company>ACT Government</Company>
  <LinksUpToDate>false</LinksUpToDate>
  <CharactersWithSpaces>13211</CharactersWithSpaces>
  <SharedDoc>false</SharedDoc>
  <HLinks>
    <vt:vector size="282" baseType="variant">
      <vt:variant>
        <vt:i4>3604543</vt:i4>
      </vt:variant>
      <vt:variant>
        <vt:i4>276</vt:i4>
      </vt:variant>
      <vt:variant>
        <vt:i4>0</vt:i4>
      </vt:variant>
      <vt:variant>
        <vt:i4>5</vt:i4>
      </vt:variant>
      <vt:variant>
        <vt:lpwstr>http://www.familyassist.gov.au/</vt:lpwstr>
      </vt:variant>
      <vt:variant>
        <vt:lpwstr/>
      </vt:variant>
      <vt:variant>
        <vt:i4>7602208</vt:i4>
      </vt:variant>
      <vt:variant>
        <vt:i4>273</vt:i4>
      </vt:variant>
      <vt:variant>
        <vt:i4>0</vt:i4>
      </vt:variant>
      <vt:variant>
        <vt:i4>5</vt:i4>
      </vt:variant>
      <vt:variant>
        <vt:lpwstr>http://www.treasury.act.gov.au/accounting/html/contacts.htm</vt:lpwstr>
      </vt:variant>
      <vt:variant>
        <vt:lpwstr/>
      </vt:variant>
      <vt:variant>
        <vt:i4>1900593</vt:i4>
      </vt:variant>
      <vt:variant>
        <vt:i4>266</vt:i4>
      </vt:variant>
      <vt:variant>
        <vt:i4>0</vt:i4>
      </vt:variant>
      <vt:variant>
        <vt:i4>5</vt:i4>
      </vt:variant>
      <vt:variant>
        <vt:lpwstr/>
      </vt:variant>
      <vt:variant>
        <vt:lpwstr>_Toc327800506</vt:lpwstr>
      </vt:variant>
      <vt:variant>
        <vt:i4>1900593</vt:i4>
      </vt:variant>
      <vt:variant>
        <vt:i4>260</vt:i4>
      </vt:variant>
      <vt:variant>
        <vt:i4>0</vt:i4>
      </vt:variant>
      <vt:variant>
        <vt:i4>5</vt:i4>
      </vt:variant>
      <vt:variant>
        <vt:lpwstr/>
      </vt:variant>
      <vt:variant>
        <vt:lpwstr>_Toc327800505</vt:lpwstr>
      </vt:variant>
      <vt:variant>
        <vt:i4>1900593</vt:i4>
      </vt:variant>
      <vt:variant>
        <vt:i4>254</vt:i4>
      </vt:variant>
      <vt:variant>
        <vt:i4>0</vt:i4>
      </vt:variant>
      <vt:variant>
        <vt:i4>5</vt:i4>
      </vt:variant>
      <vt:variant>
        <vt:lpwstr/>
      </vt:variant>
      <vt:variant>
        <vt:lpwstr>_Toc327800504</vt:lpwstr>
      </vt:variant>
      <vt:variant>
        <vt:i4>1900593</vt:i4>
      </vt:variant>
      <vt:variant>
        <vt:i4>248</vt:i4>
      </vt:variant>
      <vt:variant>
        <vt:i4>0</vt:i4>
      </vt:variant>
      <vt:variant>
        <vt:i4>5</vt:i4>
      </vt:variant>
      <vt:variant>
        <vt:lpwstr/>
      </vt:variant>
      <vt:variant>
        <vt:lpwstr>_Toc327800503</vt:lpwstr>
      </vt:variant>
      <vt:variant>
        <vt:i4>1900593</vt:i4>
      </vt:variant>
      <vt:variant>
        <vt:i4>242</vt:i4>
      </vt:variant>
      <vt:variant>
        <vt:i4>0</vt:i4>
      </vt:variant>
      <vt:variant>
        <vt:i4>5</vt:i4>
      </vt:variant>
      <vt:variant>
        <vt:lpwstr/>
      </vt:variant>
      <vt:variant>
        <vt:lpwstr>_Toc327800502</vt:lpwstr>
      </vt:variant>
      <vt:variant>
        <vt:i4>1900593</vt:i4>
      </vt:variant>
      <vt:variant>
        <vt:i4>236</vt:i4>
      </vt:variant>
      <vt:variant>
        <vt:i4>0</vt:i4>
      </vt:variant>
      <vt:variant>
        <vt:i4>5</vt:i4>
      </vt:variant>
      <vt:variant>
        <vt:lpwstr/>
      </vt:variant>
      <vt:variant>
        <vt:lpwstr>_Toc327800501</vt:lpwstr>
      </vt:variant>
      <vt:variant>
        <vt:i4>1900593</vt:i4>
      </vt:variant>
      <vt:variant>
        <vt:i4>230</vt:i4>
      </vt:variant>
      <vt:variant>
        <vt:i4>0</vt:i4>
      </vt:variant>
      <vt:variant>
        <vt:i4>5</vt:i4>
      </vt:variant>
      <vt:variant>
        <vt:lpwstr/>
      </vt:variant>
      <vt:variant>
        <vt:lpwstr>_Toc327800500</vt:lpwstr>
      </vt:variant>
      <vt:variant>
        <vt:i4>1310768</vt:i4>
      </vt:variant>
      <vt:variant>
        <vt:i4>224</vt:i4>
      </vt:variant>
      <vt:variant>
        <vt:i4>0</vt:i4>
      </vt:variant>
      <vt:variant>
        <vt:i4>5</vt:i4>
      </vt:variant>
      <vt:variant>
        <vt:lpwstr/>
      </vt:variant>
      <vt:variant>
        <vt:lpwstr>_Toc327800499</vt:lpwstr>
      </vt:variant>
      <vt:variant>
        <vt:i4>1310768</vt:i4>
      </vt:variant>
      <vt:variant>
        <vt:i4>218</vt:i4>
      </vt:variant>
      <vt:variant>
        <vt:i4>0</vt:i4>
      </vt:variant>
      <vt:variant>
        <vt:i4>5</vt:i4>
      </vt:variant>
      <vt:variant>
        <vt:lpwstr/>
      </vt:variant>
      <vt:variant>
        <vt:lpwstr>_Toc327800498</vt:lpwstr>
      </vt:variant>
      <vt:variant>
        <vt:i4>1310768</vt:i4>
      </vt:variant>
      <vt:variant>
        <vt:i4>212</vt:i4>
      </vt:variant>
      <vt:variant>
        <vt:i4>0</vt:i4>
      </vt:variant>
      <vt:variant>
        <vt:i4>5</vt:i4>
      </vt:variant>
      <vt:variant>
        <vt:lpwstr/>
      </vt:variant>
      <vt:variant>
        <vt:lpwstr>_Toc327800497</vt:lpwstr>
      </vt:variant>
      <vt:variant>
        <vt:i4>1310768</vt:i4>
      </vt:variant>
      <vt:variant>
        <vt:i4>206</vt:i4>
      </vt:variant>
      <vt:variant>
        <vt:i4>0</vt:i4>
      </vt:variant>
      <vt:variant>
        <vt:i4>5</vt:i4>
      </vt:variant>
      <vt:variant>
        <vt:lpwstr/>
      </vt:variant>
      <vt:variant>
        <vt:lpwstr>_Toc327800496</vt:lpwstr>
      </vt:variant>
      <vt:variant>
        <vt:i4>1310768</vt:i4>
      </vt:variant>
      <vt:variant>
        <vt:i4>200</vt:i4>
      </vt:variant>
      <vt:variant>
        <vt:i4>0</vt:i4>
      </vt:variant>
      <vt:variant>
        <vt:i4>5</vt:i4>
      </vt:variant>
      <vt:variant>
        <vt:lpwstr/>
      </vt:variant>
      <vt:variant>
        <vt:lpwstr>_Toc327800495</vt:lpwstr>
      </vt:variant>
      <vt:variant>
        <vt:i4>1310768</vt:i4>
      </vt:variant>
      <vt:variant>
        <vt:i4>194</vt:i4>
      </vt:variant>
      <vt:variant>
        <vt:i4>0</vt:i4>
      </vt:variant>
      <vt:variant>
        <vt:i4>5</vt:i4>
      </vt:variant>
      <vt:variant>
        <vt:lpwstr/>
      </vt:variant>
      <vt:variant>
        <vt:lpwstr>_Toc327800494</vt:lpwstr>
      </vt:variant>
      <vt:variant>
        <vt:i4>1310768</vt:i4>
      </vt:variant>
      <vt:variant>
        <vt:i4>188</vt:i4>
      </vt:variant>
      <vt:variant>
        <vt:i4>0</vt:i4>
      </vt:variant>
      <vt:variant>
        <vt:i4>5</vt:i4>
      </vt:variant>
      <vt:variant>
        <vt:lpwstr/>
      </vt:variant>
      <vt:variant>
        <vt:lpwstr>_Toc327800493</vt:lpwstr>
      </vt:variant>
      <vt:variant>
        <vt:i4>1310768</vt:i4>
      </vt:variant>
      <vt:variant>
        <vt:i4>182</vt:i4>
      </vt:variant>
      <vt:variant>
        <vt:i4>0</vt:i4>
      </vt:variant>
      <vt:variant>
        <vt:i4>5</vt:i4>
      </vt:variant>
      <vt:variant>
        <vt:lpwstr/>
      </vt:variant>
      <vt:variant>
        <vt:lpwstr>_Toc327800492</vt:lpwstr>
      </vt:variant>
      <vt:variant>
        <vt:i4>1310768</vt:i4>
      </vt:variant>
      <vt:variant>
        <vt:i4>176</vt:i4>
      </vt:variant>
      <vt:variant>
        <vt:i4>0</vt:i4>
      </vt:variant>
      <vt:variant>
        <vt:i4>5</vt:i4>
      </vt:variant>
      <vt:variant>
        <vt:lpwstr/>
      </vt:variant>
      <vt:variant>
        <vt:lpwstr>_Toc327800491</vt:lpwstr>
      </vt:variant>
      <vt:variant>
        <vt:i4>1310768</vt:i4>
      </vt:variant>
      <vt:variant>
        <vt:i4>170</vt:i4>
      </vt:variant>
      <vt:variant>
        <vt:i4>0</vt:i4>
      </vt:variant>
      <vt:variant>
        <vt:i4>5</vt:i4>
      </vt:variant>
      <vt:variant>
        <vt:lpwstr/>
      </vt:variant>
      <vt:variant>
        <vt:lpwstr>_Toc327800490</vt:lpwstr>
      </vt:variant>
      <vt:variant>
        <vt:i4>1376304</vt:i4>
      </vt:variant>
      <vt:variant>
        <vt:i4>164</vt:i4>
      </vt:variant>
      <vt:variant>
        <vt:i4>0</vt:i4>
      </vt:variant>
      <vt:variant>
        <vt:i4>5</vt:i4>
      </vt:variant>
      <vt:variant>
        <vt:lpwstr/>
      </vt:variant>
      <vt:variant>
        <vt:lpwstr>_Toc327800489</vt:lpwstr>
      </vt:variant>
      <vt:variant>
        <vt:i4>1376304</vt:i4>
      </vt:variant>
      <vt:variant>
        <vt:i4>158</vt:i4>
      </vt:variant>
      <vt:variant>
        <vt:i4>0</vt:i4>
      </vt:variant>
      <vt:variant>
        <vt:i4>5</vt:i4>
      </vt:variant>
      <vt:variant>
        <vt:lpwstr/>
      </vt:variant>
      <vt:variant>
        <vt:lpwstr>_Toc327800488</vt:lpwstr>
      </vt:variant>
      <vt:variant>
        <vt:i4>1376304</vt:i4>
      </vt:variant>
      <vt:variant>
        <vt:i4>152</vt:i4>
      </vt:variant>
      <vt:variant>
        <vt:i4>0</vt:i4>
      </vt:variant>
      <vt:variant>
        <vt:i4>5</vt:i4>
      </vt:variant>
      <vt:variant>
        <vt:lpwstr/>
      </vt:variant>
      <vt:variant>
        <vt:lpwstr>_Toc327800487</vt:lpwstr>
      </vt:variant>
      <vt:variant>
        <vt:i4>1376304</vt:i4>
      </vt:variant>
      <vt:variant>
        <vt:i4>146</vt:i4>
      </vt:variant>
      <vt:variant>
        <vt:i4>0</vt:i4>
      </vt:variant>
      <vt:variant>
        <vt:i4>5</vt:i4>
      </vt:variant>
      <vt:variant>
        <vt:lpwstr/>
      </vt:variant>
      <vt:variant>
        <vt:lpwstr>_Toc327800486</vt:lpwstr>
      </vt:variant>
      <vt:variant>
        <vt:i4>1376304</vt:i4>
      </vt:variant>
      <vt:variant>
        <vt:i4>140</vt:i4>
      </vt:variant>
      <vt:variant>
        <vt:i4>0</vt:i4>
      </vt:variant>
      <vt:variant>
        <vt:i4>5</vt:i4>
      </vt:variant>
      <vt:variant>
        <vt:lpwstr/>
      </vt:variant>
      <vt:variant>
        <vt:lpwstr>_Toc327800485</vt:lpwstr>
      </vt:variant>
      <vt:variant>
        <vt:i4>1376304</vt:i4>
      </vt:variant>
      <vt:variant>
        <vt:i4>134</vt:i4>
      </vt:variant>
      <vt:variant>
        <vt:i4>0</vt:i4>
      </vt:variant>
      <vt:variant>
        <vt:i4>5</vt:i4>
      </vt:variant>
      <vt:variant>
        <vt:lpwstr/>
      </vt:variant>
      <vt:variant>
        <vt:lpwstr>_Toc327800484</vt:lpwstr>
      </vt:variant>
      <vt:variant>
        <vt:i4>1376304</vt:i4>
      </vt:variant>
      <vt:variant>
        <vt:i4>128</vt:i4>
      </vt:variant>
      <vt:variant>
        <vt:i4>0</vt:i4>
      </vt:variant>
      <vt:variant>
        <vt:i4>5</vt:i4>
      </vt:variant>
      <vt:variant>
        <vt:lpwstr/>
      </vt:variant>
      <vt:variant>
        <vt:lpwstr>_Toc327800483</vt:lpwstr>
      </vt:variant>
      <vt:variant>
        <vt:i4>1376304</vt:i4>
      </vt:variant>
      <vt:variant>
        <vt:i4>122</vt:i4>
      </vt:variant>
      <vt:variant>
        <vt:i4>0</vt:i4>
      </vt:variant>
      <vt:variant>
        <vt:i4>5</vt:i4>
      </vt:variant>
      <vt:variant>
        <vt:lpwstr/>
      </vt:variant>
      <vt:variant>
        <vt:lpwstr>_Toc327800482</vt:lpwstr>
      </vt:variant>
      <vt:variant>
        <vt:i4>1376304</vt:i4>
      </vt:variant>
      <vt:variant>
        <vt:i4>116</vt:i4>
      </vt:variant>
      <vt:variant>
        <vt:i4>0</vt:i4>
      </vt:variant>
      <vt:variant>
        <vt:i4>5</vt:i4>
      </vt:variant>
      <vt:variant>
        <vt:lpwstr/>
      </vt:variant>
      <vt:variant>
        <vt:lpwstr>_Toc327800481</vt:lpwstr>
      </vt:variant>
      <vt:variant>
        <vt:i4>1376304</vt:i4>
      </vt:variant>
      <vt:variant>
        <vt:i4>110</vt:i4>
      </vt:variant>
      <vt:variant>
        <vt:i4>0</vt:i4>
      </vt:variant>
      <vt:variant>
        <vt:i4>5</vt:i4>
      </vt:variant>
      <vt:variant>
        <vt:lpwstr/>
      </vt:variant>
      <vt:variant>
        <vt:lpwstr>_Toc327800480</vt:lpwstr>
      </vt:variant>
      <vt:variant>
        <vt:i4>1703984</vt:i4>
      </vt:variant>
      <vt:variant>
        <vt:i4>104</vt:i4>
      </vt:variant>
      <vt:variant>
        <vt:i4>0</vt:i4>
      </vt:variant>
      <vt:variant>
        <vt:i4>5</vt:i4>
      </vt:variant>
      <vt:variant>
        <vt:lpwstr/>
      </vt:variant>
      <vt:variant>
        <vt:lpwstr>_Toc327800479</vt:lpwstr>
      </vt:variant>
      <vt:variant>
        <vt:i4>1703984</vt:i4>
      </vt:variant>
      <vt:variant>
        <vt:i4>98</vt:i4>
      </vt:variant>
      <vt:variant>
        <vt:i4>0</vt:i4>
      </vt:variant>
      <vt:variant>
        <vt:i4>5</vt:i4>
      </vt:variant>
      <vt:variant>
        <vt:lpwstr/>
      </vt:variant>
      <vt:variant>
        <vt:lpwstr>_Toc327800478</vt:lpwstr>
      </vt:variant>
      <vt:variant>
        <vt:i4>1703984</vt:i4>
      </vt:variant>
      <vt:variant>
        <vt:i4>92</vt:i4>
      </vt:variant>
      <vt:variant>
        <vt:i4>0</vt:i4>
      </vt:variant>
      <vt:variant>
        <vt:i4>5</vt:i4>
      </vt:variant>
      <vt:variant>
        <vt:lpwstr/>
      </vt:variant>
      <vt:variant>
        <vt:lpwstr>_Toc327800477</vt:lpwstr>
      </vt:variant>
      <vt:variant>
        <vt:i4>1703984</vt:i4>
      </vt:variant>
      <vt:variant>
        <vt:i4>86</vt:i4>
      </vt:variant>
      <vt:variant>
        <vt:i4>0</vt:i4>
      </vt:variant>
      <vt:variant>
        <vt:i4>5</vt:i4>
      </vt:variant>
      <vt:variant>
        <vt:lpwstr/>
      </vt:variant>
      <vt:variant>
        <vt:lpwstr>_Toc327800476</vt:lpwstr>
      </vt:variant>
      <vt:variant>
        <vt:i4>1703984</vt:i4>
      </vt:variant>
      <vt:variant>
        <vt:i4>80</vt:i4>
      </vt:variant>
      <vt:variant>
        <vt:i4>0</vt:i4>
      </vt:variant>
      <vt:variant>
        <vt:i4>5</vt:i4>
      </vt:variant>
      <vt:variant>
        <vt:lpwstr/>
      </vt:variant>
      <vt:variant>
        <vt:lpwstr>_Toc327800475</vt:lpwstr>
      </vt:variant>
      <vt:variant>
        <vt:i4>1703984</vt:i4>
      </vt:variant>
      <vt:variant>
        <vt:i4>74</vt:i4>
      </vt:variant>
      <vt:variant>
        <vt:i4>0</vt:i4>
      </vt:variant>
      <vt:variant>
        <vt:i4>5</vt:i4>
      </vt:variant>
      <vt:variant>
        <vt:lpwstr/>
      </vt:variant>
      <vt:variant>
        <vt:lpwstr>_Toc327800474</vt:lpwstr>
      </vt:variant>
      <vt:variant>
        <vt:i4>1703984</vt:i4>
      </vt:variant>
      <vt:variant>
        <vt:i4>68</vt:i4>
      </vt:variant>
      <vt:variant>
        <vt:i4>0</vt:i4>
      </vt:variant>
      <vt:variant>
        <vt:i4>5</vt:i4>
      </vt:variant>
      <vt:variant>
        <vt:lpwstr/>
      </vt:variant>
      <vt:variant>
        <vt:lpwstr>_Toc327800473</vt:lpwstr>
      </vt:variant>
      <vt:variant>
        <vt:i4>1703984</vt:i4>
      </vt:variant>
      <vt:variant>
        <vt:i4>62</vt:i4>
      </vt:variant>
      <vt:variant>
        <vt:i4>0</vt:i4>
      </vt:variant>
      <vt:variant>
        <vt:i4>5</vt:i4>
      </vt:variant>
      <vt:variant>
        <vt:lpwstr/>
      </vt:variant>
      <vt:variant>
        <vt:lpwstr>_Toc327800472</vt:lpwstr>
      </vt:variant>
      <vt:variant>
        <vt:i4>1703984</vt:i4>
      </vt:variant>
      <vt:variant>
        <vt:i4>56</vt:i4>
      </vt:variant>
      <vt:variant>
        <vt:i4>0</vt:i4>
      </vt:variant>
      <vt:variant>
        <vt:i4>5</vt:i4>
      </vt:variant>
      <vt:variant>
        <vt:lpwstr/>
      </vt:variant>
      <vt:variant>
        <vt:lpwstr>_Toc327800471</vt:lpwstr>
      </vt:variant>
      <vt:variant>
        <vt:i4>1703984</vt:i4>
      </vt:variant>
      <vt:variant>
        <vt:i4>50</vt:i4>
      </vt:variant>
      <vt:variant>
        <vt:i4>0</vt:i4>
      </vt:variant>
      <vt:variant>
        <vt:i4>5</vt:i4>
      </vt:variant>
      <vt:variant>
        <vt:lpwstr/>
      </vt:variant>
      <vt:variant>
        <vt:lpwstr>_Toc327800470</vt:lpwstr>
      </vt:variant>
      <vt:variant>
        <vt:i4>1769520</vt:i4>
      </vt:variant>
      <vt:variant>
        <vt:i4>44</vt:i4>
      </vt:variant>
      <vt:variant>
        <vt:i4>0</vt:i4>
      </vt:variant>
      <vt:variant>
        <vt:i4>5</vt:i4>
      </vt:variant>
      <vt:variant>
        <vt:lpwstr/>
      </vt:variant>
      <vt:variant>
        <vt:lpwstr>_Toc327800469</vt:lpwstr>
      </vt:variant>
      <vt:variant>
        <vt:i4>1769520</vt:i4>
      </vt:variant>
      <vt:variant>
        <vt:i4>38</vt:i4>
      </vt:variant>
      <vt:variant>
        <vt:i4>0</vt:i4>
      </vt:variant>
      <vt:variant>
        <vt:i4>5</vt:i4>
      </vt:variant>
      <vt:variant>
        <vt:lpwstr/>
      </vt:variant>
      <vt:variant>
        <vt:lpwstr>_Toc327800468</vt:lpwstr>
      </vt:variant>
      <vt:variant>
        <vt:i4>1769520</vt:i4>
      </vt:variant>
      <vt:variant>
        <vt:i4>32</vt:i4>
      </vt:variant>
      <vt:variant>
        <vt:i4>0</vt:i4>
      </vt:variant>
      <vt:variant>
        <vt:i4>5</vt:i4>
      </vt:variant>
      <vt:variant>
        <vt:lpwstr/>
      </vt:variant>
      <vt:variant>
        <vt:lpwstr>_Toc327800467</vt:lpwstr>
      </vt:variant>
      <vt:variant>
        <vt:i4>1769520</vt:i4>
      </vt:variant>
      <vt:variant>
        <vt:i4>26</vt:i4>
      </vt:variant>
      <vt:variant>
        <vt:i4>0</vt:i4>
      </vt:variant>
      <vt:variant>
        <vt:i4>5</vt:i4>
      </vt:variant>
      <vt:variant>
        <vt:lpwstr/>
      </vt:variant>
      <vt:variant>
        <vt:lpwstr>_Toc327800466</vt:lpwstr>
      </vt:variant>
      <vt:variant>
        <vt:i4>1769520</vt:i4>
      </vt:variant>
      <vt:variant>
        <vt:i4>20</vt:i4>
      </vt:variant>
      <vt:variant>
        <vt:i4>0</vt:i4>
      </vt:variant>
      <vt:variant>
        <vt:i4>5</vt:i4>
      </vt:variant>
      <vt:variant>
        <vt:lpwstr/>
      </vt:variant>
      <vt:variant>
        <vt:lpwstr>_Toc327800465</vt:lpwstr>
      </vt:variant>
      <vt:variant>
        <vt:i4>1769520</vt:i4>
      </vt:variant>
      <vt:variant>
        <vt:i4>14</vt:i4>
      </vt:variant>
      <vt:variant>
        <vt:i4>0</vt:i4>
      </vt:variant>
      <vt:variant>
        <vt:i4>5</vt:i4>
      </vt:variant>
      <vt:variant>
        <vt:lpwstr/>
      </vt:variant>
      <vt:variant>
        <vt:lpwstr>_Toc327800464</vt:lpwstr>
      </vt:variant>
      <vt:variant>
        <vt:i4>1769520</vt:i4>
      </vt:variant>
      <vt:variant>
        <vt:i4>8</vt:i4>
      </vt:variant>
      <vt:variant>
        <vt:i4>0</vt:i4>
      </vt:variant>
      <vt:variant>
        <vt:i4>5</vt:i4>
      </vt:variant>
      <vt:variant>
        <vt:lpwstr/>
      </vt:variant>
      <vt:variant>
        <vt:lpwstr>_Toc327800463</vt:lpwstr>
      </vt:variant>
      <vt:variant>
        <vt:i4>1769520</vt:i4>
      </vt:variant>
      <vt:variant>
        <vt:i4>2</vt:i4>
      </vt:variant>
      <vt:variant>
        <vt:i4>0</vt:i4>
      </vt:variant>
      <vt:variant>
        <vt:i4>5</vt:i4>
      </vt:variant>
      <vt:variant>
        <vt:lpwstr/>
      </vt:variant>
      <vt:variant>
        <vt:lpwstr>_Toc327800462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PARTNERSHIPS FINANCED BY THE OPERATOR WITH THE ASSETS BEING TERRITORY ASSETS AT THE END OF THE ARRANGEMENT</dc:title>
  <dc:subject>Accounting Policy</dc:subject>
  <dc:creator>Director, FFMI, CMTEDD, ACT Government</dc:creator>
  <cp:keywords>Public Private Partnerships; PPP;</cp:keywords>
  <cp:lastModifiedBy>Palfreyman, Hamish</cp:lastModifiedBy>
  <cp:revision>5</cp:revision>
  <cp:lastPrinted>2016-07-19T05:22:00Z</cp:lastPrinted>
  <dcterms:created xsi:type="dcterms:W3CDTF">2022-06-04T04:48:00Z</dcterms:created>
  <dcterms:modified xsi:type="dcterms:W3CDTF">2022-06-07T04:15:00Z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Accounting Policy Public and Private Partnerships</vt:lpwstr>
  </property>
</Properties>
</file>