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242"/>
      </w:tblGrid>
      <w:tr w:rsidR="00493F55" w:rsidRPr="00493F55" w:rsidTr="00B4186F">
        <w:trPr>
          <w:trHeight w:val="2880"/>
          <w:tblHeader/>
          <w:jc w:val="center"/>
        </w:trPr>
        <w:tc>
          <w:tcPr>
            <w:tcW w:w="5000" w:type="pct"/>
          </w:tcPr>
          <w:p w:rsidR="00493F55" w:rsidRPr="00493F55" w:rsidRDefault="00493F55" w:rsidP="00E64B06">
            <w:pPr>
              <w:tabs>
                <w:tab w:val="left" w:pos="4550"/>
              </w:tabs>
              <w:spacing w:after="0" w:line="240" w:lineRule="auto"/>
              <w:jc w:val="center"/>
              <w:rPr>
                <w:rFonts w:eastAsia="Times New Roman"/>
                <w:caps/>
                <w:lang w:val="en-US"/>
              </w:rPr>
            </w:pPr>
            <w:r>
              <w:rPr>
                <w:rFonts w:ascii="Cambria" w:eastAsia="Times New Roman" w:hAnsi="Cambria"/>
                <w:caps/>
                <w:noProof/>
                <w:lang w:eastAsia="en-AU"/>
              </w:rPr>
              <w:drawing>
                <wp:anchor distT="0" distB="0" distL="114300" distR="114300" simplePos="0" relativeHeight="251671552" behindDoc="0" locked="0" layoutInCell="1" allowOverlap="1">
                  <wp:simplePos x="0" y="0"/>
                  <wp:positionH relativeFrom="column">
                    <wp:posOffset>1912620</wp:posOffset>
                  </wp:positionH>
                  <wp:positionV relativeFrom="paragraph">
                    <wp:posOffset>514350</wp:posOffset>
                  </wp:positionV>
                  <wp:extent cx="1962150" cy="742950"/>
                  <wp:effectExtent l="19050" t="0" r="0" b="0"/>
                  <wp:wrapSquare wrapText="bothSides"/>
                  <wp:docPr id="27" name="Picture 2" descr="Chief Minister, Treasury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pic:cNvPicPr>
                            <a:picLocks noChangeAspect="1" noChangeArrowheads="1"/>
                          </pic:cNvPicPr>
                        </pic:nvPicPr>
                        <pic:blipFill>
                          <a:blip r:embed="rId8" cstate="print"/>
                          <a:srcRect/>
                          <a:stretch>
                            <a:fillRect/>
                          </a:stretch>
                        </pic:blipFill>
                        <pic:spPr bwMode="auto">
                          <a:xfrm>
                            <a:off x="0" y="0"/>
                            <a:ext cx="1962150" cy="742950"/>
                          </a:xfrm>
                          <a:prstGeom prst="rect">
                            <a:avLst/>
                          </a:prstGeom>
                          <a:noFill/>
                          <a:ln w="9525">
                            <a:noFill/>
                            <a:miter lim="800000"/>
                            <a:headEnd/>
                            <a:tailEnd/>
                          </a:ln>
                        </pic:spPr>
                      </pic:pic>
                    </a:graphicData>
                  </a:graphic>
                </wp:anchor>
              </w:drawing>
            </w:r>
            <w:r w:rsidRPr="00493F55">
              <w:rPr>
                <w:rFonts w:ascii="Cambria" w:eastAsia="Times New Roman" w:hAnsi="Cambria"/>
                <w:caps/>
                <w:noProof/>
                <w:lang w:eastAsia="en-AU"/>
              </w:rPr>
              <w:t xml:space="preserve">  </w:t>
            </w:r>
          </w:p>
        </w:tc>
      </w:tr>
      <w:tr w:rsidR="00493F55" w:rsidRPr="00493F55" w:rsidTr="003B49EE">
        <w:trPr>
          <w:trHeight w:val="1440"/>
          <w:jc w:val="center"/>
        </w:trPr>
        <w:tc>
          <w:tcPr>
            <w:tcW w:w="5000" w:type="pct"/>
            <w:tcBorders>
              <w:bottom w:val="single" w:sz="4" w:space="0" w:color="4F81BD"/>
            </w:tcBorders>
            <w:vAlign w:val="center"/>
          </w:tcPr>
          <w:p w:rsidR="00493F55" w:rsidRPr="00957DD5" w:rsidRDefault="00493F55" w:rsidP="00493F55">
            <w:pPr>
              <w:spacing w:after="0" w:line="240" w:lineRule="auto"/>
              <w:jc w:val="center"/>
              <w:rPr>
                <w:rFonts w:ascii="Arial" w:eastAsia="Times New Roman" w:hAnsi="Arial" w:cs="Arial"/>
                <w:b/>
                <w:color w:val="482D8C"/>
                <w:sz w:val="80"/>
                <w:szCs w:val="80"/>
                <w:lang w:val="en-US"/>
              </w:rPr>
            </w:pPr>
            <w:r w:rsidRPr="00957DD5">
              <w:rPr>
                <w:rFonts w:ascii="Arial" w:eastAsia="Times New Roman" w:hAnsi="Arial" w:cs="Arial"/>
                <w:b/>
                <w:color w:val="482D8C"/>
                <w:sz w:val="72"/>
                <w:szCs w:val="80"/>
                <w:lang w:val="en-US"/>
              </w:rPr>
              <w:t>Investigation of the ACT Energy Industry Levy</w:t>
            </w:r>
          </w:p>
        </w:tc>
      </w:tr>
      <w:tr w:rsidR="00493F55" w:rsidRPr="00493F55" w:rsidTr="003B49EE">
        <w:trPr>
          <w:trHeight w:val="720"/>
          <w:jc w:val="center"/>
        </w:trPr>
        <w:tc>
          <w:tcPr>
            <w:tcW w:w="5000" w:type="pct"/>
            <w:tcBorders>
              <w:top w:val="single" w:sz="4" w:space="0" w:color="4F81BD"/>
            </w:tcBorders>
            <w:vAlign w:val="center"/>
          </w:tcPr>
          <w:p w:rsidR="00493F55" w:rsidRPr="00957DD5" w:rsidRDefault="004F3991" w:rsidP="00493F55">
            <w:pPr>
              <w:spacing w:after="0" w:line="240" w:lineRule="auto"/>
              <w:jc w:val="center"/>
              <w:rPr>
                <w:rFonts w:ascii="Arial" w:eastAsia="Times New Roman" w:hAnsi="Arial" w:cs="Arial"/>
                <w:color w:val="482D8C"/>
                <w:sz w:val="44"/>
                <w:szCs w:val="44"/>
                <w:lang w:val="en-US"/>
              </w:rPr>
            </w:pPr>
            <w:r>
              <w:rPr>
                <w:rFonts w:ascii="Arial" w:eastAsia="Times New Roman" w:hAnsi="Arial" w:cs="Arial"/>
                <w:color w:val="482D8C"/>
                <w:sz w:val="44"/>
                <w:szCs w:val="44"/>
                <w:lang w:val="en-US"/>
              </w:rPr>
              <w:t xml:space="preserve">Technical </w:t>
            </w:r>
            <w:r w:rsidR="00493F55" w:rsidRPr="00957DD5">
              <w:rPr>
                <w:rFonts w:ascii="Arial" w:eastAsia="Times New Roman" w:hAnsi="Arial" w:cs="Arial"/>
                <w:color w:val="482D8C"/>
                <w:sz w:val="44"/>
                <w:szCs w:val="44"/>
                <w:lang w:val="en-US"/>
              </w:rPr>
              <w:t>Report</w:t>
            </w:r>
          </w:p>
        </w:tc>
      </w:tr>
      <w:tr w:rsidR="00493F55" w:rsidRPr="00493F55" w:rsidTr="003B49EE">
        <w:trPr>
          <w:trHeight w:val="360"/>
          <w:jc w:val="center"/>
        </w:trPr>
        <w:tc>
          <w:tcPr>
            <w:tcW w:w="5000" w:type="pct"/>
            <w:vAlign w:val="center"/>
          </w:tcPr>
          <w:p w:rsidR="00493F55" w:rsidRPr="00493F55" w:rsidRDefault="00493F55" w:rsidP="00493F55">
            <w:pPr>
              <w:spacing w:after="0" w:line="240" w:lineRule="auto"/>
              <w:jc w:val="center"/>
              <w:rPr>
                <w:rFonts w:eastAsia="Times New Roman"/>
                <w:lang w:val="en-US"/>
              </w:rPr>
            </w:pPr>
          </w:p>
        </w:tc>
      </w:tr>
      <w:tr w:rsidR="00493F55" w:rsidRPr="00493F55" w:rsidTr="003B49EE">
        <w:trPr>
          <w:trHeight w:val="360"/>
          <w:jc w:val="center"/>
        </w:trPr>
        <w:tc>
          <w:tcPr>
            <w:tcW w:w="5000" w:type="pct"/>
            <w:vAlign w:val="center"/>
          </w:tcPr>
          <w:p w:rsidR="00493F55" w:rsidRPr="009A4B1A" w:rsidRDefault="00493F55" w:rsidP="00493F55">
            <w:pPr>
              <w:spacing w:after="0" w:line="240" w:lineRule="auto"/>
              <w:jc w:val="center"/>
              <w:rPr>
                <w:rFonts w:ascii="Arial" w:eastAsia="Times New Roman" w:hAnsi="Arial" w:cs="Arial"/>
                <w:bCs/>
                <w:color w:val="1C1C1C"/>
                <w:lang w:val="en-US"/>
              </w:rPr>
            </w:pPr>
            <w:r w:rsidRPr="009A4B1A">
              <w:rPr>
                <w:rFonts w:ascii="Arial" w:eastAsia="Times New Roman" w:hAnsi="Arial" w:cs="Arial"/>
                <w:bCs/>
                <w:color w:val="1C1C1C"/>
              </w:rPr>
              <w:t>Chief Minister, Treasury and Economic Development Directorate</w:t>
            </w:r>
          </w:p>
        </w:tc>
      </w:tr>
      <w:tr w:rsidR="00493F55" w:rsidRPr="00493F55" w:rsidTr="003B49EE">
        <w:trPr>
          <w:trHeight w:val="360"/>
          <w:jc w:val="center"/>
        </w:trPr>
        <w:tc>
          <w:tcPr>
            <w:tcW w:w="5000" w:type="pct"/>
            <w:vAlign w:val="center"/>
          </w:tcPr>
          <w:p w:rsidR="00493F55" w:rsidRPr="00493F55" w:rsidRDefault="00493F55" w:rsidP="00493F55">
            <w:pPr>
              <w:spacing w:after="0" w:line="240" w:lineRule="auto"/>
              <w:jc w:val="center"/>
              <w:rPr>
                <w:rFonts w:eastAsia="Times New Roman"/>
                <w:b/>
                <w:bCs/>
                <w:lang w:val="en-US"/>
              </w:rPr>
            </w:pPr>
          </w:p>
        </w:tc>
      </w:tr>
      <w:tr w:rsidR="00E64B06" w:rsidRPr="00493F55" w:rsidTr="003B49EE">
        <w:trPr>
          <w:trHeight w:val="360"/>
          <w:jc w:val="center"/>
        </w:trPr>
        <w:tc>
          <w:tcPr>
            <w:tcW w:w="5000" w:type="pct"/>
            <w:vAlign w:val="center"/>
          </w:tcPr>
          <w:p w:rsidR="00E64B06" w:rsidRPr="00957DD5" w:rsidRDefault="00EE2D59" w:rsidP="00EE2D59">
            <w:pPr>
              <w:spacing w:after="0" w:line="240" w:lineRule="auto"/>
              <w:jc w:val="center"/>
              <w:rPr>
                <w:rFonts w:ascii="Arial" w:eastAsia="Times New Roman" w:hAnsi="Arial" w:cs="Arial"/>
                <w:bCs/>
                <w:color w:val="1C1C1C"/>
                <w:lang w:val="en-US"/>
              </w:rPr>
            </w:pPr>
            <w:r>
              <w:rPr>
                <w:rFonts w:ascii="Arial" w:eastAsia="Times New Roman" w:hAnsi="Arial" w:cs="Arial"/>
                <w:bCs/>
                <w:color w:val="1C1C1C"/>
                <w:lang w:val="en-US"/>
              </w:rPr>
              <w:t>January</w:t>
            </w:r>
            <w:r w:rsidR="00E64B06" w:rsidRPr="00957DD5">
              <w:rPr>
                <w:rFonts w:ascii="Arial" w:eastAsia="Times New Roman" w:hAnsi="Arial" w:cs="Arial"/>
                <w:bCs/>
                <w:color w:val="1C1C1C"/>
                <w:lang w:val="en-US"/>
              </w:rPr>
              <w:t xml:space="preserve"> 201</w:t>
            </w:r>
            <w:r>
              <w:rPr>
                <w:rFonts w:ascii="Arial" w:eastAsia="Times New Roman" w:hAnsi="Arial" w:cs="Arial"/>
                <w:bCs/>
                <w:color w:val="1C1C1C"/>
                <w:lang w:val="en-US"/>
              </w:rPr>
              <w:t>7</w:t>
            </w:r>
          </w:p>
        </w:tc>
      </w:tr>
    </w:tbl>
    <w:p w:rsidR="004B7FD3" w:rsidRDefault="004B7FD3" w:rsidP="002B3857"/>
    <w:p w:rsidR="00527B1A" w:rsidRDefault="00E61AF9">
      <w:pPr>
        <w:spacing w:after="0" w:line="240" w:lineRule="auto"/>
      </w:pPr>
      <w:r>
        <w:br w:type="page"/>
      </w:r>
    </w:p>
    <w:p w:rsidR="00E61AF9" w:rsidRDefault="00E61AF9">
      <w:pPr>
        <w:spacing w:after="0" w:line="240" w:lineRule="auto"/>
      </w:pPr>
    </w:p>
    <w:sdt>
      <w:sdtPr>
        <w:rPr>
          <w:rFonts w:ascii="Calibri" w:eastAsia="Calibri" w:hAnsi="Calibri" w:cs="Times New Roman"/>
          <w:b w:val="0"/>
          <w:bCs w:val="0"/>
          <w:color w:val="auto"/>
          <w:sz w:val="22"/>
          <w:szCs w:val="22"/>
          <w:lang w:val="en-AU"/>
        </w:rPr>
        <w:id w:val="49651843"/>
        <w:docPartObj>
          <w:docPartGallery w:val="Table of Contents"/>
          <w:docPartUnique/>
        </w:docPartObj>
      </w:sdtPr>
      <w:sdtContent>
        <w:p w:rsidR="00E61AF9" w:rsidRDefault="00E61AF9">
          <w:pPr>
            <w:pStyle w:val="TOCHeading"/>
          </w:pPr>
          <w:r w:rsidRPr="00237D5D">
            <w:rPr>
              <w:color w:val="482D8C"/>
            </w:rPr>
            <w:t>Contents</w:t>
          </w:r>
        </w:p>
        <w:p w:rsidR="00FB1B71" w:rsidRDefault="00606DE5">
          <w:pPr>
            <w:pStyle w:val="TOC1"/>
            <w:tabs>
              <w:tab w:val="right" w:leader="dot" w:pos="9016"/>
            </w:tabs>
            <w:rPr>
              <w:rFonts w:asciiTheme="minorHAnsi" w:eastAsiaTheme="minorEastAsia" w:hAnsiTheme="minorHAnsi" w:cstheme="minorBidi"/>
              <w:noProof/>
              <w:lang w:eastAsia="en-AU"/>
            </w:rPr>
          </w:pPr>
          <w:r>
            <w:fldChar w:fldCharType="begin"/>
          </w:r>
          <w:r w:rsidR="00E61AF9">
            <w:instrText xml:space="preserve"> TOC \o "1-3" \h \z \u </w:instrText>
          </w:r>
          <w:r>
            <w:fldChar w:fldCharType="separate"/>
          </w:r>
          <w:hyperlink w:anchor="_Toc454981988" w:history="1">
            <w:r w:rsidR="00FB1B71" w:rsidRPr="002C0363">
              <w:rPr>
                <w:rStyle w:val="Hyperlink"/>
                <w:noProof/>
              </w:rPr>
              <w:t>Table of abbreviations</w:t>
            </w:r>
            <w:r w:rsidR="00FB1B71">
              <w:rPr>
                <w:noProof/>
                <w:webHidden/>
              </w:rPr>
              <w:tab/>
            </w:r>
            <w:r>
              <w:rPr>
                <w:noProof/>
                <w:webHidden/>
              </w:rPr>
              <w:fldChar w:fldCharType="begin"/>
            </w:r>
            <w:r w:rsidR="00FB1B71">
              <w:rPr>
                <w:noProof/>
                <w:webHidden/>
              </w:rPr>
              <w:instrText xml:space="preserve"> PAGEREF _Toc454981988 \h </w:instrText>
            </w:r>
            <w:r>
              <w:rPr>
                <w:noProof/>
                <w:webHidden/>
              </w:rPr>
            </w:r>
            <w:r>
              <w:rPr>
                <w:noProof/>
                <w:webHidden/>
              </w:rPr>
              <w:fldChar w:fldCharType="separate"/>
            </w:r>
            <w:r w:rsidR="00272743">
              <w:rPr>
                <w:noProof/>
                <w:webHidden/>
              </w:rPr>
              <w:t>3</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1989" w:history="1">
            <w:r w:rsidR="00FB1B71" w:rsidRPr="002C0363">
              <w:rPr>
                <w:rStyle w:val="Hyperlink"/>
                <w:noProof/>
              </w:rPr>
              <w:t>Section 1: Background, Terms of Reference, and issues driving the investigation</w:t>
            </w:r>
            <w:r w:rsidR="00FB1B71">
              <w:rPr>
                <w:noProof/>
                <w:webHidden/>
              </w:rPr>
              <w:tab/>
            </w:r>
            <w:r>
              <w:rPr>
                <w:noProof/>
                <w:webHidden/>
              </w:rPr>
              <w:fldChar w:fldCharType="begin"/>
            </w:r>
            <w:r w:rsidR="00FB1B71">
              <w:rPr>
                <w:noProof/>
                <w:webHidden/>
              </w:rPr>
              <w:instrText xml:space="preserve"> PAGEREF _Toc454981989 \h </w:instrText>
            </w:r>
            <w:r>
              <w:rPr>
                <w:noProof/>
                <w:webHidden/>
              </w:rPr>
            </w:r>
            <w:r>
              <w:rPr>
                <w:noProof/>
                <w:webHidden/>
              </w:rPr>
              <w:fldChar w:fldCharType="separate"/>
            </w:r>
            <w:r w:rsidR="00272743">
              <w:rPr>
                <w:noProof/>
                <w:webHidden/>
              </w:rPr>
              <w:t>4</w:t>
            </w:r>
            <w:r>
              <w:rPr>
                <w:noProof/>
                <w:webHidden/>
              </w:rPr>
              <w:fldChar w:fldCharType="end"/>
            </w:r>
          </w:hyperlink>
        </w:p>
        <w:p w:rsidR="00FB1B71" w:rsidRDefault="00606DE5">
          <w:pPr>
            <w:pStyle w:val="TOC2"/>
            <w:tabs>
              <w:tab w:val="right" w:leader="dot" w:pos="9016"/>
            </w:tabs>
            <w:rPr>
              <w:rFonts w:asciiTheme="minorHAnsi" w:eastAsiaTheme="minorEastAsia" w:hAnsiTheme="minorHAnsi" w:cstheme="minorBidi"/>
              <w:noProof/>
              <w:lang w:eastAsia="en-AU"/>
            </w:rPr>
          </w:pPr>
          <w:hyperlink w:anchor="_Toc454981990" w:history="1">
            <w:r w:rsidR="00FB1B71" w:rsidRPr="002C0363">
              <w:rPr>
                <w:rStyle w:val="Hyperlink"/>
                <w:noProof/>
              </w:rPr>
              <w:t>1.1 Background</w:t>
            </w:r>
            <w:r w:rsidR="00FB1B71">
              <w:rPr>
                <w:noProof/>
                <w:webHidden/>
              </w:rPr>
              <w:tab/>
            </w:r>
            <w:r>
              <w:rPr>
                <w:noProof/>
                <w:webHidden/>
              </w:rPr>
              <w:fldChar w:fldCharType="begin"/>
            </w:r>
            <w:r w:rsidR="00FB1B71">
              <w:rPr>
                <w:noProof/>
                <w:webHidden/>
              </w:rPr>
              <w:instrText xml:space="preserve"> PAGEREF _Toc454981990 \h </w:instrText>
            </w:r>
            <w:r>
              <w:rPr>
                <w:noProof/>
                <w:webHidden/>
              </w:rPr>
            </w:r>
            <w:r>
              <w:rPr>
                <w:noProof/>
                <w:webHidden/>
              </w:rPr>
              <w:fldChar w:fldCharType="separate"/>
            </w:r>
            <w:r w:rsidR="00272743">
              <w:rPr>
                <w:noProof/>
                <w:webHidden/>
              </w:rPr>
              <w:t>4</w:t>
            </w:r>
            <w:r>
              <w:rPr>
                <w:noProof/>
                <w:webHidden/>
              </w:rPr>
              <w:fldChar w:fldCharType="end"/>
            </w:r>
          </w:hyperlink>
        </w:p>
        <w:p w:rsidR="00FB1B71" w:rsidRDefault="00606DE5">
          <w:pPr>
            <w:pStyle w:val="TOC2"/>
            <w:tabs>
              <w:tab w:val="right" w:leader="dot" w:pos="9016"/>
            </w:tabs>
            <w:rPr>
              <w:rFonts w:asciiTheme="minorHAnsi" w:eastAsiaTheme="minorEastAsia" w:hAnsiTheme="minorHAnsi" w:cstheme="minorBidi"/>
              <w:noProof/>
              <w:lang w:eastAsia="en-AU"/>
            </w:rPr>
          </w:pPr>
          <w:hyperlink w:anchor="_Toc454981991" w:history="1">
            <w:r w:rsidR="00FB1B71" w:rsidRPr="002C0363">
              <w:rPr>
                <w:rStyle w:val="Hyperlink"/>
                <w:noProof/>
              </w:rPr>
              <w:t>1.2 Terms of Reference</w:t>
            </w:r>
            <w:r w:rsidR="00FB1B71">
              <w:rPr>
                <w:noProof/>
                <w:webHidden/>
              </w:rPr>
              <w:tab/>
            </w:r>
            <w:r>
              <w:rPr>
                <w:noProof/>
                <w:webHidden/>
              </w:rPr>
              <w:fldChar w:fldCharType="begin"/>
            </w:r>
            <w:r w:rsidR="00FB1B71">
              <w:rPr>
                <w:noProof/>
                <w:webHidden/>
              </w:rPr>
              <w:instrText xml:space="preserve"> PAGEREF _Toc454981991 \h </w:instrText>
            </w:r>
            <w:r>
              <w:rPr>
                <w:noProof/>
                <w:webHidden/>
              </w:rPr>
            </w:r>
            <w:r>
              <w:rPr>
                <w:noProof/>
                <w:webHidden/>
              </w:rPr>
              <w:fldChar w:fldCharType="separate"/>
            </w:r>
            <w:r w:rsidR="00272743">
              <w:rPr>
                <w:noProof/>
                <w:webHidden/>
              </w:rPr>
              <w:t>5</w:t>
            </w:r>
            <w:r>
              <w:rPr>
                <w:noProof/>
                <w:webHidden/>
              </w:rPr>
              <w:fldChar w:fldCharType="end"/>
            </w:r>
          </w:hyperlink>
        </w:p>
        <w:p w:rsidR="00FB1B71" w:rsidRDefault="00606DE5">
          <w:pPr>
            <w:pStyle w:val="TOC2"/>
            <w:tabs>
              <w:tab w:val="right" w:leader="dot" w:pos="9016"/>
            </w:tabs>
            <w:rPr>
              <w:rFonts w:asciiTheme="minorHAnsi" w:eastAsiaTheme="minorEastAsia" w:hAnsiTheme="minorHAnsi" w:cstheme="minorBidi"/>
              <w:noProof/>
              <w:lang w:eastAsia="en-AU"/>
            </w:rPr>
          </w:pPr>
          <w:hyperlink w:anchor="_Toc454981992" w:history="1">
            <w:r w:rsidR="00FB1B71" w:rsidRPr="002C0363">
              <w:rPr>
                <w:rStyle w:val="Hyperlink"/>
                <w:noProof/>
              </w:rPr>
              <w:t>1.3 Issues driving the investigation</w:t>
            </w:r>
            <w:r w:rsidR="00FB1B71">
              <w:rPr>
                <w:noProof/>
                <w:webHidden/>
              </w:rPr>
              <w:tab/>
            </w:r>
            <w:r>
              <w:rPr>
                <w:noProof/>
                <w:webHidden/>
              </w:rPr>
              <w:fldChar w:fldCharType="begin"/>
            </w:r>
            <w:r w:rsidR="00FB1B71">
              <w:rPr>
                <w:noProof/>
                <w:webHidden/>
              </w:rPr>
              <w:instrText xml:space="preserve"> PAGEREF _Toc454981992 \h </w:instrText>
            </w:r>
            <w:r>
              <w:rPr>
                <w:noProof/>
                <w:webHidden/>
              </w:rPr>
            </w:r>
            <w:r>
              <w:rPr>
                <w:noProof/>
                <w:webHidden/>
              </w:rPr>
              <w:fldChar w:fldCharType="separate"/>
            </w:r>
            <w:r w:rsidR="00272743">
              <w:rPr>
                <w:noProof/>
                <w:webHidden/>
              </w:rPr>
              <w:t>6</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1997" w:history="1">
            <w:r w:rsidR="00FB1B71" w:rsidRPr="002C0363">
              <w:rPr>
                <w:rStyle w:val="Hyperlink"/>
                <w:noProof/>
              </w:rPr>
              <w:t>Section 2: Principles for cost recovery</w:t>
            </w:r>
            <w:r w:rsidR="00FB1B71">
              <w:rPr>
                <w:noProof/>
                <w:webHidden/>
              </w:rPr>
              <w:tab/>
            </w:r>
            <w:r>
              <w:rPr>
                <w:noProof/>
                <w:webHidden/>
              </w:rPr>
              <w:fldChar w:fldCharType="begin"/>
            </w:r>
            <w:r w:rsidR="00FB1B71">
              <w:rPr>
                <w:noProof/>
                <w:webHidden/>
              </w:rPr>
              <w:instrText xml:space="preserve"> PAGEREF _Toc454981997 \h </w:instrText>
            </w:r>
            <w:r>
              <w:rPr>
                <w:noProof/>
                <w:webHidden/>
              </w:rPr>
            </w:r>
            <w:r>
              <w:rPr>
                <w:noProof/>
                <w:webHidden/>
              </w:rPr>
              <w:fldChar w:fldCharType="separate"/>
            </w:r>
            <w:r w:rsidR="00272743">
              <w:rPr>
                <w:noProof/>
                <w:webHidden/>
              </w:rPr>
              <w:t>10</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1998" w:history="1">
            <w:r w:rsidR="00FB1B71" w:rsidRPr="002C0363">
              <w:rPr>
                <w:rStyle w:val="Hyperlink"/>
                <w:noProof/>
              </w:rPr>
              <w:t>Section 3: Current levy structure and method of distribution</w:t>
            </w:r>
            <w:r w:rsidR="00FB1B71">
              <w:rPr>
                <w:noProof/>
                <w:webHidden/>
              </w:rPr>
              <w:tab/>
            </w:r>
            <w:r>
              <w:rPr>
                <w:noProof/>
                <w:webHidden/>
              </w:rPr>
              <w:fldChar w:fldCharType="begin"/>
            </w:r>
            <w:r w:rsidR="00FB1B71">
              <w:rPr>
                <w:noProof/>
                <w:webHidden/>
              </w:rPr>
              <w:instrText xml:space="preserve"> PAGEREF _Toc454981998 \h </w:instrText>
            </w:r>
            <w:r>
              <w:rPr>
                <w:noProof/>
                <w:webHidden/>
              </w:rPr>
            </w:r>
            <w:r>
              <w:rPr>
                <w:noProof/>
                <w:webHidden/>
              </w:rPr>
              <w:fldChar w:fldCharType="separate"/>
            </w:r>
            <w:r w:rsidR="00272743">
              <w:rPr>
                <w:noProof/>
                <w:webHidden/>
              </w:rPr>
              <w:t>13</w:t>
            </w:r>
            <w:r>
              <w:rPr>
                <w:noProof/>
                <w:webHidden/>
              </w:rPr>
              <w:fldChar w:fldCharType="end"/>
            </w:r>
          </w:hyperlink>
        </w:p>
        <w:p w:rsidR="00FB1B71" w:rsidRDefault="00606DE5">
          <w:pPr>
            <w:pStyle w:val="TOC2"/>
            <w:tabs>
              <w:tab w:val="right" w:leader="dot" w:pos="9016"/>
            </w:tabs>
            <w:rPr>
              <w:rFonts w:asciiTheme="minorHAnsi" w:eastAsiaTheme="minorEastAsia" w:hAnsiTheme="minorHAnsi" w:cstheme="minorBidi"/>
              <w:noProof/>
              <w:lang w:eastAsia="en-AU"/>
            </w:rPr>
          </w:pPr>
          <w:hyperlink w:anchor="_Toc454981999" w:history="1">
            <w:r w:rsidR="00FB1B71" w:rsidRPr="002C0363">
              <w:rPr>
                <w:rStyle w:val="Hyperlink"/>
                <w:noProof/>
              </w:rPr>
              <w:t>3.1 Term of Reference 1 — Current levy structure</w:t>
            </w:r>
            <w:r w:rsidR="00FB1B71">
              <w:rPr>
                <w:noProof/>
                <w:webHidden/>
              </w:rPr>
              <w:tab/>
            </w:r>
            <w:r>
              <w:rPr>
                <w:noProof/>
                <w:webHidden/>
              </w:rPr>
              <w:fldChar w:fldCharType="begin"/>
            </w:r>
            <w:r w:rsidR="00FB1B71">
              <w:rPr>
                <w:noProof/>
                <w:webHidden/>
              </w:rPr>
              <w:instrText xml:space="preserve"> PAGEREF _Toc454981999 \h </w:instrText>
            </w:r>
            <w:r>
              <w:rPr>
                <w:noProof/>
                <w:webHidden/>
              </w:rPr>
            </w:r>
            <w:r>
              <w:rPr>
                <w:noProof/>
                <w:webHidden/>
              </w:rPr>
              <w:fldChar w:fldCharType="separate"/>
            </w:r>
            <w:r w:rsidR="00272743">
              <w:rPr>
                <w:noProof/>
                <w:webHidden/>
              </w:rPr>
              <w:t>13</w:t>
            </w:r>
            <w:r>
              <w:rPr>
                <w:noProof/>
                <w:webHidden/>
              </w:rPr>
              <w:fldChar w:fldCharType="end"/>
            </w:r>
          </w:hyperlink>
        </w:p>
        <w:p w:rsidR="00FB1B71" w:rsidRDefault="00606DE5">
          <w:pPr>
            <w:pStyle w:val="TOC2"/>
            <w:tabs>
              <w:tab w:val="right" w:leader="dot" w:pos="9016"/>
            </w:tabs>
            <w:rPr>
              <w:rFonts w:asciiTheme="minorHAnsi" w:eastAsiaTheme="minorEastAsia" w:hAnsiTheme="minorHAnsi" w:cstheme="minorBidi"/>
              <w:noProof/>
              <w:lang w:eastAsia="en-AU"/>
            </w:rPr>
          </w:pPr>
          <w:hyperlink w:anchor="_Toc454982001" w:history="1">
            <w:r w:rsidR="00FB1B71" w:rsidRPr="002C0363">
              <w:rPr>
                <w:rStyle w:val="Hyperlink"/>
                <w:noProof/>
              </w:rPr>
              <w:t>3.2 Term of Reference 2 — Current method of distribution</w:t>
            </w:r>
            <w:r w:rsidR="00FB1B71">
              <w:rPr>
                <w:noProof/>
                <w:webHidden/>
              </w:rPr>
              <w:tab/>
            </w:r>
            <w:r>
              <w:rPr>
                <w:noProof/>
                <w:webHidden/>
              </w:rPr>
              <w:fldChar w:fldCharType="begin"/>
            </w:r>
            <w:r w:rsidR="00FB1B71">
              <w:rPr>
                <w:noProof/>
                <w:webHidden/>
              </w:rPr>
              <w:instrText xml:space="preserve"> PAGEREF _Toc454982001 \h </w:instrText>
            </w:r>
            <w:r>
              <w:rPr>
                <w:noProof/>
                <w:webHidden/>
              </w:rPr>
            </w:r>
            <w:r>
              <w:rPr>
                <w:noProof/>
                <w:webHidden/>
              </w:rPr>
              <w:fldChar w:fldCharType="separate"/>
            </w:r>
            <w:r w:rsidR="00272743">
              <w:rPr>
                <w:noProof/>
                <w:webHidden/>
              </w:rPr>
              <w:t>15</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2003" w:history="1">
            <w:r w:rsidR="00FB1B71" w:rsidRPr="002C0363">
              <w:rPr>
                <w:rStyle w:val="Hyperlink"/>
                <w:noProof/>
              </w:rPr>
              <w:t>Section 4: Term of reference 3 — Improvements to structure and distribution</w:t>
            </w:r>
            <w:r w:rsidR="00FB1B71">
              <w:rPr>
                <w:noProof/>
                <w:webHidden/>
              </w:rPr>
              <w:tab/>
            </w:r>
            <w:r>
              <w:rPr>
                <w:noProof/>
                <w:webHidden/>
              </w:rPr>
              <w:fldChar w:fldCharType="begin"/>
            </w:r>
            <w:r w:rsidR="00FB1B71">
              <w:rPr>
                <w:noProof/>
                <w:webHidden/>
              </w:rPr>
              <w:instrText xml:space="preserve"> PAGEREF _Toc454982003 \h </w:instrText>
            </w:r>
            <w:r>
              <w:rPr>
                <w:noProof/>
                <w:webHidden/>
              </w:rPr>
            </w:r>
            <w:r>
              <w:rPr>
                <w:noProof/>
                <w:webHidden/>
              </w:rPr>
              <w:fldChar w:fldCharType="separate"/>
            </w:r>
            <w:r w:rsidR="00272743">
              <w:rPr>
                <w:noProof/>
                <w:webHidden/>
              </w:rPr>
              <w:t>19</w:t>
            </w:r>
            <w:r>
              <w:rPr>
                <w:noProof/>
                <w:webHidden/>
              </w:rPr>
              <w:fldChar w:fldCharType="end"/>
            </w:r>
          </w:hyperlink>
        </w:p>
        <w:p w:rsidR="00FB1B71" w:rsidRDefault="00606DE5">
          <w:pPr>
            <w:pStyle w:val="TOC2"/>
            <w:tabs>
              <w:tab w:val="right" w:leader="dot" w:pos="9016"/>
            </w:tabs>
            <w:rPr>
              <w:rFonts w:asciiTheme="minorHAnsi" w:eastAsiaTheme="minorEastAsia" w:hAnsiTheme="minorHAnsi" w:cstheme="minorBidi"/>
              <w:noProof/>
              <w:lang w:eastAsia="en-AU"/>
            </w:rPr>
          </w:pPr>
          <w:hyperlink w:anchor="_Toc454982004" w:history="1">
            <w:r w:rsidR="00FB1B71" w:rsidRPr="002C0363">
              <w:rPr>
                <w:rStyle w:val="Hyperlink"/>
                <w:noProof/>
              </w:rPr>
              <w:t>4.1 Investigation paper options</w:t>
            </w:r>
            <w:r w:rsidR="00FB1B71">
              <w:rPr>
                <w:noProof/>
                <w:webHidden/>
              </w:rPr>
              <w:tab/>
            </w:r>
            <w:r>
              <w:rPr>
                <w:noProof/>
                <w:webHidden/>
              </w:rPr>
              <w:fldChar w:fldCharType="begin"/>
            </w:r>
            <w:r w:rsidR="00FB1B71">
              <w:rPr>
                <w:noProof/>
                <w:webHidden/>
              </w:rPr>
              <w:instrText xml:space="preserve"> PAGEREF _Toc454982004 \h </w:instrText>
            </w:r>
            <w:r>
              <w:rPr>
                <w:noProof/>
                <w:webHidden/>
              </w:rPr>
            </w:r>
            <w:r>
              <w:rPr>
                <w:noProof/>
                <w:webHidden/>
              </w:rPr>
              <w:fldChar w:fldCharType="separate"/>
            </w:r>
            <w:r w:rsidR="00272743">
              <w:rPr>
                <w:noProof/>
                <w:webHidden/>
              </w:rPr>
              <w:t>19</w:t>
            </w:r>
            <w:r>
              <w:rPr>
                <w:noProof/>
                <w:webHidden/>
              </w:rPr>
              <w:fldChar w:fldCharType="end"/>
            </w:r>
          </w:hyperlink>
        </w:p>
        <w:p w:rsidR="00FB1B71" w:rsidRDefault="00606DE5">
          <w:pPr>
            <w:pStyle w:val="TOC2"/>
            <w:tabs>
              <w:tab w:val="right" w:leader="dot" w:pos="9016"/>
            </w:tabs>
            <w:rPr>
              <w:rFonts w:asciiTheme="minorHAnsi" w:eastAsiaTheme="minorEastAsia" w:hAnsiTheme="minorHAnsi" w:cstheme="minorBidi"/>
              <w:noProof/>
              <w:lang w:eastAsia="en-AU"/>
            </w:rPr>
          </w:pPr>
          <w:hyperlink w:anchor="_Toc454982012" w:history="1">
            <w:r w:rsidR="00FB1B71" w:rsidRPr="002C0363">
              <w:rPr>
                <w:rStyle w:val="Hyperlink"/>
                <w:noProof/>
              </w:rPr>
              <w:t>4.2 Other jurisdictions</w:t>
            </w:r>
            <w:r w:rsidR="00FB1B71">
              <w:rPr>
                <w:noProof/>
                <w:webHidden/>
              </w:rPr>
              <w:tab/>
            </w:r>
            <w:r>
              <w:rPr>
                <w:noProof/>
                <w:webHidden/>
              </w:rPr>
              <w:fldChar w:fldCharType="begin"/>
            </w:r>
            <w:r w:rsidR="00FB1B71">
              <w:rPr>
                <w:noProof/>
                <w:webHidden/>
              </w:rPr>
              <w:instrText xml:space="preserve"> PAGEREF _Toc454982012 \h </w:instrText>
            </w:r>
            <w:r>
              <w:rPr>
                <w:noProof/>
                <w:webHidden/>
              </w:rPr>
            </w:r>
            <w:r>
              <w:rPr>
                <w:noProof/>
                <w:webHidden/>
              </w:rPr>
              <w:fldChar w:fldCharType="separate"/>
            </w:r>
            <w:r w:rsidR="00272743">
              <w:rPr>
                <w:noProof/>
                <w:webHidden/>
              </w:rPr>
              <w:t>29</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2017" w:history="1">
            <w:r w:rsidR="00FB1B71" w:rsidRPr="002C0363">
              <w:rPr>
                <w:rStyle w:val="Hyperlink"/>
                <w:noProof/>
              </w:rPr>
              <w:t>Section 5: Term of reference 6 — Other issues</w:t>
            </w:r>
            <w:r w:rsidR="00FB1B71">
              <w:rPr>
                <w:noProof/>
                <w:webHidden/>
              </w:rPr>
              <w:tab/>
            </w:r>
            <w:r>
              <w:rPr>
                <w:noProof/>
                <w:webHidden/>
              </w:rPr>
              <w:fldChar w:fldCharType="begin"/>
            </w:r>
            <w:r w:rsidR="00FB1B71">
              <w:rPr>
                <w:noProof/>
                <w:webHidden/>
              </w:rPr>
              <w:instrText xml:space="preserve"> PAGEREF _Toc454982017 \h </w:instrText>
            </w:r>
            <w:r>
              <w:rPr>
                <w:noProof/>
                <w:webHidden/>
              </w:rPr>
            </w:r>
            <w:r>
              <w:rPr>
                <w:noProof/>
                <w:webHidden/>
              </w:rPr>
              <w:fldChar w:fldCharType="separate"/>
            </w:r>
            <w:r w:rsidR="00272743">
              <w:rPr>
                <w:noProof/>
                <w:webHidden/>
              </w:rPr>
              <w:t>32</w:t>
            </w:r>
            <w:r>
              <w:rPr>
                <w:noProof/>
                <w:webHidden/>
              </w:rPr>
              <w:fldChar w:fldCharType="end"/>
            </w:r>
          </w:hyperlink>
        </w:p>
        <w:p w:rsidR="00FB1B71" w:rsidRDefault="00606DE5">
          <w:pPr>
            <w:pStyle w:val="TOC2"/>
            <w:tabs>
              <w:tab w:val="right" w:leader="dot" w:pos="9016"/>
            </w:tabs>
            <w:rPr>
              <w:rFonts w:asciiTheme="minorHAnsi" w:eastAsiaTheme="minorEastAsia" w:hAnsiTheme="minorHAnsi" w:cstheme="minorBidi"/>
              <w:noProof/>
              <w:lang w:eastAsia="en-AU"/>
            </w:rPr>
          </w:pPr>
          <w:hyperlink w:anchor="_Toc454982018" w:history="1">
            <w:r w:rsidR="00FB1B71" w:rsidRPr="002C0363">
              <w:rPr>
                <w:rStyle w:val="Hyperlink"/>
                <w:noProof/>
              </w:rPr>
              <w:t>5.1 Adjustment</w:t>
            </w:r>
            <w:r w:rsidR="00FB1B71">
              <w:rPr>
                <w:noProof/>
                <w:webHidden/>
              </w:rPr>
              <w:tab/>
            </w:r>
            <w:r>
              <w:rPr>
                <w:noProof/>
                <w:webHidden/>
              </w:rPr>
              <w:fldChar w:fldCharType="begin"/>
            </w:r>
            <w:r w:rsidR="00FB1B71">
              <w:rPr>
                <w:noProof/>
                <w:webHidden/>
              </w:rPr>
              <w:instrText xml:space="preserve"> PAGEREF _Toc454982018 \h </w:instrText>
            </w:r>
            <w:r>
              <w:rPr>
                <w:noProof/>
                <w:webHidden/>
              </w:rPr>
            </w:r>
            <w:r>
              <w:rPr>
                <w:noProof/>
                <w:webHidden/>
              </w:rPr>
              <w:fldChar w:fldCharType="separate"/>
            </w:r>
            <w:r w:rsidR="00272743">
              <w:rPr>
                <w:noProof/>
                <w:webHidden/>
              </w:rPr>
              <w:t>32</w:t>
            </w:r>
            <w:r>
              <w:rPr>
                <w:noProof/>
                <w:webHidden/>
              </w:rPr>
              <w:fldChar w:fldCharType="end"/>
            </w:r>
          </w:hyperlink>
        </w:p>
        <w:p w:rsidR="00FB1B71" w:rsidRDefault="00606DE5">
          <w:pPr>
            <w:pStyle w:val="TOC2"/>
            <w:tabs>
              <w:tab w:val="right" w:leader="dot" w:pos="9016"/>
            </w:tabs>
            <w:rPr>
              <w:rFonts w:asciiTheme="minorHAnsi" w:eastAsiaTheme="minorEastAsia" w:hAnsiTheme="minorHAnsi" w:cstheme="minorBidi"/>
              <w:noProof/>
              <w:lang w:eastAsia="en-AU"/>
            </w:rPr>
          </w:pPr>
          <w:hyperlink w:anchor="_Toc454982021" w:history="1">
            <w:r w:rsidR="00FB1B71" w:rsidRPr="002C0363">
              <w:rPr>
                <w:rStyle w:val="Hyperlink"/>
                <w:noProof/>
              </w:rPr>
              <w:t>5.2 Transparency</w:t>
            </w:r>
            <w:r w:rsidR="00FB1B71">
              <w:rPr>
                <w:noProof/>
                <w:webHidden/>
              </w:rPr>
              <w:tab/>
            </w:r>
            <w:r>
              <w:rPr>
                <w:noProof/>
                <w:webHidden/>
              </w:rPr>
              <w:fldChar w:fldCharType="begin"/>
            </w:r>
            <w:r w:rsidR="00FB1B71">
              <w:rPr>
                <w:noProof/>
                <w:webHidden/>
              </w:rPr>
              <w:instrText xml:space="preserve"> PAGEREF _Toc454982021 \h </w:instrText>
            </w:r>
            <w:r>
              <w:rPr>
                <w:noProof/>
                <w:webHidden/>
              </w:rPr>
            </w:r>
            <w:r>
              <w:rPr>
                <w:noProof/>
                <w:webHidden/>
              </w:rPr>
              <w:fldChar w:fldCharType="separate"/>
            </w:r>
            <w:r w:rsidR="00272743">
              <w:rPr>
                <w:noProof/>
                <w:webHidden/>
              </w:rPr>
              <w:t>33</w:t>
            </w:r>
            <w:r>
              <w:rPr>
                <w:noProof/>
                <w:webHidden/>
              </w:rPr>
              <w:fldChar w:fldCharType="end"/>
            </w:r>
          </w:hyperlink>
        </w:p>
        <w:p w:rsidR="00FB1B71" w:rsidRDefault="00606DE5">
          <w:pPr>
            <w:pStyle w:val="TOC2"/>
            <w:tabs>
              <w:tab w:val="right" w:leader="dot" w:pos="9016"/>
            </w:tabs>
            <w:rPr>
              <w:rFonts w:asciiTheme="minorHAnsi" w:eastAsiaTheme="minorEastAsia" w:hAnsiTheme="minorHAnsi" w:cstheme="minorBidi"/>
              <w:noProof/>
              <w:lang w:eastAsia="en-AU"/>
            </w:rPr>
          </w:pPr>
          <w:hyperlink w:anchor="_Toc454982026" w:history="1">
            <w:r w:rsidR="00FB1B71" w:rsidRPr="002C0363">
              <w:rPr>
                <w:rStyle w:val="Hyperlink"/>
                <w:noProof/>
              </w:rPr>
              <w:t>5.3 Other issues</w:t>
            </w:r>
            <w:r w:rsidR="00FB1B71">
              <w:rPr>
                <w:noProof/>
                <w:webHidden/>
              </w:rPr>
              <w:tab/>
            </w:r>
            <w:r>
              <w:rPr>
                <w:noProof/>
                <w:webHidden/>
              </w:rPr>
              <w:fldChar w:fldCharType="begin"/>
            </w:r>
            <w:r w:rsidR="00FB1B71">
              <w:rPr>
                <w:noProof/>
                <w:webHidden/>
              </w:rPr>
              <w:instrText xml:space="preserve"> PAGEREF _Toc454982026 \h </w:instrText>
            </w:r>
            <w:r>
              <w:rPr>
                <w:noProof/>
                <w:webHidden/>
              </w:rPr>
            </w:r>
            <w:r>
              <w:rPr>
                <w:noProof/>
                <w:webHidden/>
              </w:rPr>
              <w:fldChar w:fldCharType="separate"/>
            </w:r>
            <w:r w:rsidR="00272743">
              <w:rPr>
                <w:noProof/>
                <w:webHidden/>
              </w:rPr>
              <w:t>37</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2029" w:history="1">
            <w:r w:rsidR="00FB1B71" w:rsidRPr="002C0363">
              <w:rPr>
                <w:rStyle w:val="Hyperlink"/>
                <w:noProof/>
              </w:rPr>
              <w:t>Section 6: Term of reference 5 — Retrospective adjustment</w:t>
            </w:r>
            <w:r w:rsidR="00FB1B71">
              <w:rPr>
                <w:noProof/>
                <w:webHidden/>
              </w:rPr>
              <w:tab/>
            </w:r>
            <w:r>
              <w:rPr>
                <w:noProof/>
                <w:webHidden/>
              </w:rPr>
              <w:fldChar w:fldCharType="begin"/>
            </w:r>
            <w:r w:rsidR="00FB1B71">
              <w:rPr>
                <w:noProof/>
                <w:webHidden/>
              </w:rPr>
              <w:instrText xml:space="preserve"> PAGEREF _Toc454982029 \h </w:instrText>
            </w:r>
            <w:r>
              <w:rPr>
                <w:noProof/>
                <w:webHidden/>
              </w:rPr>
            </w:r>
            <w:r>
              <w:rPr>
                <w:noProof/>
                <w:webHidden/>
              </w:rPr>
              <w:fldChar w:fldCharType="separate"/>
            </w:r>
            <w:r w:rsidR="00272743">
              <w:rPr>
                <w:noProof/>
                <w:webHidden/>
              </w:rPr>
              <w:t>39</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2030" w:history="1">
            <w:r w:rsidR="00FB1B71" w:rsidRPr="002C0363">
              <w:rPr>
                <w:rStyle w:val="Hyperlink"/>
                <w:noProof/>
              </w:rPr>
              <w:t>Section 7: Term of reference 4 — Legislative amendments</w:t>
            </w:r>
            <w:r w:rsidR="00FB1B71">
              <w:rPr>
                <w:noProof/>
                <w:webHidden/>
              </w:rPr>
              <w:tab/>
            </w:r>
            <w:r>
              <w:rPr>
                <w:noProof/>
                <w:webHidden/>
              </w:rPr>
              <w:fldChar w:fldCharType="begin"/>
            </w:r>
            <w:r w:rsidR="00FB1B71">
              <w:rPr>
                <w:noProof/>
                <w:webHidden/>
              </w:rPr>
              <w:instrText xml:space="preserve"> PAGEREF _Toc454982030 \h </w:instrText>
            </w:r>
            <w:r>
              <w:rPr>
                <w:noProof/>
                <w:webHidden/>
              </w:rPr>
            </w:r>
            <w:r>
              <w:rPr>
                <w:noProof/>
                <w:webHidden/>
              </w:rPr>
              <w:fldChar w:fldCharType="separate"/>
            </w:r>
            <w:r w:rsidR="00272743">
              <w:rPr>
                <w:noProof/>
                <w:webHidden/>
              </w:rPr>
              <w:t>40</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2036" w:history="1">
            <w:r w:rsidR="00FB1B71" w:rsidRPr="002C0363">
              <w:rPr>
                <w:rStyle w:val="Hyperlink"/>
                <w:noProof/>
              </w:rPr>
              <w:t>Appendix A: Terms of Reference</w:t>
            </w:r>
            <w:r w:rsidR="00FB1B71">
              <w:rPr>
                <w:noProof/>
                <w:webHidden/>
              </w:rPr>
              <w:tab/>
            </w:r>
            <w:r>
              <w:rPr>
                <w:noProof/>
                <w:webHidden/>
              </w:rPr>
              <w:fldChar w:fldCharType="begin"/>
            </w:r>
            <w:r w:rsidR="00FB1B71">
              <w:rPr>
                <w:noProof/>
                <w:webHidden/>
              </w:rPr>
              <w:instrText xml:space="preserve"> PAGEREF _Toc454982036 \h </w:instrText>
            </w:r>
            <w:r>
              <w:rPr>
                <w:noProof/>
                <w:webHidden/>
              </w:rPr>
            </w:r>
            <w:r>
              <w:rPr>
                <w:noProof/>
                <w:webHidden/>
              </w:rPr>
              <w:fldChar w:fldCharType="separate"/>
            </w:r>
            <w:r w:rsidR="00272743">
              <w:rPr>
                <w:noProof/>
                <w:webHidden/>
              </w:rPr>
              <w:t>43</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2037" w:history="1">
            <w:r w:rsidR="00FB1B71" w:rsidRPr="002C0363">
              <w:rPr>
                <w:rStyle w:val="Hyperlink"/>
                <w:noProof/>
              </w:rPr>
              <w:t>Appendix B: Responses from consultation</w:t>
            </w:r>
            <w:r w:rsidR="00FB1B71">
              <w:rPr>
                <w:noProof/>
                <w:webHidden/>
              </w:rPr>
              <w:tab/>
            </w:r>
            <w:r>
              <w:rPr>
                <w:noProof/>
                <w:webHidden/>
              </w:rPr>
              <w:fldChar w:fldCharType="begin"/>
            </w:r>
            <w:r w:rsidR="00FB1B71">
              <w:rPr>
                <w:noProof/>
                <w:webHidden/>
              </w:rPr>
              <w:instrText xml:space="preserve"> PAGEREF _Toc454982037 \h </w:instrText>
            </w:r>
            <w:r>
              <w:rPr>
                <w:noProof/>
                <w:webHidden/>
              </w:rPr>
            </w:r>
            <w:r>
              <w:rPr>
                <w:noProof/>
                <w:webHidden/>
              </w:rPr>
              <w:fldChar w:fldCharType="separate"/>
            </w:r>
            <w:r w:rsidR="00272743">
              <w:rPr>
                <w:noProof/>
                <w:webHidden/>
              </w:rPr>
              <w:t>44</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2038" w:history="1">
            <w:r w:rsidR="00FB1B71" w:rsidRPr="002C0363">
              <w:rPr>
                <w:rStyle w:val="Hyperlink"/>
                <w:noProof/>
              </w:rPr>
              <w:t>Appendix C: Regulation costs recovered through the EIL</w:t>
            </w:r>
            <w:r w:rsidR="00FB1B71">
              <w:rPr>
                <w:noProof/>
                <w:webHidden/>
              </w:rPr>
              <w:tab/>
            </w:r>
            <w:r>
              <w:rPr>
                <w:noProof/>
                <w:webHidden/>
              </w:rPr>
              <w:fldChar w:fldCharType="begin"/>
            </w:r>
            <w:r w:rsidR="00FB1B71">
              <w:rPr>
                <w:noProof/>
                <w:webHidden/>
              </w:rPr>
              <w:instrText xml:space="preserve"> PAGEREF _Toc454982038 \h </w:instrText>
            </w:r>
            <w:r>
              <w:rPr>
                <w:noProof/>
                <w:webHidden/>
              </w:rPr>
            </w:r>
            <w:r>
              <w:rPr>
                <w:noProof/>
                <w:webHidden/>
              </w:rPr>
              <w:fldChar w:fldCharType="separate"/>
            </w:r>
            <w:r w:rsidR="00272743">
              <w:rPr>
                <w:noProof/>
                <w:webHidden/>
              </w:rPr>
              <w:t>45</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2043" w:history="1">
            <w:r w:rsidR="00FB1B71" w:rsidRPr="002C0363">
              <w:rPr>
                <w:rStyle w:val="Hyperlink"/>
                <w:noProof/>
              </w:rPr>
              <w:t>Appendix D: Data</w:t>
            </w:r>
            <w:r w:rsidR="00FB1B71">
              <w:rPr>
                <w:noProof/>
                <w:webHidden/>
              </w:rPr>
              <w:tab/>
            </w:r>
            <w:r>
              <w:rPr>
                <w:noProof/>
                <w:webHidden/>
              </w:rPr>
              <w:fldChar w:fldCharType="begin"/>
            </w:r>
            <w:r w:rsidR="00FB1B71">
              <w:rPr>
                <w:noProof/>
                <w:webHidden/>
              </w:rPr>
              <w:instrText xml:space="preserve"> PAGEREF _Toc454982043 \h </w:instrText>
            </w:r>
            <w:r>
              <w:rPr>
                <w:noProof/>
                <w:webHidden/>
              </w:rPr>
            </w:r>
            <w:r>
              <w:rPr>
                <w:noProof/>
                <w:webHidden/>
              </w:rPr>
              <w:fldChar w:fldCharType="separate"/>
            </w:r>
            <w:r w:rsidR="00272743">
              <w:rPr>
                <w:noProof/>
                <w:webHidden/>
              </w:rPr>
              <w:t>47</w:t>
            </w:r>
            <w:r>
              <w:rPr>
                <w:noProof/>
                <w:webHidden/>
              </w:rPr>
              <w:fldChar w:fldCharType="end"/>
            </w:r>
          </w:hyperlink>
        </w:p>
        <w:p w:rsidR="00FB1B71" w:rsidRDefault="00606DE5">
          <w:pPr>
            <w:pStyle w:val="TOC1"/>
            <w:tabs>
              <w:tab w:val="right" w:leader="dot" w:pos="9016"/>
            </w:tabs>
            <w:rPr>
              <w:rFonts w:asciiTheme="minorHAnsi" w:eastAsiaTheme="minorEastAsia" w:hAnsiTheme="minorHAnsi" w:cstheme="minorBidi"/>
              <w:noProof/>
              <w:lang w:eastAsia="en-AU"/>
            </w:rPr>
          </w:pPr>
          <w:hyperlink w:anchor="_Toc454982044" w:history="1">
            <w:r w:rsidR="00FB1B71" w:rsidRPr="002C0363">
              <w:rPr>
                <w:rStyle w:val="Hyperlink"/>
                <w:noProof/>
              </w:rPr>
              <w:t>Appendix E: Electricity retail in Victoria and New South Wales</w:t>
            </w:r>
            <w:r w:rsidR="00FB1B71">
              <w:rPr>
                <w:noProof/>
                <w:webHidden/>
              </w:rPr>
              <w:tab/>
            </w:r>
            <w:r>
              <w:rPr>
                <w:noProof/>
                <w:webHidden/>
              </w:rPr>
              <w:fldChar w:fldCharType="begin"/>
            </w:r>
            <w:r w:rsidR="00FB1B71">
              <w:rPr>
                <w:noProof/>
                <w:webHidden/>
              </w:rPr>
              <w:instrText xml:space="preserve"> PAGEREF _Toc454982044 \h </w:instrText>
            </w:r>
            <w:r>
              <w:rPr>
                <w:noProof/>
                <w:webHidden/>
              </w:rPr>
            </w:r>
            <w:r>
              <w:rPr>
                <w:noProof/>
                <w:webHidden/>
              </w:rPr>
              <w:fldChar w:fldCharType="separate"/>
            </w:r>
            <w:r w:rsidR="00272743">
              <w:rPr>
                <w:noProof/>
                <w:webHidden/>
              </w:rPr>
              <w:t>52</w:t>
            </w:r>
            <w:r>
              <w:rPr>
                <w:noProof/>
                <w:webHidden/>
              </w:rPr>
              <w:fldChar w:fldCharType="end"/>
            </w:r>
          </w:hyperlink>
        </w:p>
        <w:p w:rsidR="00E61AF9" w:rsidRDefault="00606DE5">
          <w:r>
            <w:fldChar w:fldCharType="end"/>
          </w:r>
        </w:p>
      </w:sdtContent>
    </w:sdt>
    <w:p w:rsidR="00FB1B71" w:rsidRDefault="00FB1B71">
      <w:pPr>
        <w:spacing w:after="0" w:line="240" w:lineRule="auto"/>
        <w:rPr>
          <w:rFonts w:ascii="Cambria" w:eastAsia="Times New Roman" w:hAnsi="Cambria"/>
          <w:b/>
          <w:bCs/>
          <w:color w:val="365F91"/>
          <w:sz w:val="28"/>
          <w:szCs w:val="28"/>
        </w:rPr>
      </w:pPr>
      <w:r>
        <w:rPr>
          <w:rFonts w:ascii="Cambria" w:eastAsia="Times New Roman" w:hAnsi="Cambria"/>
          <w:b/>
          <w:bCs/>
          <w:color w:val="365F91"/>
          <w:sz w:val="28"/>
          <w:szCs w:val="28"/>
        </w:rPr>
        <w:br w:type="page"/>
      </w:r>
    </w:p>
    <w:p w:rsidR="00D00612" w:rsidRDefault="00D00612" w:rsidP="00D00612">
      <w:pPr>
        <w:pStyle w:val="Heading1"/>
      </w:pPr>
      <w:bookmarkStart w:id="0" w:name="_Toc454981988"/>
      <w:r>
        <w:lastRenderedPageBreak/>
        <w:t>Table of abbreviations</w:t>
      </w:r>
      <w:bookmarkEnd w:id="0"/>
    </w:p>
    <w:p w:rsidR="004E0130" w:rsidRPr="004E0130" w:rsidRDefault="004E0130" w:rsidP="004E0130"/>
    <w:tbl>
      <w:tblPr>
        <w:tblW w:w="8517" w:type="dxa"/>
        <w:tblInd w:w="96" w:type="dxa"/>
        <w:tblLook w:val="04A0"/>
      </w:tblPr>
      <w:tblGrid>
        <w:gridCol w:w="2420"/>
        <w:gridCol w:w="6097"/>
      </w:tblGrid>
      <w:tr w:rsidR="004E0130" w:rsidRPr="004E0130" w:rsidTr="003A5BD9">
        <w:trPr>
          <w:trHeight w:val="300"/>
        </w:trPr>
        <w:tc>
          <w:tcPr>
            <w:tcW w:w="2420" w:type="dxa"/>
            <w:tcBorders>
              <w:top w:val="nil"/>
              <w:left w:val="nil"/>
              <w:bottom w:val="nil"/>
              <w:right w:val="nil"/>
            </w:tcBorders>
            <w:shd w:val="clear" w:color="auto" w:fill="auto"/>
            <w:noWrap/>
            <w:hideMark/>
          </w:tcPr>
          <w:p w:rsidR="004E0130" w:rsidRPr="004E0130" w:rsidRDefault="004E0130" w:rsidP="00C65747">
            <w:pPr>
              <w:spacing w:after="0" w:line="360" w:lineRule="auto"/>
              <w:rPr>
                <w:rFonts w:eastAsia="Times New Roman"/>
                <w:color w:val="000000"/>
                <w:lang w:eastAsia="en-AU"/>
              </w:rPr>
            </w:pPr>
            <w:r w:rsidRPr="004E0130">
              <w:rPr>
                <w:rFonts w:eastAsia="Times New Roman"/>
                <w:color w:val="000000"/>
                <w:lang w:eastAsia="en-AU"/>
              </w:rPr>
              <w:t>ACAT</w:t>
            </w:r>
          </w:p>
        </w:tc>
        <w:tc>
          <w:tcPr>
            <w:tcW w:w="6097" w:type="dxa"/>
            <w:tcBorders>
              <w:top w:val="nil"/>
              <w:left w:val="nil"/>
              <w:bottom w:val="nil"/>
              <w:right w:val="nil"/>
            </w:tcBorders>
            <w:shd w:val="clear" w:color="auto" w:fill="auto"/>
            <w:noWrap/>
            <w:hideMark/>
          </w:tcPr>
          <w:p w:rsidR="004E0130" w:rsidRPr="004E0130" w:rsidRDefault="004E0130" w:rsidP="00C65747">
            <w:pPr>
              <w:spacing w:after="0" w:line="360" w:lineRule="auto"/>
              <w:rPr>
                <w:rFonts w:eastAsia="Times New Roman"/>
                <w:color w:val="000000"/>
                <w:lang w:eastAsia="en-AU"/>
              </w:rPr>
            </w:pPr>
            <w:r w:rsidRPr="004E0130">
              <w:rPr>
                <w:rFonts w:eastAsia="Times New Roman"/>
                <w:color w:val="000000"/>
                <w:lang w:eastAsia="en-AU"/>
              </w:rPr>
              <w:t xml:space="preserve">Australian </w:t>
            </w:r>
            <w:r w:rsidR="00564A53" w:rsidRPr="004E0130">
              <w:rPr>
                <w:rFonts w:eastAsia="Times New Roman"/>
                <w:color w:val="000000"/>
                <w:lang w:eastAsia="en-AU"/>
              </w:rPr>
              <w:t>Capital</w:t>
            </w:r>
            <w:r w:rsidRPr="004E0130">
              <w:rPr>
                <w:rFonts w:eastAsia="Times New Roman"/>
                <w:color w:val="000000"/>
                <w:lang w:eastAsia="en-AU"/>
              </w:rPr>
              <w:t xml:space="preserve"> Territory Civil &amp; Administrative Tribunal</w:t>
            </w:r>
          </w:p>
        </w:tc>
      </w:tr>
      <w:tr w:rsidR="004E0130" w:rsidRPr="004E0130" w:rsidTr="003A5BD9">
        <w:trPr>
          <w:trHeight w:val="300"/>
        </w:trPr>
        <w:tc>
          <w:tcPr>
            <w:tcW w:w="2420" w:type="dxa"/>
            <w:tcBorders>
              <w:top w:val="nil"/>
              <w:left w:val="nil"/>
              <w:bottom w:val="nil"/>
              <w:right w:val="nil"/>
            </w:tcBorders>
            <w:shd w:val="clear" w:color="auto" w:fill="auto"/>
            <w:noWrap/>
            <w:hideMark/>
          </w:tcPr>
          <w:p w:rsidR="004E0130" w:rsidRPr="004E0130" w:rsidRDefault="004E0130" w:rsidP="00C65747">
            <w:pPr>
              <w:spacing w:after="0" w:line="360" w:lineRule="auto"/>
              <w:rPr>
                <w:rFonts w:eastAsia="Times New Roman"/>
                <w:color w:val="000000"/>
                <w:lang w:eastAsia="en-AU"/>
              </w:rPr>
            </w:pPr>
            <w:r w:rsidRPr="004E0130">
              <w:rPr>
                <w:rFonts w:eastAsia="Times New Roman"/>
                <w:color w:val="000000"/>
                <w:lang w:eastAsia="en-AU"/>
              </w:rPr>
              <w:t>ACT</w:t>
            </w:r>
          </w:p>
        </w:tc>
        <w:tc>
          <w:tcPr>
            <w:tcW w:w="6097" w:type="dxa"/>
            <w:tcBorders>
              <w:top w:val="nil"/>
              <w:left w:val="nil"/>
              <w:bottom w:val="nil"/>
              <w:right w:val="nil"/>
            </w:tcBorders>
            <w:shd w:val="clear" w:color="auto" w:fill="auto"/>
            <w:noWrap/>
            <w:hideMark/>
          </w:tcPr>
          <w:p w:rsidR="004E0130" w:rsidRPr="004E0130" w:rsidRDefault="004E0130" w:rsidP="00C65747">
            <w:pPr>
              <w:spacing w:after="0" w:line="360" w:lineRule="auto"/>
              <w:rPr>
                <w:rFonts w:eastAsia="Times New Roman"/>
                <w:color w:val="000000"/>
                <w:lang w:eastAsia="en-AU"/>
              </w:rPr>
            </w:pPr>
            <w:r w:rsidRPr="004E0130">
              <w:rPr>
                <w:rFonts w:eastAsia="Times New Roman"/>
                <w:color w:val="000000"/>
                <w:lang w:eastAsia="en-AU"/>
              </w:rPr>
              <w:t>Australian Capital Territory</w:t>
            </w:r>
          </w:p>
        </w:tc>
      </w:tr>
      <w:tr w:rsidR="004E0130" w:rsidRPr="004E0130" w:rsidTr="003A5BD9">
        <w:trPr>
          <w:trHeight w:val="300"/>
        </w:trPr>
        <w:tc>
          <w:tcPr>
            <w:tcW w:w="2420" w:type="dxa"/>
            <w:tcBorders>
              <w:top w:val="nil"/>
              <w:left w:val="nil"/>
              <w:bottom w:val="nil"/>
              <w:right w:val="nil"/>
            </w:tcBorders>
            <w:shd w:val="clear" w:color="auto" w:fill="auto"/>
            <w:noWrap/>
            <w:hideMark/>
          </w:tcPr>
          <w:p w:rsidR="004E0130" w:rsidRPr="004E0130" w:rsidRDefault="00D96DBA" w:rsidP="00C65747">
            <w:pPr>
              <w:spacing w:after="0" w:line="360" w:lineRule="auto"/>
              <w:rPr>
                <w:rFonts w:eastAsia="Times New Roman"/>
                <w:color w:val="000000"/>
                <w:lang w:eastAsia="en-AU"/>
              </w:rPr>
            </w:pPr>
            <w:r>
              <w:rPr>
                <w:rFonts w:eastAsia="Times New Roman"/>
                <w:color w:val="000000"/>
                <w:lang w:eastAsia="en-AU"/>
              </w:rPr>
              <w:t>T</w:t>
            </w:r>
            <w:r w:rsidR="004E0130" w:rsidRPr="004E0130">
              <w:rPr>
                <w:rFonts w:eastAsia="Times New Roman"/>
                <w:color w:val="000000"/>
                <w:lang w:eastAsia="en-AU"/>
              </w:rPr>
              <w:t>he Act</w:t>
            </w:r>
          </w:p>
        </w:tc>
        <w:tc>
          <w:tcPr>
            <w:tcW w:w="6097" w:type="dxa"/>
            <w:tcBorders>
              <w:top w:val="nil"/>
              <w:left w:val="nil"/>
              <w:bottom w:val="nil"/>
              <w:right w:val="nil"/>
            </w:tcBorders>
            <w:shd w:val="clear" w:color="auto" w:fill="auto"/>
            <w:noWrap/>
            <w:hideMark/>
          </w:tcPr>
          <w:p w:rsidR="004E0130" w:rsidRPr="00BB1DE5" w:rsidRDefault="004E0130" w:rsidP="00C65747">
            <w:pPr>
              <w:spacing w:after="0" w:line="360" w:lineRule="auto"/>
              <w:rPr>
                <w:rFonts w:eastAsia="Times New Roman"/>
                <w:i/>
                <w:color w:val="000000"/>
                <w:lang w:eastAsia="en-AU"/>
              </w:rPr>
            </w:pPr>
            <w:r w:rsidRPr="00104AA1">
              <w:rPr>
                <w:rFonts w:eastAsia="Times New Roman"/>
                <w:color w:val="000000"/>
                <w:lang w:eastAsia="en-AU"/>
              </w:rPr>
              <w:t xml:space="preserve">The </w:t>
            </w:r>
            <w:r w:rsidRPr="00BB1DE5">
              <w:rPr>
                <w:rFonts w:eastAsia="Times New Roman"/>
                <w:i/>
                <w:color w:val="000000"/>
                <w:lang w:eastAsia="en-AU"/>
              </w:rPr>
              <w:t>Utilities Act (2000)</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AEMC</w:t>
            </w:r>
          </w:p>
        </w:tc>
        <w:tc>
          <w:tcPr>
            <w:tcW w:w="6097"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Australian Energy Market Commission</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AER</w:t>
            </w:r>
          </w:p>
        </w:tc>
        <w:tc>
          <w:tcPr>
            <w:tcW w:w="6097"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Australian Energy Regulator</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Pr>
                <w:rFonts w:eastAsia="Times New Roman"/>
                <w:color w:val="000000"/>
                <w:lang w:eastAsia="en-AU"/>
              </w:rPr>
              <w:t>CRG</w:t>
            </w:r>
            <w:r w:rsidRPr="004E0130">
              <w:rPr>
                <w:rFonts w:eastAsia="Times New Roman"/>
                <w:color w:val="000000"/>
                <w:lang w:eastAsia="en-AU"/>
              </w:rPr>
              <w:t>s</w:t>
            </w:r>
          </w:p>
        </w:tc>
        <w:tc>
          <w:tcPr>
            <w:tcW w:w="6097"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Australian Government Cost Recovery Guidelines</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CMTEDD</w:t>
            </w:r>
          </w:p>
        </w:tc>
        <w:tc>
          <w:tcPr>
            <w:tcW w:w="6097"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Chief Minister, Treasury and Economic Development Directorate</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COAG</w:t>
            </w:r>
          </w:p>
        </w:tc>
        <w:tc>
          <w:tcPr>
            <w:tcW w:w="6097"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Council of Australian Governments</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Pr>
                <w:rFonts w:eastAsia="Times New Roman"/>
                <w:color w:val="000000"/>
                <w:lang w:eastAsia="en-AU"/>
              </w:rPr>
              <w:t>EIL (</w:t>
            </w:r>
            <w:r w:rsidRPr="004E0130">
              <w:rPr>
                <w:rFonts w:eastAsia="Times New Roman"/>
                <w:color w:val="000000"/>
                <w:lang w:eastAsia="en-AU"/>
              </w:rPr>
              <w:t xml:space="preserve">or the </w:t>
            </w:r>
            <w:r>
              <w:rPr>
                <w:rFonts w:eastAsia="Times New Roman"/>
                <w:color w:val="000000"/>
                <w:lang w:eastAsia="en-AU"/>
              </w:rPr>
              <w:t>Levy)</w:t>
            </w:r>
          </w:p>
        </w:tc>
        <w:tc>
          <w:tcPr>
            <w:tcW w:w="6097"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 xml:space="preserve">Energy Industry </w:t>
            </w:r>
            <w:r>
              <w:rPr>
                <w:rFonts w:eastAsia="Times New Roman"/>
                <w:color w:val="000000"/>
                <w:lang w:eastAsia="en-AU"/>
              </w:rPr>
              <w:t>Levy</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EPD</w:t>
            </w:r>
          </w:p>
        </w:tc>
        <w:tc>
          <w:tcPr>
            <w:tcW w:w="6097"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Environment and Planning Directorate</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ESDD</w:t>
            </w:r>
          </w:p>
        </w:tc>
        <w:tc>
          <w:tcPr>
            <w:tcW w:w="6097"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Environment and Sustainable Development Directorate</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ICRC</w:t>
            </w:r>
          </w:p>
        </w:tc>
        <w:tc>
          <w:tcPr>
            <w:tcW w:w="6097"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Independent Competition and Regulatory Commission</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NEM</w:t>
            </w:r>
          </w:p>
        </w:tc>
        <w:tc>
          <w:tcPr>
            <w:tcW w:w="6097"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sidRPr="004E0130">
              <w:rPr>
                <w:rFonts w:eastAsia="Times New Roman"/>
                <w:color w:val="000000"/>
                <w:lang w:eastAsia="en-AU"/>
              </w:rPr>
              <w:t>National Energy Market</w:t>
            </w:r>
          </w:p>
        </w:tc>
      </w:tr>
      <w:tr w:rsidR="002F0BEE" w:rsidRPr="004E0130" w:rsidTr="003A5BD9">
        <w:trPr>
          <w:trHeight w:val="300"/>
        </w:trPr>
        <w:tc>
          <w:tcPr>
            <w:tcW w:w="2420" w:type="dxa"/>
            <w:tcBorders>
              <w:top w:val="nil"/>
              <w:left w:val="nil"/>
              <w:bottom w:val="nil"/>
              <w:right w:val="nil"/>
            </w:tcBorders>
            <w:shd w:val="clear" w:color="auto" w:fill="auto"/>
            <w:noWrap/>
            <w:hideMark/>
          </w:tcPr>
          <w:p w:rsidR="002F0BEE" w:rsidRPr="004E0130" w:rsidRDefault="002F0BEE" w:rsidP="00C65747">
            <w:pPr>
              <w:spacing w:after="0" w:line="360" w:lineRule="auto"/>
              <w:rPr>
                <w:rFonts w:eastAsia="Times New Roman"/>
                <w:color w:val="000000"/>
                <w:lang w:eastAsia="en-AU"/>
              </w:rPr>
            </w:pPr>
            <w:r>
              <w:rPr>
                <w:rFonts w:eastAsia="Times New Roman"/>
                <w:color w:val="000000"/>
                <w:lang w:eastAsia="en-AU"/>
              </w:rPr>
              <w:t>Operator</w:t>
            </w:r>
          </w:p>
        </w:tc>
        <w:tc>
          <w:tcPr>
            <w:tcW w:w="6097" w:type="dxa"/>
            <w:tcBorders>
              <w:top w:val="nil"/>
              <w:left w:val="nil"/>
              <w:bottom w:val="nil"/>
              <w:right w:val="nil"/>
            </w:tcBorders>
            <w:shd w:val="clear" w:color="auto" w:fill="auto"/>
            <w:noWrap/>
            <w:hideMark/>
          </w:tcPr>
          <w:p w:rsidR="002F0BEE" w:rsidRPr="004E0130" w:rsidRDefault="002F0BEE" w:rsidP="00587C50">
            <w:pPr>
              <w:spacing w:after="0" w:line="360" w:lineRule="auto"/>
              <w:rPr>
                <w:rFonts w:eastAsia="Times New Roman"/>
                <w:color w:val="000000"/>
                <w:lang w:eastAsia="en-AU"/>
              </w:rPr>
            </w:pPr>
            <w:r>
              <w:rPr>
                <w:rFonts w:eastAsia="Times New Roman"/>
                <w:color w:val="000000"/>
                <w:lang w:eastAsia="en-AU"/>
              </w:rPr>
              <w:t>Includes utilities and firms in the gas distribution, gas retail, electricity distribution, and electricity retail sectors.</w:t>
            </w:r>
          </w:p>
        </w:tc>
      </w:tr>
    </w:tbl>
    <w:p w:rsidR="002158B2" w:rsidRDefault="002158B2" w:rsidP="00D00612"/>
    <w:p w:rsidR="00295074" w:rsidRDefault="00295074" w:rsidP="00D00612"/>
    <w:p w:rsidR="00295074" w:rsidRDefault="00576BCC" w:rsidP="00295074">
      <w:pPr>
        <w:pStyle w:val="Heading4"/>
      </w:pPr>
      <w:r>
        <w:t>Levy</w:t>
      </w:r>
      <w:r w:rsidR="00295074">
        <w:t xml:space="preserve"> distribution formula variables:</w:t>
      </w:r>
    </w:p>
    <w:p w:rsidR="00295074" w:rsidRPr="00295074" w:rsidRDefault="00B12E12" w:rsidP="006E284F">
      <w:pPr>
        <w:jc w:val="both"/>
      </w:pPr>
      <w:r>
        <w:t xml:space="preserve">The comparison of methods </w:t>
      </w:r>
      <w:r w:rsidR="00295074">
        <w:t>f</w:t>
      </w:r>
      <w:r>
        <w:t>or</w:t>
      </w:r>
      <w:r w:rsidR="00295074">
        <w:t xml:space="preserve"> distributing the </w:t>
      </w:r>
      <w:r w:rsidR="00576BCC">
        <w:t>Levy</w:t>
      </w:r>
      <w:r w:rsidR="00295074">
        <w:t xml:space="preserve"> compares a number of different formulas (Sections 3.2 and 4). The formulas use the following standard notation</w:t>
      </w:r>
      <w:r w:rsidR="003D249D">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8425"/>
      </w:tblGrid>
      <w:tr w:rsidR="00295074" w:rsidTr="00295074">
        <w:tc>
          <w:tcPr>
            <w:tcW w:w="709" w:type="dxa"/>
          </w:tcPr>
          <w:p w:rsidR="00295074" w:rsidRDefault="00295074" w:rsidP="00295074">
            <m:oMathPara>
              <m:oMath>
                <m:r>
                  <w:rPr>
                    <w:rFonts w:ascii="Cambria Math" w:hAnsi="Cambria Math"/>
                  </w:rPr>
                  <m:t>L</m:t>
                </m:r>
              </m:oMath>
            </m:oMathPara>
          </w:p>
        </w:tc>
        <w:tc>
          <w:tcPr>
            <w:tcW w:w="8425" w:type="dxa"/>
          </w:tcPr>
          <w:p w:rsidR="00295074" w:rsidRDefault="00295074" w:rsidP="00D00612">
            <w:r>
              <w:t>Total regulatory cost for an industry sector</w:t>
            </w:r>
            <w:r w:rsidR="00294D20">
              <w:t>.</w:t>
            </w:r>
          </w:p>
        </w:tc>
      </w:tr>
      <w:tr w:rsidR="00295074" w:rsidTr="00295074">
        <w:tc>
          <w:tcPr>
            <w:tcW w:w="709" w:type="dxa"/>
          </w:tcPr>
          <w:p w:rsidR="00295074" w:rsidRDefault="00295074" w:rsidP="00295074">
            <m:oMathPara>
              <m:oMath>
                <m:r>
                  <w:rPr>
                    <w:rFonts w:ascii="Cambria Math" w:hAnsi="Cambria Math"/>
                  </w:rPr>
                  <m:t>K</m:t>
                </m:r>
              </m:oMath>
            </m:oMathPara>
          </w:p>
        </w:tc>
        <w:tc>
          <w:tcPr>
            <w:tcW w:w="8425" w:type="dxa"/>
          </w:tcPr>
          <w:p w:rsidR="00295074" w:rsidRDefault="00295074" w:rsidP="00D00612">
            <w:r>
              <w:t>Total fixed cost for an industry sector</w:t>
            </w:r>
            <w:r w:rsidR="00294D20">
              <w:t>.</w:t>
            </w:r>
          </w:p>
        </w:tc>
      </w:tr>
      <w:tr w:rsidR="00295074" w:rsidTr="00295074">
        <w:tc>
          <w:tcPr>
            <w:tcW w:w="709" w:type="dxa"/>
          </w:tcPr>
          <w:p w:rsidR="00295074" w:rsidRDefault="00295074" w:rsidP="00295074">
            <m:oMathPara>
              <m:oMath>
                <m:r>
                  <w:rPr>
                    <w:rFonts w:ascii="Cambria Math" w:hAnsi="Cambria Math"/>
                  </w:rPr>
                  <m:t>NC</m:t>
                </m:r>
              </m:oMath>
            </m:oMathPara>
          </w:p>
        </w:tc>
        <w:tc>
          <w:tcPr>
            <w:tcW w:w="8425" w:type="dxa"/>
          </w:tcPr>
          <w:p w:rsidR="00295074" w:rsidRDefault="00295074" w:rsidP="00D00612">
            <w:r>
              <w:t>The number of operators in the sector</w:t>
            </w:r>
            <w:r w:rsidR="00294D20">
              <w:t>.</w:t>
            </w:r>
          </w:p>
        </w:tc>
      </w:tr>
      <w:tr w:rsidR="00295074" w:rsidTr="00295074">
        <w:tc>
          <w:tcPr>
            <w:tcW w:w="709" w:type="dxa"/>
          </w:tcPr>
          <w:p w:rsidR="00295074" w:rsidRDefault="00606DE5" w:rsidP="00295074">
            <m:oMathPara>
              <m:oMath>
                <m:sSub>
                  <m:sSubPr>
                    <m:ctrlPr>
                      <w:rPr>
                        <w:rFonts w:ascii="Cambria Math" w:hAnsi="Cambria Math"/>
                        <w:i/>
                      </w:rPr>
                    </m:ctrlPr>
                  </m:sSubPr>
                  <m:e>
                    <m:r>
                      <w:rPr>
                        <w:rFonts w:ascii="Cambria Math" w:hAnsi="Cambria Math"/>
                      </w:rPr>
                      <m:t>M</m:t>
                    </m:r>
                  </m:e>
                  <m:sub>
                    <m:r>
                      <w:rPr>
                        <w:rFonts w:ascii="Cambria Math" w:hAnsi="Cambria Math"/>
                      </w:rPr>
                      <m:t>a</m:t>
                    </m:r>
                  </m:sub>
                </m:sSub>
              </m:oMath>
            </m:oMathPara>
          </w:p>
        </w:tc>
        <w:tc>
          <w:tcPr>
            <w:tcW w:w="8425" w:type="dxa"/>
          </w:tcPr>
          <w:p w:rsidR="00295074" w:rsidRDefault="00295074" w:rsidP="00295074">
            <w:r>
              <w:t xml:space="preserve">The market share of </w:t>
            </w:r>
            <w:proofErr w:type="gramStart"/>
            <w:r>
              <w:t xml:space="preserve">operator </w:t>
            </w:r>
            <m:oMath>
              <w:proofErr w:type="gramEnd"/>
              <m:r>
                <w:rPr>
                  <w:rFonts w:ascii="Cambria Math" w:hAnsi="Cambria Math"/>
                </w:rPr>
                <m:t>a</m:t>
              </m:r>
            </m:oMath>
            <w:r w:rsidR="00294D20">
              <w:t>.</w:t>
            </w:r>
          </w:p>
        </w:tc>
      </w:tr>
      <w:tr w:rsidR="00295074" w:rsidTr="00295074">
        <w:tc>
          <w:tcPr>
            <w:tcW w:w="709" w:type="dxa"/>
          </w:tcPr>
          <w:p w:rsidR="00295074" w:rsidRDefault="00295074" w:rsidP="00295074">
            <m:oMathPara>
              <m:oMath>
                <m:r>
                  <w:rPr>
                    <w:rFonts w:ascii="Cambria Math" w:hAnsi="Cambria Math"/>
                  </w:rPr>
                  <m:t>F</m:t>
                </m:r>
              </m:oMath>
            </m:oMathPara>
          </w:p>
        </w:tc>
        <w:tc>
          <w:tcPr>
            <w:tcW w:w="8425" w:type="dxa"/>
          </w:tcPr>
          <w:p w:rsidR="00295074" w:rsidRDefault="00295074" w:rsidP="00D00612">
            <w:r>
              <w:t>A defined fee</w:t>
            </w:r>
            <w:r w:rsidR="00294D20">
              <w:t>.</w:t>
            </w:r>
          </w:p>
        </w:tc>
      </w:tr>
    </w:tbl>
    <w:p w:rsidR="00D00612" w:rsidRDefault="00D00612" w:rsidP="00D00612">
      <w:pPr>
        <w:rPr>
          <w:rFonts w:ascii="Cambria" w:eastAsia="Times New Roman" w:hAnsi="Cambria"/>
          <w:color w:val="365F91"/>
          <w:sz w:val="28"/>
          <w:szCs w:val="28"/>
        </w:rPr>
      </w:pPr>
      <w:r>
        <w:br w:type="page"/>
      </w:r>
    </w:p>
    <w:p w:rsidR="00020948" w:rsidRDefault="00020948" w:rsidP="00020948">
      <w:pPr>
        <w:pStyle w:val="Title"/>
      </w:pPr>
      <w:r>
        <w:t xml:space="preserve">Technical </w:t>
      </w:r>
      <w:r w:rsidR="00BF68F0">
        <w:t>r</w:t>
      </w:r>
      <w:r>
        <w:t xml:space="preserve">eport on the </w:t>
      </w:r>
      <w:r w:rsidR="0086597D">
        <w:t xml:space="preserve">investigation of the </w:t>
      </w:r>
      <w:r>
        <w:t>EIL</w:t>
      </w:r>
    </w:p>
    <w:p w:rsidR="0086597D" w:rsidRDefault="00D13569" w:rsidP="00825F55">
      <w:pPr>
        <w:jc w:val="both"/>
      </w:pPr>
      <w:r>
        <w:t>The Technical Report expands on the Investigation Discussion Paper</w:t>
      </w:r>
      <w:r w:rsidR="00825F55">
        <w:rPr>
          <w:rStyle w:val="FootnoteReference"/>
        </w:rPr>
        <w:footnoteReference w:id="1"/>
      </w:r>
      <w:r>
        <w:t xml:space="preserve"> </w:t>
      </w:r>
      <w:r w:rsidR="00BF490B">
        <w:t xml:space="preserve">of the </w:t>
      </w:r>
      <w:r w:rsidR="00BF490B" w:rsidRPr="00E61AF9">
        <w:t>ACT Energy Industry Levy (EIL</w:t>
      </w:r>
      <w:r w:rsidR="00BF490B">
        <w:t xml:space="preserve"> or the Levy</w:t>
      </w:r>
      <w:r w:rsidR="00BF490B" w:rsidRPr="00E61AF9">
        <w:t xml:space="preserve">) </w:t>
      </w:r>
      <w:r w:rsidR="004A3A51">
        <w:t>and the Report on the Investigation</w:t>
      </w:r>
      <w:r w:rsidR="006914EC">
        <w:t>,</w:t>
      </w:r>
      <w:r w:rsidR="004A3A51">
        <w:t xml:space="preserve"> </w:t>
      </w:r>
      <w:r>
        <w:t>draw</w:t>
      </w:r>
      <w:r w:rsidR="006914EC">
        <w:t>s</w:t>
      </w:r>
      <w:r>
        <w:t xml:space="preserve"> on submissions </w:t>
      </w:r>
      <w:r w:rsidR="00FB6817">
        <w:t>to the investigation</w:t>
      </w:r>
      <w:r w:rsidR="0014504E">
        <w:t>,</w:t>
      </w:r>
      <w:r w:rsidR="00FB6817">
        <w:t xml:space="preserve"> </w:t>
      </w:r>
      <w:r>
        <w:t>and provides a framework for analysing levy structure options. The Technical Report</w:t>
      </w:r>
      <w:r w:rsidR="0013127D">
        <w:t xml:space="preserve"> has detailed</w:t>
      </w:r>
      <w:r>
        <w:t xml:space="preserve"> </w:t>
      </w:r>
      <w:r w:rsidR="0013127D">
        <w:t>analysis of</w:t>
      </w:r>
      <w:r>
        <w:t xml:space="preserve"> the </w:t>
      </w:r>
      <w:r w:rsidR="0013127D">
        <w:t xml:space="preserve">Discussion Paper </w:t>
      </w:r>
      <w:r>
        <w:t xml:space="preserve">options for the EIL </w:t>
      </w:r>
      <w:r w:rsidR="0013127D">
        <w:t>structure;</w:t>
      </w:r>
      <w:r>
        <w:t xml:space="preserve"> </w:t>
      </w:r>
      <w:r w:rsidR="0013127D">
        <w:t>t</w:t>
      </w:r>
      <w:r>
        <w:t>he Investigation Recommendations are discussed and justified</w:t>
      </w:r>
      <w:r w:rsidR="0013127D">
        <w:t>; and</w:t>
      </w:r>
      <w:r>
        <w:t xml:space="preserve"> </w:t>
      </w:r>
      <w:r w:rsidR="0013127D">
        <w:t>e</w:t>
      </w:r>
      <w:r>
        <w:t>ach term of reference for the Investigation is dealt</w:t>
      </w:r>
      <w:r w:rsidR="0013127D">
        <w:t xml:space="preserve"> </w:t>
      </w:r>
      <w:r w:rsidR="0014504E">
        <w:t xml:space="preserve">with in turn </w:t>
      </w:r>
      <w:r w:rsidR="0013127D">
        <w:t>(</w:t>
      </w:r>
      <w:r>
        <w:t xml:space="preserve">beginning </w:t>
      </w:r>
      <w:r w:rsidR="0013127D">
        <w:t>at</w:t>
      </w:r>
      <w:r>
        <w:t xml:space="preserve"> Section 3</w:t>
      </w:r>
      <w:r w:rsidR="0013127D">
        <w:t>)</w:t>
      </w:r>
      <w:r>
        <w:t>. Section 1 provides background on the investigation of the EIL and Section 2 sets out principles for providing comment and recommendations on the terms of reference.</w:t>
      </w:r>
    </w:p>
    <w:p w:rsidR="002B3857" w:rsidRDefault="0067782F" w:rsidP="006358B7">
      <w:pPr>
        <w:pStyle w:val="Heading1"/>
      </w:pPr>
      <w:bookmarkStart w:id="1" w:name="_Toc454981989"/>
      <w:r>
        <w:t xml:space="preserve">Section 1: </w:t>
      </w:r>
      <w:r w:rsidR="002B3857">
        <w:t xml:space="preserve">Background, </w:t>
      </w:r>
      <w:r w:rsidR="000E777A">
        <w:t>Terms of Reference</w:t>
      </w:r>
      <w:r w:rsidR="00912CDE">
        <w:t xml:space="preserve">, and </w:t>
      </w:r>
      <w:r w:rsidR="00BB6DA6">
        <w:t>issues driving</w:t>
      </w:r>
      <w:r w:rsidR="002B3857">
        <w:t xml:space="preserve"> the </w:t>
      </w:r>
      <w:r w:rsidR="00963918">
        <w:t>investigation</w:t>
      </w:r>
      <w:bookmarkEnd w:id="1"/>
    </w:p>
    <w:p w:rsidR="00775359" w:rsidRPr="00775359" w:rsidRDefault="00775359" w:rsidP="00775359">
      <w:pPr>
        <w:spacing w:before="240"/>
        <w:ind w:left="567" w:right="804"/>
        <w:jc w:val="both"/>
      </w:pPr>
      <w:r>
        <w:rPr>
          <w:noProof/>
          <w:lang w:eastAsia="en-AU"/>
        </w:rPr>
        <w:pict>
          <v:rect id="_x0000_s1049" style="position:absolute;left:0;text-align:left;margin-left:18.75pt;margin-top:3.1pt;width:409.5pt;height:142.5pt;z-index:251672576;mso-width-relative:margin;mso-height-relative:margin" filled="f"/>
        </w:pict>
      </w:r>
      <w:r w:rsidRPr="00775359">
        <w:t>The EIL recovers regulatory costs associated with energy sectors (electricity distribution and retail, and gas distribution and retail sectors).</w:t>
      </w:r>
    </w:p>
    <w:p w:rsidR="00775359" w:rsidRPr="00775359" w:rsidRDefault="00775359" w:rsidP="00775359">
      <w:pPr>
        <w:ind w:left="567" w:right="804"/>
        <w:jc w:val="both"/>
      </w:pPr>
      <w:r w:rsidRPr="00775359">
        <w:t>The technical report on the investigation of the EIL comments and makes recommendations on whether the current structure and method for distributing the Levy across industry are appropriate.</w:t>
      </w:r>
    </w:p>
    <w:p w:rsidR="00775359" w:rsidRPr="00775359" w:rsidRDefault="00775359" w:rsidP="00775359">
      <w:pPr>
        <w:ind w:left="567" w:right="804"/>
        <w:jc w:val="both"/>
      </w:pPr>
      <w:r w:rsidRPr="00775359">
        <w:t>The driving issue is whether the current approach is conducive to competition in the ACT energy industry sectors.</w:t>
      </w:r>
    </w:p>
    <w:p w:rsidR="0067782F" w:rsidRDefault="0067782F" w:rsidP="0067782F">
      <w:pPr>
        <w:pStyle w:val="Heading2"/>
      </w:pPr>
      <w:bookmarkStart w:id="2" w:name="_Toc454981990"/>
      <w:r>
        <w:t>1.1 Background</w:t>
      </w:r>
      <w:bookmarkEnd w:id="2"/>
    </w:p>
    <w:p w:rsidR="00E61AF9" w:rsidRPr="00E61AF9" w:rsidRDefault="00E61AF9" w:rsidP="00591669">
      <w:pPr>
        <w:jc w:val="both"/>
      </w:pPr>
      <w:r w:rsidRPr="00E61AF9">
        <w:t xml:space="preserve">The EIL is intended to recover the regulatory costs associated with the </w:t>
      </w:r>
      <w:r w:rsidR="00DE6797">
        <w:t xml:space="preserve">ACT </w:t>
      </w:r>
      <w:r w:rsidRPr="00E61AF9">
        <w:t>energy industry sector</w:t>
      </w:r>
      <w:r w:rsidR="00876A7F">
        <w:t xml:space="preserve">s.  </w:t>
      </w:r>
      <w:r w:rsidR="00576BCC">
        <w:t>The Levy</w:t>
      </w:r>
      <w:r w:rsidRPr="00E61AF9">
        <w:t xml:space="preserve"> was introduced in 2007, as part of the implementation of National</w:t>
      </w:r>
      <w:r w:rsidR="00A92353">
        <w:t xml:space="preserve"> Energy Market (NEM) reforms,</w:t>
      </w:r>
      <w:r w:rsidRPr="00E61AF9">
        <w:t xml:space="preserve"> Part 3A of the </w:t>
      </w:r>
      <w:r w:rsidRPr="00E61AF9">
        <w:rPr>
          <w:i/>
        </w:rPr>
        <w:t>Utilities Act 2000</w:t>
      </w:r>
      <w:r w:rsidR="00A92353">
        <w:t xml:space="preserve"> (the </w:t>
      </w:r>
      <w:r w:rsidRPr="00E61AF9">
        <w:t>Act). It applies to all energy operators (both distributors and retailers) who provide electricity or gas services in the ACT.  The ACT was the first jurisdiction to introduce a levy for the energy sector that is calculated in this way.  As the EIL has now been in operation for some years, revisiting it is timely.</w:t>
      </w:r>
      <w:r w:rsidR="00903884">
        <w:t xml:space="preserve"> This </w:t>
      </w:r>
      <w:r w:rsidR="00877F37">
        <w:t xml:space="preserve">technical </w:t>
      </w:r>
      <w:r w:rsidR="00903884">
        <w:t xml:space="preserve">report on the investigation of the EIL (the investigation) recommends </w:t>
      </w:r>
      <w:r w:rsidR="00D423BE">
        <w:t>actions</w:t>
      </w:r>
      <w:r w:rsidR="00903884">
        <w:t xml:space="preserve"> </w:t>
      </w:r>
      <w:r w:rsidR="00D423BE">
        <w:t>for</w:t>
      </w:r>
      <w:r w:rsidR="00903884">
        <w:t xml:space="preserve"> improv</w:t>
      </w:r>
      <w:r w:rsidR="00D423BE">
        <w:t>ing</w:t>
      </w:r>
      <w:r w:rsidR="00903884">
        <w:t xml:space="preserve"> the levy structure and method of distributi</w:t>
      </w:r>
      <w:r w:rsidR="00D423BE">
        <w:t>on</w:t>
      </w:r>
      <w:r w:rsidR="00903884">
        <w:t xml:space="preserve"> </w:t>
      </w:r>
      <w:r w:rsidR="00D423BE">
        <w:t>of costs</w:t>
      </w:r>
      <w:r w:rsidR="00903884">
        <w:t xml:space="preserve"> among </w:t>
      </w:r>
      <w:r w:rsidR="00D423BE">
        <w:t>individual firms</w:t>
      </w:r>
      <w:r w:rsidR="00903884">
        <w:t>.</w:t>
      </w:r>
      <w:r w:rsidR="00903884">
        <w:rPr>
          <w:rStyle w:val="FootnoteReference"/>
        </w:rPr>
        <w:footnoteReference w:id="2"/>
      </w:r>
    </w:p>
    <w:p w:rsidR="00E61AF9" w:rsidRPr="00E61AF9" w:rsidRDefault="00876A7F" w:rsidP="00591669">
      <w:pPr>
        <w:jc w:val="both"/>
      </w:pPr>
      <w:r>
        <w:t>Previously, the ACT used licence fees to recover</w:t>
      </w:r>
      <w:r w:rsidR="00E61AF9" w:rsidRPr="00E61AF9">
        <w:t xml:space="preserve"> regulatory costs from the four energy sectors: electricity distribution, electricity retail, gas distribution, and gas retail.</w:t>
      </w:r>
      <w:r w:rsidR="00E61AF9" w:rsidRPr="00E61AF9">
        <w:rPr>
          <w:vertAlign w:val="superscript"/>
        </w:rPr>
        <w:footnoteReference w:id="3"/>
      </w:r>
      <w:r w:rsidR="00E61AF9" w:rsidRPr="00E61AF9">
        <w:t xml:space="preserve"> The change of cost recovery method was part of </w:t>
      </w:r>
      <w:r w:rsidR="00DE0A66">
        <w:t>broader</w:t>
      </w:r>
      <w:r w:rsidR="00E61AF9" w:rsidRPr="00E61AF9">
        <w:t xml:space="preserve"> NEM reforms, where energy economic regulation was centralised to national bodies. The EIL is the method for </w:t>
      </w:r>
      <w:r w:rsidR="00A92353">
        <w:t>recovering</w:t>
      </w:r>
      <w:r w:rsidR="00E61AF9" w:rsidRPr="00E61AF9">
        <w:t xml:space="preserve"> the ACT’s contribution to the Australian Energy Market Commission (AEMC) and the </w:t>
      </w:r>
      <w:r w:rsidR="00A92353">
        <w:t xml:space="preserve">costs for the </w:t>
      </w:r>
      <w:r w:rsidR="00E61AF9" w:rsidRPr="00E61AF9">
        <w:t>remaining local e</w:t>
      </w:r>
      <w:r w:rsidR="00A92353">
        <w:t>nergy regulation covered by the </w:t>
      </w:r>
      <w:r w:rsidR="00E61AF9" w:rsidRPr="00E61AF9">
        <w:t xml:space="preserve">Act. </w:t>
      </w:r>
    </w:p>
    <w:p w:rsidR="00E61AF9" w:rsidRPr="00E61AF9" w:rsidRDefault="00E61AF9" w:rsidP="00591669">
      <w:pPr>
        <w:numPr>
          <w:ilvl w:val="0"/>
          <w:numId w:val="2"/>
        </w:numPr>
        <w:spacing w:after="0"/>
        <w:jc w:val="both"/>
      </w:pPr>
      <w:r w:rsidRPr="00E61AF9">
        <w:t>The national regulatory costs recovered through the EIL are the Territory’s obligations under the Australian Energy Market Agreement (AEMA), in relation to</w:t>
      </w:r>
      <w:r w:rsidR="00BF2AEC">
        <w:t>:</w:t>
      </w:r>
    </w:p>
    <w:p w:rsidR="00E61AF9" w:rsidRPr="00E61AF9" w:rsidRDefault="00E61AF9" w:rsidP="00353E23">
      <w:pPr>
        <w:numPr>
          <w:ilvl w:val="1"/>
          <w:numId w:val="2"/>
        </w:numPr>
        <w:spacing w:after="0"/>
      </w:pPr>
      <w:r w:rsidRPr="00E61AF9">
        <w:t xml:space="preserve">cost-sharing arrangements for funding </w:t>
      </w:r>
      <w:r w:rsidR="00DE0A66">
        <w:t xml:space="preserve">the </w:t>
      </w:r>
      <w:r w:rsidRPr="00E61AF9">
        <w:t>AEMC; and</w:t>
      </w:r>
    </w:p>
    <w:p w:rsidR="00E61AF9" w:rsidRPr="00E61AF9" w:rsidRDefault="00E61AF9" w:rsidP="00353E23">
      <w:pPr>
        <w:numPr>
          <w:ilvl w:val="1"/>
          <w:numId w:val="2"/>
        </w:numPr>
      </w:pPr>
      <w:proofErr w:type="gramStart"/>
      <w:r w:rsidRPr="00DD659B">
        <w:t>the</w:t>
      </w:r>
      <w:proofErr w:type="gramEnd"/>
      <w:r w:rsidRPr="00DD659B">
        <w:t xml:space="preserve"> </w:t>
      </w:r>
      <w:r w:rsidR="00A270D1" w:rsidRPr="00DD659B">
        <w:t xml:space="preserve">Council of Australian Governments’ (COAG) Energy Council </w:t>
      </w:r>
      <w:r w:rsidRPr="00E61AF9">
        <w:t>under the AEMA.</w:t>
      </w:r>
    </w:p>
    <w:p w:rsidR="00E61AF9" w:rsidRPr="00E61AF9" w:rsidRDefault="00E61AF9" w:rsidP="00353E23">
      <w:pPr>
        <w:numPr>
          <w:ilvl w:val="0"/>
          <w:numId w:val="2"/>
        </w:numPr>
        <w:spacing w:after="0"/>
      </w:pPr>
      <w:r w:rsidRPr="00E61AF9">
        <w:t xml:space="preserve">Local regulatory costs recovered </w:t>
      </w:r>
      <w:r w:rsidR="00B46C41">
        <w:t xml:space="preserve">through </w:t>
      </w:r>
      <w:r w:rsidR="00576BCC">
        <w:t>the Levy</w:t>
      </w:r>
      <w:r w:rsidR="00B46C41">
        <w:t xml:space="preserve"> </w:t>
      </w:r>
      <w:r w:rsidRPr="00E61AF9">
        <w:t xml:space="preserve">are </w:t>
      </w:r>
      <w:r w:rsidR="00B46C41">
        <w:t>for</w:t>
      </w:r>
      <w:r w:rsidRPr="00E61AF9">
        <w:t>:</w:t>
      </w:r>
    </w:p>
    <w:p w:rsidR="00E61AF9" w:rsidRPr="00E61AF9" w:rsidRDefault="00E61AF9" w:rsidP="00591669">
      <w:pPr>
        <w:numPr>
          <w:ilvl w:val="1"/>
          <w:numId w:val="2"/>
        </w:numPr>
        <w:spacing w:after="0"/>
        <w:jc w:val="both"/>
      </w:pPr>
      <w:r w:rsidRPr="00E61AF9">
        <w:t>providing regulatory activities in relation to safety, technical operations, consumer service and environmental behaviour of energy utility services; and</w:t>
      </w:r>
    </w:p>
    <w:p w:rsidR="00E61AF9" w:rsidRPr="00E61AF9" w:rsidRDefault="00E61AF9" w:rsidP="00353E23">
      <w:pPr>
        <w:numPr>
          <w:ilvl w:val="1"/>
          <w:numId w:val="2"/>
        </w:numPr>
      </w:pPr>
      <w:proofErr w:type="gramStart"/>
      <w:r w:rsidRPr="00E61AF9">
        <w:t>the</w:t>
      </w:r>
      <w:proofErr w:type="gramEnd"/>
      <w:r w:rsidRPr="00E61AF9">
        <w:t xml:space="preserve"> administration of </w:t>
      </w:r>
      <w:r w:rsidR="00576BCC">
        <w:t>the Levy</w:t>
      </w:r>
      <w:r w:rsidRPr="00E61AF9">
        <w:t>.</w:t>
      </w:r>
    </w:p>
    <w:p w:rsidR="00E61AF9" w:rsidRPr="00E61AF9" w:rsidRDefault="00E61AF9" w:rsidP="00BF2AEC">
      <w:pPr>
        <w:keepNext/>
      </w:pPr>
      <w:r w:rsidRPr="00E61AF9">
        <w:t>Currently, the local regulatory roles are performed by</w:t>
      </w:r>
      <w:r w:rsidR="00823282">
        <w:t>:</w:t>
      </w:r>
    </w:p>
    <w:p w:rsidR="00E61AF9" w:rsidRPr="00E61AF9" w:rsidRDefault="00E61AF9" w:rsidP="00591669">
      <w:pPr>
        <w:numPr>
          <w:ilvl w:val="0"/>
          <w:numId w:val="8"/>
        </w:numPr>
        <w:spacing w:after="0"/>
        <w:jc w:val="both"/>
      </w:pPr>
      <w:r w:rsidRPr="00E61AF9">
        <w:t xml:space="preserve">The Independent Competition and Regulatory Commission (ICRC), which administers </w:t>
      </w:r>
      <w:r w:rsidR="00A92353">
        <w:t>the </w:t>
      </w:r>
      <w:r w:rsidR="00576BCC">
        <w:t>Levy</w:t>
      </w:r>
      <w:r w:rsidRPr="00E61AF9">
        <w:t>;</w:t>
      </w:r>
    </w:p>
    <w:p w:rsidR="00E61AF9" w:rsidRPr="00E61AF9" w:rsidRDefault="00E61AF9" w:rsidP="00591669">
      <w:pPr>
        <w:numPr>
          <w:ilvl w:val="0"/>
          <w:numId w:val="8"/>
        </w:numPr>
        <w:spacing w:after="0"/>
        <w:jc w:val="both"/>
      </w:pPr>
      <w:r w:rsidRPr="00E61AF9">
        <w:t>The ACT Technical Regulator</w:t>
      </w:r>
      <w:r w:rsidR="00156F5B">
        <w:t>,</w:t>
      </w:r>
      <w:r w:rsidR="00246D00">
        <w:rPr>
          <w:rStyle w:val="FootnoteReference"/>
        </w:rPr>
        <w:footnoteReference w:id="4"/>
      </w:r>
      <w:r w:rsidRPr="00E61AF9">
        <w:t xml:space="preserve"> which regulates in relation to safety, technical operations, and environmental behaviour of energy utilities;</w:t>
      </w:r>
      <w:r w:rsidR="00DE0A66">
        <w:t xml:space="preserve"> and </w:t>
      </w:r>
    </w:p>
    <w:p w:rsidR="00E61AF9" w:rsidRPr="00E61AF9" w:rsidRDefault="00E61AF9" w:rsidP="00591669">
      <w:pPr>
        <w:numPr>
          <w:ilvl w:val="0"/>
          <w:numId w:val="8"/>
        </w:numPr>
        <w:jc w:val="both"/>
      </w:pPr>
      <w:r w:rsidRPr="00E61AF9">
        <w:t xml:space="preserve">The ACT Civil and Administrative Tribunal (ACAT), which, </w:t>
      </w:r>
      <w:r w:rsidR="00E52F54">
        <w:t xml:space="preserve">in its function as an </w:t>
      </w:r>
      <w:r w:rsidRPr="00E61AF9">
        <w:t xml:space="preserve">Energy </w:t>
      </w:r>
      <w:r w:rsidR="00E52F54">
        <w:t>Arbiter</w:t>
      </w:r>
      <w:r w:rsidRPr="00E61AF9">
        <w:t>, regulates consumer service from energy industry sectors in the ACT.</w:t>
      </w:r>
    </w:p>
    <w:p w:rsidR="00FA411B" w:rsidRPr="00A87312" w:rsidRDefault="00A87312" w:rsidP="00591669">
      <w:pPr>
        <w:jc w:val="both"/>
      </w:pPr>
      <w:r>
        <w:t xml:space="preserve">The </w:t>
      </w:r>
      <w:r w:rsidR="00360691">
        <w:t>total regulatory cost</w:t>
      </w:r>
      <w:r w:rsidR="00360691">
        <w:rPr>
          <w:rStyle w:val="FootnoteReference"/>
        </w:rPr>
        <w:footnoteReference w:id="5"/>
      </w:r>
      <w:r>
        <w:t xml:space="preserve"> for each sector is </w:t>
      </w:r>
      <w:r w:rsidR="00DE0A66">
        <w:t xml:space="preserve">currently </w:t>
      </w:r>
      <w:r>
        <w:t xml:space="preserve">composed of </w:t>
      </w:r>
      <w:r>
        <w:rPr>
          <w:i/>
        </w:rPr>
        <w:t>fixed</w:t>
      </w:r>
      <w:r>
        <w:t xml:space="preserve"> and </w:t>
      </w:r>
      <w:r>
        <w:rPr>
          <w:i/>
        </w:rPr>
        <w:t>variable</w:t>
      </w:r>
      <w:r>
        <w:t xml:space="preserve"> regulatory costs. The fixed component is divided uniformly among the utilities in the sector; the remaining variable co</w:t>
      </w:r>
      <w:r w:rsidR="006E031D">
        <w:t>s</w:t>
      </w:r>
      <w:r>
        <w:t>t</w:t>
      </w:r>
      <w:r w:rsidR="006E031D">
        <w:t>s</w:t>
      </w:r>
      <w:r>
        <w:t xml:space="preserve"> </w:t>
      </w:r>
      <w:r w:rsidR="006E031D">
        <w:t>are</w:t>
      </w:r>
      <w:r>
        <w:t xml:space="preserve"> distributed </w:t>
      </w:r>
      <w:r w:rsidR="006E031D">
        <w:t>in proportion to</w:t>
      </w:r>
      <w:r>
        <w:t xml:space="preserve"> </w:t>
      </w:r>
      <w:r w:rsidR="006E031D">
        <w:t xml:space="preserve">operators’ </w:t>
      </w:r>
      <w:r>
        <w:t>market share</w:t>
      </w:r>
      <w:r w:rsidR="006E031D">
        <w:t>s</w:t>
      </w:r>
      <w:r>
        <w:t>.</w:t>
      </w:r>
    </w:p>
    <w:p w:rsidR="00E61AF9" w:rsidRDefault="00480D51" w:rsidP="00591669">
      <w:pPr>
        <w:jc w:val="both"/>
      </w:pPr>
      <w:r>
        <w:t xml:space="preserve">Further details of </w:t>
      </w:r>
      <w:r w:rsidR="00D94611">
        <w:t xml:space="preserve">the EIL structure, the regulatory </w:t>
      </w:r>
      <w:r w:rsidR="00E61AF9" w:rsidRPr="00E61AF9">
        <w:t xml:space="preserve">organisations, and the regulatory costs recovered through the EIL are provided </w:t>
      </w:r>
      <w:r w:rsidR="00D94611">
        <w:t xml:space="preserve">in </w:t>
      </w:r>
      <w:r w:rsidR="009B3916" w:rsidRPr="00E772AF">
        <w:t xml:space="preserve">Section </w:t>
      </w:r>
      <w:r w:rsidR="00E772AF">
        <w:t>3</w:t>
      </w:r>
      <w:r w:rsidR="009B3916">
        <w:t xml:space="preserve"> and Appendix C</w:t>
      </w:r>
      <w:r w:rsidR="00E61AF9" w:rsidRPr="00E61AF9">
        <w:t xml:space="preserve">.  </w:t>
      </w:r>
      <w:r w:rsidR="00D94611">
        <w:t xml:space="preserve">The remainder of this section outlines the </w:t>
      </w:r>
      <w:r w:rsidR="000E777A">
        <w:t>Terms of Reference</w:t>
      </w:r>
      <w:r w:rsidR="00DE5362">
        <w:t xml:space="preserve"> and how they address the </w:t>
      </w:r>
      <w:r w:rsidR="00A92353">
        <w:t>issues driving</w:t>
      </w:r>
      <w:r w:rsidR="005D6EB5">
        <w:t xml:space="preserve"> the investigation</w:t>
      </w:r>
      <w:r w:rsidR="00D94611">
        <w:t>.</w:t>
      </w:r>
    </w:p>
    <w:p w:rsidR="0069270E" w:rsidRDefault="0067782F" w:rsidP="0069270E">
      <w:pPr>
        <w:pStyle w:val="Heading2"/>
      </w:pPr>
      <w:bookmarkStart w:id="3" w:name="_Toc454981991"/>
      <w:bookmarkStart w:id="4" w:name="_Toc443051387"/>
      <w:r>
        <w:t xml:space="preserve">1.2 </w:t>
      </w:r>
      <w:r w:rsidR="000E777A">
        <w:t>Terms of Reference</w:t>
      </w:r>
      <w:bookmarkEnd w:id="3"/>
    </w:p>
    <w:p w:rsidR="0069270E" w:rsidRPr="00E61AF9" w:rsidRDefault="009E4AA9" w:rsidP="00591669">
      <w:pPr>
        <w:jc w:val="both"/>
      </w:pPr>
      <w:r>
        <w:t xml:space="preserve">The </w:t>
      </w:r>
      <w:r w:rsidR="000E777A">
        <w:t>Terms of Reference</w:t>
      </w:r>
      <w:r w:rsidR="0069270E">
        <w:t xml:space="preserve"> for the investigation are to </w:t>
      </w:r>
      <w:r w:rsidR="00871626">
        <w:t>examine the current methodology us</w:t>
      </w:r>
      <w:r w:rsidR="005066B0">
        <w:t>ed to distribute the EIL among</w:t>
      </w:r>
      <w:r w:rsidR="00871626">
        <w:t xml:space="preserve"> energy operators in the ACT, and </w:t>
      </w:r>
      <w:r w:rsidR="0069270E" w:rsidRPr="00E61AF9">
        <w:t>provide comment and recommendations on:</w:t>
      </w:r>
    </w:p>
    <w:p w:rsidR="0069270E" w:rsidRPr="00E61AF9" w:rsidRDefault="0069270E" w:rsidP="002343C4">
      <w:pPr>
        <w:pStyle w:val="ListParagraph"/>
        <w:numPr>
          <w:ilvl w:val="0"/>
          <w:numId w:val="36"/>
        </w:numPr>
        <w:jc w:val="both"/>
      </w:pPr>
      <w:r w:rsidRPr="00E61AF9">
        <w:t>the appropriateness of the current structure of regulatory costs (as per definitions under Section 54A of the Act);</w:t>
      </w:r>
    </w:p>
    <w:p w:rsidR="0069270E" w:rsidRPr="00E61AF9" w:rsidRDefault="0069270E" w:rsidP="00591669">
      <w:pPr>
        <w:numPr>
          <w:ilvl w:val="0"/>
          <w:numId w:val="1"/>
        </w:numPr>
        <w:spacing w:after="0" w:line="240" w:lineRule="auto"/>
        <w:jc w:val="both"/>
      </w:pPr>
      <w:r w:rsidRPr="00E61AF9">
        <w:t>the appropriateness of the current methodology for distributing regulatory costs across operators (as per Section 54C of the Act);</w:t>
      </w:r>
    </w:p>
    <w:p w:rsidR="0069270E" w:rsidRPr="00E61AF9" w:rsidRDefault="0069270E" w:rsidP="00591669">
      <w:pPr>
        <w:numPr>
          <w:ilvl w:val="0"/>
          <w:numId w:val="1"/>
        </w:numPr>
        <w:spacing w:after="0" w:line="240" w:lineRule="auto"/>
        <w:jc w:val="both"/>
      </w:pPr>
      <w:r w:rsidRPr="00E61AF9">
        <w:t>whether any improvements can be made to the structure of regulatory costs or current methodology, or whether there are relevant alternative methodologies used in other jurisdictions;</w:t>
      </w:r>
    </w:p>
    <w:p w:rsidR="0069270E" w:rsidRPr="00E61AF9" w:rsidRDefault="0069270E" w:rsidP="00591669">
      <w:pPr>
        <w:numPr>
          <w:ilvl w:val="0"/>
          <w:numId w:val="1"/>
        </w:numPr>
        <w:spacing w:after="0" w:line="240" w:lineRule="auto"/>
        <w:jc w:val="both"/>
      </w:pPr>
      <w:r w:rsidRPr="00E61AF9">
        <w:t>if improvements are suggested, whether legislative amendments are required;</w:t>
      </w:r>
    </w:p>
    <w:p w:rsidR="009A6280" w:rsidRPr="00E61AF9" w:rsidRDefault="009A6280" w:rsidP="009A6280">
      <w:pPr>
        <w:numPr>
          <w:ilvl w:val="0"/>
          <w:numId w:val="1"/>
        </w:numPr>
        <w:spacing w:after="0" w:line="240" w:lineRule="auto"/>
        <w:jc w:val="both"/>
      </w:pPr>
      <w:r w:rsidRPr="00E61AF9">
        <w:t>if improvements are suggested, whether a retrospective ad</w:t>
      </w:r>
      <w:r>
        <w:t>justment will apply to the [first year of a new Levy system] for [previous levy]</w:t>
      </w:r>
      <w:r w:rsidRPr="00E61AF9">
        <w:t xml:space="preserve"> paid;</w:t>
      </w:r>
      <w:r>
        <w:rPr>
          <w:rStyle w:val="FootnoteReference"/>
        </w:rPr>
        <w:footnoteReference w:id="6"/>
      </w:r>
      <w:r w:rsidRPr="00E61AF9">
        <w:t xml:space="preserve"> and</w:t>
      </w:r>
    </w:p>
    <w:p w:rsidR="0069270E" w:rsidRPr="00E61AF9" w:rsidRDefault="0069270E" w:rsidP="0069270E">
      <w:pPr>
        <w:numPr>
          <w:ilvl w:val="0"/>
          <w:numId w:val="1"/>
        </w:numPr>
        <w:spacing w:after="0" w:line="240" w:lineRule="auto"/>
      </w:pPr>
      <w:proofErr w:type="gramStart"/>
      <w:r w:rsidRPr="00E61AF9">
        <w:t>any</w:t>
      </w:r>
      <w:proofErr w:type="gramEnd"/>
      <w:r w:rsidRPr="00E61AF9">
        <w:t xml:space="preserve"> other minor issues identified in the investigation.  </w:t>
      </w:r>
    </w:p>
    <w:p w:rsidR="00871626" w:rsidRDefault="0069270E" w:rsidP="00591669">
      <w:pPr>
        <w:spacing w:before="240"/>
        <w:jc w:val="both"/>
      </w:pPr>
      <w:r>
        <w:t>The</w:t>
      </w:r>
      <w:r w:rsidR="00877F37">
        <w:t xml:space="preserve"> technical</w:t>
      </w:r>
      <w:r>
        <w:t xml:space="preserve"> report contains a section for each term of reference. </w:t>
      </w:r>
      <w:r w:rsidR="00FB367A">
        <w:t xml:space="preserve">In order to compare levy methodologies and structures, </w:t>
      </w:r>
      <w:r w:rsidR="00FB367A" w:rsidRPr="00FB367A">
        <w:t xml:space="preserve">Section </w:t>
      </w:r>
      <w:r w:rsidR="00FB367A">
        <w:t>2 introduces principles for best practice for cost recovery levies. Following this, Terms of Reference 1 and 2 are addressed in Section</w:t>
      </w:r>
      <w:r w:rsidR="00056576">
        <w:t>s</w:t>
      </w:r>
      <w:r w:rsidR="00FB367A">
        <w:t xml:space="preserve"> 3</w:t>
      </w:r>
      <w:r w:rsidR="00056576">
        <w:t>.1 and 3.2, respectively</w:t>
      </w:r>
      <w:r w:rsidR="00FB367A">
        <w:t xml:space="preserve">. </w:t>
      </w:r>
      <w:r w:rsidR="00871626">
        <w:t xml:space="preserve">These topics are </w:t>
      </w:r>
      <w:r w:rsidR="00AB7F75">
        <w:t>interdependent</w:t>
      </w:r>
      <w:r w:rsidR="00871626">
        <w:t xml:space="preserve">, as the appropriateness of the current levy structure is partially determined by whether it allows for appropriate distribution of the costs across utilities. </w:t>
      </w:r>
      <w:r w:rsidR="00FB367A" w:rsidRPr="00FB367A">
        <w:t xml:space="preserve">Section </w:t>
      </w:r>
      <w:r w:rsidR="00FB367A">
        <w:t>4</w:t>
      </w:r>
      <w:r w:rsidR="00871626">
        <w:t xml:space="preserve"> </w:t>
      </w:r>
      <w:r w:rsidR="00560373">
        <w:t xml:space="preserve">compares the current </w:t>
      </w:r>
      <w:r w:rsidR="001E6D3D">
        <w:t>Levy</w:t>
      </w:r>
      <w:r w:rsidR="00560373">
        <w:t xml:space="preserve"> to</w:t>
      </w:r>
      <w:r w:rsidR="00871626">
        <w:t xml:space="preserve"> alternatives, based on the investigation discussion paper and other jurisdictions. </w:t>
      </w:r>
      <w:r w:rsidR="00FB367A">
        <w:t xml:space="preserve">Section 4 recommends a revised structure and method of distribution for </w:t>
      </w:r>
      <w:r w:rsidR="00576BCC">
        <w:t>the Levy</w:t>
      </w:r>
      <w:r w:rsidR="00FB367A">
        <w:t>.</w:t>
      </w:r>
    </w:p>
    <w:p w:rsidR="00FB367A" w:rsidRPr="00FB367A" w:rsidRDefault="00FB367A" w:rsidP="00591669">
      <w:pPr>
        <w:jc w:val="both"/>
      </w:pPr>
      <w:r w:rsidRPr="00FB367A">
        <w:t xml:space="preserve">Section 5 </w:t>
      </w:r>
      <w:r>
        <w:t xml:space="preserve">discusses other issues raised in the investigation and Section 6 </w:t>
      </w:r>
      <w:r w:rsidR="00DE0A66">
        <w:t>considers</w:t>
      </w:r>
      <w:r w:rsidR="00BF2AEC">
        <w:t xml:space="preserve"> whether a</w:t>
      </w:r>
      <w:r>
        <w:t xml:space="preserve"> </w:t>
      </w:r>
      <w:r w:rsidRPr="00E61AF9">
        <w:t xml:space="preserve">retrospective adjustment </w:t>
      </w:r>
      <w:r>
        <w:t xml:space="preserve">should </w:t>
      </w:r>
      <w:r w:rsidRPr="00E61AF9">
        <w:t>apply to the</w:t>
      </w:r>
      <w:r w:rsidR="00161B36">
        <w:t xml:space="preserve"> first year under the new levy system </w:t>
      </w:r>
      <w:r>
        <w:t xml:space="preserve">to </w:t>
      </w:r>
      <w:r w:rsidR="000C4A53">
        <w:t xml:space="preserve">bring </w:t>
      </w:r>
      <w:r w:rsidR="00576BCC">
        <w:t>the Levy</w:t>
      </w:r>
      <w:r w:rsidR="00DE0A66">
        <w:t xml:space="preserve"> paid</w:t>
      </w:r>
      <w:r w:rsidR="00161B36">
        <w:t xml:space="preserve"> in previous years</w:t>
      </w:r>
      <w:r w:rsidR="000C4A53">
        <w:t xml:space="preserve"> under this system</w:t>
      </w:r>
      <w:r>
        <w:t>.</w:t>
      </w:r>
    </w:p>
    <w:p w:rsidR="0069270E" w:rsidRDefault="00FB367A" w:rsidP="00591669">
      <w:pPr>
        <w:jc w:val="both"/>
      </w:pPr>
      <w:r>
        <w:t>Finally, Section 7 reports on any legislative amendments that may be required to implement the investigation’s recommendations.</w:t>
      </w:r>
    </w:p>
    <w:p w:rsidR="00E61AF9" w:rsidRDefault="0067782F" w:rsidP="00D94611">
      <w:pPr>
        <w:pStyle w:val="Heading2"/>
      </w:pPr>
      <w:bookmarkStart w:id="5" w:name="_Toc454981992"/>
      <w:bookmarkEnd w:id="4"/>
      <w:r>
        <w:t xml:space="preserve">1.3 </w:t>
      </w:r>
      <w:r w:rsidR="007519A4">
        <w:t>Issues</w:t>
      </w:r>
      <w:r w:rsidR="00DE5362">
        <w:t xml:space="preserve"> driving the investigation</w:t>
      </w:r>
      <w:bookmarkEnd w:id="5"/>
    </w:p>
    <w:p w:rsidR="00817FB2" w:rsidRDefault="00DE5362" w:rsidP="00591669">
      <w:pPr>
        <w:jc w:val="both"/>
      </w:pPr>
      <w:r>
        <w:t>The issues that dro</w:t>
      </w:r>
      <w:r w:rsidR="00817FB2">
        <w:t xml:space="preserve">ve </w:t>
      </w:r>
      <w:r w:rsidR="009E4AA9">
        <w:t>the</w:t>
      </w:r>
      <w:r w:rsidR="00817FB2">
        <w:t xml:space="preserve"> </w:t>
      </w:r>
      <w:r w:rsidR="003870FB">
        <w:t>investigation</w:t>
      </w:r>
      <w:r w:rsidR="00817FB2">
        <w:t xml:space="preserve"> o</w:t>
      </w:r>
      <w:r w:rsidR="003870FB">
        <w:t>f</w:t>
      </w:r>
      <w:r w:rsidR="00817FB2">
        <w:t xml:space="preserve"> the EIL </w:t>
      </w:r>
      <w:r w:rsidR="00DE0A66">
        <w:t>arose</w:t>
      </w:r>
      <w:r w:rsidR="00817FB2">
        <w:t xml:space="preserve"> from </w:t>
      </w:r>
      <w:r w:rsidR="009E4AA9">
        <w:t>correspondence</w:t>
      </w:r>
      <w:r w:rsidR="00817FB2">
        <w:t xml:space="preserve"> with the ICRC, the </w:t>
      </w:r>
      <w:r w:rsidR="009E4AA9">
        <w:t xml:space="preserve">discussion paper, and submissions to the investigation </w:t>
      </w:r>
      <w:r w:rsidR="00817FB2">
        <w:t xml:space="preserve">(see </w:t>
      </w:r>
      <w:r w:rsidR="00E772AF">
        <w:t>Appendix B</w:t>
      </w:r>
      <w:r w:rsidR="009E4AA9">
        <w:t xml:space="preserve">). The investigation </w:t>
      </w:r>
      <w:r w:rsidR="000E777A">
        <w:t>Terms of Reference</w:t>
      </w:r>
      <w:r w:rsidR="00817FB2">
        <w:t xml:space="preserve"> require </w:t>
      </w:r>
      <w:r w:rsidR="009E4AA9">
        <w:t>commenting on</w:t>
      </w:r>
      <w:r w:rsidR="00817FB2">
        <w:t xml:space="preserve"> whether the EIL current structure and method for distributing regulatory costs are adequate to meet these challenges.</w:t>
      </w:r>
    </w:p>
    <w:p w:rsidR="006F3884" w:rsidRDefault="00A51F4E" w:rsidP="00591669">
      <w:pPr>
        <w:jc w:val="both"/>
      </w:pPr>
      <w:r>
        <w:t xml:space="preserve">The </w:t>
      </w:r>
      <w:r w:rsidR="00EA1506">
        <w:t xml:space="preserve">primary concern is whether </w:t>
      </w:r>
      <w:r>
        <w:t xml:space="preserve">the </w:t>
      </w:r>
      <w:r w:rsidR="00EA1506">
        <w:t xml:space="preserve">current structure and </w:t>
      </w:r>
      <w:r>
        <w:t xml:space="preserve">method of </w:t>
      </w:r>
      <w:r w:rsidR="00EA1506">
        <w:t>distri</w:t>
      </w:r>
      <w:r w:rsidR="00790F0A">
        <w:t>buti</w:t>
      </w:r>
      <w:r>
        <w:t>ng</w:t>
      </w:r>
      <w:r w:rsidR="00790F0A">
        <w:t xml:space="preserve"> the EIL is resulting</w:t>
      </w:r>
      <w:r w:rsidR="00EA1506">
        <w:t xml:space="preserve"> in an environment </w:t>
      </w:r>
      <w:r w:rsidR="00790F0A">
        <w:t>unconducive</w:t>
      </w:r>
      <w:r w:rsidR="00EA1506">
        <w:t xml:space="preserve"> to competition. </w:t>
      </w:r>
      <w:r w:rsidR="0041335E">
        <w:t xml:space="preserve">In a market with few firms, </w:t>
      </w:r>
      <w:r w:rsidR="00576BCC">
        <w:t>the Levy</w:t>
      </w:r>
      <w:r w:rsidR="0041335E">
        <w:t xml:space="preserve"> may be</w:t>
      </w:r>
      <w:r w:rsidR="003B5F3F">
        <w:t xml:space="preserve"> acting as</w:t>
      </w:r>
      <w:r w:rsidR="005A25ED">
        <w:t xml:space="preserve"> a barrier to entry:</w:t>
      </w:r>
      <w:r w:rsidR="0041335E">
        <w:t xml:space="preserve"> reducing competition and</w:t>
      </w:r>
      <w:r>
        <w:t xml:space="preserve"> </w:t>
      </w:r>
      <w:r w:rsidR="0041335E">
        <w:t xml:space="preserve">consumer choice. It is important to ensure that the EIL is not unduly high for new entrants. </w:t>
      </w:r>
      <w:r w:rsidR="00C67D76">
        <w:t>Under the current charges (in 2015-16, an electricity retailer with a 0.16 per cent market share would have been charged $</w:t>
      </w:r>
      <w:r w:rsidR="00667EC6">
        <w:t>7,024</w:t>
      </w:r>
      <w:r w:rsidR="00C67D76">
        <w:t>), i</w:t>
      </w:r>
      <w:r w:rsidR="00480D51">
        <w:t>t is possible</w:t>
      </w:r>
      <w:r w:rsidR="0041335E">
        <w:t xml:space="preserve"> that some energy retailers </w:t>
      </w:r>
      <w:r w:rsidR="006F3884">
        <w:t xml:space="preserve">may leave the ACT as a result of </w:t>
      </w:r>
      <w:r w:rsidR="00576BCC">
        <w:t>the Levy</w:t>
      </w:r>
      <w:r w:rsidR="006F3884">
        <w:t xml:space="preserve"> exceeding the revenue from their sales in the Territory. </w:t>
      </w:r>
    </w:p>
    <w:p w:rsidR="00E61AF9" w:rsidRDefault="0041335E" w:rsidP="00591669">
      <w:pPr>
        <w:jc w:val="both"/>
      </w:pPr>
      <w:r>
        <w:t xml:space="preserve">To foster a competitive environment, conducive to a </w:t>
      </w:r>
      <w:r w:rsidR="006F3884">
        <w:t xml:space="preserve">range of firms, the ACT Government </w:t>
      </w:r>
      <w:r w:rsidR="00614D00">
        <w:t>aims to</w:t>
      </w:r>
      <w:r w:rsidR="006F3884">
        <w:t xml:space="preserve"> ensure: red tape and regulation </w:t>
      </w:r>
      <w:r w:rsidR="002B28C5">
        <w:t>are</w:t>
      </w:r>
      <w:r w:rsidR="006F3884">
        <w:t xml:space="preserve"> minimised and efficient; utilities can predict their costs and plan for the future; and </w:t>
      </w:r>
      <w:r w:rsidR="002B28C5">
        <w:t xml:space="preserve">the administration and governance of </w:t>
      </w:r>
      <w:r w:rsidR="00576BCC">
        <w:t>the Levy</w:t>
      </w:r>
      <w:r w:rsidR="001419EA">
        <w:t xml:space="preserve"> are</w:t>
      </w:r>
      <w:r w:rsidR="002B28C5">
        <w:t xml:space="preserve"> transparent</w:t>
      </w:r>
      <w:r w:rsidR="006F3884">
        <w:t>.</w:t>
      </w:r>
    </w:p>
    <w:p w:rsidR="00E61AF9" w:rsidRDefault="00E61AF9" w:rsidP="00D85385">
      <w:pPr>
        <w:pStyle w:val="Heading3"/>
      </w:pPr>
      <w:bookmarkStart w:id="6" w:name="_Toc443051388"/>
      <w:bookmarkStart w:id="7" w:name="_Toc443901045"/>
      <w:bookmarkStart w:id="8" w:name="_Toc443901107"/>
      <w:bookmarkStart w:id="9" w:name="_Toc444861375"/>
      <w:bookmarkStart w:id="10" w:name="_Toc449438532"/>
      <w:bookmarkStart w:id="11" w:name="_Toc454981993"/>
      <w:r>
        <w:t>Volatility of regulatory costs</w:t>
      </w:r>
      <w:bookmarkEnd w:id="6"/>
      <w:bookmarkEnd w:id="7"/>
      <w:bookmarkEnd w:id="8"/>
      <w:bookmarkEnd w:id="9"/>
      <w:bookmarkEnd w:id="10"/>
      <w:bookmarkEnd w:id="11"/>
    </w:p>
    <w:p w:rsidR="00010F18" w:rsidRDefault="00E61AF9" w:rsidP="00C63FC2">
      <w:pPr>
        <w:jc w:val="both"/>
        <w:rPr>
          <w:b/>
          <w:bCs/>
          <w:sz w:val="23"/>
          <w:szCs w:val="23"/>
        </w:rPr>
      </w:pPr>
      <w:r>
        <w:t xml:space="preserve">The </w:t>
      </w:r>
      <w:r w:rsidR="004A5076">
        <w:t>T</w:t>
      </w:r>
      <w:r>
        <w:t xml:space="preserve">able </w:t>
      </w:r>
      <w:r w:rsidR="004A5076">
        <w:t xml:space="preserve">1 </w:t>
      </w:r>
      <w:r w:rsidR="00423A54">
        <w:t>demonstrates how total regulatory cost</w:t>
      </w:r>
      <w:r w:rsidR="00DE0A66">
        <w:t>s</w:t>
      </w:r>
      <w:r w:rsidR="00423A54">
        <w:t xml:space="preserve"> </w:t>
      </w:r>
      <w:r w:rsidR="00DE0A66">
        <w:t>for each industry sector have</w:t>
      </w:r>
      <w:r w:rsidR="00423A54">
        <w:t xml:space="preserve"> fluctuated over the past six years</w:t>
      </w:r>
      <w:r>
        <w:t>. The electricity distribution sector levy, for example, increased by 25 per cent in 2011-12, but decreased by 13 per cent in 2013</w:t>
      </w:r>
      <w:r>
        <w:noBreakHyphen/>
        <w:t>14.</w:t>
      </w:r>
    </w:p>
    <w:p w:rsidR="00E61AF9" w:rsidRDefault="00E61AF9" w:rsidP="00E61AF9">
      <w:r>
        <w:rPr>
          <w:b/>
          <w:bCs/>
          <w:sz w:val="23"/>
          <w:szCs w:val="23"/>
        </w:rPr>
        <w:t>Table 1 – Actual total regulatory costs from 2008-09 t</w:t>
      </w:r>
      <w:r w:rsidR="002A4967">
        <w:rPr>
          <w:b/>
          <w:bCs/>
          <w:sz w:val="23"/>
          <w:szCs w:val="23"/>
        </w:rPr>
        <w:t xml:space="preserve">o 2014-15 as determined by </w:t>
      </w:r>
      <w:r w:rsidR="00576BCC">
        <w:rPr>
          <w:b/>
          <w:bCs/>
          <w:sz w:val="23"/>
          <w:szCs w:val="23"/>
        </w:rPr>
        <w:t>the Levy</w:t>
      </w:r>
      <w:r w:rsidR="002A4967">
        <w:rPr>
          <w:b/>
          <w:bCs/>
          <w:sz w:val="23"/>
          <w:szCs w:val="23"/>
        </w:rPr>
        <w:t xml:space="preserve"> A</w:t>
      </w:r>
      <w:r>
        <w:rPr>
          <w:b/>
          <w:bCs/>
          <w:sz w:val="23"/>
          <w:szCs w:val="23"/>
        </w:rPr>
        <w:t>dministrator, ($, dollars)</w:t>
      </w:r>
      <w:r>
        <w:rPr>
          <w:rStyle w:val="FootnoteReference"/>
          <w:b/>
          <w:bCs/>
          <w:sz w:val="23"/>
          <w:szCs w:val="23"/>
        </w:rPr>
        <w:footnoteReference w:id="7"/>
      </w:r>
    </w:p>
    <w:tbl>
      <w:tblPr>
        <w:tblW w:w="9180" w:type="dxa"/>
        <w:tblBorders>
          <w:top w:val="nil"/>
          <w:left w:val="nil"/>
          <w:bottom w:val="nil"/>
          <w:right w:val="nil"/>
        </w:tblBorders>
        <w:tblLayout w:type="fixed"/>
        <w:tblLook w:val="00E0"/>
      </w:tblPr>
      <w:tblGrid>
        <w:gridCol w:w="1526"/>
        <w:gridCol w:w="1275"/>
        <w:gridCol w:w="1276"/>
        <w:gridCol w:w="1276"/>
        <w:gridCol w:w="1275"/>
        <w:gridCol w:w="1276"/>
        <w:gridCol w:w="1276"/>
      </w:tblGrid>
      <w:tr w:rsidR="00E61AF9" w:rsidTr="00B4186F">
        <w:trPr>
          <w:trHeight w:val="120"/>
          <w:tblHeader/>
        </w:trPr>
        <w:tc>
          <w:tcPr>
            <w:tcW w:w="1526" w:type="dxa"/>
            <w:tcBorders>
              <w:bottom w:val="single" w:sz="4" w:space="0" w:color="auto"/>
            </w:tcBorders>
          </w:tcPr>
          <w:p w:rsidR="00E61AF9" w:rsidRDefault="00E61AF9" w:rsidP="00EA1506">
            <w:pPr>
              <w:pStyle w:val="Default"/>
              <w:rPr>
                <w:sz w:val="23"/>
                <w:szCs w:val="23"/>
              </w:rPr>
            </w:pPr>
            <w:r>
              <w:rPr>
                <w:b/>
                <w:bCs/>
                <w:sz w:val="23"/>
                <w:szCs w:val="23"/>
              </w:rPr>
              <w:t xml:space="preserve">Industry Sector </w:t>
            </w:r>
          </w:p>
        </w:tc>
        <w:tc>
          <w:tcPr>
            <w:tcW w:w="1275" w:type="dxa"/>
            <w:tcBorders>
              <w:bottom w:val="single" w:sz="4" w:space="0" w:color="auto"/>
            </w:tcBorders>
          </w:tcPr>
          <w:p w:rsidR="00E61AF9" w:rsidRDefault="00E61AF9" w:rsidP="00EA1506">
            <w:pPr>
              <w:pStyle w:val="Default"/>
              <w:rPr>
                <w:sz w:val="23"/>
                <w:szCs w:val="23"/>
              </w:rPr>
            </w:pPr>
            <w:r>
              <w:rPr>
                <w:b/>
                <w:bCs/>
                <w:sz w:val="23"/>
                <w:szCs w:val="23"/>
              </w:rPr>
              <w:t xml:space="preserve">2009-10 </w:t>
            </w:r>
          </w:p>
        </w:tc>
        <w:tc>
          <w:tcPr>
            <w:tcW w:w="1276" w:type="dxa"/>
            <w:tcBorders>
              <w:bottom w:val="single" w:sz="4" w:space="0" w:color="auto"/>
            </w:tcBorders>
          </w:tcPr>
          <w:p w:rsidR="00E61AF9" w:rsidRDefault="00E61AF9" w:rsidP="00EA1506">
            <w:pPr>
              <w:pStyle w:val="Default"/>
              <w:rPr>
                <w:sz w:val="23"/>
                <w:szCs w:val="23"/>
              </w:rPr>
            </w:pPr>
            <w:r>
              <w:rPr>
                <w:b/>
                <w:bCs/>
                <w:sz w:val="23"/>
                <w:szCs w:val="23"/>
              </w:rPr>
              <w:t xml:space="preserve">2010-11 </w:t>
            </w:r>
          </w:p>
        </w:tc>
        <w:tc>
          <w:tcPr>
            <w:tcW w:w="1276" w:type="dxa"/>
            <w:tcBorders>
              <w:bottom w:val="single" w:sz="4" w:space="0" w:color="auto"/>
            </w:tcBorders>
          </w:tcPr>
          <w:p w:rsidR="00E61AF9" w:rsidRDefault="00E61AF9" w:rsidP="00EA1506">
            <w:pPr>
              <w:pStyle w:val="Default"/>
              <w:rPr>
                <w:sz w:val="23"/>
                <w:szCs w:val="23"/>
              </w:rPr>
            </w:pPr>
            <w:r>
              <w:rPr>
                <w:b/>
                <w:bCs/>
                <w:sz w:val="23"/>
                <w:szCs w:val="23"/>
              </w:rPr>
              <w:t xml:space="preserve">2011-12 </w:t>
            </w:r>
          </w:p>
        </w:tc>
        <w:tc>
          <w:tcPr>
            <w:tcW w:w="1275" w:type="dxa"/>
            <w:tcBorders>
              <w:bottom w:val="single" w:sz="4" w:space="0" w:color="auto"/>
            </w:tcBorders>
          </w:tcPr>
          <w:p w:rsidR="00E61AF9" w:rsidRDefault="00E61AF9" w:rsidP="00EA1506">
            <w:pPr>
              <w:pStyle w:val="Default"/>
              <w:rPr>
                <w:sz w:val="23"/>
                <w:szCs w:val="23"/>
              </w:rPr>
            </w:pPr>
            <w:r>
              <w:rPr>
                <w:b/>
                <w:bCs/>
                <w:sz w:val="23"/>
                <w:szCs w:val="23"/>
              </w:rPr>
              <w:t xml:space="preserve">2012-13 </w:t>
            </w:r>
          </w:p>
        </w:tc>
        <w:tc>
          <w:tcPr>
            <w:tcW w:w="1276" w:type="dxa"/>
            <w:tcBorders>
              <w:bottom w:val="single" w:sz="4" w:space="0" w:color="auto"/>
            </w:tcBorders>
          </w:tcPr>
          <w:p w:rsidR="00E61AF9" w:rsidRDefault="00E61AF9" w:rsidP="00EA1506">
            <w:pPr>
              <w:pStyle w:val="Default"/>
              <w:rPr>
                <w:sz w:val="23"/>
                <w:szCs w:val="23"/>
              </w:rPr>
            </w:pPr>
            <w:r>
              <w:rPr>
                <w:b/>
                <w:bCs/>
                <w:sz w:val="23"/>
                <w:szCs w:val="23"/>
              </w:rPr>
              <w:t xml:space="preserve">2013-14 </w:t>
            </w:r>
          </w:p>
        </w:tc>
        <w:tc>
          <w:tcPr>
            <w:tcW w:w="1276" w:type="dxa"/>
            <w:tcBorders>
              <w:bottom w:val="single" w:sz="4" w:space="0" w:color="auto"/>
            </w:tcBorders>
          </w:tcPr>
          <w:p w:rsidR="00E61AF9" w:rsidRDefault="00E61AF9" w:rsidP="00EA1506">
            <w:pPr>
              <w:pStyle w:val="Default"/>
              <w:rPr>
                <w:sz w:val="23"/>
                <w:szCs w:val="23"/>
              </w:rPr>
            </w:pPr>
            <w:r>
              <w:rPr>
                <w:b/>
                <w:bCs/>
                <w:sz w:val="23"/>
                <w:szCs w:val="23"/>
              </w:rPr>
              <w:t xml:space="preserve">2014-15 </w:t>
            </w:r>
          </w:p>
        </w:tc>
      </w:tr>
      <w:tr w:rsidR="00E61AF9" w:rsidTr="003B49EE">
        <w:trPr>
          <w:trHeight w:val="120"/>
        </w:trPr>
        <w:tc>
          <w:tcPr>
            <w:tcW w:w="1526" w:type="dxa"/>
            <w:tcBorders>
              <w:top w:val="single" w:sz="4" w:space="0" w:color="auto"/>
            </w:tcBorders>
          </w:tcPr>
          <w:p w:rsidR="00E61AF9" w:rsidRDefault="00E61AF9" w:rsidP="00EA1506">
            <w:pPr>
              <w:pStyle w:val="Default"/>
              <w:rPr>
                <w:sz w:val="23"/>
                <w:szCs w:val="23"/>
              </w:rPr>
            </w:pPr>
            <w:r>
              <w:rPr>
                <w:b/>
                <w:bCs/>
                <w:sz w:val="23"/>
                <w:szCs w:val="23"/>
              </w:rPr>
              <w:t xml:space="preserve">Electricity Distribution </w:t>
            </w:r>
          </w:p>
        </w:tc>
        <w:tc>
          <w:tcPr>
            <w:tcW w:w="1275" w:type="dxa"/>
            <w:tcBorders>
              <w:top w:val="single" w:sz="4" w:space="0" w:color="auto"/>
            </w:tcBorders>
          </w:tcPr>
          <w:p w:rsidR="00E61AF9" w:rsidRDefault="00E61AF9" w:rsidP="00EA1506">
            <w:pPr>
              <w:pStyle w:val="Default"/>
              <w:rPr>
                <w:sz w:val="23"/>
                <w:szCs w:val="23"/>
              </w:rPr>
            </w:pPr>
            <w:r>
              <w:rPr>
                <w:sz w:val="23"/>
                <w:szCs w:val="23"/>
              </w:rPr>
              <w:t xml:space="preserve">736,046 </w:t>
            </w:r>
          </w:p>
        </w:tc>
        <w:tc>
          <w:tcPr>
            <w:tcW w:w="1276" w:type="dxa"/>
            <w:tcBorders>
              <w:top w:val="single" w:sz="4" w:space="0" w:color="auto"/>
            </w:tcBorders>
          </w:tcPr>
          <w:p w:rsidR="00E61AF9" w:rsidRDefault="00E61AF9" w:rsidP="00EA1506">
            <w:pPr>
              <w:pStyle w:val="Default"/>
              <w:rPr>
                <w:sz w:val="23"/>
                <w:szCs w:val="23"/>
              </w:rPr>
            </w:pPr>
            <w:r>
              <w:rPr>
                <w:sz w:val="23"/>
                <w:szCs w:val="23"/>
              </w:rPr>
              <w:t xml:space="preserve">801,707 </w:t>
            </w:r>
          </w:p>
        </w:tc>
        <w:tc>
          <w:tcPr>
            <w:tcW w:w="1276" w:type="dxa"/>
            <w:tcBorders>
              <w:top w:val="single" w:sz="4" w:space="0" w:color="auto"/>
            </w:tcBorders>
          </w:tcPr>
          <w:p w:rsidR="00E61AF9" w:rsidRDefault="00E61AF9" w:rsidP="00EA1506">
            <w:pPr>
              <w:pStyle w:val="Default"/>
              <w:rPr>
                <w:sz w:val="23"/>
                <w:szCs w:val="23"/>
              </w:rPr>
            </w:pPr>
            <w:r>
              <w:rPr>
                <w:sz w:val="23"/>
                <w:szCs w:val="23"/>
              </w:rPr>
              <w:t xml:space="preserve">1,001,838 </w:t>
            </w:r>
          </w:p>
        </w:tc>
        <w:tc>
          <w:tcPr>
            <w:tcW w:w="1275" w:type="dxa"/>
            <w:tcBorders>
              <w:top w:val="single" w:sz="4" w:space="0" w:color="auto"/>
            </w:tcBorders>
          </w:tcPr>
          <w:p w:rsidR="00E61AF9" w:rsidRDefault="00E61AF9" w:rsidP="00EA1506">
            <w:pPr>
              <w:pStyle w:val="Default"/>
              <w:rPr>
                <w:sz w:val="23"/>
                <w:szCs w:val="23"/>
              </w:rPr>
            </w:pPr>
            <w:r>
              <w:rPr>
                <w:sz w:val="23"/>
                <w:szCs w:val="23"/>
              </w:rPr>
              <w:t xml:space="preserve">999,909 </w:t>
            </w:r>
          </w:p>
        </w:tc>
        <w:tc>
          <w:tcPr>
            <w:tcW w:w="1276" w:type="dxa"/>
            <w:tcBorders>
              <w:top w:val="single" w:sz="4" w:space="0" w:color="auto"/>
            </w:tcBorders>
          </w:tcPr>
          <w:p w:rsidR="00E61AF9" w:rsidRDefault="00E61AF9" w:rsidP="00EA1506">
            <w:pPr>
              <w:pStyle w:val="Default"/>
              <w:rPr>
                <w:sz w:val="23"/>
                <w:szCs w:val="23"/>
              </w:rPr>
            </w:pPr>
            <w:r>
              <w:rPr>
                <w:sz w:val="23"/>
                <w:szCs w:val="23"/>
              </w:rPr>
              <w:t xml:space="preserve">867,556 </w:t>
            </w:r>
          </w:p>
        </w:tc>
        <w:tc>
          <w:tcPr>
            <w:tcW w:w="1276" w:type="dxa"/>
            <w:tcBorders>
              <w:top w:val="single" w:sz="4" w:space="0" w:color="auto"/>
            </w:tcBorders>
          </w:tcPr>
          <w:p w:rsidR="00E61AF9" w:rsidRDefault="00E61AF9" w:rsidP="00EA1506">
            <w:pPr>
              <w:pStyle w:val="Default"/>
              <w:rPr>
                <w:sz w:val="23"/>
                <w:szCs w:val="23"/>
              </w:rPr>
            </w:pPr>
            <w:r>
              <w:rPr>
                <w:sz w:val="23"/>
                <w:szCs w:val="23"/>
              </w:rPr>
              <w:t xml:space="preserve">786,119 </w:t>
            </w:r>
          </w:p>
        </w:tc>
      </w:tr>
      <w:tr w:rsidR="00E61AF9" w:rsidTr="003B49EE">
        <w:trPr>
          <w:trHeight w:val="120"/>
        </w:trPr>
        <w:tc>
          <w:tcPr>
            <w:tcW w:w="1526" w:type="dxa"/>
          </w:tcPr>
          <w:p w:rsidR="00E61AF9" w:rsidRDefault="00E61AF9" w:rsidP="00EA1506">
            <w:pPr>
              <w:pStyle w:val="Default"/>
              <w:rPr>
                <w:sz w:val="23"/>
                <w:szCs w:val="23"/>
              </w:rPr>
            </w:pPr>
            <w:r>
              <w:rPr>
                <w:b/>
                <w:bCs/>
                <w:sz w:val="23"/>
                <w:szCs w:val="23"/>
              </w:rPr>
              <w:t xml:space="preserve">Electricity Supply </w:t>
            </w:r>
          </w:p>
        </w:tc>
        <w:tc>
          <w:tcPr>
            <w:tcW w:w="1275" w:type="dxa"/>
          </w:tcPr>
          <w:p w:rsidR="00E61AF9" w:rsidRDefault="00E61AF9" w:rsidP="00EA1506">
            <w:pPr>
              <w:pStyle w:val="Default"/>
              <w:rPr>
                <w:sz w:val="23"/>
                <w:szCs w:val="23"/>
              </w:rPr>
            </w:pPr>
            <w:r>
              <w:rPr>
                <w:sz w:val="23"/>
                <w:szCs w:val="23"/>
              </w:rPr>
              <w:t xml:space="preserve">855,967 </w:t>
            </w:r>
          </w:p>
        </w:tc>
        <w:tc>
          <w:tcPr>
            <w:tcW w:w="1276" w:type="dxa"/>
          </w:tcPr>
          <w:p w:rsidR="00E61AF9" w:rsidRDefault="00E61AF9" w:rsidP="00EA1506">
            <w:pPr>
              <w:pStyle w:val="Default"/>
              <w:rPr>
                <w:sz w:val="23"/>
                <w:szCs w:val="23"/>
              </w:rPr>
            </w:pPr>
            <w:r>
              <w:rPr>
                <w:sz w:val="23"/>
                <w:szCs w:val="23"/>
              </w:rPr>
              <w:t xml:space="preserve">728,567 </w:t>
            </w:r>
          </w:p>
        </w:tc>
        <w:tc>
          <w:tcPr>
            <w:tcW w:w="1276" w:type="dxa"/>
          </w:tcPr>
          <w:p w:rsidR="00E61AF9" w:rsidRDefault="00E61AF9" w:rsidP="00EA1506">
            <w:pPr>
              <w:pStyle w:val="Default"/>
              <w:rPr>
                <w:sz w:val="23"/>
                <w:szCs w:val="23"/>
              </w:rPr>
            </w:pPr>
            <w:r>
              <w:rPr>
                <w:sz w:val="23"/>
                <w:szCs w:val="23"/>
              </w:rPr>
              <w:t xml:space="preserve">738,178 </w:t>
            </w:r>
          </w:p>
        </w:tc>
        <w:tc>
          <w:tcPr>
            <w:tcW w:w="1275" w:type="dxa"/>
          </w:tcPr>
          <w:p w:rsidR="00E61AF9" w:rsidRDefault="00E61AF9" w:rsidP="00EA1506">
            <w:pPr>
              <w:pStyle w:val="Default"/>
              <w:rPr>
                <w:sz w:val="23"/>
                <w:szCs w:val="23"/>
              </w:rPr>
            </w:pPr>
            <w:r>
              <w:rPr>
                <w:sz w:val="23"/>
                <w:szCs w:val="23"/>
              </w:rPr>
              <w:t xml:space="preserve">723,457 </w:t>
            </w:r>
          </w:p>
        </w:tc>
        <w:tc>
          <w:tcPr>
            <w:tcW w:w="1276" w:type="dxa"/>
          </w:tcPr>
          <w:p w:rsidR="00E61AF9" w:rsidRDefault="00E61AF9" w:rsidP="00EA1506">
            <w:pPr>
              <w:pStyle w:val="Default"/>
              <w:rPr>
                <w:sz w:val="23"/>
                <w:szCs w:val="23"/>
              </w:rPr>
            </w:pPr>
            <w:r>
              <w:rPr>
                <w:sz w:val="23"/>
                <w:szCs w:val="23"/>
              </w:rPr>
              <w:t xml:space="preserve">770,388 </w:t>
            </w:r>
          </w:p>
        </w:tc>
        <w:tc>
          <w:tcPr>
            <w:tcW w:w="1276" w:type="dxa"/>
          </w:tcPr>
          <w:p w:rsidR="00E61AF9" w:rsidRDefault="00E61AF9" w:rsidP="00EA1506">
            <w:pPr>
              <w:pStyle w:val="Default"/>
              <w:rPr>
                <w:sz w:val="23"/>
                <w:szCs w:val="23"/>
              </w:rPr>
            </w:pPr>
            <w:r>
              <w:rPr>
                <w:sz w:val="23"/>
                <w:szCs w:val="23"/>
              </w:rPr>
              <w:t xml:space="preserve">715,635 </w:t>
            </w:r>
          </w:p>
        </w:tc>
      </w:tr>
      <w:tr w:rsidR="00E61AF9" w:rsidTr="003B49EE">
        <w:trPr>
          <w:trHeight w:val="120"/>
        </w:trPr>
        <w:tc>
          <w:tcPr>
            <w:tcW w:w="1526" w:type="dxa"/>
          </w:tcPr>
          <w:p w:rsidR="00E61AF9" w:rsidRDefault="00E61AF9" w:rsidP="00EA1506">
            <w:pPr>
              <w:pStyle w:val="Default"/>
              <w:rPr>
                <w:sz w:val="23"/>
                <w:szCs w:val="23"/>
              </w:rPr>
            </w:pPr>
            <w:r>
              <w:rPr>
                <w:b/>
                <w:bCs/>
                <w:sz w:val="23"/>
                <w:szCs w:val="23"/>
              </w:rPr>
              <w:t xml:space="preserve">Gas Distribution </w:t>
            </w:r>
          </w:p>
        </w:tc>
        <w:tc>
          <w:tcPr>
            <w:tcW w:w="1275" w:type="dxa"/>
          </w:tcPr>
          <w:p w:rsidR="00E61AF9" w:rsidRDefault="00E61AF9" w:rsidP="00EA1506">
            <w:pPr>
              <w:pStyle w:val="Default"/>
              <w:rPr>
                <w:sz w:val="23"/>
                <w:szCs w:val="23"/>
              </w:rPr>
            </w:pPr>
            <w:r>
              <w:rPr>
                <w:sz w:val="23"/>
                <w:szCs w:val="23"/>
              </w:rPr>
              <w:t xml:space="preserve">316,204 </w:t>
            </w:r>
          </w:p>
        </w:tc>
        <w:tc>
          <w:tcPr>
            <w:tcW w:w="1276" w:type="dxa"/>
          </w:tcPr>
          <w:p w:rsidR="00E61AF9" w:rsidRDefault="00E61AF9" w:rsidP="00EA1506">
            <w:pPr>
              <w:pStyle w:val="Default"/>
              <w:rPr>
                <w:sz w:val="23"/>
                <w:szCs w:val="23"/>
              </w:rPr>
            </w:pPr>
            <w:r>
              <w:rPr>
                <w:sz w:val="23"/>
                <w:szCs w:val="23"/>
              </w:rPr>
              <w:t xml:space="preserve">574,735 </w:t>
            </w:r>
          </w:p>
        </w:tc>
        <w:tc>
          <w:tcPr>
            <w:tcW w:w="1276" w:type="dxa"/>
          </w:tcPr>
          <w:p w:rsidR="00E61AF9" w:rsidRDefault="00E61AF9" w:rsidP="00EA1506">
            <w:pPr>
              <w:pStyle w:val="Default"/>
              <w:rPr>
                <w:sz w:val="23"/>
                <w:szCs w:val="23"/>
              </w:rPr>
            </w:pPr>
            <w:r>
              <w:rPr>
                <w:sz w:val="23"/>
                <w:szCs w:val="23"/>
              </w:rPr>
              <w:t xml:space="preserve">584,629 </w:t>
            </w:r>
          </w:p>
        </w:tc>
        <w:tc>
          <w:tcPr>
            <w:tcW w:w="1275" w:type="dxa"/>
          </w:tcPr>
          <w:p w:rsidR="00E61AF9" w:rsidRDefault="00E61AF9" w:rsidP="00EA1506">
            <w:pPr>
              <w:pStyle w:val="Default"/>
              <w:rPr>
                <w:sz w:val="23"/>
                <w:szCs w:val="23"/>
              </w:rPr>
            </w:pPr>
            <w:r>
              <w:rPr>
                <w:sz w:val="23"/>
                <w:szCs w:val="23"/>
              </w:rPr>
              <w:t xml:space="preserve">460,692 </w:t>
            </w:r>
          </w:p>
        </w:tc>
        <w:tc>
          <w:tcPr>
            <w:tcW w:w="1276" w:type="dxa"/>
          </w:tcPr>
          <w:p w:rsidR="00E61AF9" w:rsidRDefault="00E61AF9" w:rsidP="00EA1506">
            <w:pPr>
              <w:pStyle w:val="Default"/>
              <w:rPr>
                <w:sz w:val="23"/>
                <w:szCs w:val="23"/>
              </w:rPr>
            </w:pPr>
            <w:r>
              <w:rPr>
                <w:sz w:val="23"/>
                <w:szCs w:val="23"/>
              </w:rPr>
              <w:t xml:space="preserve">406,238 </w:t>
            </w:r>
          </w:p>
        </w:tc>
        <w:tc>
          <w:tcPr>
            <w:tcW w:w="1276" w:type="dxa"/>
          </w:tcPr>
          <w:p w:rsidR="00E61AF9" w:rsidRDefault="00E61AF9" w:rsidP="00EA1506">
            <w:pPr>
              <w:pStyle w:val="Default"/>
              <w:rPr>
                <w:sz w:val="23"/>
                <w:szCs w:val="23"/>
              </w:rPr>
            </w:pPr>
            <w:r>
              <w:rPr>
                <w:sz w:val="23"/>
                <w:szCs w:val="23"/>
              </w:rPr>
              <w:t xml:space="preserve">451,061 </w:t>
            </w:r>
          </w:p>
        </w:tc>
      </w:tr>
      <w:tr w:rsidR="00E61AF9" w:rsidTr="003B49EE">
        <w:trPr>
          <w:trHeight w:val="120"/>
        </w:trPr>
        <w:tc>
          <w:tcPr>
            <w:tcW w:w="1526" w:type="dxa"/>
            <w:tcBorders>
              <w:bottom w:val="single" w:sz="4" w:space="0" w:color="auto"/>
            </w:tcBorders>
          </w:tcPr>
          <w:p w:rsidR="00E61AF9" w:rsidRDefault="00E61AF9" w:rsidP="00EA1506">
            <w:pPr>
              <w:pStyle w:val="Default"/>
              <w:rPr>
                <w:sz w:val="23"/>
                <w:szCs w:val="23"/>
              </w:rPr>
            </w:pPr>
            <w:r>
              <w:rPr>
                <w:b/>
                <w:bCs/>
                <w:sz w:val="23"/>
                <w:szCs w:val="23"/>
              </w:rPr>
              <w:t xml:space="preserve">Gas Supply </w:t>
            </w:r>
          </w:p>
        </w:tc>
        <w:tc>
          <w:tcPr>
            <w:tcW w:w="1275" w:type="dxa"/>
            <w:tcBorders>
              <w:bottom w:val="single" w:sz="4" w:space="0" w:color="auto"/>
            </w:tcBorders>
          </w:tcPr>
          <w:p w:rsidR="00E61AF9" w:rsidRDefault="00E61AF9" w:rsidP="00EA1506">
            <w:pPr>
              <w:pStyle w:val="Default"/>
              <w:rPr>
                <w:sz w:val="23"/>
                <w:szCs w:val="23"/>
              </w:rPr>
            </w:pPr>
            <w:r>
              <w:rPr>
                <w:sz w:val="23"/>
                <w:szCs w:val="23"/>
              </w:rPr>
              <w:t xml:space="preserve">340,092 </w:t>
            </w:r>
          </w:p>
        </w:tc>
        <w:tc>
          <w:tcPr>
            <w:tcW w:w="1276" w:type="dxa"/>
            <w:tcBorders>
              <w:bottom w:val="single" w:sz="4" w:space="0" w:color="auto"/>
            </w:tcBorders>
          </w:tcPr>
          <w:p w:rsidR="00E61AF9" w:rsidRDefault="00E61AF9" w:rsidP="00EA1506">
            <w:pPr>
              <w:pStyle w:val="Default"/>
              <w:rPr>
                <w:sz w:val="23"/>
                <w:szCs w:val="23"/>
              </w:rPr>
            </w:pPr>
            <w:r>
              <w:rPr>
                <w:sz w:val="23"/>
                <w:szCs w:val="23"/>
              </w:rPr>
              <w:t xml:space="preserve">441,472 </w:t>
            </w:r>
          </w:p>
        </w:tc>
        <w:tc>
          <w:tcPr>
            <w:tcW w:w="1276" w:type="dxa"/>
            <w:tcBorders>
              <w:bottom w:val="single" w:sz="4" w:space="0" w:color="auto"/>
            </w:tcBorders>
          </w:tcPr>
          <w:p w:rsidR="00E61AF9" w:rsidRDefault="00E61AF9" w:rsidP="00EA1506">
            <w:pPr>
              <w:pStyle w:val="Default"/>
              <w:rPr>
                <w:sz w:val="23"/>
                <w:szCs w:val="23"/>
              </w:rPr>
            </w:pPr>
            <w:r>
              <w:rPr>
                <w:sz w:val="23"/>
                <w:szCs w:val="23"/>
              </w:rPr>
              <w:t xml:space="preserve">472,568 </w:t>
            </w:r>
          </w:p>
        </w:tc>
        <w:tc>
          <w:tcPr>
            <w:tcW w:w="1275" w:type="dxa"/>
            <w:tcBorders>
              <w:bottom w:val="single" w:sz="4" w:space="0" w:color="auto"/>
            </w:tcBorders>
          </w:tcPr>
          <w:p w:rsidR="00E61AF9" w:rsidRDefault="00E61AF9" w:rsidP="00EA1506">
            <w:pPr>
              <w:pStyle w:val="Default"/>
              <w:rPr>
                <w:sz w:val="23"/>
                <w:szCs w:val="23"/>
              </w:rPr>
            </w:pPr>
            <w:r>
              <w:rPr>
                <w:sz w:val="23"/>
                <w:szCs w:val="23"/>
              </w:rPr>
              <w:t xml:space="preserve">356,115 </w:t>
            </w:r>
          </w:p>
        </w:tc>
        <w:tc>
          <w:tcPr>
            <w:tcW w:w="1276" w:type="dxa"/>
            <w:tcBorders>
              <w:bottom w:val="single" w:sz="4" w:space="0" w:color="auto"/>
            </w:tcBorders>
          </w:tcPr>
          <w:p w:rsidR="00E61AF9" w:rsidRDefault="00E61AF9" w:rsidP="00EA1506">
            <w:pPr>
              <w:pStyle w:val="Default"/>
              <w:rPr>
                <w:sz w:val="23"/>
                <w:szCs w:val="23"/>
              </w:rPr>
            </w:pPr>
            <w:r>
              <w:rPr>
                <w:sz w:val="23"/>
                <w:szCs w:val="23"/>
              </w:rPr>
              <w:t xml:space="preserve">292,465 </w:t>
            </w:r>
          </w:p>
        </w:tc>
        <w:tc>
          <w:tcPr>
            <w:tcW w:w="1276" w:type="dxa"/>
            <w:tcBorders>
              <w:bottom w:val="single" w:sz="4" w:space="0" w:color="auto"/>
            </w:tcBorders>
          </w:tcPr>
          <w:p w:rsidR="00E61AF9" w:rsidRDefault="00E61AF9" w:rsidP="00EA1506">
            <w:pPr>
              <w:pStyle w:val="Default"/>
              <w:rPr>
                <w:sz w:val="23"/>
                <w:szCs w:val="23"/>
              </w:rPr>
            </w:pPr>
            <w:r>
              <w:rPr>
                <w:sz w:val="23"/>
                <w:szCs w:val="23"/>
              </w:rPr>
              <w:t xml:space="preserve">305,837 </w:t>
            </w:r>
          </w:p>
        </w:tc>
      </w:tr>
      <w:tr w:rsidR="00E61AF9" w:rsidTr="003B49EE">
        <w:trPr>
          <w:trHeight w:val="120"/>
        </w:trPr>
        <w:tc>
          <w:tcPr>
            <w:tcW w:w="1526" w:type="dxa"/>
            <w:tcBorders>
              <w:top w:val="single" w:sz="4" w:space="0" w:color="auto"/>
            </w:tcBorders>
          </w:tcPr>
          <w:p w:rsidR="00E61AF9" w:rsidRDefault="00E61AF9" w:rsidP="00EA1506">
            <w:pPr>
              <w:pStyle w:val="Default"/>
              <w:rPr>
                <w:sz w:val="23"/>
                <w:szCs w:val="23"/>
              </w:rPr>
            </w:pPr>
            <w:r>
              <w:rPr>
                <w:b/>
                <w:bCs/>
                <w:sz w:val="23"/>
                <w:szCs w:val="23"/>
              </w:rPr>
              <w:t xml:space="preserve">Total </w:t>
            </w:r>
          </w:p>
        </w:tc>
        <w:tc>
          <w:tcPr>
            <w:tcW w:w="1275" w:type="dxa"/>
            <w:tcBorders>
              <w:top w:val="single" w:sz="4" w:space="0" w:color="auto"/>
            </w:tcBorders>
          </w:tcPr>
          <w:p w:rsidR="00E61AF9" w:rsidRDefault="00E61AF9" w:rsidP="00EA1506">
            <w:pPr>
              <w:pStyle w:val="Default"/>
              <w:rPr>
                <w:sz w:val="23"/>
                <w:szCs w:val="23"/>
              </w:rPr>
            </w:pPr>
            <w:r>
              <w:rPr>
                <w:sz w:val="23"/>
                <w:szCs w:val="23"/>
              </w:rPr>
              <w:t xml:space="preserve">2,248,309 </w:t>
            </w:r>
          </w:p>
        </w:tc>
        <w:tc>
          <w:tcPr>
            <w:tcW w:w="1276" w:type="dxa"/>
            <w:tcBorders>
              <w:top w:val="single" w:sz="4" w:space="0" w:color="auto"/>
            </w:tcBorders>
          </w:tcPr>
          <w:p w:rsidR="00E61AF9" w:rsidRDefault="00E61AF9" w:rsidP="00EA1506">
            <w:pPr>
              <w:pStyle w:val="Default"/>
              <w:rPr>
                <w:sz w:val="23"/>
                <w:szCs w:val="23"/>
              </w:rPr>
            </w:pPr>
            <w:r>
              <w:rPr>
                <w:sz w:val="23"/>
                <w:szCs w:val="23"/>
              </w:rPr>
              <w:t xml:space="preserve">2,546,481 </w:t>
            </w:r>
          </w:p>
        </w:tc>
        <w:tc>
          <w:tcPr>
            <w:tcW w:w="1276" w:type="dxa"/>
            <w:tcBorders>
              <w:top w:val="single" w:sz="4" w:space="0" w:color="auto"/>
            </w:tcBorders>
          </w:tcPr>
          <w:p w:rsidR="00E61AF9" w:rsidRDefault="00E61AF9" w:rsidP="00EA1506">
            <w:pPr>
              <w:pStyle w:val="Default"/>
              <w:rPr>
                <w:sz w:val="23"/>
                <w:szCs w:val="23"/>
              </w:rPr>
            </w:pPr>
            <w:r>
              <w:rPr>
                <w:sz w:val="23"/>
                <w:szCs w:val="23"/>
              </w:rPr>
              <w:t xml:space="preserve">2,797,213 </w:t>
            </w:r>
          </w:p>
        </w:tc>
        <w:tc>
          <w:tcPr>
            <w:tcW w:w="1275" w:type="dxa"/>
            <w:tcBorders>
              <w:top w:val="single" w:sz="4" w:space="0" w:color="auto"/>
            </w:tcBorders>
          </w:tcPr>
          <w:p w:rsidR="00E61AF9" w:rsidRDefault="00E61AF9" w:rsidP="00EA1506">
            <w:pPr>
              <w:pStyle w:val="Default"/>
              <w:rPr>
                <w:sz w:val="23"/>
                <w:szCs w:val="23"/>
              </w:rPr>
            </w:pPr>
            <w:r>
              <w:rPr>
                <w:sz w:val="23"/>
                <w:szCs w:val="23"/>
              </w:rPr>
              <w:t xml:space="preserve">2,540,173 </w:t>
            </w:r>
          </w:p>
        </w:tc>
        <w:tc>
          <w:tcPr>
            <w:tcW w:w="1276" w:type="dxa"/>
            <w:tcBorders>
              <w:top w:val="single" w:sz="4" w:space="0" w:color="auto"/>
            </w:tcBorders>
          </w:tcPr>
          <w:p w:rsidR="00E61AF9" w:rsidRDefault="00E61AF9" w:rsidP="00EA1506">
            <w:pPr>
              <w:pStyle w:val="Default"/>
              <w:rPr>
                <w:sz w:val="23"/>
                <w:szCs w:val="23"/>
              </w:rPr>
            </w:pPr>
            <w:r>
              <w:rPr>
                <w:sz w:val="23"/>
                <w:szCs w:val="23"/>
              </w:rPr>
              <w:t xml:space="preserve">2,336,647 </w:t>
            </w:r>
          </w:p>
        </w:tc>
        <w:tc>
          <w:tcPr>
            <w:tcW w:w="1276" w:type="dxa"/>
            <w:tcBorders>
              <w:top w:val="single" w:sz="4" w:space="0" w:color="auto"/>
            </w:tcBorders>
          </w:tcPr>
          <w:p w:rsidR="00E61AF9" w:rsidRDefault="00E61AF9" w:rsidP="00EA1506">
            <w:pPr>
              <w:pStyle w:val="Default"/>
              <w:rPr>
                <w:sz w:val="23"/>
                <w:szCs w:val="23"/>
              </w:rPr>
            </w:pPr>
            <w:r>
              <w:rPr>
                <w:sz w:val="23"/>
                <w:szCs w:val="23"/>
              </w:rPr>
              <w:t xml:space="preserve">2,258,652 </w:t>
            </w:r>
          </w:p>
        </w:tc>
      </w:tr>
    </w:tbl>
    <w:p w:rsidR="00E61AF9" w:rsidRDefault="00E61AF9" w:rsidP="00E61AF9">
      <w:pPr>
        <w:pStyle w:val="Default"/>
        <w:ind w:left="709" w:hanging="709"/>
        <w:rPr>
          <w:sz w:val="20"/>
          <w:szCs w:val="20"/>
        </w:rPr>
      </w:pPr>
      <w:r>
        <w:rPr>
          <w:i/>
          <w:iCs/>
          <w:sz w:val="20"/>
          <w:szCs w:val="20"/>
        </w:rPr>
        <w:t xml:space="preserve">Source:   </w:t>
      </w:r>
      <w:proofErr w:type="spellStart"/>
      <w:r>
        <w:rPr>
          <w:i/>
          <w:iCs/>
          <w:sz w:val="20"/>
          <w:szCs w:val="20"/>
        </w:rPr>
        <w:t>Notifiable</w:t>
      </w:r>
      <w:proofErr w:type="spellEnd"/>
      <w:r>
        <w:rPr>
          <w:i/>
          <w:iCs/>
          <w:sz w:val="20"/>
          <w:szCs w:val="20"/>
        </w:rPr>
        <w:t xml:space="preserve"> instruments – Utilities (Energy industry levy – national regulatory obligations and costs) Determination 2009, 2010, 2011, 2012, 2014 and 2015. </w:t>
      </w:r>
    </w:p>
    <w:p w:rsidR="00E61AF9" w:rsidRDefault="00E61AF9" w:rsidP="00E61AF9">
      <w:pPr>
        <w:pStyle w:val="Default"/>
        <w:ind w:left="709"/>
        <w:rPr>
          <w:sz w:val="20"/>
          <w:szCs w:val="20"/>
        </w:rPr>
      </w:pPr>
      <w:proofErr w:type="spellStart"/>
      <w:r>
        <w:rPr>
          <w:i/>
          <w:iCs/>
          <w:sz w:val="20"/>
          <w:szCs w:val="20"/>
        </w:rPr>
        <w:t>Notifiable</w:t>
      </w:r>
      <w:proofErr w:type="spellEnd"/>
      <w:r>
        <w:rPr>
          <w:i/>
          <w:iCs/>
          <w:sz w:val="20"/>
          <w:szCs w:val="20"/>
        </w:rPr>
        <w:t xml:space="preserve"> instruments – Utilities (Energy industry levy – local regulatory costs) Determination 2009, 2010, 2011, 2012, 2014 and 2015. </w:t>
      </w:r>
    </w:p>
    <w:p w:rsidR="00E61AF9" w:rsidRDefault="00010F18" w:rsidP="00010F18">
      <w:pPr>
        <w:spacing w:before="240"/>
        <w:jc w:val="both"/>
      </w:pPr>
      <w:r>
        <w:t>S</w:t>
      </w:r>
      <w:r w:rsidR="00423A54">
        <w:t xml:space="preserve">ubmissions </w:t>
      </w:r>
      <w:r w:rsidR="00355763">
        <w:t xml:space="preserve">from industry </w:t>
      </w:r>
      <w:r w:rsidR="00E61AF9">
        <w:t xml:space="preserve">raised concerns </w:t>
      </w:r>
      <w:r w:rsidR="00355763">
        <w:t xml:space="preserve">regarding the transparency of the volatility.  There </w:t>
      </w:r>
      <w:r w:rsidR="005B478E">
        <w:t>is</w:t>
      </w:r>
      <w:r w:rsidR="00355763">
        <w:t xml:space="preserve"> a general perception that fluctuations in </w:t>
      </w:r>
      <w:r w:rsidR="005B478E">
        <w:t>aggregated</w:t>
      </w:r>
      <w:r w:rsidR="00355763">
        <w:t xml:space="preserve"> cost</w:t>
      </w:r>
      <w:r w:rsidR="005B478E">
        <w:t>s</w:t>
      </w:r>
      <w:r w:rsidR="00355763">
        <w:t xml:space="preserve"> </w:t>
      </w:r>
      <w:r w:rsidR="005B478E">
        <w:t>are</w:t>
      </w:r>
      <w:r w:rsidR="00355763">
        <w:t xml:space="preserve"> not adequately explained in terms of </w:t>
      </w:r>
      <w:r w:rsidR="005B478E">
        <w:t xml:space="preserve">the </w:t>
      </w:r>
      <w:r w:rsidR="00355763">
        <w:t>underlying</w:t>
      </w:r>
      <w:r w:rsidR="005B478E">
        <w:t xml:space="preserve"> individual</w:t>
      </w:r>
      <w:r w:rsidR="00355763">
        <w:t xml:space="preserve"> costs to regulators.</w:t>
      </w:r>
      <w:r w:rsidR="00E61AF9">
        <w:t xml:space="preserve"> </w:t>
      </w:r>
    </w:p>
    <w:p w:rsidR="00306FAC" w:rsidRDefault="00E61AF9" w:rsidP="00591669">
      <w:pPr>
        <w:jc w:val="both"/>
      </w:pPr>
      <w:r>
        <w:t xml:space="preserve">While the total regulatory costs by industry sector fluctuate, the </w:t>
      </w:r>
      <w:r w:rsidR="00306FAC">
        <w:t xml:space="preserve">effect on industry is compounded by </w:t>
      </w:r>
      <w:r w:rsidR="00355763">
        <w:t xml:space="preserve">the current levy structure. </w:t>
      </w:r>
      <w:r w:rsidR="00FA411B">
        <w:t>As the</w:t>
      </w:r>
      <w:r w:rsidR="00306FAC">
        <w:t xml:space="preserve"> fixed component</w:t>
      </w:r>
      <w:r w:rsidR="0017599D">
        <w:t xml:space="preserve"> </w:t>
      </w:r>
      <w:r w:rsidR="00FA411B">
        <w:t xml:space="preserve">of the EIL </w:t>
      </w:r>
      <w:r w:rsidR="0017599D">
        <w:t>is uniformly divided betw</w:t>
      </w:r>
      <w:r w:rsidR="0086592D">
        <w:t xml:space="preserve">een all utilities in </w:t>
      </w:r>
      <w:r w:rsidR="00FD569C">
        <w:t>a</w:t>
      </w:r>
      <w:r w:rsidR="0086592D">
        <w:t xml:space="preserve"> sector, fluctuations</w:t>
      </w:r>
      <w:r w:rsidR="002C5346">
        <w:t xml:space="preserve"> in this </w:t>
      </w:r>
      <w:r w:rsidR="0086592D">
        <w:t xml:space="preserve">component </w:t>
      </w:r>
      <w:r w:rsidR="00FD569C">
        <w:t>are</w:t>
      </w:r>
      <w:r w:rsidR="002C5346">
        <w:t xml:space="preserve"> an additional factor of </w:t>
      </w:r>
      <w:r w:rsidR="0086592D">
        <w:t xml:space="preserve">uncertainty </w:t>
      </w:r>
      <w:r w:rsidR="001E6D3D">
        <w:t>and cost volatility</w:t>
      </w:r>
      <w:r w:rsidR="00355763">
        <w:t>.</w:t>
      </w:r>
      <w:r>
        <w:t xml:space="preserve"> </w:t>
      </w:r>
    </w:p>
    <w:p w:rsidR="00E61AF9" w:rsidRDefault="001E6D3D" w:rsidP="00591669">
      <w:pPr>
        <w:jc w:val="both"/>
      </w:pPr>
      <w:r>
        <w:t>The fixed component of the EIL</w:t>
      </w:r>
      <w:r w:rsidR="00E61AF9">
        <w:t xml:space="preserve"> </w:t>
      </w:r>
      <w:r>
        <w:t>(see</w:t>
      </w:r>
      <w:r w:rsidR="00E61AF9">
        <w:t xml:space="preserve"> </w:t>
      </w:r>
      <w:r w:rsidR="00E772AF">
        <w:t>Appendix D</w:t>
      </w:r>
      <w:r>
        <w:t>)</w:t>
      </w:r>
      <w:r w:rsidR="00E61AF9">
        <w:t>, has been volatile in all industry sectors over the past seven financial years</w:t>
      </w:r>
      <w:r w:rsidR="0086592D">
        <w:t>. T</w:t>
      </w:r>
      <w:r w:rsidR="00E61AF9">
        <w:t xml:space="preserve">he </w:t>
      </w:r>
      <w:proofErr w:type="gramStart"/>
      <w:r w:rsidR="00E61AF9">
        <w:t>range of the fixed component</w:t>
      </w:r>
      <w:r w:rsidR="003507F8">
        <w:t>s are</w:t>
      </w:r>
      <w:proofErr w:type="gramEnd"/>
      <w:r w:rsidR="00E61AF9">
        <w:t xml:space="preserve">: </w:t>
      </w:r>
    </w:p>
    <w:p w:rsidR="00E61AF9" w:rsidRPr="0070347A" w:rsidRDefault="00E61AF9" w:rsidP="00353E23">
      <w:pPr>
        <w:pStyle w:val="ListParagraph"/>
        <w:numPr>
          <w:ilvl w:val="0"/>
          <w:numId w:val="11"/>
        </w:numPr>
      </w:pPr>
      <w:r w:rsidRPr="0070347A">
        <w:t>$61,500 to $183,500 (electricity supply);</w:t>
      </w:r>
    </w:p>
    <w:p w:rsidR="00E61AF9" w:rsidRPr="0070347A" w:rsidRDefault="00E61AF9" w:rsidP="00353E23">
      <w:pPr>
        <w:pStyle w:val="ListParagraph"/>
        <w:numPr>
          <w:ilvl w:val="0"/>
          <w:numId w:val="11"/>
        </w:numPr>
      </w:pPr>
      <w:r w:rsidRPr="0070347A">
        <w:t xml:space="preserve">$26,000 to $94,500 (gas supply); </w:t>
      </w:r>
    </w:p>
    <w:p w:rsidR="00E61AF9" w:rsidRPr="0070347A" w:rsidRDefault="00E61AF9" w:rsidP="00353E23">
      <w:pPr>
        <w:pStyle w:val="ListParagraph"/>
        <w:numPr>
          <w:ilvl w:val="0"/>
          <w:numId w:val="11"/>
        </w:numPr>
      </w:pPr>
      <w:r w:rsidRPr="0070347A">
        <w:t>$249,500 to $512,000 (electricity distribution); and</w:t>
      </w:r>
    </w:p>
    <w:p w:rsidR="00E61AF9" w:rsidRDefault="00E61AF9" w:rsidP="00353E23">
      <w:pPr>
        <w:pStyle w:val="ListParagraph"/>
        <w:numPr>
          <w:ilvl w:val="0"/>
          <w:numId w:val="11"/>
        </w:numPr>
      </w:pPr>
      <w:r w:rsidRPr="0070347A">
        <w:t>$217,500 to $415,000 (gas distribution).</w:t>
      </w:r>
    </w:p>
    <w:p w:rsidR="00AE76FF" w:rsidRDefault="00A1302C" w:rsidP="006E284F">
      <w:pPr>
        <w:spacing w:before="240"/>
        <w:jc w:val="both"/>
      </w:pPr>
      <w:r>
        <w:t xml:space="preserve">Recent EIL determinations </w:t>
      </w:r>
      <w:r w:rsidR="00FD69F4">
        <w:t>briefly explain changes in the total local regulatory costs (for example, an estimated increase in the volume of complex matters before the ACAT for 2015-16)</w:t>
      </w:r>
      <w:r>
        <w:t>, but do not explain the volatility of the fixed component</w:t>
      </w:r>
      <w:r w:rsidR="00FD69F4">
        <w:t xml:space="preserve"> </w:t>
      </w:r>
      <w:r w:rsidR="00AE76FF">
        <w:t xml:space="preserve">and do not </w:t>
      </w:r>
      <w:r w:rsidR="00FD69F4">
        <w:t xml:space="preserve">account </w:t>
      </w:r>
      <w:r w:rsidR="00AF1AD4">
        <w:t>for</w:t>
      </w:r>
      <w:r w:rsidR="00FD69F4">
        <w:t xml:space="preserve"> </w:t>
      </w:r>
      <w:r w:rsidR="002129FA">
        <w:t>which</w:t>
      </w:r>
      <w:r w:rsidR="00FD69F4">
        <w:t xml:space="preserve"> costs </w:t>
      </w:r>
      <w:r w:rsidR="00AE76FF">
        <w:t>are included in the</w:t>
      </w:r>
      <w:r w:rsidR="00FD69F4">
        <w:t xml:space="preserve"> fixed compon</w:t>
      </w:r>
      <w:r w:rsidR="00AF1AD4">
        <w:t>ent of</w:t>
      </w:r>
      <w:r w:rsidR="00AE76FF">
        <w:t xml:space="preserve"> the Levy.</w:t>
      </w:r>
    </w:p>
    <w:p w:rsidR="00A1302C" w:rsidRDefault="00A1302C" w:rsidP="006E284F">
      <w:pPr>
        <w:spacing w:before="240"/>
        <w:jc w:val="both"/>
      </w:pPr>
      <w:r>
        <w:t>Due to the nature of the costs being recovered, the total levy will always fluctuate</w:t>
      </w:r>
      <w:r w:rsidR="00A94E47">
        <w:t xml:space="preserve"> in accordance with the work programs of regulators. H</w:t>
      </w:r>
      <w:r>
        <w:t xml:space="preserve">owever, the approach recommended by this report ensures that </w:t>
      </w:r>
      <w:r w:rsidR="006016B4">
        <w:t>the</w:t>
      </w:r>
      <w:r>
        <w:t xml:space="preserve"> </w:t>
      </w:r>
      <w:r w:rsidR="006016B4">
        <w:t>fluctuation</w:t>
      </w:r>
      <w:r>
        <w:t xml:space="preserve"> </w:t>
      </w:r>
      <w:r w:rsidR="006016B4">
        <w:t>is</w:t>
      </w:r>
      <w:r>
        <w:t xml:space="preserve"> in the variable component of the levy</w:t>
      </w:r>
      <w:r w:rsidR="00EF44EB">
        <w:t>, reducing the volatility of individual levy charges.</w:t>
      </w:r>
    </w:p>
    <w:p w:rsidR="00A623E6" w:rsidRDefault="0086592D" w:rsidP="006016B4">
      <w:pPr>
        <w:keepNext/>
        <w:spacing w:before="240"/>
      </w:pPr>
      <w:r>
        <w:t xml:space="preserve">In its submission to the investigation, </w:t>
      </w:r>
      <w:proofErr w:type="spellStart"/>
      <w:r w:rsidR="00E61AF9">
        <w:t>ActewAGL</w:t>
      </w:r>
      <w:proofErr w:type="spellEnd"/>
      <w:r w:rsidR="00E61AF9">
        <w:t xml:space="preserve"> Retail said</w:t>
      </w:r>
      <w:r w:rsidR="00A623E6">
        <w:t>:</w:t>
      </w:r>
    </w:p>
    <w:p w:rsidR="00E61AF9" w:rsidRPr="00A623E6" w:rsidRDefault="00E61AF9" w:rsidP="00591669">
      <w:pPr>
        <w:pStyle w:val="Quote1"/>
      </w:pPr>
      <w:r w:rsidRPr="00A623E6">
        <w:t>Volatility in an operator’s cost base can lead to volatility in energy prices paid by customers, and so predictability and stability to the extent possible are necessary in providin</w:t>
      </w:r>
      <w:r w:rsidR="00A623E6">
        <w:t>g price stability for customers</w:t>
      </w:r>
      <w:r w:rsidRPr="00A623E6">
        <w:t>.</w:t>
      </w:r>
    </w:p>
    <w:p w:rsidR="00E61AF9" w:rsidRDefault="00E61AF9" w:rsidP="00D85385">
      <w:pPr>
        <w:pStyle w:val="Heading3"/>
      </w:pPr>
      <w:bookmarkStart w:id="12" w:name="_Toc443051389"/>
      <w:bookmarkStart w:id="13" w:name="_Toc443901046"/>
      <w:bookmarkStart w:id="14" w:name="_Toc443901108"/>
      <w:bookmarkStart w:id="15" w:name="_Toc444861376"/>
      <w:bookmarkStart w:id="16" w:name="_Toc449438533"/>
      <w:bookmarkStart w:id="17" w:name="_Toc454981994"/>
      <w:r w:rsidRPr="00FA411B">
        <w:t>Barriers to entry, competition, and fairness</w:t>
      </w:r>
      <w:bookmarkEnd w:id="12"/>
      <w:bookmarkEnd w:id="13"/>
      <w:bookmarkEnd w:id="14"/>
      <w:bookmarkEnd w:id="15"/>
      <w:bookmarkEnd w:id="16"/>
      <w:bookmarkEnd w:id="17"/>
    </w:p>
    <w:p w:rsidR="00E61AF9" w:rsidRDefault="00E61AF9" w:rsidP="00591669">
      <w:pPr>
        <w:jc w:val="both"/>
      </w:pPr>
      <w:r>
        <w:t xml:space="preserve">The ACT energy markets </w:t>
      </w:r>
      <w:r w:rsidR="003507F8">
        <w:t>have relatively low competition.</w:t>
      </w:r>
      <w:r>
        <w:t xml:space="preserve"> </w:t>
      </w:r>
      <w:proofErr w:type="spellStart"/>
      <w:r>
        <w:t>ActewAGL</w:t>
      </w:r>
      <w:proofErr w:type="spellEnd"/>
      <w:r>
        <w:t xml:space="preserve"> </w:t>
      </w:r>
      <w:r w:rsidR="00FA411B">
        <w:t>Retail h</w:t>
      </w:r>
      <w:r w:rsidR="00D56DA4">
        <w:t>o</w:t>
      </w:r>
      <w:r w:rsidR="00FA411B">
        <w:t>ld</w:t>
      </w:r>
      <w:r w:rsidR="00D56DA4">
        <w:t>s</w:t>
      </w:r>
      <w:r w:rsidR="00FA411B">
        <w:t xml:space="preserve"> </w:t>
      </w:r>
      <w:r>
        <w:t>over 90 per cent of the small customer electricity</w:t>
      </w:r>
      <w:r w:rsidR="00CC5534">
        <w:t xml:space="preserve"> contracts</w:t>
      </w:r>
      <w:r w:rsidR="003507F8">
        <w:t xml:space="preserve"> and </w:t>
      </w:r>
      <w:proofErr w:type="spellStart"/>
      <w:r w:rsidR="003507F8">
        <w:t>ActewAGL</w:t>
      </w:r>
      <w:proofErr w:type="spellEnd"/>
      <w:r w:rsidR="003507F8">
        <w:t xml:space="preserve"> Distribution is the sole distributor of electricity and gas</w:t>
      </w:r>
      <w:r w:rsidR="00456903">
        <w:t>.</w:t>
      </w:r>
      <w:r w:rsidR="00456903">
        <w:rPr>
          <w:rStyle w:val="FootnoteReference"/>
        </w:rPr>
        <w:footnoteReference w:id="8"/>
      </w:r>
      <w:r w:rsidR="00456903">
        <w:t xml:space="preserve"> </w:t>
      </w:r>
      <w:r w:rsidR="000423E4">
        <w:t>T</w:t>
      </w:r>
      <w:r>
        <w:t xml:space="preserve">he EIL must not impose artificial barriers </w:t>
      </w:r>
      <w:r w:rsidR="00B40B19">
        <w:t>to</w:t>
      </w:r>
      <w:r>
        <w:t xml:space="preserve"> new operators enter</w:t>
      </w:r>
      <w:r w:rsidR="00B40B19">
        <w:t>ing</w:t>
      </w:r>
      <w:r>
        <w:t xml:space="preserve"> </w:t>
      </w:r>
      <w:r w:rsidR="00B40B19">
        <w:t>ACT</w:t>
      </w:r>
      <w:r>
        <w:t xml:space="preserve"> energy sect</w:t>
      </w:r>
      <w:r w:rsidR="00B40B19">
        <w:t xml:space="preserve">ors. Otherwise, competition </w:t>
      </w:r>
      <w:r>
        <w:t>and consumer choice</w:t>
      </w:r>
      <w:r w:rsidR="00B40B19">
        <w:t xml:space="preserve"> will be hampered</w:t>
      </w:r>
      <w:r>
        <w:t>.</w:t>
      </w:r>
    </w:p>
    <w:p w:rsidR="00E61AF9" w:rsidRDefault="006A6A35" w:rsidP="00591669">
      <w:pPr>
        <w:jc w:val="both"/>
      </w:pPr>
      <w:r>
        <w:t xml:space="preserve">Some submissions to the investigation suggested that the EIL is a relative high cost, compared to other jurisdictions, and may hamper energy retail competition. </w:t>
      </w:r>
      <w:r w:rsidR="00480D51">
        <w:t>An indicative example of EIL costs for the electricity retail sector is in Appendix D. T</w:t>
      </w:r>
      <w:r w:rsidR="00E61AF9">
        <w:t xml:space="preserve">he fixed component may be 85 per cent of a small retail </w:t>
      </w:r>
      <w:r w:rsidR="006D7729">
        <w:t>utility</w:t>
      </w:r>
      <w:r w:rsidR="00E61AF9">
        <w:t xml:space="preserve">’s levy and </w:t>
      </w:r>
      <w:r w:rsidR="00DA7212">
        <w:t xml:space="preserve">can result in a utility’s part of </w:t>
      </w:r>
      <w:r w:rsidR="00576BCC">
        <w:t>the Levy</w:t>
      </w:r>
      <w:r w:rsidR="00DA7212">
        <w:t xml:space="preserve"> being significantly higher than its market share</w:t>
      </w:r>
      <w:r w:rsidR="00480D51">
        <w:t xml:space="preserve">; </w:t>
      </w:r>
      <w:r w:rsidR="00E61AF9">
        <w:t xml:space="preserve">an operator with 0.16 per cent market share could pay 1 per cent of the total levy for the sector. This is a potential barrier for firms entering the ACT energy retail sectors. </w:t>
      </w:r>
      <w:r w:rsidR="00525A28">
        <w:t xml:space="preserve">Moreover, this difference between an operator’s share of </w:t>
      </w:r>
      <w:r w:rsidR="00576BCC">
        <w:t>the Levy</w:t>
      </w:r>
      <w:r w:rsidR="00525A28">
        <w:t xml:space="preserve"> and their market share suggests the distribution of </w:t>
      </w:r>
      <w:r w:rsidR="00576BCC">
        <w:t>the Levy</w:t>
      </w:r>
      <w:r w:rsidR="00525A28">
        <w:t xml:space="preserve"> is unfair. Smaller operators need to recoup proportionately higher costs.</w:t>
      </w:r>
    </w:p>
    <w:p w:rsidR="00E61AF9" w:rsidRDefault="00E61AF9" w:rsidP="00591669">
      <w:pPr>
        <w:jc w:val="both"/>
      </w:pPr>
      <w:r>
        <w:t xml:space="preserve">The remaining variable </w:t>
      </w:r>
      <w:r w:rsidR="001524B8">
        <w:t>costs are</w:t>
      </w:r>
      <w:r>
        <w:t xml:space="preserve"> distributed according to the proportion of the total energy each utility </w:t>
      </w:r>
      <w:r w:rsidR="001524B8">
        <w:t xml:space="preserve">distributed or </w:t>
      </w:r>
      <w:r>
        <w:t xml:space="preserve">sold. Submissions to the investigation </w:t>
      </w:r>
      <w:r w:rsidR="005A4277">
        <w:t>by the ICRC and ERM Business Energy suggested this may not be a</w:t>
      </w:r>
      <w:r>
        <w:t xml:space="preserve"> cost reflective means of distributing </w:t>
      </w:r>
      <w:r w:rsidR="00576BCC">
        <w:t>the Levy</w:t>
      </w:r>
      <w:r>
        <w:t xml:space="preserve">, as factors other than the proportion of energy sold may drive regulatory costs. </w:t>
      </w:r>
    </w:p>
    <w:p w:rsidR="00E61AF9" w:rsidRDefault="00E61AF9" w:rsidP="00D85385">
      <w:pPr>
        <w:pStyle w:val="Heading3"/>
      </w:pPr>
      <w:bookmarkStart w:id="18" w:name="_Toc443051390"/>
      <w:bookmarkStart w:id="19" w:name="_Toc443901047"/>
      <w:bookmarkStart w:id="20" w:name="_Toc443901109"/>
      <w:bookmarkStart w:id="21" w:name="_Toc444861377"/>
      <w:bookmarkStart w:id="22" w:name="_Toc449438534"/>
      <w:bookmarkStart w:id="23" w:name="_Toc454981995"/>
      <w:r>
        <w:t>Adjustment</w:t>
      </w:r>
      <w:bookmarkEnd w:id="18"/>
      <w:bookmarkEnd w:id="19"/>
      <w:bookmarkEnd w:id="20"/>
      <w:bookmarkEnd w:id="21"/>
      <w:bookmarkEnd w:id="22"/>
      <w:bookmarkEnd w:id="23"/>
    </w:p>
    <w:p w:rsidR="00E61AF9" w:rsidRDefault="00E61AF9" w:rsidP="00591669">
      <w:pPr>
        <w:jc w:val="both"/>
      </w:pPr>
      <w:r>
        <w:t xml:space="preserve">The EIL is charged based on estimates for expected regulatory costs, the number of participants in the market, and the energy </w:t>
      </w:r>
      <w:r w:rsidR="001524B8">
        <w:t>distributed</w:t>
      </w:r>
      <w:r>
        <w:t xml:space="preserve"> or sold in the sector.</w:t>
      </w:r>
      <w:r>
        <w:rPr>
          <w:rStyle w:val="FootnoteReference"/>
        </w:rPr>
        <w:footnoteReference w:id="9"/>
      </w:r>
      <w:r>
        <w:t xml:space="preserve"> </w:t>
      </w:r>
      <w:r w:rsidR="00576BCC">
        <w:t>The Levy</w:t>
      </w:r>
      <w:r>
        <w:t xml:space="preserve"> </w:t>
      </w:r>
      <w:r w:rsidR="00B400EF">
        <w:t xml:space="preserve">also </w:t>
      </w:r>
      <w:r>
        <w:t xml:space="preserve">includes an adjustment for the difference between the actual and estimated </w:t>
      </w:r>
      <w:r w:rsidR="005A25ED">
        <w:t>values</w:t>
      </w:r>
      <w:r>
        <w:t xml:space="preserve"> </w:t>
      </w:r>
      <w:r w:rsidR="00B400EF">
        <w:t>for</w:t>
      </w:r>
      <w:r>
        <w:t xml:space="preserve"> the previous year</w:t>
      </w:r>
      <w:r w:rsidR="00DD30CF">
        <w:t>.</w:t>
      </w:r>
    </w:p>
    <w:p w:rsidR="00E61AF9" w:rsidRDefault="00DD30CF" w:rsidP="00591669">
      <w:pPr>
        <w:jc w:val="both"/>
      </w:pPr>
      <w:r>
        <w:t>The ICRC uses a similar</w:t>
      </w:r>
      <w:r w:rsidR="00E61AF9">
        <w:t xml:space="preserve"> process when setting the annual licence fee</w:t>
      </w:r>
      <w:r w:rsidR="00B91C76">
        <w:t>s</w:t>
      </w:r>
      <w:r w:rsidR="00E61AF9">
        <w:t xml:space="preserve"> for water</w:t>
      </w:r>
      <w:r>
        <w:t xml:space="preserve"> utilities</w:t>
      </w:r>
      <w:r w:rsidR="00E61AF9">
        <w:t xml:space="preserve"> and energy transmitters. </w:t>
      </w:r>
      <w:r w:rsidR="00C946B1">
        <w:t xml:space="preserve">The ICRC submission </w:t>
      </w:r>
      <w:r w:rsidR="00B91C76">
        <w:t xml:space="preserve">did not suggest </w:t>
      </w:r>
      <w:r w:rsidR="00C946B1">
        <w:t xml:space="preserve">this two-step approach is inappropriate for annual licence fees or that it could not work well for the EIL. </w:t>
      </w:r>
      <w:r w:rsidR="00E61AF9">
        <w:t xml:space="preserve">However, </w:t>
      </w:r>
      <w:r w:rsidR="00C946B1">
        <w:t>the ICRC</w:t>
      </w:r>
      <w:r w:rsidR="00E61AF9">
        <w:t xml:space="preserve"> </w:t>
      </w:r>
      <w:r>
        <w:t>demonstrated</w:t>
      </w:r>
      <w:r w:rsidR="00E61AF9">
        <w:t xml:space="preserve"> that the </w:t>
      </w:r>
      <w:r>
        <w:t xml:space="preserve">current </w:t>
      </w:r>
      <w:r w:rsidR="00E61AF9">
        <w:t>formula used in the Act does not function as intended.</w:t>
      </w:r>
    </w:p>
    <w:p w:rsidR="00E61AF9" w:rsidRDefault="00E61AF9" w:rsidP="00591669">
      <w:pPr>
        <w:jc w:val="both"/>
      </w:pPr>
      <w:r>
        <w:t xml:space="preserve">Industry responses to the </w:t>
      </w:r>
      <w:r w:rsidR="00C40213">
        <w:t>investigation</w:t>
      </w:r>
      <w:r>
        <w:t xml:space="preserve"> indicated that they believed the adjustment process was inefficient, unduly complicated, and compounded the volatility of </w:t>
      </w:r>
      <w:r w:rsidR="00576BCC">
        <w:t>the Levy</w:t>
      </w:r>
      <w:r>
        <w:t>.</w:t>
      </w:r>
    </w:p>
    <w:p w:rsidR="00E61AF9" w:rsidRDefault="00E61AF9" w:rsidP="00591669">
      <w:pPr>
        <w:pStyle w:val="Quote1"/>
      </w:pPr>
      <w:proofErr w:type="spellStart"/>
      <w:r w:rsidRPr="00613E15">
        <w:t>ActewAGL</w:t>
      </w:r>
      <w:proofErr w:type="spellEnd"/>
      <w:r w:rsidRPr="00613E15">
        <w:t xml:space="preserve"> Distribution is concerned with: The way the levy is charged—a forecast and actual with last year’s payment subtracted (this creates volatility when the forecast is significantly wrong).</w:t>
      </w:r>
      <w:r>
        <w:t xml:space="preserve"> </w:t>
      </w:r>
      <w:r w:rsidRPr="00591669">
        <w:rPr>
          <w:i w:val="0"/>
        </w:rPr>
        <w:t>(</w:t>
      </w:r>
      <w:proofErr w:type="spellStart"/>
      <w:r w:rsidRPr="00591669">
        <w:rPr>
          <w:i w:val="0"/>
        </w:rPr>
        <w:t>ActewAGL</w:t>
      </w:r>
      <w:proofErr w:type="spellEnd"/>
      <w:r w:rsidRPr="00591669">
        <w:rPr>
          <w:i w:val="0"/>
        </w:rPr>
        <w:t xml:space="preserve"> Distribution)</w:t>
      </w:r>
    </w:p>
    <w:p w:rsidR="00E61AF9" w:rsidRDefault="00E61AF9" w:rsidP="00591669">
      <w:pPr>
        <w:pStyle w:val="Quote1"/>
      </w:pPr>
      <w:r w:rsidRPr="00613E15">
        <w:t>[I]t is understood that some of this volatility is due to the Levy Administrator having to make forecasts ... there is a significant variance between the estimated and actual ‘local regulatory costs’ for the gas and electricity supply sectors over the last</w:t>
      </w:r>
      <w:r>
        <w:t xml:space="preserve"> three years. W</w:t>
      </w:r>
      <w:r w:rsidRPr="00613E15">
        <w:t>hile this results in volatility itself, the effect is magnified due to the application of the ‘true up’</w:t>
      </w:r>
      <w:r w:rsidR="00C40213">
        <w:t xml:space="preserve">. </w:t>
      </w:r>
      <w:r w:rsidRPr="00591669">
        <w:rPr>
          <w:i w:val="0"/>
        </w:rPr>
        <w:t>(</w:t>
      </w:r>
      <w:proofErr w:type="spellStart"/>
      <w:r w:rsidRPr="00591669">
        <w:rPr>
          <w:i w:val="0"/>
        </w:rPr>
        <w:t>ActewAGL</w:t>
      </w:r>
      <w:proofErr w:type="spellEnd"/>
      <w:r w:rsidRPr="00591669">
        <w:rPr>
          <w:i w:val="0"/>
        </w:rPr>
        <w:t xml:space="preserve"> Retail)</w:t>
      </w:r>
    </w:p>
    <w:p w:rsidR="00DE0A66" w:rsidRDefault="00E61AF9" w:rsidP="00E61AF9">
      <w:pPr>
        <w:ind w:right="662"/>
        <w:jc w:val="both"/>
      </w:pPr>
      <w:r>
        <w:t xml:space="preserve">On the other hand, ERM Business Energy said </w:t>
      </w:r>
    </w:p>
    <w:p w:rsidR="00E61AF9" w:rsidRPr="00DE0A66" w:rsidRDefault="00E61AF9" w:rsidP="00DE0A66">
      <w:pPr>
        <w:pStyle w:val="Quote1"/>
        <w:rPr>
          <w:i w:val="0"/>
        </w:rPr>
      </w:pPr>
      <w:r>
        <w:t>The annual adjustment process enables cost-recovery that is accurate, based on revised informat</w:t>
      </w:r>
      <w:r w:rsidR="00DE0A66">
        <w:t>ion. We support this mechanism.</w:t>
      </w:r>
      <w:r w:rsidR="00DE0A66">
        <w:rPr>
          <w:i w:val="0"/>
        </w:rPr>
        <w:t xml:space="preserve"> (ERM Business Energy)</w:t>
      </w:r>
    </w:p>
    <w:p w:rsidR="00E61AF9" w:rsidRDefault="00F53CB1" w:rsidP="00D85385">
      <w:pPr>
        <w:pStyle w:val="Heading3"/>
      </w:pPr>
      <w:bookmarkStart w:id="24" w:name="_Toc443051391"/>
      <w:bookmarkStart w:id="25" w:name="_Toc443901048"/>
      <w:bookmarkStart w:id="26" w:name="_Toc443901110"/>
      <w:bookmarkStart w:id="27" w:name="_Toc444861378"/>
      <w:bookmarkStart w:id="28" w:name="_Toc449438535"/>
      <w:bookmarkStart w:id="29" w:name="_Toc454981996"/>
      <w:r>
        <w:t>T</w:t>
      </w:r>
      <w:r w:rsidR="00E61AF9">
        <w:t>ransparency</w:t>
      </w:r>
      <w:bookmarkEnd w:id="24"/>
      <w:r>
        <w:t xml:space="preserve"> and administrative processes</w:t>
      </w:r>
      <w:bookmarkEnd w:id="25"/>
      <w:bookmarkEnd w:id="26"/>
      <w:bookmarkEnd w:id="27"/>
      <w:bookmarkEnd w:id="28"/>
      <w:bookmarkEnd w:id="29"/>
    </w:p>
    <w:p w:rsidR="00E61AF9" w:rsidRDefault="00E61AF9" w:rsidP="00591669">
      <w:pPr>
        <w:jc w:val="both"/>
      </w:pPr>
      <w:r>
        <w:t xml:space="preserve">Industry </w:t>
      </w:r>
      <w:r w:rsidR="00F53CB1">
        <w:t>submissions</w:t>
      </w:r>
      <w:r>
        <w:t xml:space="preserve"> to the </w:t>
      </w:r>
      <w:r w:rsidR="00F53CB1">
        <w:t>investigation</w:t>
      </w:r>
      <w:r>
        <w:t xml:space="preserve"> </w:t>
      </w:r>
      <w:r w:rsidR="00CB317F">
        <w:t xml:space="preserve">portrayed the governance and administration of </w:t>
      </w:r>
      <w:r w:rsidR="00576BCC">
        <w:t>the Levy</w:t>
      </w:r>
      <w:r w:rsidR="00CB317F">
        <w:t xml:space="preserve"> as </w:t>
      </w:r>
      <w:r>
        <w:t>lack</w:t>
      </w:r>
      <w:r w:rsidR="00CB317F">
        <w:t>ing</w:t>
      </w:r>
      <w:r>
        <w:t xml:space="preserve"> transparency</w:t>
      </w:r>
      <w:r w:rsidR="00CB317F">
        <w:t xml:space="preserve">. </w:t>
      </w:r>
      <w:r w:rsidR="00F53CB1">
        <w:t xml:space="preserve"> </w:t>
      </w:r>
      <w:r w:rsidR="00CB317F">
        <w:t>S</w:t>
      </w:r>
      <w:r>
        <w:t xml:space="preserve">ome utilities </w:t>
      </w:r>
      <w:r w:rsidR="00CB317F">
        <w:t xml:space="preserve">also submitted that </w:t>
      </w:r>
      <w:r w:rsidR="00F53CB1">
        <w:t xml:space="preserve">the administrative processes </w:t>
      </w:r>
      <w:r w:rsidR="00CB317F">
        <w:t xml:space="preserve">were </w:t>
      </w:r>
      <w:r>
        <w:t>overly burdensome</w:t>
      </w:r>
      <w:r w:rsidR="00CB317F">
        <w:t>.</w:t>
      </w:r>
    </w:p>
    <w:p w:rsidR="00E61AF9" w:rsidRPr="00CB317F" w:rsidRDefault="00E61AF9" w:rsidP="00591669">
      <w:pPr>
        <w:pStyle w:val="Quote1"/>
      </w:pPr>
      <w:r w:rsidRPr="00F82D03">
        <w:t xml:space="preserve">While the annual EIL determination notices do provide a summary of what is included in the costs, there is no cost breakdown by function or agency and no explanation as to how the costs have been allocated across sectors and fixed and variable costs. </w:t>
      </w:r>
      <w:proofErr w:type="spellStart"/>
      <w:r w:rsidRPr="00F82D03">
        <w:t>ActewAGL</w:t>
      </w:r>
      <w:proofErr w:type="spellEnd"/>
      <w:r w:rsidRPr="00F82D03">
        <w:t xml:space="preserve"> Retail also notes that the information is not provided in a form easy for consumers to access an</w:t>
      </w:r>
      <w:r>
        <w:t>d</w:t>
      </w:r>
      <w:r w:rsidRPr="00F82D03">
        <w:t xml:space="preserve"> understand</w:t>
      </w:r>
      <w:r>
        <w:t>.</w:t>
      </w:r>
      <w:r w:rsidR="00CB317F">
        <w:t xml:space="preserve"> </w:t>
      </w:r>
      <w:r w:rsidR="00CB317F" w:rsidRPr="00591669">
        <w:rPr>
          <w:i w:val="0"/>
        </w:rPr>
        <w:t>(</w:t>
      </w:r>
      <w:proofErr w:type="spellStart"/>
      <w:r w:rsidR="00CB317F" w:rsidRPr="00591669">
        <w:rPr>
          <w:i w:val="0"/>
        </w:rPr>
        <w:t>ActewAGL</w:t>
      </w:r>
      <w:proofErr w:type="spellEnd"/>
      <w:r w:rsidR="00CB317F" w:rsidRPr="00591669">
        <w:rPr>
          <w:i w:val="0"/>
        </w:rPr>
        <w:t xml:space="preserve"> Retail)</w:t>
      </w:r>
    </w:p>
    <w:p w:rsidR="00E61AF9" w:rsidRDefault="00E61AF9" w:rsidP="00591669">
      <w:pPr>
        <w:jc w:val="both"/>
      </w:pPr>
      <w:r>
        <w:t xml:space="preserve">As the EIL is a cost recovery mechanism, it is important to ensure that </w:t>
      </w:r>
      <w:r w:rsidR="00576BCC">
        <w:t>the Levy</w:t>
      </w:r>
      <w:r>
        <w:t xml:space="preserve">, and its component charges, is in proportion to actual regulatory costs. </w:t>
      </w:r>
      <w:r w:rsidR="00F53CB1">
        <w:t>Industry submissions demonstrate</w:t>
      </w:r>
      <w:r>
        <w:t xml:space="preserve"> these costs are not adequately transparent to industry and </w:t>
      </w:r>
      <w:r w:rsidR="00B400EF">
        <w:t xml:space="preserve">suggest </w:t>
      </w:r>
      <w:r>
        <w:t xml:space="preserve">there may be opportunities to </w:t>
      </w:r>
      <w:r w:rsidR="00A67293">
        <w:t>reduce red tape for utilities</w:t>
      </w:r>
      <w:r>
        <w:t>.</w:t>
      </w:r>
    </w:p>
    <w:p w:rsidR="006358B7" w:rsidRDefault="006358B7">
      <w:pPr>
        <w:spacing w:after="0" w:line="240" w:lineRule="auto"/>
        <w:rPr>
          <w:rFonts w:ascii="Cambria" w:eastAsia="Times New Roman" w:hAnsi="Cambria"/>
          <w:b/>
          <w:bCs/>
          <w:color w:val="365F91"/>
          <w:sz w:val="28"/>
          <w:szCs w:val="28"/>
        </w:rPr>
      </w:pPr>
      <w:r>
        <w:br w:type="page"/>
      </w:r>
    </w:p>
    <w:p w:rsidR="002B3857" w:rsidRDefault="0067782F" w:rsidP="006358B7">
      <w:pPr>
        <w:pStyle w:val="Heading1"/>
      </w:pPr>
      <w:bookmarkStart w:id="30" w:name="_Toc454981997"/>
      <w:r>
        <w:t xml:space="preserve">Section 2: </w:t>
      </w:r>
      <w:r w:rsidR="00FE36BF">
        <w:t xml:space="preserve">Principles </w:t>
      </w:r>
      <w:r w:rsidR="002B3857">
        <w:t>f</w:t>
      </w:r>
      <w:r w:rsidR="00FE36BF">
        <w:t>or</w:t>
      </w:r>
      <w:r w:rsidR="002B3857">
        <w:t xml:space="preserve"> cost recovery</w:t>
      </w:r>
      <w:bookmarkEnd w:id="30"/>
    </w:p>
    <w:p w:rsidR="00775359" w:rsidRDefault="00775359" w:rsidP="002728FF">
      <w:pPr>
        <w:spacing w:before="240"/>
        <w:ind w:left="567" w:right="804"/>
        <w:jc w:val="both"/>
      </w:pPr>
      <w:r>
        <w:pict>
          <v:rect id="_x0000_s1050" style="position:absolute;left:0;text-align:left;margin-left:15pt;margin-top:4.75pt;width:417pt;height:151.5pt;z-index:251673600;mso-width-relative:margin;mso-height-relative:margin" filled="f"/>
        </w:pict>
      </w:r>
      <w:r>
        <w:t>A well designed levy system should:</w:t>
      </w:r>
    </w:p>
    <w:p w:rsidR="00775359" w:rsidRPr="008465BF" w:rsidRDefault="00775359" w:rsidP="002728FF">
      <w:pPr>
        <w:pStyle w:val="ListParagraph"/>
        <w:ind w:left="1134"/>
      </w:pPr>
      <w:r>
        <w:t>be s</w:t>
      </w:r>
      <w:r w:rsidRPr="00E265CE">
        <w:t>table</w:t>
      </w:r>
      <w:r>
        <w:t xml:space="preserve"> and predictable;</w:t>
      </w:r>
    </w:p>
    <w:p w:rsidR="00775359" w:rsidRPr="008465BF" w:rsidRDefault="00775359" w:rsidP="002728FF">
      <w:pPr>
        <w:pStyle w:val="ListParagraph"/>
        <w:ind w:left="1134"/>
      </w:pPr>
      <w:r>
        <w:t>be efficient;</w:t>
      </w:r>
    </w:p>
    <w:p w:rsidR="00775359" w:rsidRPr="008465BF" w:rsidRDefault="00775359" w:rsidP="002728FF">
      <w:pPr>
        <w:pStyle w:val="ListParagraph"/>
        <w:ind w:left="1134"/>
      </w:pPr>
      <w:r>
        <w:t>be simple;</w:t>
      </w:r>
    </w:p>
    <w:p w:rsidR="00775359" w:rsidRPr="008465BF" w:rsidRDefault="00775359" w:rsidP="002728FF">
      <w:pPr>
        <w:pStyle w:val="ListParagraph"/>
        <w:ind w:left="1134"/>
      </w:pPr>
      <w:r>
        <w:t>be fair;</w:t>
      </w:r>
      <w:r w:rsidRPr="008465BF">
        <w:t xml:space="preserve"> and</w:t>
      </w:r>
    </w:p>
    <w:p w:rsidR="00775359" w:rsidRPr="008465BF" w:rsidRDefault="00775359" w:rsidP="002728FF">
      <w:pPr>
        <w:pStyle w:val="ListParagraph"/>
        <w:ind w:left="1134"/>
      </w:pPr>
      <w:proofErr w:type="gramStart"/>
      <w:r>
        <w:t>e</w:t>
      </w:r>
      <w:r w:rsidRPr="008465BF">
        <w:t>ncourage</w:t>
      </w:r>
      <w:proofErr w:type="gramEnd"/>
      <w:r w:rsidRPr="008465BF">
        <w:t xml:space="preserve"> competition and efficient firms</w:t>
      </w:r>
      <w:r>
        <w:t>.</w:t>
      </w:r>
    </w:p>
    <w:p w:rsidR="00775359" w:rsidRDefault="00775359" w:rsidP="002728FF">
      <w:pPr>
        <w:spacing w:before="240"/>
        <w:ind w:left="567" w:right="804"/>
        <w:jc w:val="both"/>
      </w:pPr>
      <w:r>
        <w:t>There are tensions between these properties and the design of the EIL will have to be a suitable trade-off of them.</w:t>
      </w:r>
    </w:p>
    <w:p w:rsidR="00E61AF9" w:rsidRPr="00BB3509" w:rsidRDefault="00E61AF9" w:rsidP="00A857DA"/>
    <w:p w:rsidR="00B11956" w:rsidRDefault="00B11956" w:rsidP="00E61AF9">
      <w:pPr>
        <w:jc w:val="both"/>
      </w:pPr>
      <w:r>
        <w:t xml:space="preserve">This section outlines principles for judging the appropriateness of the EIL structure and method of distribution. As a levy is a form of tax, principles </w:t>
      </w:r>
      <w:r w:rsidR="00604232">
        <w:t xml:space="preserve">for taxation apply; these have been </w:t>
      </w:r>
      <w:r w:rsidR="00E51382">
        <w:t>adopted</w:t>
      </w:r>
      <w:r w:rsidR="00604232">
        <w:t xml:space="preserve"> from the </w:t>
      </w:r>
      <w:r w:rsidR="00604232" w:rsidRPr="006765BB">
        <w:t>ACT Taxation Review</w:t>
      </w:r>
      <w:r w:rsidR="00E51382" w:rsidRPr="006765BB">
        <w:rPr>
          <w:rStyle w:val="FootnoteReference"/>
        </w:rPr>
        <w:footnoteReference w:id="10"/>
      </w:r>
      <w:r w:rsidR="00604232">
        <w:t xml:space="preserve">. The EIL recovers costs from industry; thus, it is important to understand </w:t>
      </w:r>
      <w:r w:rsidR="00576BCC">
        <w:t>the Levy</w:t>
      </w:r>
      <w:r w:rsidR="00604232">
        <w:t xml:space="preserve">’s impact on competition and efficiency in industry. This report also draws on the </w:t>
      </w:r>
      <w:r w:rsidR="002158B2">
        <w:t>Australian Government Cost Recovery G</w:t>
      </w:r>
      <w:r w:rsidR="00604232" w:rsidRPr="006765BB">
        <w:t>uidelines</w:t>
      </w:r>
      <w:r w:rsidR="00E51382" w:rsidRPr="006765BB">
        <w:rPr>
          <w:rStyle w:val="FootnoteReference"/>
        </w:rPr>
        <w:footnoteReference w:id="11"/>
      </w:r>
      <w:r w:rsidR="005063E9">
        <w:t xml:space="preserve"> (C</w:t>
      </w:r>
      <w:r w:rsidR="00604232">
        <w:t>R</w:t>
      </w:r>
      <w:r w:rsidR="005063E9">
        <w:t>G</w:t>
      </w:r>
      <w:r w:rsidR="00604232">
        <w:t>s) for best practice cost recovery.</w:t>
      </w:r>
    </w:p>
    <w:p w:rsidR="00E61AF9" w:rsidRDefault="00E61AF9" w:rsidP="00E61AF9">
      <w:pPr>
        <w:pStyle w:val="Heading4"/>
        <w:jc w:val="both"/>
      </w:pPr>
      <w:r>
        <w:t>Stable</w:t>
      </w:r>
      <w:r w:rsidR="00167A0B">
        <w:t xml:space="preserve"> and predictable</w:t>
      </w:r>
    </w:p>
    <w:p w:rsidR="00E61AF9" w:rsidRDefault="00E61AF9" w:rsidP="00E61AF9">
      <w:pPr>
        <w:jc w:val="both"/>
      </w:pPr>
      <w:r>
        <w:t xml:space="preserve">The stability of the levy system is important for two reasons: to give regulators confidence they will have sufficient resources to do their work; and to enable </w:t>
      </w:r>
      <w:r w:rsidR="00F6690C">
        <w:t>utilitie</w:t>
      </w:r>
      <w:r>
        <w:t xml:space="preserve">s to plan their affairs. The levy system should recover all costs to the regulators as well as allowing sufficient liquidity for the regulators to operate. As much as possible, </w:t>
      </w:r>
      <w:r w:rsidR="00167A0B">
        <w:t xml:space="preserve">a utility’s levy </w:t>
      </w:r>
      <w:r>
        <w:t xml:space="preserve">should be </w:t>
      </w:r>
      <w:r w:rsidR="00167A0B">
        <w:t>predictable</w:t>
      </w:r>
      <w:r>
        <w:t xml:space="preserve"> over time</w:t>
      </w:r>
      <w:r w:rsidR="00167A0B">
        <w:t xml:space="preserve">, giving certainty and </w:t>
      </w:r>
      <w:r w:rsidR="00E51382">
        <w:t xml:space="preserve">the </w:t>
      </w:r>
      <w:r w:rsidR="00167A0B">
        <w:t>ability to plan for the future</w:t>
      </w:r>
      <w:r>
        <w:t xml:space="preserve">. </w:t>
      </w:r>
      <w:r w:rsidR="00167A0B">
        <w:t xml:space="preserve">This requires minimal volatility and transparency regarding what may </w:t>
      </w:r>
      <w:r w:rsidR="00E51382">
        <w:t>change</w:t>
      </w:r>
      <w:r w:rsidR="00167A0B">
        <w:t xml:space="preserve"> </w:t>
      </w:r>
      <w:r w:rsidR="00576BCC">
        <w:t>the Levy</w:t>
      </w:r>
      <w:r w:rsidR="00167A0B">
        <w:t xml:space="preserve">. </w:t>
      </w:r>
    </w:p>
    <w:p w:rsidR="00E61AF9" w:rsidRDefault="00E61AF9" w:rsidP="00E61AF9">
      <w:pPr>
        <w:pStyle w:val="Heading4"/>
        <w:jc w:val="both"/>
      </w:pPr>
      <w:r>
        <w:t>Efficient</w:t>
      </w:r>
    </w:p>
    <w:p w:rsidR="00E61AF9" w:rsidRDefault="00E61AF9" w:rsidP="00E61AF9">
      <w:pPr>
        <w:jc w:val="both"/>
      </w:pPr>
      <w:r>
        <w:t>The cost of administering the system should be minimised. All else being equal, a levy system with lower administra</w:t>
      </w:r>
      <w:r w:rsidR="002A4967">
        <w:t xml:space="preserve">tion costs (to regulators, </w:t>
      </w:r>
      <w:r w:rsidR="00576BCC">
        <w:t>the Levy</w:t>
      </w:r>
      <w:r w:rsidR="002A4967">
        <w:t xml:space="preserve"> A</w:t>
      </w:r>
      <w:r>
        <w:t xml:space="preserve">dministrator, and </w:t>
      </w:r>
      <w:r w:rsidR="00167A0B">
        <w:t>utilities</w:t>
      </w:r>
      <w:r>
        <w:t xml:space="preserve">) </w:t>
      </w:r>
      <w:r w:rsidR="00167A0B">
        <w:t>is</w:t>
      </w:r>
      <w:r>
        <w:t xml:space="preserve"> </w:t>
      </w:r>
      <w:r w:rsidR="00167A0B">
        <w:t>preferable</w:t>
      </w:r>
      <w:r>
        <w:t xml:space="preserve">. As an example, a levy system </w:t>
      </w:r>
      <w:r w:rsidR="00167A0B">
        <w:t>with</w:t>
      </w:r>
      <w:r>
        <w:t xml:space="preserve"> a large number of small charges may be more costly to implement than the initial costs being recovered.</w:t>
      </w:r>
    </w:p>
    <w:p w:rsidR="00E61AF9" w:rsidRDefault="00E61AF9" w:rsidP="00E61AF9">
      <w:pPr>
        <w:pStyle w:val="Heading4"/>
        <w:jc w:val="both"/>
      </w:pPr>
      <w:r>
        <w:t>Simple</w:t>
      </w:r>
    </w:p>
    <w:p w:rsidR="00E61AF9" w:rsidRDefault="00E61AF9" w:rsidP="00E61AF9">
      <w:pPr>
        <w:jc w:val="both"/>
      </w:pPr>
      <w:r>
        <w:t xml:space="preserve">Simple systems </w:t>
      </w:r>
      <w:r w:rsidR="00796E81">
        <w:t xml:space="preserve">generally </w:t>
      </w:r>
      <w:r>
        <w:t xml:space="preserve">result in </w:t>
      </w:r>
      <w:r w:rsidR="00167A0B">
        <w:t>lower</w:t>
      </w:r>
      <w:r>
        <w:t xml:space="preserve"> administrative costs to </w:t>
      </w:r>
      <w:r w:rsidR="00167A0B">
        <w:t>firm</w:t>
      </w:r>
      <w:r>
        <w:t xml:space="preserve">s and greater compliance. </w:t>
      </w:r>
      <w:r w:rsidR="00167A0B">
        <w:t xml:space="preserve">They </w:t>
      </w:r>
      <w:r w:rsidR="00E51382">
        <w:t>can also be easier</w:t>
      </w:r>
      <w:r w:rsidR="00167A0B">
        <w:t xml:space="preserve"> to administer, with</w:t>
      </w:r>
      <w:r w:rsidR="00796E81">
        <w:t xml:space="preserve"> fewer calculations to process</w:t>
      </w:r>
      <w:r>
        <w:t>.</w:t>
      </w:r>
    </w:p>
    <w:p w:rsidR="00E61AF9" w:rsidRDefault="00E61AF9" w:rsidP="00E61AF9">
      <w:pPr>
        <w:pStyle w:val="Heading4"/>
        <w:jc w:val="both"/>
      </w:pPr>
      <w:r>
        <w:t>Fair</w:t>
      </w:r>
    </w:p>
    <w:p w:rsidR="00E61AF9" w:rsidRDefault="00E61AF9" w:rsidP="00E61AF9">
      <w:pPr>
        <w:jc w:val="both"/>
      </w:pPr>
      <w:r>
        <w:t xml:space="preserve">The levy system should be equitable. The system should be fair for the firms that pay </w:t>
      </w:r>
      <w:r w:rsidR="00576BCC">
        <w:t>the Levy</w:t>
      </w:r>
      <w:r>
        <w:t xml:space="preserve"> and for the public to whom they pass on their costs. </w:t>
      </w:r>
    </w:p>
    <w:p w:rsidR="008149F2" w:rsidRDefault="008149F2" w:rsidP="00E61AF9">
      <w:pPr>
        <w:jc w:val="both"/>
      </w:pPr>
      <w:r>
        <w:t>In a fair sys</w:t>
      </w:r>
      <w:r w:rsidR="00CD121D">
        <w:t>tem, firms should pay for the co</w:t>
      </w:r>
      <w:r>
        <w:t xml:space="preserve">sts they are responsible for. To compare </w:t>
      </w:r>
      <w:r w:rsidR="00CD121D">
        <w:t>methods of regulatory cost recovery</w:t>
      </w:r>
      <w:r>
        <w:t xml:space="preserve">, it is important to have a way of </w:t>
      </w:r>
      <w:r w:rsidR="000F2B70">
        <w:t>discussing</w:t>
      </w:r>
      <w:r>
        <w:t xml:space="preserve"> </w:t>
      </w:r>
      <w:r w:rsidR="000F2B70">
        <w:t xml:space="preserve">the relationship between </w:t>
      </w:r>
      <w:r w:rsidR="00B27BD4">
        <w:t xml:space="preserve">particular </w:t>
      </w:r>
      <w:r>
        <w:t xml:space="preserve">costs </w:t>
      </w:r>
      <w:r w:rsidR="000F2B70">
        <w:t>and</w:t>
      </w:r>
      <w:r>
        <w:t xml:space="preserve"> </w:t>
      </w:r>
      <w:r w:rsidR="00B27BD4">
        <w:t>individual</w:t>
      </w:r>
      <w:r>
        <w:t xml:space="preserve"> firms. This report uses the following terminology for </w:t>
      </w:r>
      <w:r w:rsidR="00E61AF9">
        <w:t>broad categories of regulation costs</w:t>
      </w:r>
      <w:r w:rsidR="003B13CF">
        <w:t>.</w:t>
      </w:r>
    </w:p>
    <w:p w:rsidR="008149F2" w:rsidRPr="008149F2" w:rsidRDefault="008149F2" w:rsidP="008149F2">
      <w:pPr>
        <w:pStyle w:val="ListParagraph"/>
        <w:numPr>
          <w:ilvl w:val="0"/>
          <w:numId w:val="34"/>
        </w:numPr>
        <w:jc w:val="both"/>
      </w:pPr>
      <w:r w:rsidRPr="00D27E28">
        <w:rPr>
          <w:i/>
        </w:rPr>
        <w:t>“Sector costs”</w:t>
      </w:r>
      <w:r w:rsidRPr="008149F2">
        <w:rPr>
          <w:i/>
        </w:rPr>
        <w:t xml:space="preserve"> </w:t>
      </w:r>
      <w:r>
        <w:t xml:space="preserve">cannot be attributed to individual firms and are </w:t>
      </w:r>
      <w:r w:rsidR="001A67D5">
        <w:t>associated with</w:t>
      </w:r>
      <w:r>
        <w:t xml:space="preserve"> the regulatory framework for the sector. These costs do not depend on the number of firms in </w:t>
      </w:r>
      <w:r w:rsidR="00CD121D">
        <w:t xml:space="preserve">the </w:t>
      </w:r>
      <w:r>
        <w:t>sector</w:t>
      </w:r>
      <w:r w:rsidR="00CD121D">
        <w:t xml:space="preserve"> and will not change if a firm enters or exits the market</w:t>
      </w:r>
      <w:r>
        <w:t>. For example, the ACT’s obligations to fund the AEMC will not fluctuate if firms enter or exit the sector.</w:t>
      </w:r>
    </w:p>
    <w:p w:rsidR="001A67D5" w:rsidRDefault="00825F55" w:rsidP="008149F2">
      <w:pPr>
        <w:pStyle w:val="ListParagraph"/>
        <w:numPr>
          <w:ilvl w:val="0"/>
          <w:numId w:val="34"/>
        </w:numPr>
        <w:jc w:val="both"/>
      </w:pPr>
      <w:r w:rsidRPr="00825F55">
        <w:t xml:space="preserve">Individual firms are responsible for </w:t>
      </w:r>
      <w:r w:rsidR="001A67D5" w:rsidRPr="00D27E28">
        <w:rPr>
          <w:i/>
        </w:rPr>
        <w:t>“Operator costs”</w:t>
      </w:r>
      <w:r w:rsidR="001A67D5">
        <w:t>.</w:t>
      </w:r>
      <w:r w:rsidR="003C7ACA">
        <w:t xml:space="preserve"> While</w:t>
      </w:r>
      <w:r w:rsidR="005B6C69">
        <w:t xml:space="preserve"> sector costs do not chan</w:t>
      </w:r>
      <w:r w:rsidR="001A67D5">
        <w:t xml:space="preserve">ge if the number of firms in the sector increases or decreases, the </w:t>
      </w:r>
      <w:r w:rsidR="003C7ACA">
        <w:t xml:space="preserve">total </w:t>
      </w:r>
      <w:r w:rsidR="001A67D5">
        <w:t>operator costs depend on the</w:t>
      </w:r>
      <w:r w:rsidR="000F2B70">
        <w:t xml:space="preserve"> </w:t>
      </w:r>
      <w:r w:rsidR="005B6C69">
        <w:t>number of firms in the</w:t>
      </w:r>
      <w:r w:rsidR="000F2B70">
        <w:t xml:space="preserve"> sector. </w:t>
      </w:r>
    </w:p>
    <w:p w:rsidR="001A67D5" w:rsidRDefault="00CD121D" w:rsidP="001A67D5">
      <w:pPr>
        <w:pStyle w:val="ListParagraph"/>
        <w:numPr>
          <w:ilvl w:val="1"/>
          <w:numId w:val="34"/>
        </w:numPr>
        <w:jc w:val="both"/>
      </w:pPr>
      <w:r>
        <w:t xml:space="preserve">The </w:t>
      </w:r>
      <w:r w:rsidR="00AB129D">
        <w:t>factor independent</w:t>
      </w:r>
      <w:r>
        <w:t xml:space="preserve"> cost for an operator </w:t>
      </w:r>
      <w:r w:rsidR="00A0171E">
        <w:t>is</w:t>
      </w:r>
      <w:r>
        <w:t xml:space="preserve"> </w:t>
      </w:r>
      <w:r w:rsidR="00A0171E">
        <w:t xml:space="preserve">the cost of regulating a firm </w:t>
      </w:r>
      <w:r w:rsidR="00825F55">
        <w:t>independent</w:t>
      </w:r>
      <w:r w:rsidR="006541A4">
        <w:t>ly</w:t>
      </w:r>
      <w:r w:rsidR="00825F55">
        <w:t xml:space="preserve"> of</w:t>
      </w:r>
      <w:r w:rsidR="00A0171E">
        <w:t xml:space="preserve"> its</w:t>
      </w:r>
      <w:r>
        <w:t xml:space="preserve"> size, </w:t>
      </w:r>
      <w:r w:rsidR="000F2B70">
        <w:t xml:space="preserve">quality of </w:t>
      </w:r>
      <w:r>
        <w:t xml:space="preserve">customer service, </w:t>
      </w:r>
      <w:r w:rsidR="00A0171E">
        <w:t>type of customers</w:t>
      </w:r>
      <w:r w:rsidR="000F2B70">
        <w:t>, or other individual features</w:t>
      </w:r>
      <w:r>
        <w:t xml:space="preserve">. This is </w:t>
      </w:r>
      <w:r w:rsidR="00A41C5D">
        <w:t>the lowest</w:t>
      </w:r>
      <w:r>
        <w:t xml:space="preserve"> possible cost of regulating a firm in the current state of the sector. </w:t>
      </w:r>
      <w:r w:rsidR="00A0171E">
        <w:t>A</w:t>
      </w:r>
      <w:r w:rsidR="000F2B70">
        <w:t>s</w:t>
      </w:r>
      <w:r w:rsidR="00A0171E">
        <w:t xml:space="preserve"> </w:t>
      </w:r>
      <w:r w:rsidR="000F2B70">
        <w:t xml:space="preserve">an </w:t>
      </w:r>
      <w:r w:rsidR="00A0171E">
        <w:t>example</w:t>
      </w:r>
      <w:r w:rsidR="000F2B70">
        <w:t xml:space="preserve">, this includes </w:t>
      </w:r>
      <w:r w:rsidR="00A0171E">
        <w:t xml:space="preserve">the minimum </w:t>
      </w:r>
      <w:r>
        <w:t xml:space="preserve">time required by the Levy Administrator to process </w:t>
      </w:r>
      <w:r w:rsidR="00A0171E">
        <w:t>a</w:t>
      </w:r>
      <w:r>
        <w:t xml:space="preserve"> firm’s data </w:t>
      </w:r>
      <w:r w:rsidR="00A0171E">
        <w:t>i</w:t>
      </w:r>
      <w:r>
        <w:t xml:space="preserve">n determining levy charges. The </w:t>
      </w:r>
      <w:r w:rsidR="00D9489F">
        <w:t xml:space="preserve">total </w:t>
      </w:r>
      <w:r>
        <w:rPr>
          <w:i/>
        </w:rPr>
        <w:t>“</w:t>
      </w:r>
      <w:r w:rsidR="00AB129D">
        <w:rPr>
          <w:i/>
        </w:rPr>
        <w:t>factor independent operator</w:t>
      </w:r>
      <w:r>
        <w:rPr>
          <w:i/>
        </w:rPr>
        <w:t xml:space="preserve"> cost</w:t>
      </w:r>
      <w:r w:rsidR="00D9489F">
        <w:rPr>
          <w:i/>
        </w:rPr>
        <w:t>s</w:t>
      </w:r>
      <w:r w:rsidR="001A67D5" w:rsidRPr="00D27E28">
        <w:rPr>
          <w:i/>
        </w:rPr>
        <w:t>”</w:t>
      </w:r>
      <w:r w:rsidR="00D9489F">
        <w:rPr>
          <w:i/>
        </w:rPr>
        <w:t xml:space="preserve"> </w:t>
      </w:r>
      <w:r w:rsidR="00D9489F" w:rsidRPr="00D9489F">
        <w:t>for a sector</w:t>
      </w:r>
      <w:r w:rsidR="001A67D5">
        <w:t xml:space="preserve"> </w:t>
      </w:r>
      <w:r>
        <w:t>is the sum of the</w:t>
      </w:r>
      <w:r w:rsidR="00184CCB">
        <w:t>se</w:t>
      </w:r>
      <w:r>
        <w:t xml:space="preserve"> costs </w:t>
      </w:r>
      <w:r w:rsidR="00184CCB">
        <w:t>for</w:t>
      </w:r>
      <w:r>
        <w:t xml:space="preserve"> the firms in the sector.</w:t>
      </w:r>
    </w:p>
    <w:p w:rsidR="001A67D5" w:rsidRDefault="00D27E28" w:rsidP="001A67D5">
      <w:pPr>
        <w:pStyle w:val="ListParagraph"/>
        <w:numPr>
          <w:ilvl w:val="1"/>
          <w:numId w:val="34"/>
        </w:numPr>
        <w:jc w:val="both"/>
      </w:pPr>
      <w:r>
        <w:t xml:space="preserve">The remaining </w:t>
      </w:r>
      <w:r w:rsidRPr="00D27E28">
        <w:rPr>
          <w:i/>
        </w:rPr>
        <w:t>“</w:t>
      </w:r>
      <w:r w:rsidR="00AB129D">
        <w:rPr>
          <w:i/>
        </w:rPr>
        <w:t xml:space="preserve">factor dependent </w:t>
      </w:r>
      <w:r w:rsidRPr="00D27E28">
        <w:rPr>
          <w:i/>
        </w:rPr>
        <w:t>operator costs”</w:t>
      </w:r>
      <w:r>
        <w:t xml:space="preserve"> are regulatory costs that particular firms incur and depe</w:t>
      </w:r>
      <w:r w:rsidR="00184CCB">
        <w:t>nd on variable factors of firms:</w:t>
      </w:r>
      <w:r>
        <w:t xml:space="preserve"> </w:t>
      </w:r>
      <w:r w:rsidR="00184CCB">
        <w:t>for example</w:t>
      </w:r>
      <w:r>
        <w:t xml:space="preserve"> market share, number of customers, type of customers, and so on.</w:t>
      </w:r>
    </w:p>
    <w:p w:rsidR="00E61AF9" w:rsidRDefault="00D27E28" w:rsidP="003A4496">
      <w:pPr>
        <w:spacing w:before="240"/>
        <w:jc w:val="both"/>
      </w:pPr>
      <w:r>
        <w:t xml:space="preserve">In a </w:t>
      </w:r>
      <w:r w:rsidR="00184CCB">
        <w:t xml:space="preserve">perfectly </w:t>
      </w:r>
      <w:r>
        <w:t>fair cost recovery system</w:t>
      </w:r>
      <w:r w:rsidR="003F63AB">
        <w:t>,</w:t>
      </w:r>
      <w:r w:rsidR="006615E4">
        <w:t xml:space="preserve"> </w:t>
      </w:r>
      <w:r w:rsidR="008666AF">
        <w:t>every firm would pa</w:t>
      </w:r>
      <w:r w:rsidR="003F63AB">
        <w:t xml:space="preserve">y: the same </w:t>
      </w:r>
      <w:r w:rsidR="00AB129D">
        <w:t xml:space="preserve">factor independent </w:t>
      </w:r>
      <w:r w:rsidR="003F63AB">
        <w:t xml:space="preserve">operator costs; </w:t>
      </w:r>
      <w:r w:rsidR="00AB129D">
        <w:t xml:space="preserve">factor dependent </w:t>
      </w:r>
      <w:r w:rsidR="003F63AB">
        <w:t xml:space="preserve">operator costs in proportion to the factors that drive them; and sector costs in proportion to the factors that drive them. Each firm is responsible for an equal share of the </w:t>
      </w:r>
      <w:r w:rsidR="00AB129D">
        <w:t xml:space="preserve">factor independent </w:t>
      </w:r>
      <w:r w:rsidR="003F63AB">
        <w:t xml:space="preserve">operator costs, but their responsibility for </w:t>
      </w:r>
      <w:r w:rsidR="00AB129D">
        <w:t xml:space="preserve">factor dependent </w:t>
      </w:r>
      <w:r w:rsidR="003F63AB">
        <w:t xml:space="preserve">operator costs differs according to </w:t>
      </w:r>
      <w:r w:rsidR="00E61AF9">
        <w:t>the features that drive the cost</w:t>
      </w:r>
      <w:r w:rsidR="00E51382">
        <w:t>s</w:t>
      </w:r>
      <w:r w:rsidR="00E61AF9">
        <w:t>; this may be based on market share, past performance, utility type</w:t>
      </w:r>
      <w:r w:rsidR="00184CCB">
        <w:t xml:space="preserve">, or other </w:t>
      </w:r>
      <w:r w:rsidR="00AB129D">
        <w:t>features</w:t>
      </w:r>
      <w:r w:rsidR="00E61AF9">
        <w:t xml:space="preserve">. </w:t>
      </w:r>
      <w:r w:rsidR="001C27EC">
        <w:t>S</w:t>
      </w:r>
      <w:r w:rsidR="00E61AF9">
        <w:t xml:space="preserve">ector costs should </w:t>
      </w:r>
      <w:r w:rsidR="001C27EC">
        <w:t xml:space="preserve">also </w:t>
      </w:r>
      <w:r w:rsidR="00E61AF9">
        <w:t>be apportioned to operators according to featur</w:t>
      </w:r>
      <w:r w:rsidR="00E51382">
        <w:t>es that drive the total sector</w:t>
      </w:r>
      <w:r w:rsidR="00E61AF9">
        <w:t xml:space="preserve"> cost</w:t>
      </w:r>
      <w:r w:rsidR="00E51382">
        <w:t>s</w:t>
      </w:r>
      <w:r w:rsidR="00E61AF9">
        <w:t xml:space="preserve">. The CRGs </w:t>
      </w:r>
      <w:r w:rsidR="00E51382">
        <w:t>say</w:t>
      </w:r>
      <w:r w:rsidR="00E61AF9">
        <w:t>:</w:t>
      </w:r>
    </w:p>
    <w:p w:rsidR="00E61AF9" w:rsidRPr="009667F1" w:rsidRDefault="00E61AF9" w:rsidP="00591669">
      <w:pPr>
        <w:pStyle w:val="Quote1"/>
      </w:pPr>
      <w:r w:rsidRPr="009667F1">
        <w:t>The cost driver should approximate the level of resources used to provide the activity to levy payers. Depending on the activity, this may be done by distributing the levy payments on an equal basis (a flat levy rate). Alternatively, differentiated levy rates could be used to more closely reflect resources used by different groups of levy payers based on their risk, size or other criteria. Complex activities may justify the use of more than one cost driver to determine levy</w:t>
      </w:r>
      <w:r w:rsidR="002F2E04">
        <w:t xml:space="preserve"> rates. The potential for cross</w:t>
      </w:r>
      <w:r w:rsidR="002F2E04">
        <w:noBreakHyphen/>
      </w:r>
      <w:proofErr w:type="spellStart"/>
      <w:r w:rsidRPr="009667F1">
        <w:t>subsidisation</w:t>
      </w:r>
      <w:proofErr w:type="spellEnd"/>
      <w:r w:rsidRPr="009667F1">
        <w:t xml:space="preserve"> among levy payers may increase if a levy rate does not bear a reasonable relationship to the cost driver of the activity.</w:t>
      </w:r>
      <w:r w:rsidR="00E51382">
        <w:rPr>
          <w:rStyle w:val="FootnoteReference"/>
          <w:i w:val="0"/>
        </w:rPr>
        <w:footnoteReference w:id="12"/>
      </w:r>
    </w:p>
    <w:p w:rsidR="00E61AF9" w:rsidRDefault="00E61AF9" w:rsidP="00E61AF9">
      <w:pPr>
        <w:pStyle w:val="Heading4"/>
        <w:jc w:val="both"/>
      </w:pPr>
      <w:r>
        <w:t>Encourage competition and efficient firms</w:t>
      </w:r>
    </w:p>
    <w:p w:rsidR="00E61AF9" w:rsidRDefault="00E61AF9" w:rsidP="00591669">
      <w:pPr>
        <w:jc w:val="both"/>
      </w:pPr>
      <w:r>
        <w:t xml:space="preserve">As an industry levy, </w:t>
      </w:r>
      <w:r w:rsidR="00E51382">
        <w:t>it</w:t>
      </w:r>
      <w:r w:rsidR="005C0659">
        <w:t xml:space="preserve"> is important to examine the e</w:t>
      </w:r>
      <w:r>
        <w:t>ffects of the EIL on competition. A well structured levy sho</w:t>
      </w:r>
      <w:r w:rsidR="00E51382">
        <w:t>uld not hinder competition and sh</w:t>
      </w:r>
      <w:r>
        <w:t>ould encourage firms to minimise</w:t>
      </w:r>
      <w:r w:rsidR="00E51382">
        <w:t xml:space="preserve"> their</w:t>
      </w:r>
      <w:r>
        <w:t xml:space="preserve"> regulatory costs. The levy system should neither create artificial barriers to enter markets nor artificial economies of scale. </w:t>
      </w:r>
    </w:p>
    <w:p w:rsidR="00E61AF9" w:rsidRDefault="005C0659" w:rsidP="00E61AF9">
      <w:pPr>
        <w:jc w:val="both"/>
      </w:pPr>
      <w:r>
        <w:t>In order t</w:t>
      </w:r>
      <w:r w:rsidR="00E61AF9">
        <w:t xml:space="preserve">o be </w:t>
      </w:r>
      <w:r>
        <w:t xml:space="preserve">a </w:t>
      </w:r>
      <w:r w:rsidR="00E61AF9">
        <w:t>fair</w:t>
      </w:r>
      <w:r>
        <w:t xml:space="preserve"> system</w:t>
      </w:r>
      <w:r w:rsidR="00E61AF9">
        <w:t xml:space="preserve">, </w:t>
      </w:r>
      <w:r w:rsidR="00576BCC">
        <w:t>the Levy</w:t>
      </w:r>
      <w:r>
        <w:t xml:space="preserve"> should recover costs from the utilities responsible for them</w:t>
      </w:r>
      <w:r w:rsidR="00E61AF9">
        <w:t xml:space="preserve">. This </w:t>
      </w:r>
      <w:r w:rsidR="00E51382">
        <w:t>will</w:t>
      </w:r>
      <w:r>
        <w:t xml:space="preserve"> also encourage</w:t>
      </w:r>
      <w:r w:rsidR="00E61AF9">
        <w:t xml:space="preserve"> </w:t>
      </w:r>
      <w:r>
        <w:t>utilitie</w:t>
      </w:r>
      <w:r w:rsidR="00E61AF9">
        <w:t>s to be efficient, lower</w:t>
      </w:r>
      <w:r>
        <w:t>ing the total</w:t>
      </w:r>
      <w:r w:rsidR="00E61AF9">
        <w:t xml:space="preserve"> regulatory costs. To do this most effectively, </w:t>
      </w:r>
      <w:r w:rsidR="00576BCC">
        <w:t>the Levy</w:t>
      </w:r>
      <w:r w:rsidR="00E61AF9">
        <w:t xml:space="preserve"> should transparently attribute the true costs of regulation to </w:t>
      </w:r>
      <w:r>
        <w:t>individual utilities</w:t>
      </w:r>
      <w:r w:rsidR="00E61AF9">
        <w:t xml:space="preserve">. </w:t>
      </w:r>
    </w:p>
    <w:p w:rsidR="00E61AF9" w:rsidRDefault="00E61AF9" w:rsidP="00E61AF9">
      <w:pPr>
        <w:pStyle w:val="Heading4"/>
        <w:jc w:val="both"/>
      </w:pPr>
      <w:r>
        <w:t>Trade-offs</w:t>
      </w:r>
    </w:p>
    <w:p w:rsidR="002C1198" w:rsidRDefault="00E61AF9" w:rsidP="00BB4EFA">
      <w:pPr>
        <w:jc w:val="both"/>
        <w:rPr>
          <w:rFonts w:asciiTheme="minorHAnsi" w:hAnsiTheme="minorHAnsi"/>
        </w:rPr>
      </w:pPr>
      <w:r>
        <w:rPr>
          <w:rFonts w:asciiTheme="minorHAnsi" w:hAnsiTheme="minorHAnsi"/>
        </w:rPr>
        <w:t>There are trade-offs between the</w:t>
      </w:r>
      <w:r w:rsidR="005C0659">
        <w:rPr>
          <w:rFonts w:asciiTheme="minorHAnsi" w:hAnsiTheme="minorHAnsi"/>
        </w:rPr>
        <w:t>se</w:t>
      </w:r>
      <w:r>
        <w:rPr>
          <w:rFonts w:asciiTheme="minorHAnsi" w:hAnsiTheme="minorHAnsi"/>
        </w:rPr>
        <w:t xml:space="preserve"> principles for cost recovery levies; for example, a fair system will </w:t>
      </w:r>
      <w:r w:rsidR="00E51382">
        <w:rPr>
          <w:rFonts w:asciiTheme="minorHAnsi" w:hAnsiTheme="minorHAnsi"/>
        </w:rPr>
        <w:t xml:space="preserve">distribute </w:t>
      </w:r>
      <w:r w:rsidR="00576BCC">
        <w:rPr>
          <w:rFonts w:asciiTheme="minorHAnsi" w:hAnsiTheme="minorHAnsi"/>
        </w:rPr>
        <w:t>the Levy</w:t>
      </w:r>
      <w:r w:rsidR="00E51382">
        <w:rPr>
          <w:rFonts w:asciiTheme="minorHAnsi" w:hAnsiTheme="minorHAnsi"/>
        </w:rPr>
        <w:t xml:space="preserve"> in proportion </w:t>
      </w:r>
      <w:r>
        <w:rPr>
          <w:rFonts w:asciiTheme="minorHAnsi" w:hAnsiTheme="minorHAnsi"/>
        </w:rPr>
        <w:t xml:space="preserve">to all the features that impact regulatory cost, but this can </w:t>
      </w:r>
      <w:r w:rsidR="006016B4">
        <w:rPr>
          <w:rFonts w:asciiTheme="minorHAnsi" w:hAnsiTheme="minorHAnsi"/>
        </w:rPr>
        <w:t>reduce</w:t>
      </w:r>
      <w:r>
        <w:rPr>
          <w:rFonts w:asciiTheme="minorHAnsi" w:hAnsiTheme="minorHAnsi"/>
        </w:rPr>
        <w:t xml:space="preserve"> the simplicity and efficiency of the system. </w:t>
      </w:r>
      <w:r w:rsidR="002C1198">
        <w:rPr>
          <w:rFonts w:asciiTheme="minorHAnsi" w:hAnsiTheme="minorHAnsi"/>
        </w:rPr>
        <w:t>For example, a</w:t>
      </w:r>
      <w:r>
        <w:rPr>
          <w:rFonts w:asciiTheme="minorHAnsi" w:hAnsiTheme="minorHAnsi"/>
        </w:rPr>
        <w:t xml:space="preserve">ll the options </w:t>
      </w:r>
      <w:r w:rsidRPr="005C0659">
        <w:rPr>
          <w:rFonts w:asciiTheme="minorHAnsi" w:hAnsiTheme="minorHAnsi"/>
        </w:rPr>
        <w:t>presented in the discussion paper</w:t>
      </w:r>
      <w:r>
        <w:rPr>
          <w:rFonts w:asciiTheme="minorHAnsi" w:hAnsiTheme="minorHAnsi"/>
        </w:rPr>
        <w:t xml:space="preserve"> use</w:t>
      </w:r>
      <w:r w:rsidR="005C0659">
        <w:rPr>
          <w:rFonts w:asciiTheme="minorHAnsi" w:hAnsiTheme="minorHAnsi"/>
        </w:rPr>
        <w:t>d</w:t>
      </w:r>
      <w:r>
        <w:rPr>
          <w:rFonts w:asciiTheme="minorHAnsi" w:hAnsiTheme="minorHAnsi"/>
        </w:rPr>
        <w:t xml:space="preserve"> a single property for variable costs: market share measured in terms of the proportion of energy supplied in the sector. This may be an imperfect measure of costs, but ensures a simple system.</w:t>
      </w:r>
    </w:p>
    <w:p w:rsidR="005A519A" w:rsidRPr="005A519A" w:rsidRDefault="002C1198" w:rsidP="005A519A">
      <w:pPr>
        <w:jc w:val="both"/>
        <w:rPr>
          <w:rFonts w:asciiTheme="minorHAnsi" w:hAnsiTheme="minorHAnsi"/>
        </w:rPr>
      </w:pPr>
      <w:r>
        <w:rPr>
          <w:rFonts w:asciiTheme="minorHAnsi" w:hAnsiTheme="minorHAnsi"/>
        </w:rPr>
        <w:t>With these principles in place, the report now turns to the current Levy structure and method of distribution, and a range of alternatives. These options will be considered in light of the principles of this section, submissions to the investigation, and Commonwealth guidelines for cost recovery.</w:t>
      </w:r>
      <w:r w:rsidR="005A519A">
        <w:rPr>
          <w:rFonts w:asciiTheme="minorHAnsi" w:hAnsiTheme="minorHAnsi"/>
        </w:rPr>
        <w:t xml:space="preserve"> </w:t>
      </w:r>
      <w:r w:rsidR="009C6074">
        <w:rPr>
          <w:rFonts w:asciiTheme="minorHAnsi" w:hAnsiTheme="minorHAnsi"/>
        </w:rPr>
        <w:t xml:space="preserve">The conclusion will be that predictability, fairness, and </w:t>
      </w:r>
      <w:r w:rsidR="00D7055B">
        <w:rPr>
          <w:rFonts w:asciiTheme="minorHAnsi" w:hAnsiTheme="minorHAnsi"/>
        </w:rPr>
        <w:t xml:space="preserve">encouragement of </w:t>
      </w:r>
      <w:r w:rsidR="009C6074">
        <w:rPr>
          <w:rFonts w:asciiTheme="minorHAnsi" w:hAnsiTheme="minorHAnsi"/>
        </w:rPr>
        <w:t xml:space="preserve">competition can be improved with a new methodology. The new methodology retains </w:t>
      </w:r>
      <w:r w:rsidR="006A054F">
        <w:rPr>
          <w:rFonts w:asciiTheme="minorHAnsi" w:hAnsiTheme="minorHAnsi"/>
        </w:rPr>
        <w:t xml:space="preserve">a single levy charge with </w:t>
      </w:r>
      <w:r w:rsidR="009C6074">
        <w:rPr>
          <w:rFonts w:asciiTheme="minorHAnsi" w:hAnsiTheme="minorHAnsi"/>
        </w:rPr>
        <w:t>a single variable factor</w:t>
      </w:r>
      <w:r w:rsidR="006A054F">
        <w:rPr>
          <w:rFonts w:asciiTheme="minorHAnsi" w:hAnsiTheme="minorHAnsi"/>
        </w:rPr>
        <w:t xml:space="preserve">. This is unlike other jurisdictions, where there are multiple charges for the same regulatory services covered by the EIL in the ACT, based on different variable factors. The simplicity and efficiency gains </w:t>
      </w:r>
      <w:r w:rsidR="00055339">
        <w:rPr>
          <w:rFonts w:asciiTheme="minorHAnsi" w:hAnsiTheme="minorHAnsi"/>
        </w:rPr>
        <w:t xml:space="preserve">make this an appropriate </w:t>
      </w:r>
      <w:r w:rsidR="006A054F">
        <w:rPr>
          <w:rFonts w:asciiTheme="minorHAnsi" w:hAnsiTheme="minorHAnsi"/>
        </w:rPr>
        <w:t>trade</w:t>
      </w:r>
      <w:r w:rsidR="00055339">
        <w:rPr>
          <w:rFonts w:asciiTheme="minorHAnsi" w:hAnsiTheme="minorHAnsi"/>
        </w:rPr>
        <w:t>-</w:t>
      </w:r>
      <w:r w:rsidR="006A054F">
        <w:rPr>
          <w:rFonts w:asciiTheme="minorHAnsi" w:hAnsiTheme="minorHAnsi"/>
        </w:rPr>
        <w:t>off for the ACT, give</w:t>
      </w:r>
      <w:r w:rsidR="00834CC4">
        <w:rPr>
          <w:rFonts w:asciiTheme="minorHAnsi" w:hAnsiTheme="minorHAnsi"/>
        </w:rPr>
        <w:t>n</w:t>
      </w:r>
      <w:r w:rsidR="006A054F">
        <w:rPr>
          <w:rFonts w:asciiTheme="minorHAnsi" w:hAnsiTheme="minorHAnsi"/>
        </w:rPr>
        <w:t xml:space="preserve"> the size of our energy markets.</w:t>
      </w:r>
    </w:p>
    <w:p w:rsidR="00BB4EFA" w:rsidRDefault="005A519A" w:rsidP="00BB4EFA">
      <w:pPr>
        <w:jc w:val="both"/>
        <w:rPr>
          <w:rFonts w:asciiTheme="minorHAnsi" w:hAnsiTheme="minorHAnsi"/>
        </w:rPr>
      </w:pPr>
      <w:r>
        <w:rPr>
          <w:rFonts w:asciiTheme="minorHAnsi" w:hAnsiTheme="minorHAnsi"/>
        </w:rPr>
        <w:t xml:space="preserve"> </w:t>
      </w:r>
      <w:r w:rsidR="00BB4EFA">
        <w:rPr>
          <w:rFonts w:asciiTheme="minorHAnsi" w:hAnsiTheme="minorHAnsi"/>
        </w:rPr>
        <w:br w:type="page"/>
      </w:r>
    </w:p>
    <w:p w:rsidR="002B3857" w:rsidRDefault="0067782F" w:rsidP="006358B7">
      <w:pPr>
        <w:pStyle w:val="Heading1"/>
      </w:pPr>
      <w:bookmarkStart w:id="31" w:name="_Toc454981998"/>
      <w:r>
        <w:t xml:space="preserve">Section 3: </w:t>
      </w:r>
      <w:r w:rsidR="00AB7F75">
        <w:t>Current levy</w:t>
      </w:r>
      <w:r w:rsidR="002B3857">
        <w:t xml:space="preserve"> </w:t>
      </w:r>
      <w:r w:rsidR="006D61B0">
        <w:t>structure and method of distribution</w:t>
      </w:r>
      <w:bookmarkEnd w:id="31"/>
    </w:p>
    <w:p w:rsidR="00697D37" w:rsidRDefault="00697D37" w:rsidP="00591669">
      <w:pPr>
        <w:jc w:val="both"/>
      </w:pPr>
      <w:r>
        <w:t xml:space="preserve">This section addresses </w:t>
      </w:r>
      <w:r w:rsidR="000E777A">
        <w:t>Terms of Reference</w:t>
      </w:r>
      <w:r w:rsidR="00FE0860">
        <w:t xml:space="preserve"> 1 and 2:</w:t>
      </w:r>
      <w:r>
        <w:t xml:space="preserve"> whether the current levy structure and method of distributing </w:t>
      </w:r>
      <w:r w:rsidR="0066741F">
        <w:t>costs between operators are appropriate.</w:t>
      </w:r>
    </w:p>
    <w:p w:rsidR="00BB7514" w:rsidRDefault="001602C0" w:rsidP="00BB7514">
      <w:r>
        <w:rPr>
          <w:noProof/>
          <w:lang w:eastAsia="en-AU"/>
        </w:rPr>
        <w:pict>
          <v:rect id="_x0000_s1051" style="position:absolute;margin-left:18pt;margin-top:20.1pt;width:420.75pt;height:100.5pt;z-index:251674624;mso-width-relative:margin;mso-height-relative:margin" filled="f"/>
        </w:pict>
      </w:r>
    </w:p>
    <w:p w:rsidR="00775359" w:rsidRDefault="00775359" w:rsidP="002728FF">
      <w:pPr>
        <w:spacing w:before="240"/>
        <w:ind w:left="567" w:right="804"/>
        <w:jc w:val="both"/>
      </w:pPr>
      <w:r>
        <w:t>The EIL structure does not adequately distribute costs within industry sectors, as it depends on classifying costs as fixed or variable. This structure is unclear and open to interpretation.</w:t>
      </w:r>
    </w:p>
    <w:p w:rsidR="00775359" w:rsidRDefault="00775359" w:rsidP="002728FF">
      <w:pPr>
        <w:spacing w:before="240"/>
        <w:ind w:left="567" w:right="804"/>
        <w:jc w:val="both"/>
      </w:pPr>
      <w:r>
        <w:t xml:space="preserve">The use of the fixed cost category in the EIL method of distribution leads to competition and fairness issues. </w:t>
      </w:r>
    </w:p>
    <w:p w:rsidR="00BB7514" w:rsidRDefault="00BB7514" w:rsidP="00BB7514"/>
    <w:p w:rsidR="00BB7514" w:rsidRDefault="0067782F" w:rsidP="00BB7514">
      <w:pPr>
        <w:pStyle w:val="Heading2"/>
      </w:pPr>
      <w:bookmarkStart w:id="32" w:name="_Toc454981999"/>
      <w:r>
        <w:t xml:space="preserve">3.1 </w:t>
      </w:r>
      <w:r w:rsidR="000B3F70">
        <w:t xml:space="preserve">Term of Reference 1 — </w:t>
      </w:r>
      <w:r w:rsidR="006D61B0">
        <w:t>Current levy structure</w:t>
      </w:r>
      <w:bookmarkEnd w:id="32"/>
    </w:p>
    <w:p w:rsidR="006D61B0" w:rsidRDefault="006D61B0" w:rsidP="00591669">
      <w:pPr>
        <w:jc w:val="both"/>
      </w:pPr>
      <w:r>
        <w:t>As outlined above, the current levy structure depends on three partitions of the energy industry regulatory costs:</w:t>
      </w:r>
      <w:r w:rsidR="00A4381D" w:rsidRPr="00A4381D">
        <w:rPr>
          <w:vertAlign w:val="superscript"/>
        </w:rPr>
        <w:t xml:space="preserve"> </w:t>
      </w:r>
    </w:p>
    <w:p w:rsidR="000D2F48" w:rsidRDefault="00A4381D" w:rsidP="00A4381D">
      <w:pPr>
        <w:pStyle w:val="ListParagraph"/>
        <w:numPr>
          <w:ilvl w:val="0"/>
          <w:numId w:val="0"/>
        </w:numPr>
        <w:ind w:left="720"/>
      </w:pPr>
      <w:r>
        <w:rPr>
          <w:b/>
        </w:rPr>
        <w:t>By s</w:t>
      </w:r>
      <w:r w:rsidR="000D2F48" w:rsidRPr="00A4381D">
        <w:rPr>
          <w:b/>
        </w:rPr>
        <w:t>ector</w:t>
      </w:r>
      <w:r w:rsidR="0066741F">
        <w:t>—</w:t>
      </w:r>
      <w:r w:rsidR="000D2F48">
        <w:t>every cost is assigned to exactly one energy industry sector;</w:t>
      </w:r>
    </w:p>
    <w:p w:rsidR="006D61B0" w:rsidRDefault="00A4381D" w:rsidP="00A4381D">
      <w:pPr>
        <w:pStyle w:val="ListParagraph"/>
        <w:numPr>
          <w:ilvl w:val="0"/>
          <w:numId w:val="0"/>
        </w:numPr>
        <w:ind w:left="720"/>
      </w:pPr>
      <w:r>
        <w:rPr>
          <w:b/>
        </w:rPr>
        <w:t>By j</w:t>
      </w:r>
      <w:r w:rsidR="000D2F48" w:rsidRPr="00A4381D">
        <w:rPr>
          <w:b/>
        </w:rPr>
        <w:t>urisdiction</w:t>
      </w:r>
      <w:r w:rsidR="0066741F">
        <w:t>—</w:t>
      </w:r>
      <w:r w:rsidR="000D2F48">
        <w:t>every cost is either n</w:t>
      </w:r>
      <w:r w:rsidR="006D61B0">
        <w:t xml:space="preserve">ational </w:t>
      </w:r>
      <w:r w:rsidR="000D2F48">
        <w:t>or</w:t>
      </w:r>
      <w:r w:rsidR="006D61B0">
        <w:t xml:space="preserve"> local;</w:t>
      </w:r>
      <w:r w:rsidR="000D2F48">
        <w:t xml:space="preserve"> and </w:t>
      </w:r>
    </w:p>
    <w:p w:rsidR="006D61B0" w:rsidRDefault="00A4381D" w:rsidP="00A4381D">
      <w:pPr>
        <w:pStyle w:val="ListParagraph"/>
        <w:numPr>
          <w:ilvl w:val="0"/>
          <w:numId w:val="0"/>
        </w:numPr>
        <w:ind w:left="720"/>
      </w:pPr>
      <w:r>
        <w:rPr>
          <w:b/>
        </w:rPr>
        <w:t xml:space="preserve">By </w:t>
      </w:r>
      <w:r w:rsidR="00781B74">
        <w:rPr>
          <w:b/>
        </w:rPr>
        <w:t>malleability</w:t>
      </w:r>
      <w:r w:rsidR="0066741F">
        <w:t>—</w:t>
      </w:r>
      <w:r w:rsidR="000D2F48">
        <w:t>every cost is either f</w:t>
      </w:r>
      <w:r w:rsidR="006D61B0">
        <w:t xml:space="preserve">ixed </w:t>
      </w:r>
      <w:r w:rsidR="000D2F48">
        <w:t>or</w:t>
      </w:r>
      <w:r w:rsidR="006D61B0">
        <w:t xml:space="preserve"> variable.</w:t>
      </w:r>
    </w:p>
    <w:p w:rsidR="000D2F48" w:rsidRDefault="00576BCC" w:rsidP="00591669">
      <w:pPr>
        <w:spacing w:before="240"/>
        <w:jc w:val="both"/>
      </w:pPr>
      <w:r>
        <w:t>The Levy</w:t>
      </w:r>
      <w:r w:rsidR="002A4967">
        <w:t xml:space="preserve"> A</w:t>
      </w:r>
      <w:r w:rsidR="00D81769">
        <w:t xml:space="preserve">dministrator </w:t>
      </w:r>
      <w:r w:rsidR="000D2F48" w:rsidRPr="00E61AF9">
        <w:t xml:space="preserve">is required to </w:t>
      </w:r>
      <w:r w:rsidR="008A0710">
        <w:t>categori</w:t>
      </w:r>
      <w:r w:rsidR="00781B74">
        <w:t>s</w:t>
      </w:r>
      <w:r w:rsidR="008A0710">
        <w:t>e</w:t>
      </w:r>
      <w:r w:rsidR="00781B74">
        <w:t xml:space="preserve"> regulatory </w:t>
      </w:r>
      <w:r w:rsidR="000D2F48">
        <w:t>costs</w:t>
      </w:r>
      <w:r w:rsidR="00781B74">
        <w:t xml:space="preserve"> by sector, jurisdiction, and malleability</w:t>
      </w:r>
      <w:r w:rsidR="000D2F48">
        <w:t xml:space="preserve">. Estimated values for the coming year and actual values for the previous year are included in </w:t>
      </w:r>
      <w:proofErr w:type="spellStart"/>
      <w:r w:rsidR="000D2F48">
        <w:t>notifiable</w:t>
      </w:r>
      <w:proofErr w:type="spellEnd"/>
      <w:r w:rsidR="000D2F48">
        <w:t xml:space="preserve"> instruments and are</w:t>
      </w:r>
      <w:r w:rsidR="000D2F48" w:rsidRPr="00E61AF9">
        <w:t xml:space="preserve"> available </w:t>
      </w:r>
      <w:r w:rsidR="00CA61F7">
        <w:t xml:space="preserve">at </w:t>
      </w:r>
      <w:hyperlink r:id="rId9" w:history="1">
        <w:r w:rsidR="00CA61F7" w:rsidRPr="004107BE">
          <w:rPr>
            <w:rStyle w:val="Hyperlink"/>
          </w:rPr>
          <w:t>http://www.legislation.act.gov.au</w:t>
        </w:r>
      </w:hyperlink>
      <w:r w:rsidR="000D2F48" w:rsidRPr="00E61AF9">
        <w:t xml:space="preserve">. </w:t>
      </w:r>
      <w:r w:rsidR="000D2F48">
        <w:t xml:space="preserve">To allow for the distribution of </w:t>
      </w:r>
      <w:r>
        <w:t>the Levy</w:t>
      </w:r>
      <w:r w:rsidR="00A4381D">
        <w:t xml:space="preserve"> to individual utilities, </w:t>
      </w:r>
      <w:r>
        <w:t>the Levy</w:t>
      </w:r>
      <w:r w:rsidR="002A4967">
        <w:t xml:space="preserve"> A</w:t>
      </w:r>
      <w:r w:rsidR="00D81769">
        <w:t>dministrator</w:t>
      </w:r>
      <w:r w:rsidR="00A4381D">
        <w:t xml:space="preserve"> </w:t>
      </w:r>
      <w:r w:rsidR="00FB087D">
        <w:t>is</w:t>
      </w:r>
      <w:r w:rsidR="00A4381D">
        <w:t xml:space="preserve"> also required to determine, for each industry sector: </w:t>
      </w:r>
    </w:p>
    <w:p w:rsidR="000D2F48" w:rsidRPr="00E61AF9" w:rsidRDefault="000D2F48" w:rsidP="00591669">
      <w:pPr>
        <w:numPr>
          <w:ilvl w:val="0"/>
          <w:numId w:val="10"/>
        </w:numPr>
        <w:spacing w:after="0"/>
        <w:jc w:val="both"/>
      </w:pPr>
      <w:r w:rsidRPr="00E61AF9">
        <w:t>the number of utilities that provided energy before 15 September</w:t>
      </w:r>
      <w:r w:rsidR="004255D5">
        <w:t xml:space="preserve"> for </w:t>
      </w:r>
      <w:r w:rsidR="00576BCC">
        <w:t>the Levy</w:t>
      </w:r>
      <w:r w:rsidR="004255D5">
        <w:t xml:space="preserve"> year</w:t>
      </w:r>
      <w:r w:rsidRPr="00E61AF9">
        <w:t>, as well as the number of operators that provided any energy in the previous year; and</w:t>
      </w:r>
    </w:p>
    <w:p w:rsidR="000D2F48" w:rsidRPr="00E61AF9" w:rsidRDefault="000D2F48" w:rsidP="00353E23">
      <w:pPr>
        <w:numPr>
          <w:ilvl w:val="0"/>
          <w:numId w:val="10"/>
        </w:numPr>
      </w:pPr>
      <w:proofErr w:type="gramStart"/>
      <w:r w:rsidRPr="00E61AF9">
        <w:t>the</w:t>
      </w:r>
      <w:proofErr w:type="gramEnd"/>
      <w:r w:rsidRPr="00E61AF9">
        <w:t xml:space="preserve"> total amount of energy distributed or sold in the previous year.</w:t>
      </w:r>
    </w:p>
    <w:p w:rsidR="000D2F48" w:rsidRPr="00E61AF9" w:rsidRDefault="000D2F48" w:rsidP="00591669">
      <w:pPr>
        <w:jc w:val="both"/>
      </w:pPr>
      <w:r w:rsidRPr="00E61AF9">
        <w:t>Actual values from the previous year are used to adjust for any over- or under-rec</w:t>
      </w:r>
      <w:r w:rsidR="000316DC">
        <w:t xml:space="preserve">overy; details are discussed in </w:t>
      </w:r>
      <w:r w:rsidR="00875697">
        <w:t>S</w:t>
      </w:r>
      <w:r w:rsidR="008A0710">
        <w:t>ection 5.1</w:t>
      </w:r>
      <w:r w:rsidR="002A4967">
        <w:t xml:space="preserve"> and a summary of the A</w:t>
      </w:r>
      <w:r w:rsidR="004255D5">
        <w:t>dministrator’s determinations are in Appendix D.</w:t>
      </w:r>
    </w:p>
    <w:p w:rsidR="006D61B0" w:rsidRDefault="00A4381D" w:rsidP="00E61AF9">
      <w:r>
        <w:t>The regulatory costs recovered through the EIL are</w:t>
      </w:r>
      <w:r w:rsidR="00CF2701">
        <w:t xml:space="preserve"> </w:t>
      </w:r>
      <w:r w:rsidR="006016B4">
        <w:t>for</w:t>
      </w:r>
      <w:r w:rsidR="004255D5">
        <w:t>:</w:t>
      </w:r>
    </w:p>
    <w:p w:rsidR="006D61B0" w:rsidRDefault="00A4381D" w:rsidP="0001275B">
      <w:pPr>
        <w:pStyle w:val="ListParagraph"/>
        <w:numPr>
          <w:ilvl w:val="0"/>
          <w:numId w:val="18"/>
        </w:numPr>
      </w:pPr>
      <w:r w:rsidRPr="00E61AF9">
        <w:t xml:space="preserve">funding </w:t>
      </w:r>
      <w:r>
        <w:t xml:space="preserve">the </w:t>
      </w:r>
      <w:r w:rsidRPr="00E61AF9">
        <w:t>AEMC</w:t>
      </w:r>
      <w:r>
        <w:t>, along with the other states in the NEM;</w:t>
      </w:r>
    </w:p>
    <w:p w:rsidR="00A4381D" w:rsidRDefault="004255D5" w:rsidP="0001275B">
      <w:pPr>
        <w:pStyle w:val="ListParagraph"/>
        <w:numPr>
          <w:ilvl w:val="0"/>
          <w:numId w:val="18"/>
        </w:numPr>
      </w:pPr>
      <w:r>
        <w:t>COAG</w:t>
      </w:r>
      <w:r w:rsidR="007857AD">
        <w:t xml:space="preserve"> Energy Council </w:t>
      </w:r>
      <w:r w:rsidR="00A4381D" w:rsidRPr="00E61AF9">
        <w:t>responsibilities under the AEMA</w:t>
      </w:r>
      <w:r w:rsidR="00A4381D">
        <w:t>;</w:t>
      </w:r>
    </w:p>
    <w:p w:rsidR="00A4381D" w:rsidRDefault="00A4381D" w:rsidP="0001275B">
      <w:pPr>
        <w:pStyle w:val="ListParagraph"/>
        <w:numPr>
          <w:ilvl w:val="0"/>
          <w:numId w:val="18"/>
        </w:numPr>
      </w:pPr>
      <w:r>
        <w:t xml:space="preserve">costs </w:t>
      </w:r>
      <w:r w:rsidR="00EB056C">
        <w:t>of</w:t>
      </w:r>
      <w:r>
        <w:t xml:space="preserve"> the ICRC, which </w:t>
      </w:r>
      <w:r w:rsidR="00127168">
        <w:t xml:space="preserve">currently </w:t>
      </w:r>
      <w:r>
        <w:t xml:space="preserve">administers </w:t>
      </w:r>
      <w:r w:rsidR="00576BCC">
        <w:t>the Levy</w:t>
      </w:r>
      <w:r>
        <w:t>;</w:t>
      </w:r>
    </w:p>
    <w:p w:rsidR="00A4381D" w:rsidRDefault="00EB056C" w:rsidP="0001275B">
      <w:pPr>
        <w:pStyle w:val="ListParagraph"/>
        <w:numPr>
          <w:ilvl w:val="0"/>
          <w:numId w:val="18"/>
        </w:numPr>
        <w:jc w:val="both"/>
      </w:pPr>
      <w:r>
        <w:t>costs of</w:t>
      </w:r>
      <w:r w:rsidR="00A4381D">
        <w:t xml:space="preserve"> the </w:t>
      </w:r>
      <w:r w:rsidR="00A4381D" w:rsidRPr="00E61AF9">
        <w:t xml:space="preserve">ACT Technical Regulator, which regulates </w:t>
      </w:r>
      <w:r>
        <w:t xml:space="preserve">energy utilities </w:t>
      </w:r>
      <w:r w:rsidR="00A4381D" w:rsidRPr="00E61AF9">
        <w:t>in relation to safety, technical operations, and environmental behaviour</w:t>
      </w:r>
      <w:r w:rsidR="00A4381D">
        <w:t>; and</w:t>
      </w:r>
    </w:p>
    <w:p w:rsidR="00A4381D" w:rsidRDefault="00EB056C" w:rsidP="0001275B">
      <w:pPr>
        <w:pStyle w:val="ListParagraph"/>
        <w:numPr>
          <w:ilvl w:val="0"/>
          <w:numId w:val="18"/>
        </w:numPr>
        <w:jc w:val="both"/>
      </w:pPr>
      <w:proofErr w:type="gramStart"/>
      <w:r>
        <w:t>costs</w:t>
      </w:r>
      <w:proofErr w:type="gramEnd"/>
      <w:r>
        <w:t xml:space="preserve"> of</w:t>
      </w:r>
      <w:r w:rsidR="00A4381D">
        <w:t xml:space="preserve"> the</w:t>
      </w:r>
      <w:r w:rsidR="00A4381D" w:rsidRPr="00E61AF9">
        <w:t xml:space="preserve"> </w:t>
      </w:r>
      <w:r w:rsidR="00F83177">
        <w:t>ACAT</w:t>
      </w:r>
      <w:r w:rsidR="00A4381D" w:rsidRPr="00E61AF9">
        <w:t xml:space="preserve">, which, </w:t>
      </w:r>
      <w:r w:rsidR="00E52F54">
        <w:t xml:space="preserve">in its function </w:t>
      </w:r>
      <w:r w:rsidR="00A4381D" w:rsidRPr="00E61AF9">
        <w:t xml:space="preserve">as </w:t>
      </w:r>
      <w:r w:rsidR="00E52F54">
        <w:t>an</w:t>
      </w:r>
      <w:r w:rsidR="00A4381D" w:rsidRPr="00E61AF9">
        <w:t xml:space="preserve"> Energy </w:t>
      </w:r>
      <w:r w:rsidR="00E52F54">
        <w:t>Arbiter</w:t>
      </w:r>
      <w:r w:rsidR="00A4381D" w:rsidRPr="00E61AF9">
        <w:t>, regulates consumer service from energy industry sectors in the ACT</w:t>
      </w:r>
      <w:r w:rsidR="00A4381D">
        <w:t>.</w:t>
      </w:r>
    </w:p>
    <w:p w:rsidR="00A071D5" w:rsidRDefault="00AB7F75" w:rsidP="00A071D5">
      <w:pPr>
        <w:spacing w:before="240"/>
      </w:pPr>
      <w:r>
        <w:t>Details</w:t>
      </w:r>
      <w:r w:rsidR="004255D5">
        <w:t xml:space="preserve"> of</w:t>
      </w:r>
      <w:r w:rsidR="00A071D5">
        <w:t xml:space="preserve"> these </w:t>
      </w:r>
      <w:r w:rsidR="004255D5">
        <w:t xml:space="preserve">organisations, and their associated </w:t>
      </w:r>
      <w:r w:rsidR="00A071D5">
        <w:t xml:space="preserve">costs, </w:t>
      </w:r>
      <w:r w:rsidR="004255D5">
        <w:t>are include</w:t>
      </w:r>
      <w:r w:rsidR="00C3761B">
        <w:t>d</w:t>
      </w:r>
      <w:r w:rsidR="004255D5">
        <w:t xml:space="preserve"> in A</w:t>
      </w:r>
      <w:r w:rsidR="00B1373A">
        <w:t>ppendix C</w:t>
      </w:r>
      <w:r w:rsidR="00A071D5">
        <w:t>.</w:t>
      </w:r>
    </w:p>
    <w:p w:rsidR="00A071D5" w:rsidRDefault="002A4967" w:rsidP="00591669">
      <w:pPr>
        <w:spacing w:before="240"/>
        <w:jc w:val="both"/>
      </w:pPr>
      <w:r>
        <w:t xml:space="preserve">It is easiest for </w:t>
      </w:r>
      <w:r w:rsidR="00576BCC">
        <w:t>the Levy</w:t>
      </w:r>
      <w:r>
        <w:t xml:space="preserve"> A</w:t>
      </w:r>
      <w:r w:rsidR="006D7BB2">
        <w:t>dministrator to classify these costs by jurisdiction.</w:t>
      </w:r>
      <w:r w:rsidR="00C86E29">
        <w:t xml:space="preserve"> </w:t>
      </w:r>
      <w:r w:rsidR="006D7BB2">
        <w:t xml:space="preserve">Straightforwardly, </w:t>
      </w:r>
      <w:r w:rsidR="00C86E29">
        <w:t>A</w:t>
      </w:r>
      <w:r w:rsidR="00A071D5">
        <w:t xml:space="preserve">EMC and </w:t>
      </w:r>
      <w:r w:rsidR="004255D5">
        <w:t xml:space="preserve">the </w:t>
      </w:r>
      <w:r w:rsidR="00D5194C" w:rsidRPr="007857AD">
        <w:t>COAG Energy Council</w:t>
      </w:r>
      <w:r w:rsidR="00C86E29">
        <w:t xml:space="preserve"> </w:t>
      </w:r>
      <w:r w:rsidR="00AB7F75">
        <w:t xml:space="preserve">are </w:t>
      </w:r>
      <w:r w:rsidR="00C86E29">
        <w:t xml:space="preserve">national </w:t>
      </w:r>
      <w:r w:rsidR="006D7BB2">
        <w:t>regulatory costs and</w:t>
      </w:r>
      <w:r w:rsidR="00C86E29">
        <w:t xml:space="preserve"> </w:t>
      </w:r>
      <w:r w:rsidR="00576BCC">
        <w:t>the Levy</w:t>
      </w:r>
      <w:r>
        <w:t xml:space="preserve"> A</w:t>
      </w:r>
      <w:r w:rsidR="00127168">
        <w:t>dministrator</w:t>
      </w:r>
      <w:r>
        <w:t>, the Technical R</w:t>
      </w:r>
      <w:r w:rsidR="00A071D5">
        <w:t xml:space="preserve">egulator, and </w:t>
      </w:r>
      <w:r w:rsidR="006D7BB2">
        <w:t xml:space="preserve">the </w:t>
      </w:r>
      <w:r w:rsidR="00A071D5">
        <w:t>ACAT</w:t>
      </w:r>
      <w:r w:rsidR="00C86E29">
        <w:t xml:space="preserve"> </w:t>
      </w:r>
      <w:r w:rsidR="00A071D5">
        <w:t xml:space="preserve">costs </w:t>
      </w:r>
      <w:r w:rsidR="00C86E29">
        <w:t>are local</w:t>
      </w:r>
      <w:r w:rsidR="006D7BB2">
        <w:t xml:space="preserve"> regulatory costs</w:t>
      </w:r>
      <w:r w:rsidR="00C86E29">
        <w:t xml:space="preserve">. </w:t>
      </w:r>
      <w:r w:rsidR="00870F16" w:rsidRPr="00870F16">
        <w:t>The national and local costs can be used to calculate the total regulatory cost; however, the classification of a cost as local or nati</w:t>
      </w:r>
      <w:r w:rsidR="00121295">
        <w:t>onal does not change the L</w:t>
      </w:r>
      <w:r w:rsidR="00870F16" w:rsidRPr="00870F16">
        <w:t>evy</w:t>
      </w:r>
      <w:r w:rsidR="00121295">
        <w:t xml:space="preserve"> total</w:t>
      </w:r>
      <w:r w:rsidR="00870F16" w:rsidRPr="00870F16">
        <w:t xml:space="preserve">, </w:t>
      </w:r>
      <w:r w:rsidR="00576BCC">
        <w:t>the Levy</w:t>
      </w:r>
      <w:r w:rsidR="00121295">
        <w:t xml:space="preserve"> for each</w:t>
      </w:r>
      <w:r w:rsidR="00870F16" w:rsidRPr="00870F16">
        <w:t xml:space="preserve"> sector, or </w:t>
      </w:r>
      <w:r w:rsidR="00576BCC">
        <w:t xml:space="preserve">the </w:t>
      </w:r>
      <w:r w:rsidR="00165351">
        <w:t>l</w:t>
      </w:r>
      <w:r w:rsidR="00576BCC">
        <w:t>evy</w:t>
      </w:r>
      <w:r w:rsidR="00870F16" w:rsidRPr="00870F16">
        <w:t xml:space="preserve"> </w:t>
      </w:r>
      <w:r w:rsidR="00165351">
        <w:t xml:space="preserve">charge </w:t>
      </w:r>
      <w:r w:rsidR="00870F16" w:rsidRPr="00870F16">
        <w:t>for an operator.</w:t>
      </w:r>
    </w:p>
    <w:p w:rsidR="00C86E29" w:rsidRDefault="00C86E29" w:rsidP="00591669">
      <w:pPr>
        <w:spacing w:before="240"/>
        <w:jc w:val="both"/>
      </w:pPr>
      <w:r>
        <w:t>Some costs are relatively easy to classify by sector</w:t>
      </w:r>
      <w:r w:rsidR="00A071D5">
        <w:t>; f</w:t>
      </w:r>
      <w:r>
        <w:t>or example, the Technical Regulator</w:t>
      </w:r>
      <w:r w:rsidR="00A071D5">
        <w:t xml:space="preserve"> and ACAT</w:t>
      </w:r>
      <w:r>
        <w:t xml:space="preserve"> costs </w:t>
      </w:r>
      <w:r w:rsidR="00A071D5">
        <w:t>can be assigned to industry sectors depending on the activities conducted (or expected)</w:t>
      </w:r>
      <w:r w:rsidR="004255D5">
        <w:t xml:space="preserve"> in that levy year</w:t>
      </w:r>
      <w:r w:rsidR="00A071D5">
        <w:t xml:space="preserve">. National costs are difficult to classify by sector, as they are provided </w:t>
      </w:r>
      <w:r w:rsidR="003B7449">
        <w:t>by the AEMC as</w:t>
      </w:r>
      <w:r w:rsidR="004255D5">
        <w:t xml:space="preserve"> a single charge;</w:t>
      </w:r>
      <w:r w:rsidR="00A071D5">
        <w:t xml:space="preserve"> </w:t>
      </w:r>
      <w:r w:rsidR="004255D5">
        <w:t xml:space="preserve">nonetheless, </w:t>
      </w:r>
      <w:r w:rsidR="002A4967">
        <w:t>the A</w:t>
      </w:r>
      <w:r w:rsidR="00A071D5">
        <w:t>dministrator must determin</w:t>
      </w:r>
      <w:r w:rsidR="004255D5">
        <w:t>e</w:t>
      </w:r>
      <w:r w:rsidR="00A071D5">
        <w:t xml:space="preserve"> the costs </w:t>
      </w:r>
      <w:r w:rsidR="004255D5">
        <w:t>for each sector</w:t>
      </w:r>
      <w:r w:rsidR="00A071D5">
        <w:t>.</w:t>
      </w:r>
      <w:r w:rsidR="003B7449">
        <w:t xml:space="preserve"> This is usually based on the AEMC work program for the year.</w:t>
      </w:r>
    </w:p>
    <w:p w:rsidR="001D4B97" w:rsidRDefault="00FB087D" w:rsidP="00FB087D">
      <w:pPr>
        <w:jc w:val="both"/>
        <w:rPr>
          <w:rFonts w:asciiTheme="minorHAnsi" w:hAnsiTheme="minorHAnsi"/>
        </w:rPr>
      </w:pPr>
      <w:r w:rsidRPr="00517652">
        <w:rPr>
          <w:rFonts w:asciiTheme="minorHAnsi" w:hAnsiTheme="minorHAnsi"/>
        </w:rPr>
        <w:t xml:space="preserve">The fixed regulatory cost for an energy industry sector is defined as </w:t>
      </w:r>
      <w:r>
        <w:rPr>
          <w:rFonts w:asciiTheme="minorHAnsi" w:hAnsiTheme="minorHAnsi"/>
        </w:rPr>
        <w:t>“</w:t>
      </w:r>
      <w:r w:rsidRPr="00517652">
        <w:rPr>
          <w:rFonts w:asciiTheme="minorHAnsi" w:hAnsiTheme="minorHAnsi"/>
        </w:rPr>
        <w:t xml:space="preserve">the net regulatory cost incurred for </w:t>
      </w:r>
      <w:proofErr w:type="gramStart"/>
      <w:r w:rsidRPr="00517652">
        <w:rPr>
          <w:rFonts w:asciiTheme="minorHAnsi" w:hAnsiTheme="minorHAnsi"/>
        </w:rPr>
        <w:t>an energy</w:t>
      </w:r>
      <w:proofErr w:type="gramEnd"/>
      <w:r w:rsidRPr="00517652">
        <w:rPr>
          <w:rFonts w:asciiTheme="minorHAnsi" w:hAnsiTheme="minorHAnsi"/>
        </w:rPr>
        <w:t xml:space="preserve"> utility that is unrelated to the utility’s market share</w:t>
      </w:r>
      <w:r w:rsidR="00C974F7">
        <w:rPr>
          <w:rFonts w:asciiTheme="minorHAnsi" w:hAnsiTheme="minorHAnsi"/>
        </w:rPr>
        <w:t>.</w:t>
      </w:r>
      <w:r>
        <w:rPr>
          <w:rFonts w:asciiTheme="minorHAnsi" w:hAnsiTheme="minorHAnsi"/>
        </w:rPr>
        <w:t>”</w:t>
      </w:r>
      <w:r w:rsidR="00C3761B">
        <w:rPr>
          <w:rStyle w:val="FootnoteReference"/>
          <w:rFonts w:asciiTheme="minorHAnsi" w:hAnsiTheme="minorHAnsi"/>
        </w:rPr>
        <w:footnoteReference w:id="13"/>
      </w:r>
      <w:r w:rsidRPr="00517652">
        <w:rPr>
          <w:rFonts w:asciiTheme="minorHAnsi" w:hAnsiTheme="minorHAnsi"/>
        </w:rPr>
        <w:t xml:space="preserve"> </w:t>
      </w:r>
      <w:r>
        <w:rPr>
          <w:rFonts w:asciiTheme="minorHAnsi" w:hAnsiTheme="minorHAnsi"/>
        </w:rPr>
        <w:t xml:space="preserve">This definition is an important consideration for the fairness of the EIL system, and will be discussed further in the </w:t>
      </w:r>
      <w:r w:rsidR="00875697">
        <w:rPr>
          <w:rFonts w:asciiTheme="minorHAnsi" w:hAnsiTheme="minorHAnsi"/>
        </w:rPr>
        <w:t>Section 3.2</w:t>
      </w:r>
      <w:r>
        <w:rPr>
          <w:rFonts w:asciiTheme="minorHAnsi" w:hAnsiTheme="minorHAnsi"/>
        </w:rPr>
        <w:t xml:space="preserve">. The </w:t>
      </w:r>
      <w:r w:rsidR="00733BFF">
        <w:rPr>
          <w:rFonts w:asciiTheme="minorHAnsi" w:hAnsiTheme="minorHAnsi"/>
        </w:rPr>
        <w:t>bottom-line</w:t>
      </w:r>
      <w:r>
        <w:rPr>
          <w:rFonts w:asciiTheme="minorHAnsi" w:hAnsiTheme="minorHAnsi"/>
        </w:rPr>
        <w:t xml:space="preserve"> of that discussion is the fairness of the current method of distribution depends on how this phrase is interpreted. </w:t>
      </w:r>
      <w:r w:rsidR="001D4B97">
        <w:rPr>
          <w:rFonts w:asciiTheme="minorHAnsi" w:hAnsiTheme="minorHAnsi"/>
        </w:rPr>
        <w:t xml:space="preserve">As the current levy structure produces ambiguities in distribution of </w:t>
      </w:r>
      <w:r w:rsidR="00165351">
        <w:rPr>
          <w:rFonts w:asciiTheme="minorHAnsi" w:hAnsiTheme="minorHAnsi"/>
        </w:rPr>
        <w:t>the Levy</w:t>
      </w:r>
      <w:r w:rsidR="001D4B97">
        <w:rPr>
          <w:rFonts w:asciiTheme="minorHAnsi" w:hAnsiTheme="minorHAnsi"/>
        </w:rPr>
        <w:t>, the structure is not appropriate.</w:t>
      </w:r>
    </w:p>
    <w:p w:rsidR="000551DF" w:rsidRDefault="00FB087D" w:rsidP="000551DF">
      <w:pPr>
        <w:jc w:val="both"/>
        <w:rPr>
          <w:rFonts w:asciiTheme="minorHAnsi" w:hAnsiTheme="minorHAnsi"/>
        </w:rPr>
      </w:pPr>
      <w:r>
        <w:rPr>
          <w:rFonts w:asciiTheme="minorHAnsi" w:hAnsiTheme="minorHAnsi"/>
        </w:rPr>
        <w:t xml:space="preserve">In the terminology introduced </w:t>
      </w:r>
      <w:r w:rsidR="00592EE0">
        <w:rPr>
          <w:rFonts w:asciiTheme="minorHAnsi" w:hAnsiTheme="minorHAnsi"/>
        </w:rPr>
        <w:t xml:space="preserve">in </w:t>
      </w:r>
      <w:r w:rsidR="00875697">
        <w:rPr>
          <w:rFonts w:asciiTheme="minorHAnsi" w:hAnsiTheme="minorHAnsi"/>
        </w:rPr>
        <w:t>Section 2</w:t>
      </w:r>
      <w:r>
        <w:rPr>
          <w:rFonts w:asciiTheme="minorHAnsi" w:hAnsiTheme="minorHAnsi"/>
        </w:rPr>
        <w:t xml:space="preserve">, </w:t>
      </w:r>
      <w:r w:rsidR="00D55409">
        <w:rPr>
          <w:rFonts w:asciiTheme="minorHAnsi" w:hAnsiTheme="minorHAnsi"/>
        </w:rPr>
        <w:t xml:space="preserve">there are three types of costs to recover: </w:t>
      </w:r>
      <w:r w:rsidR="00EE4D7F">
        <w:rPr>
          <w:rFonts w:asciiTheme="minorHAnsi" w:hAnsiTheme="minorHAnsi"/>
        </w:rPr>
        <w:t xml:space="preserve">factor independent </w:t>
      </w:r>
      <w:r w:rsidR="00D55409">
        <w:rPr>
          <w:rFonts w:asciiTheme="minorHAnsi" w:hAnsiTheme="minorHAnsi"/>
        </w:rPr>
        <w:t xml:space="preserve">operator costs, </w:t>
      </w:r>
      <w:r w:rsidR="00EE4D7F">
        <w:rPr>
          <w:rFonts w:asciiTheme="minorHAnsi" w:hAnsiTheme="minorHAnsi"/>
        </w:rPr>
        <w:t xml:space="preserve">factor dependent </w:t>
      </w:r>
      <w:r w:rsidR="00D55409">
        <w:rPr>
          <w:rFonts w:asciiTheme="minorHAnsi" w:hAnsiTheme="minorHAnsi"/>
        </w:rPr>
        <w:t xml:space="preserve">operator costs, and sector costs. </w:t>
      </w:r>
      <w:r w:rsidR="00EE4D7F">
        <w:rPr>
          <w:rFonts w:asciiTheme="minorHAnsi" w:hAnsiTheme="minorHAnsi"/>
        </w:rPr>
        <w:t xml:space="preserve">In the current EIL structure, factor independent operator costs are in the </w:t>
      </w:r>
      <w:r w:rsidR="00D55409">
        <w:rPr>
          <w:rFonts w:asciiTheme="minorHAnsi" w:hAnsiTheme="minorHAnsi"/>
        </w:rPr>
        <w:t xml:space="preserve">fixed </w:t>
      </w:r>
      <w:r w:rsidR="00EE4D7F">
        <w:rPr>
          <w:rFonts w:asciiTheme="minorHAnsi" w:hAnsiTheme="minorHAnsi"/>
        </w:rPr>
        <w:t>cost category</w:t>
      </w:r>
      <w:r>
        <w:rPr>
          <w:rFonts w:asciiTheme="minorHAnsi" w:hAnsiTheme="minorHAnsi"/>
        </w:rPr>
        <w:t xml:space="preserve">. Any operator </w:t>
      </w:r>
      <w:r w:rsidR="00EE4D7F">
        <w:rPr>
          <w:rFonts w:asciiTheme="minorHAnsi" w:hAnsiTheme="minorHAnsi"/>
        </w:rPr>
        <w:t xml:space="preserve">costs that </w:t>
      </w:r>
      <w:r>
        <w:rPr>
          <w:rFonts w:asciiTheme="minorHAnsi" w:hAnsiTheme="minorHAnsi"/>
        </w:rPr>
        <w:t xml:space="preserve">depend on market share are </w:t>
      </w:r>
      <w:r w:rsidR="00D55409">
        <w:rPr>
          <w:rFonts w:asciiTheme="minorHAnsi" w:hAnsiTheme="minorHAnsi"/>
        </w:rPr>
        <w:t xml:space="preserve">classified as </w:t>
      </w:r>
      <w:r>
        <w:rPr>
          <w:rFonts w:asciiTheme="minorHAnsi" w:hAnsiTheme="minorHAnsi"/>
        </w:rPr>
        <w:t xml:space="preserve">variable </w:t>
      </w:r>
      <w:r w:rsidR="00D55409">
        <w:rPr>
          <w:rFonts w:asciiTheme="minorHAnsi" w:hAnsiTheme="minorHAnsi"/>
        </w:rPr>
        <w:t>costs</w:t>
      </w:r>
      <w:r>
        <w:rPr>
          <w:rFonts w:asciiTheme="minorHAnsi" w:hAnsiTheme="minorHAnsi"/>
        </w:rPr>
        <w:t xml:space="preserve">. </w:t>
      </w:r>
      <w:r w:rsidR="00D55409">
        <w:rPr>
          <w:rFonts w:asciiTheme="minorHAnsi" w:hAnsiTheme="minorHAnsi"/>
        </w:rPr>
        <w:t xml:space="preserve">However, it is </w:t>
      </w:r>
      <w:r w:rsidR="00BD5955">
        <w:rPr>
          <w:rFonts w:asciiTheme="minorHAnsi" w:hAnsiTheme="minorHAnsi"/>
        </w:rPr>
        <w:t>difficult</w:t>
      </w:r>
      <w:r w:rsidR="00D55409">
        <w:rPr>
          <w:rFonts w:asciiTheme="minorHAnsi" w:hAnsiTheme="minorHAnsi"/>
        </w:rPr>
        <w:t xml:space="preserve"> to classify t</w:t>
      </w:r>
      <w:r>
        <w:rPr>
          <w:rFonts w:asciiTheme="minorHAnsi" w:hAnsiTheme="minorHAnsi"/>
        </w:rPr>
        <w:t>he remaining costs</w:t>
      </w:r>
      <w:r w:rsidR="00D55409">
        <w:rPr>
          <w:rFonts w:asciiTheme="minorHAnsi" w:hAnsiTheme="minorHAnsi"/>
        </w:rPr>
        <w:t>:</w:t>
      </w:r>
      <w:r>
        <w:rPr>
          <w:rFonts w:asciiTheme="minorHAnsi" w:hAnsiTheme="minorHAnsi"/>
        </w:rPr>
        <w:t xml:space="preserve"> operator costs that depend on f</w:t>
      </w:r>
      <w:r w:rsidR="00EE4D7F">
        <w:rPr>
          <w:rFonts w:asciiTheme="minorHAnsi" w:hAnsiTheme="minorHAnsi"/>
        </w:rPr>
        <w:t>actors</w:t>
      </w:r>
      <w:r>
        <w:rPr>
          <w:rFonts w:asciiTheme="minorHAnsi" w:hAnsiTheme="minorHAnsi"/>
        </w:rPr>
        <w:t xml:space="preserve"> </w:t>
      </w:r>
      <w:r w:rsidR="00D55409">
        <w:rPr>
          <w:rFonts w:asciiTheme="minorHAnsi" w:hAnsiTheme="minorHAnsi"/>
        </w:rPr>
        <w:t>other than</w:t>
      </w:r>
      <w:r>
        <w:rPr>
          <w:rFonts w:asciiTheme="minorHAnsi" w:hAnsiTheme="minorHAnsi"/>
        </w:rPr>
        <w:t xml:space="preserve"> market share</w:t>
      </w:r>
      <w:r w:rsidR="00D55409">
        <w:rPr>
          <w:rFonts w:asciiTheme="minorHAnsi" w:hAnsiTheme="minorHAnsi"/>
        </w:rPr>
        <w:t>,</w:t>
      </w:r>
      <w:r>
        <w:rPr>
          <w:rFonts w:asciiTheme="minorHAnsi" w:hAnsiTheme="minorHAnsi"/>
        </w:rPr>
        <w:t xml:space="preserve"> and sector costs. </w:t>
      </w:r>
      <w:r w:rsidR="000551DF">
        <w:rPr>
          <w:rFonts w:asciiTheme="minorHAnsi" w:hAnsiTheme="minorHAnsi"/>
        </w:rPr>
        <w:t xml:space="preserve">In its submission to the investigation, the ICRC </w:t>
      </w:r>
      <w:r w:rsidR="00BF7A89">
        <w:rPr>
          <w:rFonts w:asciiTheme="minorHAnsi" w:hAnsiTheme="minorHAnsi"/>
        </w:rPr>
        <w:t>said</w:t>
      </w:r>
      <w:r w:rsidR="000551DF">
        <w:rPr>
          <w:rFonts w:asciiTheme="minorHAnsi" w:hAnsiTheme="minorHAnsi"/>
        </w:rPr>
        <w:t>:</w:t>
      </w:r>
    </w:p>
    <w:p w:rsidR="000551DF" w:rsidRPr="009667F1" w:rsidRDefault="000551DF" w:rsidP="00591669">
      <w:pPr>
        <w:pStyle w:val="Quote1"/>
      </w:pPr>
      <w:r w:rsidRPr="009667F1">
        <w:t>The definition of a fixed regulatory cost is problematic. It could be argued that most regulatory costs incurred by the Technical Regulator and the [ICRC] are unrelated to an operator</w:t>
      </w:r>
      <w:r w:rsidR="00BF7A89">
        <w:t>’</w:t>
      </w:r>
      <w:r w:rsidRPr="009667F1">
        <w:t>s market share. In respect of ACAT its adjudications are likely to be in response to the actions of a specific provider though that will only be know ex-post. These costs, however, need not be directly be related to an operator’s market share.</w:t>
      </w:r>
    </w:p>
    <w:p w:rsidR="009667F1" w:rsidRPr="009667F1" w:rsidRDefault="00D55409" w:rsidP="000551DF">
      <w:pPr>
        <w:jc w:val="both"/>
        <w:rPr>
          <w:i/>
        </w:rPr>
      </w:pPr>
      <w:r>
        <w:rPr>
          <w:rFonts w:asciiTheme="minorHAnsi" w:hAnsiTheme="minorHAnsi"/>
        </w:rPr>
        <w:t xml:space="preserve">In current practice, </w:t>
      </w:r>
      <w:r w:rsidR="00EE4D7F">
        <w:rPr>
          <w:rFonts w:asciiTheme="minorHAnsi" w:hAnsiTheme="minorHAnsi"/>
        </w:rPr>
        <w:t xml:space="preserve">factor dependent </w:t>
      </w:r>
      <w:r w:rsidR="000551DF">
        <w:rPr>
          <w:rFonts w:asciiTheme="minorHAnsi" w:hAnsiTheme="minorHAnsi"/>
        </w:rPr>
        <w:t xml:space="preserve">operator </w:t>
      </w:r>
      <w:r w:rsidR="00EE4D7F">
        <w:rPr>
          <w:rFonts w:asciiTheme="minorHAnsi" w:hAnsiTheme="minorHAnsi"/>
        </w:rPr>
        <w:t>costs</w:t>
      </w:r>
      <w:r w:rsidR="000551DF">
        <w:rPr>
          <w:rFonts w:asciiTheme="minorHAnsi" w:hAnsiTheme="minorHAnsi"/>
        </w:rPr>
        <w:t xml:space="preserve"> and sector</w:t>
      </w:r>
      <w:r>
        <w:rPr>
          <w:rFonts w:asciiTheme="minorHAnsi" w:hAnsiTheme="minorHAnsi"/>
        </w:rPr>
        <w:t xml:space="preserve"> </w:t>
      </w:r>
      <w:r w:rsidR="000551DF">
        <w:rPr>
          <w:rFonts w:asciiTheme="minorHAnsi" w:hAnsiTheme="minorHAnsi"/>
        </w:rPr>
        <w:t xml:space="preserve">costs </w:t>
      </w:r>
      <w:r>
        <w:rPr>
          <w:rFonts w:asciiTheme="minorHAnsi" w:hAnsiTheme="minorHAnsi"/>
        </w:rPr>
        <w:t xml:space="preserve">are </w:t>
      </w:r>
      <w:r w:rsidR="00FB087D">
        <w:rPr>
          <w:rFonts w:asciiTheme="minorHAnsi" w:hAnsiTheme="minorHAnsi"/>
        </w:rPr>
        <w:t xml:space="preserve">typically </w:t>
      </w:r>
      <w:r w:rsidR="000551DF">
        <w:rPr>
          <w:rFonts w:asciiTheme="minorHAnsi" w:hAnsiTheme="minorHAnsi"/>
        </w:rPr>
        <w:t>classified</w:t>
      </w:r>
      <w:r w:rsidR="00FB087D">
        <w:rPr>
          <w:rFonts w:asciiTheme="minorHAnsi" w:hAnsiTheme="minorHAnsi"/>
        </w:rPr>
        <w:t xml:space="preserve"> </w:t>
      </w:r>
      <w:r w:rsidR="000551DF">
        <w:rPr>
          <w:rFonts w:asciiTheme="minorHAnsi" w:hAnsiTheme="minorHAnsi"/>
        </w:rPr>
        <w:t xml:space="preserve">as </w:t>
      </w:r>
      <w:r w:rsidR="00FB087D">
        <w:rPr>
          <w:rFonts w:asciiTheme="minorHAnsi" w:hAnsiTheme="minorHAnsi"/>
        </w:rPr>
        <w:t>variable co</w:t>
      </w:r>
      <w:r w:rsidR="000551DF">
        <w:rPr>
          <w:rFonts w:asciiTheme="minorHAnsi" w:hAnsiTheme="minorHAnsi"/>
        </w:rPr>
        <w:t>st</w:t>
      </w:r>
      <w:r>
        <w:rPr>
          <w:rFonts w:asciiTheme="minorHAnsi" w:hAnsiTheme="minorHAnsi"/>
        </w:rPr>
        <w:t xml:space="preserve">, but there is no certainty that this will continue and </w:t>
      </w:r>
      <w:r w:rsidR="00592EE0">
        <w:rPr>
          <w:rFonts w:asciiTheme="minorHAnsi" w:hAnsiTheme="minorHAnsi"/>
        </w:rPr>
        <w:t>insufficient</w:t>
      </w:r>
      <w:r>
        <w:rPr>
          <w:rFonts w:asciiTheme="minorHAnsi" w:hAnsiTheme="minorHAnsi"/>
        </w:rPr>
        <w:t xml:space="preserve"> transparency </w:t>
      </w:r>
      <w:r w:rsidR="00592EE0">
        <w:rPr>
          <w:rFonts w:asciiTheme="minorHAnsi" w:hAnsiTheme="minorHAnsi"/>
        </w:rPr>
        <w:t xml:space="preserve">to </w:t>
      </w:r>
      <w:r>
        <w:rPr>
          <w:rFonts w:asciiTheme="minorHAnsi" w:hAnsiTheme="minorHAnsi"/>
        </w:rPr>
        <w:t xml:space="preserve">allow the industry to understand </w:t>
      </w:r>
      <w:r w:rsidR="00592EE0">
        <w:rPr>
          <w:rFonts w:asciiTheme="minorHAnsi" w:hAnsiTheme="minorHAnsi"/>
        </w:rPr>
        <w:t xml:space="preserve">the </w:t>
      </w:r>
      <w:r>
        <w:rPr>
          <w:rFonts w:asciiTheme="minorHAnsi" w:hAnsiTheme="minorHAnsi"/>
        </w:rPr>
        <w:t>current practice.</w:t>
      </w:r>
      <w:r w:rsidR="000551DF">
        <w:rPr>
          <w:rFonts w:asciiTheme="minorHAnsi" w:hAnsiTheme="minorHAnsi"/>
        </w:rPr>
        <w:t xml:space="preserve"> The </w:t>
      </w:r>
      <w:r w:rsidR="00F77B7B">
        <w:rPr>
          <w:rFonts w:asciiTheme="minorHAnsi" w:hAnsiTheme="minorHAnsi"/>
        </w:rPr>
        <w:t xml:space="preserve">above </w:t>
      </w:r>
      <w:r w:rsidR="000551DF">
        <w:rPr>
          <w:rFonts w:asciiTheme="minorHAnsi" w:hAnsiTheme="minorHAnsi"/>
        </w:rPr>
        <w:t xml:space="preserve">quote clearly </w:t>
      </w:r>
      <w:r w:rsidR="00F77B7B">
        <w:rPr>
          <w:rFonts w:asciiTheme="minorHAnsi" w:hAnsiTheme="minorHAnsi"/>
        </w:rPr>
        <w:t xml:space="preserve">indicates </w:t>
      </w:r>
      <w:r w:rsidR="000551DF">
        <w:rPr>
          <w:rFonts w:asciiTheme="minorHAnsi" w:hAnsiTheme="minorHAnsi"/>
        </w:rPr>
        <w:t>different ap</w:t>
      </w:r>
      <w:r w:rsidR="006460A2">
        <w:rPr>
          <w:rFonts w:asciiTheme="minorHAnsi" w:hAnsiTheme="minorHAnsi"/>
        </w:rPr>
        <w:t>proaches to this classification are possible.</w:t>
      </w:r>
      <w:r>
        <w:rPr>
          <w:rFonts w:asciiTheme="minorHAnsi" w:hAnsiTheme="minorHAnsi"/>
        </w:rPr>
        <w:t xml:space="preserve"> </w:t>
      </w:r>
    </w:p>
    <w:p w:rsidR="00103ED8" w:rsidRDefault="00103ED8" w:rsidP="00D85385">
      <w:pPr>
        <w:pStyle w:val="Heading3"/>
      </w:pPr>
      <w:bookmarkStart w:id="33" w:name="_Toc443901114"/>
      <w:bookmarkStart w:id="34" w:name="_Toc444861382"/>
      <w:bookmarkStart w:id="35" w:name="_Toc449438539"/>
      <w:bookmarkStart w:id="36" w:name="_Toc454982000"/>
      <w:r>
        <w:t xml:space="preserve">Appropriateness of </w:t>
      </w:r>
      <w:r w:rsidR="000B3F70">
        <w:t xml:space="preserve">the </w:t>
      </w:r>
      <w:r>
        <w:t>current structure</w:t>
      </w:r>
      <w:bookmarkEnd w:id="33"/>
      <w:bookmarkEnd w:id="34"/>
      <w:bookmarkEnd w:id="35"/>
      <w:bookmarkEnd w:id="36"/>
    </w:p>
    <w:p w:rsidR="00AB7F75" w:rsidRDefault="00AB7F75" w:rsidP="00591669">
      <w:pPr>
        <w:jc w:val="both"/>
      </w:pPr>
      <w:r>
        <w:t>There are three problems with the current levy structure:</w:t>
      </w:r>
    </w:p>
    <w:p w:rsidR="00AB7F75" w:rsidRDefault="0058653C" w:rsidP="0001275B">
      <w:pPr>
        <w:pStyle w:val="ListParagraph"/>
        <w:numPr>
          <w:ilvl w:val="0"/>
          <w:numId w:val="19"/>
        </w:numPr>
      </w:pPr>
      <w:r>
        <w:t xml:space="preserve">it is not straightforward to classify </w:t>
      </w:r>
      <w:r w:rsidR="00C8301D">
        <w:t>regulatory costs by sector;</w:t>
      </w:r>
    </w:p>
    <w:p w:rsidR="00AB7F75" w:rsidRDefault="0058653C" w:rsidP="0001275B">
      <w:pPr>
        <w:pStyle w:val="ListParagraph"/>
        <w:numPr>
          <w:ilvl w:val="0"/>
          <w:numId w:val="19"/>
        </w:numPr>
      </w:pPr>
      <w:r>
        <w:t xml:space="preserve">it is not straightforward to </w:t>
      </w:r>
      <w:r w:rsidR="00C8301D">
        <w:t>classif</w:t>
      </w:r>
      <w:r>
        <w:t>y</w:t>
      </w:r>
      <w:r w:rsidR="00C8301D">
        <w:t xml:space="preserve"> </w:t>
      </w:r>
      <w:r>
        <w:t xml:space="preserve">regulatory costs </w:t>
      </w:r>
      <w:r w:rsidR="00C8301D">
        <w:t xml:space="preserve">as </w:t>
      </w:r>
      <w:r w:rsidR="00AB7F75">
        <w:t xml:space="preserve">fixed </w:t>
      </w:r>
      <w:r w:rsidR="00C8301D">
        <w:t xml:space="preserve">or as variable; and </w:t>
      </w:r>
    </w:p>
    <w:p w:rsidR="00AB7F75" w:rsidRDefault="00C8301D" w:rsidP="0001275B">
      <w:pPr>
        <w:pStyle w:val="ListParagraph"/>
        <w:numPr>
          <w:ilvl w:val="0"/>
          <w:numId w:val="19"/>
        </w:numPr>
      </w:pPr>
      <w:proofErr w:type="gramStart"/>
      <w:r>
        <w:t>the</w:t>
      </w:r>
      <w:proofErr w:type="gramEnd"/>
      <w:r>
        <w:t xml:space="preserve"> fixed cost</w:t>
      </w:r>
      <w:r w:rsidR="00A44062">
        <w:t>s have</w:t>
      </w:r>
      <w:r>
        <w:t xml:space="preserve"> historically been volatile. </w:t>
      </w:r>
    </w:p>
    <w:p w:rsidR="00C8301D" w:rsidRDefault="00162E45" w:rsidP="00591669">
      <w:pPr>
        <w:spacing w:before="240"/>
        <w:jc w:val="both"/>
      </w:pPr>
      <w:r>
        <w:t xml:space="preserve">The fairness principle requires costs be assigned correctly to industry sectors, so they can be recovered from the responsible utilities. </w:t>
      </w:r>
      <w:r w:rsidR="00220170">
        <w:t xml:space="preserve">The difficulty of administering </w:t>
      </w:r>
      <w:r w:rsidR="00576BCC">
        <w:t>the Levy</w:t>
      </w:r>
      <w:r w:rsidR="00220170">
        <w:t xml:space="preserve"> increase</w:t>
      </w:r>
      <w:r>
        <w:t>s</w:t>
      </w:r>
      <w:r w:rsidR="00943D3A">
        <w:t xml:space="preserve"> in proportion to </w:t>
      </w:r>
      <w:r w:rsidR="007821F5">
        <w:t>the difficult</w:t>
      </w:r>
      <w:r w:rsidR="00220170">
        <w:t>y in classifying costs by sector or as fixed</w:t>
      </w:r>
      <w:r w:rsidR="00B27D01">
        <w:t xml:space="preserve"> costs,</w:t>
      </w:r>
      <w:r>
        <w:t xml:space="preserve"> </w:t>
      </w:r>
      <w:r w:rsidR="00892582">
        <w:t xml:space="preserve">and in turn </w:t>
      </w:r>
      <w:r w:rsidR="00943D3A">
        <w:t>decreases</w:t>
      </w:r>
      <w:r w:rsidR="00220170">
        <w:t xml:space="preserve"> the efficiency of the EIL. The consequence of </w:t>
      </w:r>
      <w:r w:rsidR="00C603C4">
        <w:t xml:space="preserve">these </w:t>
      </w:r>
      <w:r w:rsidR="00220170">
        <w:t xml:space="preserve">interpretation </w:t>
      </w:r>
      <w:r w:rsidR="00C603C4">
        <w:t xml:space="preserve">difficulties </w:t>
      </w:r>
      <w:r>
        <w:t>i</w:t>
      </w:r>
      <w:r w:rsidR="00220170">
        <w:t xml:space="preserve">s that the EIL is not stable and predictable. </w:t>
      </w:r>
    </w:p>
    <w:p w:rsidR="00C8301D" w:rsidRDefault="002F0FAF" w:rsidP="00591669">
      <w:pPr>
        <w:spacing w:before="240"/>
        <w:jc w:val="both"/>
      </w:pPr>
      <w:r>
        <w:t>There is currently no straightforward way to overcome the difficult</w:t>
      </w:r>
      <w:r w:rsidR="00892582">
        <w:t>y</w:t>
      </w:r>
      <w:r>
        <w:t xml:space="preserve"> in </w:t>
      </w:r>
      <w:r w:rsidR="00C8301D">
        <w:t>classif</w:t>
      </w:r>
      <w:r>
        <w:t>ying</w:t>
      </w:r>
      <w:r w:rsidR="00C8301D">
        <w:t xml:space="preserve"> </w:t>
      </w:r>
      <w:r>
        <w:t xml:space="preserve">costs </w:t>
      </w:r>
      <w:r w:rsidR="00C8301D">
        <w:t>by sector. National costs will continue to be aggregated, le</w:t>
      </w:r>
      <w:r w:rsidR="002A4967">
        <w:t xml:space="preserve">aving </w:t>
      </w:r>
      <w:r w:rsidR="00576BCC">
        <w:t>the Levy</w:t>
      </w:r>
      <w:r w:rsidR="002A4967">
        <w:t xml:space="preserve"> A</w:t>
      </w:r>
      <w:r w:rsidR="00A55EB8">
        <w:t xml:space="preserve">dministrator to </w:t>
      </w:r>
      <w:r w:rsidR="003B7449">
        <w:t>determine the proportion for each sector</w:t>
      </w:r>
      <w:r w:rsidR="00C8301D">
        <w:t xml:space="preserve">. </w:t>
      </w:r>
      <w:r w:rsidR="004F4521">
        <w:t>Nonetheless, transparency of this process can be increased through public</w:t>
      </w:r>
      <w:r>
        <w:t>ly</w:t>
      </w:r>
      <w:r w:rsidR="004F4521">
        <w:t xml:space="preserve"> available </w:t>
      </w:r>
      <w:r w:rsidR="007F6BEF">
        <w:t xml:space="preserve">information on </w:t>
      </w:r>
      <w:r w:rsidR="002A4967">
        <w:t>the method used by the A</w:t>
      </w:r>
      <w:r w:rsidR="004F4521">
        <w:t>dministr</w:t>
      </w:r>
      <w:r w:rsidR="003B7449">
        <w:t>ator</w:t>
      </w:r>
      <w:r w:rsidR="004F4521">
        <w:t xml:space="preserve">. </w:t>
      </w:r>
    </w:p>
    <w:p w:rsidR="00C8301D" w:rsidRDefault="00025C03" w:rsidP="00591669">
      <w:pPr>
        <w:spacing w:before="240"/>
        <w:jc w:val="both"/>
      </w:pPr>
      <w:r>
        <w:t>The problem of classif</w:t>
      </w:r>
      <w:r w:rsidR="00C52FE4">
        <w:t>ying</w:t>
      </w:r>
      <w:r>
        <w:t xml:space="preserve"> costs as fixed or variable </w:t>
      </w:r>
      <w:r w:rsidR="00EA0DBD">
        <w:t>can be solved by either clarifying the legislation or provid</w:t>
      </w:r>
      <w:r w:rsidR="00A72C36">
        <w:t xml:space="preserve">ing adequate guidelines </w:t>
      </w:r>
      <w:r w:rsidR="000C5A4E">
        <w:t>for</w:t>
      </w:r>
      <w:r w:rsidR="002A4967">
        <w:t xml:space="preserve"> the A</w:t>
      </w:r>
      <w:r w:rsidR="00EA0DBD">
        <w:t xml:space="preserve">dministrator and industry. Alternatively, the problem can be avoided by restructuring </w:t>
      </w:r>
      <w:r w:rsidR="00576BCC">
        <w:t>the Levy</w:t>
      </w:r>
      <w:r w:rsidR="00493F55">
        <w:t>;</w:t>
      </w:r>
      <w:r w:rsidR="00EA0DBD">
        <w:t xml:space="preserve"> some options are presented </w:t>
      </w:r>
      <w:r w:rsidR="00892582">
        <w:t xml:space="preserve">in </w:t>
      </w:r>
      <w:r w:rsidR="00875697">
        <w:t>Section 4</w:t>
      </w:r>
      <w:r w:rsidR="00EA0DBD">
        <w:t>. The volatility of the fixed cost category is</w:t>
      </w:r>
      <w:r w:rsidR="000C5A4E">
        <w:t xml:space="preserve"> an</w:t>
      </w:r>
      <w:r w:rsidR="00EA0DBD">
        <w:t xml:space="preserve"> additional reason to re</w:t>
      </w:r>
      <w:r w:rsidR="000C5A4E">
        <w:t xml:space="preserve">move this classification from </w:t>
      </w:r>
      <w:r w:rsidR="00576BCC">
        <w:t>the Levy</w:t>
      </w:r>
      <w:r w:rsidR="00EA0DBD">
        <w:t>. In its submission to the investigation, the</w:t>
      </w:r>
      <w:r w:rsidR="000C5A4E">
        <w:t xml:space="preserve"> ICRC </w:t>
      </w:r>
      <w:r w:rsidR="00892582">
        <w:t>recommended the latter approach:</w:t>
      </w:r>
    </w:p>
    <w:p w:rsidR="009667F1" w:rsidRDefault="00025C03" w:rsidP="00591669">
      <w:pPr>
        <w:pStyle w:val="Quote1"/>
      </w:pPr>
      <w:r w:rsidRPr="00EA0DBD">
        <w:t xml:space="preserve">The Commission’s view is that it is not necessary to separately identify fixed regulatory cost and that all regulatory costs, other than costs directly attributed to a specific operator, should be recovered from the operators in a sector on </w:t>
      </w:r>
      <w:r w:rsidR="00EA0DBD" w:rsidRPr="00EA0DBD">
        <w:t>the basis of their market share.</w:t>
      </w:r>
    </w:p>
    <w:p w:rsidR="003E6A70" w:rsidRDefault="00892582" w:rsidP="00591669">
      <w:pPr>
        <w:spacing w:before="240"/>
        <w:jc w:val="both"/>
      </w:pPr>
      <w:r>
        <w:t xml:space="preserve">In conclusion, </w:t>
      </w:r>
      <w:r w:rsidR="003E6A70">
        <w:t xml:space="preserve">the current structure of the EIL is inappropriate, due </w:t>
      </w:r>
      <w:r>
        <w:t xml:space="preserve">to the </w:t>
      </w:r>
      <w:r w:rsidR="003E6A70">
        <w:t>deficien</w:t>
      </w:r>
      <w:r>
        <w:t>t</w:t>
      </w:r>
      <w:r w:rsidR="003E6A70">
        <w:t xml:space="preserve"> </w:t>
      </w:r>
      <w:r w:rsidR="000C5A4E">
        <w:t>definition of fixed costs</w:t>
      </w:r>
      <w:r>
        <w:t xml:space="preserve">. </w:t>
      </w:r>
    </w:p>
    <w:p w:rsidR="003E6A70" w:rsidRDefault="0075723D" w:rsidP="003E6A70">
      <w:pPr>
        <w:spacing w:before="240"/>
      </w:pPr>
      <w:r>
        <w:t>The o</w:t>
      </w:r>
      <w:r w:rsidR="00B83D0D" w:rsidRPr="00D34E49">
        <w:t>ptions</w:t>
      </w:r>
      <w:r w:rsidR="003E6A70">
        <w:t xml:space="preserve"> </w:t>
      </w:r>
      <w:r w:rsidR="00D34E49">
        <w:t>f</w:t>
      </w:r>
      <w:r w:rsidR="00A32C9A">
        <w:t>or improving the levy structure are</w:t>
      </w:r>
      <w:r w:rsidR="00D23F05">
        <w:t>:</w:t>
      </w:r>
    </w:p>
    <w:p w:rsidR="003E6A70" w:rsidRDefault="003E6A70" w:rsidP="0001275B">
      <w:pPr>
        <w:pStyle w:val="ListParagraph"/>
        <w:numPr>
          <w:ilvl w:val="0"/>
          <w:numId w:val="20"/>
        </w:numPr>
        <w:spacing w:before="240"/>
      </w:pPr>
      <w:r>
        <w:t>clarify legislation to improve the</w:t>
      </w:r>
      <w:r w:rsidR="00FA6652">
        <w:t xml:space="preserve"> current</w:t>
      </w:r>
      <w:r>
        <w:t xml:space="preserve"> classification of</w:t>
      </w:r>
      <w:r w:rsidR="00B83D0D">
        <w:t xml:space="preserve"> regulator</w:t>
      </w:r>
      <w:r>
        <w:t xml:space="preserve"> costs as fixed or variable;</w:t>
      </w:r>
    </w:p>
    <w:p w:rsidR="003E6A70" w:rsidRDefault="003E6A70" w:rsidP="0001275B">
      <w:pPr>
        <w:pStyle w:val="ListParagraph"/>
        <w:numPr>
          <w:ilvl w:val="0"/>
          <w:numId w:val="20"/>
        </w:numPr>
        <w:spacing w:before="240"/>
        <w:jc w:val="both"/>
      </w:pPr>
      <w:r>
        <w:t xml:space="preserve">provide adequate guidelines </w:t>
      </w:r>
      <w:r w:rsidR="000C5A4E">
        <w:t xml:space="preserve">to explain the </w:t>
      </w:r>
      <w:r w:rsidR="00FA6652">
        <w:t xml:space="preserve">current </w:t>
      </w:r>
      <w:r w:rsidR="002A4967">
        <w:t>practice of the A</w:t>
      </w:r>
      <w:r>
        <w:t>dministrator in classifying fixed and variable costs; or</w:t>
      </w:r>
    </w:p>
    <w:p w:rsidR="003E6A70" w:rsidRDefault="003E6A70" w:rsidP="0001275B">
      <w:pPr>
        <w:pStyle w:val="ListParagraph"/>
        <w:numPr>
          <w:ilvl w:val="0"/>
          <w:numId w:val="20"/>
        </w:numPr>
        <w:spacing w:before="240"/>
      </w:pPr>
      <w:proofErr w:type="gramStart"/>
      <w:r>
        <w:t>restructure</w:t>
      </w:r>
      <w:proofErr w:type="gramEnd"/>
      <w:r>
        <w:t xml:space="preserve"> the EIL to remove the </w:t>
      </w:r>
      <w:r w:rsidR="00FA6652">
        <w:t xml:space="preserve">current </w:t>
      </w:r>
      <w:r>
        <w:t>classificatio</w:t>
      </w:r>
      <w:r w:rsidR="00B27D01">
        <w:t xml:space="preserve">n of costs </w:t>
      </w:r>
      <w:r w:rsidR="001134F2">
        <w:t>as fixed or variable.</w:t>
      </w:r>
    </w:p>
    <w:p w:rsidR="009C096D" w:rsidRDefault="009C096D" w:rsidP="003A4496">
      <w:pPr>
        <w:spacing w:before="240"/>
        <w:jc w:val="both"/>
      </w:pPr>
      <w:r>
        <w:t xml:space="preserve">The investigation </w:t>
      </w:r>
      <w:r w:rsidR="002C21CB">
        <w:t>recommends</w:t>
      </w:r>
      <w:r>
        <w:t xml:space="preserve"> the third option. A </w:t>
      </w:r>
      <w:r w:rsidR="002C21CB">
        <w:t>new</w:t>
      </w:r>
      <w:r w:rsidR="00CA68B3">
        <w:t>,</w:t>
      </w:r>
      <w:r w:rsidR="002C21CB">
        <w:t xml:space="preserve"> </w:t>
      </w:r>
      <w:r>
        <w:t>clearly defined structure is less likely to result in misinterpretation</w:t>
      </w:r>
      <w:r w:rsidR="002C21CB">
        <w:t xml:space="preserve"> and</w:t>
      </w:r>
      <w:r w:rsidR="00CA68B3">
        <w:t xml:space="preserve"> allows</w:t>
      </w:r>
      <w:r w:rsidR="002C21CB">
        <w:t xml:space="preserve"> for administrative simplicity</w:t>
      </w:r>
      <w:r>
        <w:t>. A new structure also allows for a new method of distribution, as outlined in Section 3.2. The investigation recommends:</w:t>
      </w:r>
    </w:p>
    <w:p w:rsidR="00C61A24" w:rsidRPr="003E6A70" w:rsidRDefault="00C61A24" w:rsidP="00C61A24">
      <w:pPr>
        <w:pStyle w:val="Recommendationnonlist"/>
      </w:pPr>
      <w:bookmarkStart w:id="37" w:name="_Toc443051382"/>
      <w:r>
        <w:rPr>
          <w:b/>
        </w:rPr>
        <w:t>Recommendation 1</w:t>
      </w:r>
      <w:r w:rsidRPr="003E6A70">
        <w:rPr>
          <w:b/>
        </w:rPr>
        <w:t>:</w:t>
      </w:r>
      <w:r>
        <w:t xml:space="preserve"> Amend the current classification of costs as fixed or variable in the EIL structure.</w:t>
      </w:r>
    </w:p>
    <w:p w:rsidR="00A4381D" w:rsidRDefault="0067782F" w:rsidP="00A4381D">
      <w:pPr>
        <w:pStyle w:val="Heading2"/>
      </w:pPr>
      <w:bookmarkStart w:id="38" w:name="_Toc454982001"/>
      <w:r>
        <w:t xml:space="preserve">3.2 </w:t>
      </w:r>
      <w:r w:rsidR="000B3F70">
        <w:t xml:space="preserve">Term of Reference 2 — </w:t>
      </w:r>
      <w:r w:rsidR="00A4381D">
        <w:t>Current method of distribution</w:t>
      </w:r>
      <w:bookmarkEnd w:id="38"/>
    </w:p>
    <w:p w:rsidR="00C833C0" w:rsidRDefault="00C833C0" w:rsidP="00C833C0">
      <w:pPr>
        <w:jc w:val="both"/>
      </w:pPr>
      <w:r>
        <w:t>This section describes and comments on the current method of distributing the EIL between utilities in each sector. The following section presents alternat</w:t>
      </w:r>
      <w:r w:rsidR="00492E22">
        <w:t>iv</w:t>
      </w:r>
      <w:r>
        <w:t>e methods. To aid with exposition, adjustments due to differences between estimated costs and actual costs</w:t>
      </w:r>
      <w:r w:rsidR="00B86275">
        <w:t>,</w:t>
      </w:r>
      <w:r>
        <w:t xml:space="preserve"> and the </w:t>
      </w:r>
      <w:r w:rsidR="00A373C3">
        <w:t xml:space="preserve">definition of </w:t>
      </w:r>
      <w:r w:rsidRPr="009F17B3">
        <w:t>market share</w:t>
      </w:r>
      <w:r>
        <w:t xml:space="preserve"> (in the current formula this is based on proportion of energy supplied) are </w:t>
      </w:r>
      <w:r w:rsidR="00F361BF">
        <w:t>left until</w:t>
      </w:r>
      <w:r>
        <w:t xml:space="preserve"> </w:t>
      </w:r>
      <w:r w:rsidR="00875697">
        <w:t>Sections 4.1 and 5.1</w:t>
      </w:r>
      <w:r>
        <w:t xml:space="preserve">. </w:t>
      </w:r>
    </w:p>
    <w:p w:rsidR="00961B81" w:rsidRDefault="00C833C0" w:rsidP="00D816D2">
      <w:pPr>
        <w:jc w:val="both"/>
      </w:pPr>
      <w:r>
        <w:t xml:space="preserve">As the method of distribution </w:t>
      </w:r>
      <w:r w:rsidR="003C6D03">
        <w:t>currently</w:t>
      </w:r>
      <w:r w:rsidR="003D7113">
        <w:t xml:space="preserve"> </w:t>
      </w:r>
      <w:r>
        <w:t>use</w:t>
      </w:r>
      <w:r w:rsidR="003D7113">
        <w:t>s</w:t>
      </w:r>
      <w:r>
        <w:t xml:space="preserve"> a formula, this report </w:t>
      </w:r>
      <w:r w:rsidR="003D7113">
        <w:t>employs</w:t>
      </w:r>
      <w:r w:rsidR="00D816D2">
        <w:t xml:space="preserve"> the following standard notation throughout. </w:t>
      </w:r>
    </w:p>
    <w:p w:rsidR="00961B81" w:rsidRDefault="00D816D2" w:rsidP="0001275B">
      <w:pPr>
        <w:pStyle w:val="ListParagraph"/>
        <w:numPr>
          <w:ilvl w:val="0"/>
          <w:numId w:val="21"/>
        </w:numPr>
        <w:jc w:val="both"/>
      </w:pPr>
      <w:r>
        <w:t>T</w:t>
      </w:r>
      <w:r w:rsidR="00C833C0">
        <w:t xml:space="preserve">he total </w:t>
      </w:r>
      <w:r>
        <w:t xml:space="preserve">regulatory </w:t>
      </w:r>
      <w:r w:rsidR="00961B81">
        <w:t>cost to be recovered i</w:t>
      </w:r>
      <w:r w:rsidR="00C833C0">
        <w:t>s</w:t>
      </w:r>
      <w:r>
        <w:t xml:space="preserve"> referred to </w:t>
      </w:r>
      <w:proofErr w:type="gramStart"/>
      <w:r>
        <w:t>as</w:t>
      </w:r>
      <w:r w:rsidR="00C833C0">
        <w:t xml:space="preserve"> </w:t>
      </w:r>
      <m:oMath>
        <w:proofErr w:type="gramEnd"/>
        <m:r>
          <w:rPr>
            <w:rFonts w:ascii="Cambria Math" w:hAnsi="Cambria Math"/>
          </w:rPr>
          <m:t>L</m:t>
        </m:r>
      </m:oMath>
      <w:r w:rsidR="00961B81">
        <w:t>.</w:t>
      </w:r>
      <w:r w:rsidR="00C833C0">
        <w:t xml:space="preserve"> </w:t>
      </w:r>
    </w:p>
    <w:p w:rsidR="00961B81" w:rsidRDefault="00961B81" w:rsidP="0001275B">
      <w:pPr>
        <w:pStyle w:val="ListParagraph"/>
        <w:numPr>
          <w:ilvl w:val="0"/>
          <w:numId w:val="21"/>
        </w:numPr>
        <w:jc w:val="both"/>
      </w:pPr>
      <w:r>
        <w:t>T</w:t>
      </w:r>
      <w:r w:rsidR="00C833C0">
        <w:t>he number of operators in</w:t>
      </w:r>
      <w:r w:rsidR="00D816D2">
        <w:t xml:space="preserve"> the sector is referred to </w:t>
      </w:r>
      <w:proofErr w:type="gramStart"/>
      <w:r w:rsidR="00D816D2">
        <w:t>as</w:t>
      </w:r>
      <w:r w:rsidR="00C833C0">
        <w:t xml:space="preserve"> </w:t>
      </w:r>
      <m:oMath>
        <w:proofErr w:type="gramEnd"/>
        <m:r>
          <w:rPr>
            <w:rFonts w:ascii="Cambria Math" w:hAnsi="Cambria Math"/>
          </w:rPr>
          <m:t>NC</m:t>
        </m:r>
      </m:oMath>
      <w:r>
        <w:t>.</w:t>
      </w:r>
      <w:r w:rsidR="00C833C0">
        <w:t xml:space="preserve"> </w:t>
      </w:r>
    </w:p>
    <w:p w:rsidR="00D7775D" w:rsidRDefault="00961B81" w:rsidP="00A4381D">
      <w:pPr>
        <w:pStyle w:val="ListParagraph"/>
        <w:numPr>
          <w:ilvl w:val="0"/>
          <w:numId w:val="21"/>
        </w:numPr>
        <w:jc w:val="both"/>
      </w:pPr>
      <w:r>
        <w:t>T</w:t>
      </w:r>
      <w:r w:rsidR="00C833C0">
        <w:t xml:space="preserve">he market share of </w:t>
      </w:r>
      <w:r w:rsidR="00F361BF">
        <w:t xml:space="preserve">the </w:t>
      </w:r>
      <w:r w:rsidR="00C833C0">
        <w:t xml:space="preserve">firm </w:t>
      </w:r>
      <m:oMath>
        <m:r>
          <w:rPr>
            <w:rFonts w:ascii="Cambria Math" w:hAnsi="Cambria Math"/>
          </w:rPr>
          <m:t>a</m:t>
        </m:r>
      </m:oMath>
      <w:r w:rsidR="00C833C0">
        <w:t xml:space="preserve"> </w:t>
      </w:r>
      <w:proofErr w:type="gramStart"/>
      <w:r w:rsidR="00D816D2">
        <w:t>i</w:t>
      </w:r>
      <w:r w:rsidR="00C833C0">
        <w:t xml:space="preserve">s </w:t>
      </w:r>
      <m:oMath>
        <w:proofErr w:type="gramEnd"/>
        <m:sSub>
          <m:sSubPr>
            <m:ctrlPr>
              <w:rPr>
                <w:rFonts w:ascii="Cambria Math" w:hAnsi="Cambria Math"/>
                <w:i/>
              </w:rPr>
            </m:ctrlPr>
          </m:sSubPr>
          <m:e>
            <m:r>
              <w:rPr>
                <w:rFonts w:ascii="Cambria Math" w:hAnsi="Cambria Math"/>
              </w:rPr>
              <m:t>M</m:t>
            </m:r>
          </m:e>
          <m:sub>
            <m:r>
              <w:rPr>
                <w:rFonts w:ascii="Cambria Math" w:hAnsi="Cambria Math"/>
              </w:rPr>
              <m:t>a</m:t>
            </m:r>
          </m:sub>
        </m:sSub>
      </m:oMath>
      <w:r w:rsidR="00C833C0">
        <w:t>.</w:t>
      </w:r>
      <w:r w:rsidR="00D816D2">
        <w:t xml:space="preserve"> </w:t>
      </w:r>
    </w:p>
    <w:p w:rsidR="008C53A9" w:rsidRDefault="00F55B8A" w:rsidP="00C94E73">
      <w:pPr>
        <w:spacing w:before="240" w:after="0"/>
        <w:jc w:val="both"/>
        <w:rPr>
          <w:rFonts w:asciiTheme="minorHAnsi" w:hAnsiTheme="minorHAnsi"/>
        </w:rPr>
      </w:pPr>
      <w:r w:rsidRPr="00907BE7">
        <w:rPr>
          <w:rFonts w:eastAsia="Times New Roman"/>
          <w:color w:val="000000"/>
          <w:lang w:eastAsia="en-AU"/>
        </w:rPr>
        <w:t>In the current method of distribution, the regulatory costs for each industry sector are divided into fixed</w:t>
      </w:r>
      <w:proofErr w:type="gramStart"/>
      <w:r w:rsidRPr="00907BE7">
        <w:rPr>
          <w:rFonts w:eastAsia="Times New Roman"/>
          <w:color w:val="000000"/>
          <w:lang w:eastAsia="en-AU"/>
        </w:rPr>
        <w:t xml:space="preserve">, </w:t>
      </w:r>
      <m:oMath>
        <w:proofErr w:type="gramEnd"/>
        <m:r>
          <w:rPr>
            <w:rFonts w:ascii="Cambria Math" w:eastAsia="Times New Roman" w:hAnsi="Cambria Math"/>
            <w:color w:val="000000"/>
            <w:lang w:eastAsia="en-AU"/>
          </w:rPr>
          <m:t>K</m:t>
        </m:r>
      </m:oMath>
      <w:r w:rsidRPr="00907BE7">
        <w:rPr>
          <w:rFonts w:eastAsia="Times New Roman"/>
          <w:color w:val="000000"/>
          <w:lang w:eastAsia="en-AU"/>
        </w:rPr>
        <w:t xml:space="preserve">, and variable, </w:t>
      </w:r>
      <m:oMath>
        <m:r>
          <w:rPr>
            <w:rFonts w:ascii="Cambria Math" w:eastAsia="Times New Roman" w:hAnsi="Cambria Math"/>
            <w:color w:val="000000"/>
            <w:lang w:eastAsia="en-AU"/>
          </w:rPr>
          <m:t>L-K</m:t>
        </m:r>
      </m:oMath>
      <w:r w:rsidRPr="00907BE7">
        <w:rPr>
          <w:rFonts w:eastAsia="Times New Roman"/>
          <w:color w:val="000000"/>
          <w:lang w:eastAsia="en-AU"/>
        </w:rPr>
        <w:t xml:space="preserve">, components. </w:t>
      </w:r>
      <w:r w:rsidR="008946DB">
        <w:rPr>
          <w:rFonts w:asciiTheme="minorHAnsi" w:hAnsiTheme="minorHAnsi"/>
        </w:rPr>
        <w:t>As discussed</w:t>
      </w:r>
      <w:r w:rsidR="00961B81">
        <w:rPr>
          <w:rFonts w:asciiTheme="minorHAnsi" w:hAnsiTheme="minorHAnsi"/>
        </w:rPr>
        <w:t xml:space="preserve"> in </w:t>
      </w:r>
      <w:r w:rsidR="00875697">
        <w:rPr>
          <w:rFonts w:asciiTheme="minorHAnsi" w:hAnsiTheme="minorHAnsi"/>
        </w:rPr>
        <w:t>Section 3.1</w:t>
      </w:r>
      <w:r w:rsidR="00961B81">
        <w:rPr>
          <w:rFonts w:asciiTheme="minorHAnsi" w:hAnsiTheme="minorHAnsi"/>
        </w:rPr>
        <w:t>, t</w:t>
      </w:r>
      <w:r w:rsidR="00A4381D" w:rsidRPr="00517652">
        <w:rPr>
          <w:rFonts w:asciiTheme="minorHAnsi" w:hAnsiTheme="minorHAnsi"/>
        </w:rPr>
        <w:t>he fixed regulatory cost for an energy industry sector</w:t>
      </w:r>
      <w:proofErr w:type="gramStart"/>
      <w:r w:rsidR="00A4381D" w:rsidRPr="00517652">
        <w:rPr>
          <w:rFonts w:asciiTheme="minorHAnsi" w:hAnsiTheme="minorHAnsi"/>
        </w:rPr>
        <w:t xml:space="preserve">, </w:t>
      </w:r>
      <m:oMath>
        <w:proofErr w:type="gramEnd"/>
        <m:r>
          <w:rPr>
            <w:rFonts w:ascii="Cambria Math" w:hAnsi="Cambria Math"/>
          </w:rPr>
          <m:t>K</m:t>
        </m:r>
      </m:oMath>
      <w:r w:rsidR="00A4381D" w:rsidRPr="00517652">
        <w:rPr>
          <w:rFonts w:asciiTheme="minorHAnsi" w:hAnsiTheme="minorHAnsi"/>
        </w:rPr>
        <w:t xml:space="preserve">, is defined as </w:t>
      </w:r>
      <w:r w:rsidR="00A4381D">
        <w:rPr>
          <w:rFonts w:asciiTheme="minorHAnsi" w:hAnsiTheme="minorHAnsi"/>
        </w:rPr>
        <w:t>“</w:t>
      </w:r>
      <w:r w:rsidR="00A4381D" w:rsidRPr="00517652">
        <w:rPr>
          <w:rFonts w:asciiTheme="minorHAnsi" w:hAnsiTheme="minorHAnsi"/>
        </w:rPr>
        <w:t>the net regulatory cost incurred for an energy utility that is unrelated to the utility’s market share</w:t>
      </w:r>
      <w:r w:rsidR="008E60D2">
        <w:rPr>
          <w:rFonts w:asciiTheme="minorHAnsi" w:hAnsiTheme="minorHAnsi"/>
        </w:rPr>
        <w:t>.</w:t>
      </w:r>
      <w:r w:rsidR="00A4381D">
        <w:rPr>
          <w:rFonts w:asciiTheme="minorHAnsi" w:hAnsiTheme="minorHAnsi"/>
        </w:rPr>
        <w:t>”</w:t>
      </w:r>
      <w:r w:rsidR="00875697">
        <w:rPr>
          <w:rStyle w:val="FootnoteReference"/>
          <w:rFonts w:asciiTheme="minorHAnsi" w:hAnsiTheme="minorHAnsi"/>
        </w:rPr>
        <w:footnoteReference w:id="14"/>
      </w:r>
      <w:r w:rsidR="00A4381D" w:rsidRPr="00517652">
        <w:rPr>
          <w:rFonts w:asciiTheme="minorHAnsi" w:hAnsiTheme="minorHAnsi"/>
        </w:rPr>
        <w:t xml:space="preserve"> </w:t>
      </w:r>
      <w:r w:rsidR="00A4381D">
        <w:rPr>
          <w:rFonts w:asciiTheme="minorHAnsi" w:hAnsiTheme="minorHAnsi"/>
        </w:rPr>
        <w:t xml:space="preserve">In the terminology introduced </w:t>
      </w:r>
      <w:r w:rsidR="00112569">
        <w:rPr>
          <w:rFonts w:asciiTheme="minorHAnsi" w:hAnsiTheme="minorHAnsi"/>
        </w:rPr>
        <w:t>in</w:t>
      </w:r>
      <w:r w:rsidR="00875697">
        <w:rPr>
          <w:rFonts w:asciiTheme="minorHAnsi" w:hAnsiTheme="minorHAnsi"/>
        </w:rPr>
        <w:t xml:space="preserve"> Section 2</w:t>
      </w:r>
      <w:r w:rsidR="00A4381D">
        <w:rPr>
          <w:rFonts w:asciiTheme="minorHAnsi" w:hAnsiTheme="minorHAnsi"/>
        </w:rPr>
        <w:t xml:space="preserve">, this includes </w:t>
      </w:r>
      <w:r w:rsidR="00F556BA">
        <w:rPr>
          <w:rFonts w:asciiTheme="minorHAnsi" w:hAnsiTheme="minorHAnsi"/>
        </w:rPr>
        <w:t xml:space="preserve">factor independent </w:t>
      </w:r>
      <w:r w:rsidR="00A4381D">
        <w:rPr>
          <w:rFonts w:asciiTheme="minorHAnsi" w:hAnsiTheme="minorHAnsi"/>
        </w:rPr>
        <w:t xml:space="preserve">operator costs. Any </w:t>
      </w:r>
      <w:r w:rsidR="00F556BA">
        <w:rPr>
          <w:rFonts w:asciiTheme="minorHAnsi" w:hAnsiTheme="minorHAnsi"/>
        </w:rPr>
        <w:t xml:space="preserve">market share dependent </w:t>
      </w:r>
      <w:r w:rsidR="00A4381D">
        <w:rPr>
          <w:rFonts w:asciiTheme="minorHAnsi" w:hAnsiTheme="minorHAnsi"/>
        </w:rPr>
        <w:t xml:space="preserve">operator costs are </w:t>
      </w:r>
      <w:r w:rsidR="007F3012">
        <w:rPr>
          <w:rFonts w:asciiTheme="minorHAnsi" w:hAnsiTheme="minorHAnsi"/>
        </w:rPr>
        <w:t>part of</w:t>
      </w:r>
      <w:r w:rsidR="00A4381D">
        <w:rPr>
          <w:rFonts w:asciiTheme="minorHAnsi" w:hAnsiTheme="minorHAnsi"/>
        </w:rPr>
        <w:t xml:space="preserve"> the variable component. The remaining costs are any </w:t>
      </w:r>
      <w:r w:rsidR="00143EB7">
        <w:rPr>
          <w:rFonts w:asciiTheme="minorHAnsi" w:hAnsiTheme="minorHAnsi"/>
        </w:rPr>
        <w:t xml:space="preserve">factor dependent </w:t>
      </w:r>
      <w:r w:rsidR="00A4381D">
        <w:rPr>
          <w:rFonts w:asciiTheme="minorHAnsi" w:hAnsiTheme="minorHAnsi"/>
        </w:rPr>
        <w:t>operator costs that depend on features unrela</w:t>
      </w:r>
      <w:r w:rsidR="00F361BF">
        <w:rPr>
          <w:rFonts w:asciiTheme="minorHAnsi" w:hAnsiTheme="minorHAnsi"/>
        </w:rPr>
        <w:t>ted to market share and sector</w:t>
      </w:r>
      <w:r w:rsidR="00A4381D">
        <w:rPr>
          <w:rFonts w:asciiTheme="minorHAnsi" w:hAnsiTheme="minorHAnsi"/>
        </w:rPr>
        <w:t xml:space="preserve"> costs. </w:t>
      </w:r>
      <w:r w:rsidR="007F3012">
        <w:rPr>
          <w:rFonts w:asciiTheme="minorHAnsi" w:hAnsiTheme="minorHAnsi"/>
        </w:rPr>
        <w:t>As discussed above, t</w:t>
      </w:r>
      <w:r w:rsidR="00A4381D">
        <w:rPr>
          <w:rFonts w:asciiTheme="minorHAnsi" w:hAnsiTheme="minorHAnsi"/>
        </w:rPr>
        <w:t xml:space="preserve">he legislation is not clear on these costs, but in practice they are typically both included in the variable component. </w:t>
      </w:r>
    </w:p>
    <w:p w:rsidR="008C53A9" w:rsidRDefault="008C53A9">
      <w:pPr>
        <w:spacing w:after="0" w:line="240" w:lineRule="auto"/>
        <w:rPr>
          <w:rFonts w:asciiTheme="minorHAnsi" w:hAnsiTheme="minorHAnsi"/>
        </w:rPr>
      </w:pPr>
      <w:r>
        <w:rPr>
          <w:rFonts w:asciiTheme="minorHAnsi" w:hAnsiTheme="minorHAnsi"/>
        </w:rPr>
        <w:br w:type="page"/>
      </w:r>
    </w:p>
    <w:p w:rsidR="00907BE7" w:rsidRPr="00907BE7" w:rsidRDefault="00FB1B71" w:rsidP="00907BE7">
      <w:pPr>
        <w:keepNext/>
        <w:keepLines/>
        <w:spacing w:before="200" w:after="0"/>
        <w:jc w:val="center"/>
        <w:outlineLvl w:val="2"/>
        <w:rPr>
          <w:rFonts w:ascii="Arial" w:eastAsia="Times New Roman" w:hAnsi="Arial"/>
          <w:b/>
          <w:bCs/>
          <w:color w:val="262626"/>
        </w:rPr>
      </w:pPr>
      <w:bookmarkStart w:id="39" w:name="_Toc454982002"/>
      <w:r>
        <w:rPr>
          <w:rFonts w:ascii="Arial" w:eastAsia="Times New Roman" w:hAnsi="Arial"/>
          <w:b/>
          <w:bCs/>
          <w:color w:val="262626"/>
        </w:rPr>
        <w:t>C</w:t>
      </w:r>
      <w:r w:rsidR="00907BE7" w:rsidRPr="00907BE7">
        <w:rPr>
          <w:rFonts w:ascii="Arial" w:eastAsia="Times New Roman" w:hAnsi="Arial"/>
          <w:b/>
          <w:bCs/>
          <w:color w:val="262626"/>
        </w:rPr>
        <w:t>urrent method of distribution</w:t>
      </w:r>
      <w:bookmarkEnd w:id="39"/>
    </w:p>
    <w:p w:rsidR="00907BE7" w:rsidRPr="00907BE7" w:rsidRDefault="00907BE7" w:rsidP="00907BE7">
      <w:pPr>
        <w:keepNext/>
        <w:keepLines/>
        <w:spacing w:before="200" w:after="0"/>
        <w:outlineLvl w:val="3"/>
        <w:rPr>
          <w:rFonts w:ascii="Arial" w:eastAsia="Times New Roman" w:hAnsi="Arial"/>
          <w:b/>
          <w:bCs/>
          <w:i/>
          <w:iCs/>
          <w:color w:val="AB4387"/>
        </w:rPr>
      </w:pPr>
      <w:r w:rsidRPr="00907BE7">
        <w:rPr>
          <w:rFonts w:ascii="Arial" w:eastAsia="Times New Roman" w:hAnsi="Arial"/>
          <w:b/>
          <w:bCs/>
          <w:i/>
          <w:iCs/>
          <w:color w:val="AB4387"/>
        </w:rPr>
        <w:t>Method, formula, and structure categories:</w:t>
      </w:r>
    </w:p>
    <w:tbl>
      <w:tblPr>
        <w:tblW w:w="9072" w:type="dxa"/>
        <w:tblInd w:w="108" w:type="dxa"/>
        <w:tblLayout w:type="fixed"/>
        <w:tblLook w:val="04A0"/>
      </w:tblPr>
      <w:tblGrid>
        <w:gridCol w:w="9072"/>
      </w:tblGrid>
      <w:tr w:rsidR="00907BE7" w:rsidRPr="00907BE7" w:rsidTr="003B49EE">
        <w:trPr>
          <w:trHeight w:val="157"/>
        </w:trPr>
        <w:tc>
          <w:tcPr>
            <w:tcW w:w="9072" w:type="dxa"/>
            <w:tcBorders>
              <w:top w:val="nil"/>
              <w:left w:val="nil"/>
              <w:bottom w:val="single" w:sz="12" w:space="0" w:color="FFFFFF"/>
              <w:right w:val="single" w:sz="4" w:space="0" w:color="FFFFFF"/>
            </w:tcBorders>
            <w:shd w:val="clear" w:color="auto" w:fill="4F81BD"/>
            <w:noWrap/>
            <w:vAlign w:val="bottom"/>
            <w:hideMark/>
          </w:tcPr>
          <w:p w:rsidR="00907BE7" w:rsidRPr="00907BE7" w:rsidRDefault="00907BE7" w:rsidP="00907BE7">
            <w:pPr>
              <w:spacing w:after="0" w:line="240" w:lineRule="auto"/>
              <w:rPr>
                <w:rFonts w:eastAsia="Times New Roman"/>
                <w:b/>
                <w:bCs/>
                <w:color w:val="FFFFFF"/>
                <w:sz w:val="20"/>
                <w:lang w:eastAsia="en-AU"/>
              </w:rPr>
            </w:pPr>
            <w:r w:rsidRPr="00907BE7">
              <w:rPr>
                <w:i/>
                <w:color w:val="FFFFFF"/>
              </w:rPr>
              <w:t>Method</w:t>
            </w:r>
          </w:p>
        </w:tc>
      </w:tr>
      <w:tr w:rsidR="00907BE7" w:rsidRPr="00907BE7" w:rsidTr="003B49EE">
        <w:trPr>
          <w:trHeight w:val="340"/>
        </w:trPr>
        <w:tc>
          <w:tcPr>
            <w:tcW w:w="9072" w:type="dxa"/>
            <w:tcBorders>
              <w:top w:val="nil"/>
              <w:left w:val="nil"/>
              <w:bottom w:val="single" w:sz="4" w:space="0" w:color="FFFFFF"/>
              <w:right w:val="single" w:sz="4" w:space="0" w:color="FFFFFF"/>
            </w:tcBorders>
            <w:shd w:val="clear" w:color="auto" w:fill="FFFFFF"/>
            <w:noWrap/>
            <w:vAlign w:val="center"/>
            <w:hideMark/>
          </w:tcPr>
          <w:p w:rsidR="00907BE7" w:rsidRPr="007B48EC" w:rsidRDefault="00907BE7" w:rsidP="00907BE7">
            <w:pPr>
              <w:spacing w:after="0"/>
              <w:jc w:val="both"/>
              <w:rPr>
                <w:rFonts w:eastAsia="Times New Roman"/>
                <w:color w:val="000000" w:themeColor="text1"/>
                <w:lang w:eastAsia="en-AU"/>
              </w:rPr>
            </w:pPr>
            <w:r w:rsidRPr="007B48EC">
              <w:rPr>
                <w:rFonts w:eastAsia="Times New Roman"/>
                <w:color w:val="000000" w:themeColor="text1"/>
                <w:lang w:eastAsia="en-AU"/>
              </w:rPr>
              <w:t>The fixed component is distributed uniformly among the utilities in the sector, while the variable component is charged in proportion to the operator’s market share.</w:t>
            </w:r>
          </w:p>
        </w:tc>
      </w:tr>
      <w:tr w:rsidR="00907BE7" w:rsidRPr="00907BE7" w:rsidTr="003B49EE">
        <w:trPr>
          <w:trHeight w:val="70"/>
        </w:trPr>
        <w:tc>
          <w:tcPr>
            <w:tcW w:w="9072" w:type="dxa"/>
            <w:tcBorders>
              <w:top w:val="nil"/>
              <w:left w:val="nil"/>
              <w:right w:val="single" w:sz="4" w:space="0" w:color="FFFFFF"/>
            </w:tcBorders>
            <w:shd w:val="clear" w:color="auto" w:fill="4F81BD"/>
            <w:noWrap/>
            <w:vAlign w:val="center"/>
            <w:hideMark/>
          </w:tcPr>
          <w:p w:rsidR="00907BE7" w:rsidRPr="00907BE7" w:rsidRDefault="00907BE7" w:rsidP="00907BE7">
            <w:pPr>
              <w:spacing w:after="0" w:line="240" w:lineRule="auto"/>
              <w:rPr>
                <w:i/>
                <w:color w:val="FFFFFF"/>
              </w:rPr>
            </w:pPr>
            <w:r w:rsidRPr="00907BE7">
              <w:rPr>
                <w:i/>
                <w:color w:val="FFFFFF"/>
              </w:rPr>
              <w:t>Formula for individual firm</w:t>
            </w:r>
          </w:p>
        </w:tc>
      </w:tr>
      <w:tr w:rsidR="00907BE7" w:rsidRPr="00907BE7" w:rsidTr="003B49EE">
        <w:trPr>
          <w:trHeight w:val="864"/>
        </w:trPr>
        <w:tc>
          <w:tcPr>
            <w:tcW w:w="9072" w:type="dxa"/>
            <w:tcBorders>
              <w:top w:val="nil"/>
              <w:left w:val="nil"/>
              <w:bottom w:val="nil"/>
              <w:right w:val="single" w:sz="4" w:space="0" w:color="FFFFFF"/>
            </w:tcBorders>
            <w:shd w:val="clear" w:color="auto" w:fill="FFFFFF"/>
            <w:noWrap/>
            <w:vAlign w:val="center"/>
            <w:hideMark/>
          </w:tcPr>
          <w:p w:rsidR="00907BE7" w:rsidRPr="007B48EC" w:rsidRDefault="00606DE5" w:rsidP="00907BE7">
            <w:pPr>
              <w:spacing w:before="240" w:after="0"/>
              <w:jc w:val="both"/>
              <w:rPr>
                <w:rFonts w:ascii="Cambria Math" w:hAnsi="Cambria Math"/>
                <w:i/>
                <w:color w:val="000000" w:themeColor="text1"/>
              </w:rPr>
            </w:pPr>
            <m:oMathPara>
              <m:oMath>
                <m:f>
                  <m:fPr>
                    <m:ctrlPr>
                      <w:rPr>
                        <w:rFonts w:ascii="Cambria Math" w:hAnsi="Cambria Math"/>
                        <w:i/>
                        <w:color w:val="000000" w:themeColor="text1"/>
                      </w:rPr>
                    </m:ctrlPr>
                  </m:fPr>
                  <m:num>
                    <m:r>
                      <w:rPr>
                        <w:rFonts w:ascii="Cambria Math" w:hAnsi="Cambria Math"/>
                        <w:color w:val="000000" w:themeColor="text1"/>
                      </w:rPr>
                      <m:t>K</m:t>
                    </m:r>
                  </m:num>
                  <m:den>
                    <m:r>
                      <w:rPr>
                        <w:rFonts w:ascii="Cambria Math" w:hAnsi="Cambria Math"/>
                        <w:color w:val="000000" w:themeColor="text1"/>
                      </w:rPr>
                      <m:t>NC</m:t>
                    </m:r>
                  </m:den>
                </m:f>
                <m:r>
                  <w:rPr>
                    <w:rFonts w:ascii="Cambria Math" w:hAnsi="Cambria Math"/>
                    <w:color w:val="000000" w:themeColor="text1"/>
                  </w:rPr>
                  <m:t xml:space="preserve">+ </m:t>
                </m:r>
                <m:d>
                  <m:dPr>
                    <m:ctrlPr>
                      <w:rPr>
                        <w:rFonts w:ascii="Cambria Math" w:hAnsi="Cambria Math"/>
                        <w:i/>
                        <w:color w:val="000000" w:themeColor="text1"/>
                      </w:rPr>
                    </m:ctrlPr>
                  </m:dPr>
                  <m:e>
                    <m:r>
                      <w:rPr>
                        <w:rFonts w:ascii="Cambria Math" w:hAnsi="Cambria Math"/>
                        <w:color w:val="000000" w:themeColor="text1"/>
                      </w:rPr>
                      <m:t>L-K</m:t>
                    </m:r>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a</m:t>
                    </m:r>
                  </m:sub>
                </m:sSub>
              </m:oMath>
            </m:oMathPara>
          </w:p>
          <w:p w:rsidR="00907BE7" w:rsidRPr="00907BE7" w:rsidRDefault="00907BE7" w:rsidP="00907BE7">
            <w:pPr>
              <w:spacing w:after="0" w:line="240" w:lineRule="auto"/>
              <w:rPr>
                <w:i/>
                <w:color w:val="FFFFFF"/>
              </w:rPr>
            </w:pPr>
          </w:p>
        </w:tc>
      </w:tr>
      <w:tr w:rsidR="00907BE7" w:rsidRPr="00907BE7" w:rsidTr="003B49EE">
        <w:trPr>
          <w:trHeight w:val="183"/>
        </w:trPr>
        <w:tc>
          <w:tcPr>
            <w:tcW w:w="9072" w:type="dxa"/>
            <w:tcBorders>
              <w:top w:val="nil"/>
              <w:left w:val="nil"/>
              <w:bottom w:val="nil"/>
              <w:right w:val="single" w:sz="4" w:space="0" w:color="FFFFFF"/>
            </w:tcBorders>
            <w:shd w:val="clear" w:color="auto" w:fill="4F81BD"/>
            <w:noWrap/>
            <w:vAlign w:val="center"/>
            <w:hideMark/>
          </w:tcPr>
          <w:p w:rsidR="00907BE7" w:rsidRPr="00907BE7" w:rsidRDefault="00907BE7" w:rsidP="00907BE7">
            <w:pPr>
              <w:spacing w:after="0" w:line="240" w:lineRule="auto"/>
              <w:rPr>
                <w:i/>
                <w:color w:val="FFFFFF"/>
              </w:rPr>
            </w:pPr>
            <w:r w:rsidRPr="00907BE7">
              <w:rPr>
                <w:i/>
                <w:color w:val="FFFFFF"/>
              </w:rPr>
              <w:t>Categories in the levy structure</w:t>
            </w:r>
          </w:p>
        </w:tc>
      </w:tr>
      <w:tr w:rsidR="00907BE7" w:rsidRPr="00907BE7" w:rsidTr="003B49EE">
        <w:trPr>
          <w:trHeight w:val="361"/>
        </w:trPr>
        <w:tc>
          <w:tcPr>
            <w:tcW w:w="9072" w:type="dxa"/>
            <w:tcBorders>
              <w:top w:val="nil"/>
              <w:left w:val="nil"/>
              <w:bottom w:val="single" w:sz="4" w:space="0" w:color="8064A2"/>
              <w:right w:val="single" w:sz="4" w:space="0" w:color="FFFFFF"/>
            </w:tcBorders>
            <w:shd w:val="clear" w:color="auto" w:fill="FFFFFF"/>
            <w:noWrap/>
            <w:vAlign w:val="center"/>
            <w:hideMark/>
          </w:tcPr>
          <w:p w:rsidR="00907BE7" w:rsidRPr="007B48EC" w:rsidRDefault="00907BE7" w:rsidP="00907BE7">
            <w:pPr>
              <w:spacing w:after="0"/>
              <w:jc w:val="both"/>
              <w:rPr>
                <w:i/>
                <w:color w:val="000000" w:themeColor="text1"/>
              </w:rPr>
            </w:pPr>
            <w:r w:rsidRPr="007B48EC">
              <w:rPr>
                <w:color w:val="000000" w:themeColor="text1"/>
              </w:rPr>
              <w:t>Industry sectors, total regulatory cost, market share for each firm, and the fixed component.</w:t>
            </w:r>
          </w:p>
        </w:tc>
      </w:tr>
    </w:tbl>
    <w:p w:rsidR="00907BE7" w:rsidRPr="00907BE7" w:rsidRDefault="00907BE7" w:rsidP="00907BE7">
      <w:pPr>
        <w:keepNext/>
        <w:keepLines/>
        <w:spacing w:before="200" w:after="0"/>
        <w:outlineLvl w:val="3"/>
        <w:rPr>
          <w:rFonts w:ascii="Arial" w:eastAsia="Times New Roman" w:hAnsi="Arial"/>
          <w:b/>
          <w:bCs/>
          <w:i/>
          <w:iCs/>
          <w:color w:val="AB4387"/>
        </w:rPr>
      </w:pPr>
      <w:r w:rsidRPr="00907BE7">
        <w:rPr>
          <w:rFonts w:ascii="Arial" w:eastAsia="Times New Roman" w:hAnsi="Arial"/>
          <w:b/>
          <w:bCs/>
          <w:i/>
          <w:iCs/>
          <w:color w:val="AB4387"/>
        </w:rPr>
        <w:t>Pros:</w:t>
      </w:r>
    </w:p>
    <w:tbl>
      <w:tblPr>
        <w:tblW w:w="9072" w:type="dxa"/>
        <w:tblInd w:w="108" w:type="dxa"/>
        <w:tblLayout w:type="fixed"/>
        <w:tblLook w:val="04A0"/>
      </w:tblPr>
      <w:tblGrid>
        <w:gridCol w:w="9072"/>
      </w:tblGrid>
      <w:tr w:rsidR="00907BE7" w:rsidRPr="00907BE7" w:rsidTr="003B49EE">
        <w:trPr>
          <w:trHeight w:val="163"/>
        </w:trPr>
        <w:tc>
          <w:tcPr>
            <w:tcW w:w="9072" w:type="dxa"/>
            <w:tcBorders>
              <w:top w:val="nil"/>
              <w:left w:val="nil"/>
              <w:bottom w:val="single" w:sz="12" w:space="0" w:color="FFFFFF"/>
              <w:right w:val="single" w:sz="4" w:space="0" w:color="FFFFFF"/>
            </w:tcBorders>
            <w:shd w:val="clear" w:color="auto" w:fill="4F81BD"/>
            <w:noWrap/>
            <w:vAlign w:val="center"/>
            <w:hideMark/>
          </w:tcPr>
          <w:p w:rsidR="00907BE7" w:rsidRPr="00907BE7" w:rsidRDefault="00907BE7" w:rsidP="00907BE7">
            <w:pPr>
              <w:spacing w:after="0" w:line="240" w:lineRule="auto"/>
              <w:rPr>
                <w:i/>
                <w:color w:val="FFFFFF"/>
              </w:rPr>
            </w:pPr>
            <w:r w:rsidRPr="00907BE7">
              <w:rPr>
                <w:i/>
                <w:color w:val="FFFFFF"/>
              </w:rPr>
              <w:t xml:space="preserve">Cost recovery </w:t>
            </w:r>
            <w:r w:rsidRPr="00907BE7">
              <w:rPr>
                <w:color w:val="FFFFFF"/>
              </w:rPr>
              <w:sym w:font="Wingdings" w:char="F0AB"/>
            </w:r>
            <w:r w:rsidRPr="00907BE7">
              <w:rPr>
                <w:color w:val="FFFFFF"/>
              </w:rPr>
              <w:sym w:font="Wingdings" w:char="F0AB"/>
            </w:r>
            <w:r w:rsidRPr="00907BE7">
              <w:rPr>
                <w:color w:val="FFFFFF"/>
              </w:rPr>
              <w:sym w:font="Wingdings" w:char="F0AB"/>
            </w:r>
            <w:r w:rsidRPr="00907BE7">
              <w:rPr>
                <w:color w:val="FFFFFF"/>
              </w:rPr>
              <w:sym w:font="Wingdings" w:char="F0AB"/>
            </w:r>
          </w:p>
        </w:tc>
      </w:tr>
      <w:tr w:rsidR="00907BE7" w:rsidRPr="00907BE7" w:rsidTr="003B49EE">
        <w:trPr>
          <w:trHeight w:val="103"/>
        </w:trPr>
        <w:tc>
          <w:tcPr>
            <w:tcW w:w="9072" w:type="dxa"/>
            <w:tcBorders>
              <w:top w:val="nil"/>
              <w:left w:val="nil"/>
              <w:bottom w:val="single" w:sz="4" w:space="0" w:color="FFFFFF"/>
              <w:right w:val="single" w:sz="4" w:space="0" w:color="FFFFFF"/>
            </w:tcBorders>
            <w:shd w:val="clear" w:color="auto" w:fill="FFFFFF"/>
            <w:noWrap/>
            <w:vAlign w:val="center"/>
            <w:hideMark/>
          </w:tcPr>
          <w:p w:rsidR="00907BE7" w:rsidRPr="007B48EC" w:rsidRDefault="00907BE7" w:rsidP="00907BE7">
            <w:pPr>
              <w:spacing w:after="0" w:line="240" w:lineRule="auto"/>
              <w:jc w:val="both"/>
              <w:rPr>
                <w:color w:val="000000" w:themeColor="text1"/>
              </w:rPr>
            </w:pPr>
            <w:r w:rsidRPr="007B48EC">
              <w:rPr>
                <w:color w:val="000000" w:themeColor="text1"/>
              </w:rPr>
              <w:t>The ACT methodology has a reputation among other states as a good cost recovery mechanism. This approach should reliably recover the total costs of regulation.</w:t>
            </w:r>
          </w:p>
        </w:tc>
      </w:tr>
      <w:tr w:rsidR="00907BE7" w:rsidRPr="00907BE7" w:rsidTr="003B49EE">
        <w:trPr>
          <w:trHeight w:val="70"/>
        </w:trPr>
        <w:tc>
          <w:tcPr>
            <w:tcW w:w="9072" w:type="dxa"/>
            <w:tcBorders>
              <w:top w:val="nil"/>
              <w:left w:val="nil"/>
              <w:right w:val="single" w:sz="4" w:space="0" w:color="FFFFFF"/>
            </w:tcBorders>
            <w:shd w:val="clear" w:color="auto" w:fill="4F81BD"/>
            <w:noWrap/>
            <w:vAlign w:val="center"/>
            <w:hideMark/>
          </w:tcPr>
          <w:p w:rsidR="00907BE7" w:rsidRPr="00907BE7" w:rsidRDefault="00907BE7" w:rsidP="00907BE7">
            <w:pPr>
              <w:spacing w:after="0" w:line="240" w:lineRule="auto"/>
              <w:rPr>
                <w:i/>
                <w:color w:val="FFFFFF"/>
              </w:rPr>
            </w:pPr>
            <w:r w:rsidRPr="00907BE7">
              <w:rPr>
                <w:i/>
                <w:color w:val="FFFFFF"/>
              </w:rPr>
              <w:t xml:space="preserve">Fair </w:t>
            </w:r>
            <w:r w:rsidRPr="00907BE7">
              <w:rPr>
                <w:color w:val="FFFFFF"/>
              </w:rPr>
              <w:sym w:font="Wingdings" w:char="F0AB"/>
            </w:r>
            <w:r w:rsidRPr="00907BE7">
              <w:rPr>
                <w:color w:val="FFFFFF"/>
              </w:rPr>
              <w:sym w:font="Wingdings" w:char="F0AB"/>
            </w:r>
            <w:r w:rsidRPr="00907BE7">
              <w:rPr>
                <w:color w:val="FFFFFF"/>
              </w:rPr>
              <w:sym w:font="Wingdings" w:char="F0AB"/>
            </w:r>
          </w:p>
        </w:tc>
      </w:tr>
      <w:tr w:rsidR="00907BE7" w:rsidRPr="00907BE7" w:rsidTr="003B49EE">
        <w:trPr>
          <w:trHeight w:val="542"/>
        </w:trPr>
        <w:tc>
          <w:tcPr>
            <w:tcW w:w="9072" w:type="dxa"/>
            <w:tcBorders>
              <w:top w:val="nil"/>
              <w:left w:val="nil"/>
              <w:bottom w:val="single" w:sz="4" w:space="0" w:color="4F81BD"/>
              <w:right w:val="single" w:sz="4" w:space="0" w:color="FFFFFF"/>
            </w:tcBorders>
            <w:shd w:val="clear" w:color="auto" w:fill="FFFFFF"/>
            <w:noWrap/>
            <w:vAlign w:val="center"/>
            <w:hideMark/>
          </w:tcPr>
          <w:p w:rsidR="00907BE7" w:rsidRPr="007B48EC" w:rsidRDefault="00907BE7" w:rsidP="00907BE7">
            <w:pPr>
              <w:spacing w:after="0" w:line="240" w:lineRule="auto"/>
              <w:contextualSpacing/>
              <w:jc w:val="both"/>
              <w:rPr>
                <w:rFonts w:eastAsia="Times New Roman"/>
                <w:color w:val="000000" w:themeColor="text1"/>
                <w:sz w:val="23"/>
                <w:szCs w:val="23"/>
                <w:lang w:eastAsia="en-AU"/>
              </w:rPr>
            </w:pPr>
            <w:r w:rsidRPr="007B48EC">
              <w:rPr>
                <w:rFonts w:eastAsia="Times New Roman"/>
                <w:color w:val="000000" w:themeColor="text1"/>
                <w:lang w:eastAsia="en-AU"/>
              </w:rPr>
              <w:t>The methodology is designed so that operators with large market shares will pay more. This is in recognition that regulatory costs vary according to a firm’s size and that the firms responsible for costs should pay for them.</w:t>
            </w:r>
          </w:p>
        </w:tc>
      </w:tr>
    </w:tbl>
    <w:p w:rsidR="00907BE7" w:rsidRPr="00907BE7" w:rsidRDefault="00907BE7" w:rsidP="00907BE7">
      <w:pPr>
        <w:keepNext/>
        <w:keepLines/>
        <w:spacing w:before="200" w:after="0"/>
        <w:outlineLvl w:val="3"/>
        <w:rPr>
          <w:rFonts w:ascii="Arial" w:eastAsia="Times New Roman" w:hAnsi="Arial"/>
          <w:b/>
          <w:bCs/>
          <w:i/>
          <w:iCs/>
          <w:color w:val="AB4387"/>
        </w:rPr>
      </w:pPr>
      <w:r w:rsidRPr="00907BE7">
        <w:rPr>
          <w:rFonts w:ascii="Arial" w:eastAsia="Times New Roman" w:hAnsi="Arial"/>
          <w:b/>
          <w:bCs/>
          <w:i/>
          <w:iCs/>
          <w:color w:val="AB4387"/>
        </w:rPr>
        <w:t>Cons:</w:t>
      </w:r>
    </w:p>
    <w:tbl>
      <w:tblPr>
        <w:tblW w:w="9072" w:type="dxa"/>
        <w:tblInd w:w="108" w:type="dxa"/>
        <w:tblLayout w:type="fixed"/>
        <w:tblLook w:val="04A0"/>
      </w:tblPr>
      <w:tblGrid>
        <w:gridCol w:w="9072"/>
      </w:tblGrid>
      <w:tr w:rsidR="00907BE7" w:rsidRPr="00907BE7" w:rsidTr="003B49EE">
        <w:trPr>
          <w:trHeight w:val="80"/>
        </w:trPr>
        <w:tc>
          <w:tcPr>
            <w:tcW w:w="9072" w:type="dxa"/>
            <w:tcBorders>
              <w:top w:val="nil"/>
              <w:left w:val="nil"/>
              <w:bottom w:val="single" w:sz="12" w:space="0" w:color="FFFFFF"/>
              <w:right w:val="single" w:sz="4" w:space="0" w:color="FFFFFF"/>
            </w:tcBorders>
            <w:shd w:val="clear" w:color="auto" w:fill="4F81BD"/>
            <w:noWrap/>
            <w:vAlign w:val="center"/>
            <w:hideMark/>
          </w:tcPr>
          <w:p w:rsidR="00907BE7" w:rsidRPr="00907BE7" w:rsidRDefault="00907BE7" w:rsidP="00907BE7">
            <w:pPr>
              <w:spacing w:after="0" w:line="240" w:lineRule="auto"/>
              <w:rPr>
                <w:i/>
                <w:color w:val="FFFFFF"/>
              </w:rPr>
            </w:pPr>
            <w:r w:rsidRPr="00907BE7">
              <w:rPr>
                <w:i/>
                <w:color w:val="FFFFFF"/>
              </w:rPr>
              <w:t xml:space="preserve">Predictability </w:t>
            </w:r>
            <w:r w:rsidRPr="00907BE7">
              <w:rPr>
                <w:color w:val="FFFFFF"/>
              </w:rPr>
              <w:sym w:font="Wingdings" w:char="F0AB"/>
            </w:r>
            <w:r w:rsidRPr="00907BE7">
              <w:rPr>
                <w:color w:val="FFFFFF"/>
              </w:rPr>
              <w:sym w:font="Wingdings" w:char="F0AB"/>
            </w:r>
          </w:p>
        </w:tc>
      </w:tr>
      <w:tr w:rsidR="00907BE7" w:rsidRPr="00907BE7" w:rsidTr="003B49EE">
        <w:trPr>
          <w:trHeight w:val="103"/>
        </w:trPr>
        <w:tc>
          <w:tcPr>
            <w:tcW w:w="9072" w:type="dxa"/>
            <w:tcBorders>
              <w:top w:val="nil"/>
              <w:left w:val="nil"/>
              <w:bottom w:val="single" w:sz="4" w:space="0" w:color="FFFFFF"/>
              <w:right w:val="single" w:sz="4" w:space="0" w:color="FFFFFF"/>
            </w:tcBorders>
            <w:shd w:val="clear" w:color="auto" w:fill="FFFFFF"/>
            <w:noWrap/>
            <w:vAlign w:val="center"/>
            <w:hideMark/>
          </w:tcPr>
          <w:p w:rsidR="00907BE7" w:rsidRPr="007B48EC" w:rsidRDefault="00907BE7" w:rsidP="00907BE7">
            <w:pPr>
              <w:spacing w:after="0" w:line="240" w:lineRule="auto"/>
              <w:jc w:val="both"/>
              <w:rPr>
                <w:color w:val="000000" w:themeColor="text1"/>
              </w:rPr>
            </w:pPr>
            <w:r w:rsidRPr="007B48EC">
              <w:rPr>
                <w:color w:val="000000" w:themeColor="text1"/>
              </w:rPr>
              <w:t xml:space="preserve">As outlined above, there is significant volatility in the Levy and the fixed component. This is especially true for operators with small market shares, where the fixed component is a substantial part of their levy charge (the fixed component can range from 1 per cent to 85 per cent of an electricity retail operator’s levy, and higher for gas retailers, see the indicative example in Appendix D). </w:t>
            </w:r>
          </w:p>
          <w:p w:rsidR="00907BE7" w:rsidRPr="007B48EC" w:rsidRDefault="00907BE7" w:rsidP="00907BE7">
            <w:pPr>
              <w:spacing w:before="240" w:after="0" w:line="240" w:lineRule="auto"/>
              <w:jc w:val="both"/>
              <w:rPr>
                <w:color w:val="000000" w:themeColor="text1"/>
              </w:rPr>
            </w:pPr>
            <w:r w:rsidRPr="007B48EC">
              <w:rPr>
                <w:color w:val="000000" w:themeColor="text1"/>
              </w:rPr>
              <w:t>The causes for the fluctuation of the fixed regulatory cost are not made sufficiently transparent.</w:t>
            </w:r>
          </w:p>
          <w:p w:rsidR="00907BE7" w:rsidRPr="00907BE7" w:rsidRDefault="00907BE7" w:rsidP="00907BE7">
            <w:pPr>
              <w:spacing w:before="240" w:after="0" w:line="240" w:lineRule="auto"/>
              <w:jc w:val="both"/>
            </w:pPr>
            <w:r w:rsidRPr="007B48EC">
              <w:rPr>
                <w:color w:val="000000" w:themeColor="text1"/>
              </w:rPr>
              <w:t>The fixed component of an operator’s charge depends on the number of operators in the sector. When an operator exits the market, this increases the Levy for all other operators. For smaller operators, where the fixed component can be 85 per cent of their levy, this can lead to significant increases—possibly leading to runaway costs, as multiple firms exit the sector.</w:t>
            </w:r>
          </w:p>
        </w:tc>
      </w:tr>
      <w:tr w:rsidR="00907BE7" w:rsidRPr="00907BE7" w:rsidTr="003B49EE">
        <w:trPr>
          <w:trHeight w:val="281"/>
        </w:trPr>
        <w:tc>
          <w:tcPr>
            <w:tcW w:w="9072" w:type="dxa"/>
            <w:tcBorders>
              <w:top w:val="nil"/>
              <w:left w:val="nil"/>
              <w:right w:val="single" w:sz="4" w:space="0" w:color="FFFFFF"/>
            </w:tcBorders>
            <w:shd w:val="clear" w:color="auto" w:fill="4F81BD"/>
            <w:noWrap/>
            <w:vAlign w:val="center"/>
            <w:hideMark/>
          </w:tcPr>
          <w:p w:rsidR="00907BE7" w:rsidRPr="00907BE7" w:rsidRDefault="00907BE7" w:rsidP="00907BE7">
            <w:pPr>
              <w:spacing w:after="0" w:line="240" w:lineRule="auto"/>
              <w:rPr>
                <w:i/>
                <w:color w:val="FFFFFF"/>
              </w:rPr>
            </w:pPr>
            <w:r w:rsidRPr="00907BE7">
              <w:rPr>
                <w:i/>
                <w:color w:val="FFFFFF"/>
              </w:rPr>
              <w:t xml:space="preserve">Fair </w:t>
            </w:r>
            <w:r w:rsidRPr="00907BE7">
              <w:rPr>
                <w:color w:val="FFFFFF"/>
              </w:rPr>
              <w:sym w:font="Wingdings" w:char="F0AB"/>
            </w:r>
            <w:r w:rsidRPr="00907BE7">
              <w:rPr>
                <w:color w:val="FFFFFF"/>
              </w:rPr>
              <w:sym w:font="Wingdings" w:char="F0AB"/>
            </w:r>
            <w:r w:rsidRPr="00907BE7">
              <w:rPr>
                <w:color w:val="FFFFFF"/>
              </w:rPr>
              <w:sym w:font="Wingdings" w:char="F0AB"/>
            </w:r>
          </w:p>
        </w:tc>
      </w:tr>
      <w:tr w:rsidR="00907BE7" w:rsidRPr="00907BE7" w:rsidTr="003B49EE">
        <w:trPr>
          <w:trHeight w:val="542"/>
        </w:trPr>
        <w:tc>
          <w:tcPr>
            <w:tcW w:w="9072" w:type="dxa"/>
            <w:tcBorders>
              <w:top w:val="nil"/>
              <w:left w:val="nil"/>
              <w:bottom w:val="nil"/>
              <w:right w:val="single" w:sz="4" w:space="0" w:color="FFFFFF"/>
            </w:tcBorders>
            <w:shd w:val="clear" w:color="auto" w:fill="FFFFFF"/>
            <w:noWrap/>
            <w:vAlign w:val="center"/>
            <w:hideMark/>
          </w:tcPr>
          <w:p w:rsidR="00907BE7" w:rsidRPr="007B48EC" w:rsidRDefault="00907BE7" w:rsidP="00907BE7">
            <w:pPr>
              <w:spacing w:after="0" w:line="240" w:lineRule="auto"/>
              <w:contextualSpacing/>
              <w:jc w:val="both"/>
              <w:rPr>
                <w:rFonts w:eastAsia="Times New Roman"/>
                <w:color w:val="000000" w:themeColor="text1"/>
                <w:lang w:eastAsia="en-AU"/>
              </w:rPr>
            </w:pPr>
            <w:r w:rsidRPr="007B48EC">
              <w:rPr>
                <w:rFonts w:eastAsia="Times New Roman"/>
                <w:color w:val="000000" w:themeColor="text1"/>
                <w:lang w:eastAsia="en-AU"/>
              </w:rPr>
              <w:t>The current levy structure does not adequately address fairness concerns.</w:t>
            </w:r>
          </w:p>
          <w:p w:rsidR="00907BE7" w:rsidRPr="007B48EC" w:rsidRDefault="00907BE7" w:rsidP="00907BE7">
            <w:pPr>
              <w:numPr>
                <w:ilvl w:val="0"/>
                <w:numId w:val="3"/>
              </w:numPr>
              <w:spacing w:after="0" w:line="240" w:lineRule="auto"/>
              <w:contextualSpacing/>
              <w:jc w:val="both"/>
              <w:rPr>
                <w:rFonts w:eastAsia="Times New Roman"/>
                <w:color w:val="000000" w:themeColor="text1"/>
                <w:lang w:eastAsia="en-AU"/>
              </w:rPr>
            </w:pPr>
            <w:r w:rsidRPr="007B48EC">
              <w:rPr>
                <w:rFonts w:eastAsia="Times New Roman"/>
                <w:color w:val="000000" w:themeColor="text1"/>
                <w:lang w:eastAsia="en-AU"/>
              </w:rPr>
              <w:t>It is fair to recover factor independent operator costs and market share dependent operator costs through the fixed and variable components, respectively. The concern is with how to recover sector costs and the remaining factor dependent operator costs.</w:t>
            </w:r>
          </w:p>
          <w:p w:rsidR="00907BE7" w:rsidRPr="007B48EC" w:rsidRDefault="00907BE7" w:rsidP="00907BE7">
            <w:pPr>
              <w:numPr>
                <w:ilvl w:val="0"/>
                <w:numId w:val="3"/>
              </w:numPr>
              <w:spacing w:after="0" w:line="240" w:lineRule="auto"/>
              <w:contextualSpacing/>
              <w:jc w:val="both"/>
              <w:rPr>
                <w:rFonts w:eastAsia="Times New Roman"/>
                <w:color w:val="000000" w:themeColor="text1"/>
                <w:lang w:eastAsia="en-AU"/>
              </w:rPr>
            </w:pPr>
            <w:r w:rsidRPr="007B48EC">
              <w:rPr>
                <w:rFonts w:eastAsia="Times New Roman"/>
                <w:color w:val="000000" w:themeColor="text1"/>
                <w:lang w:eastAsia="en-AU"/>
              </w:rPr>
              <w:t>In practice, these costs have been included in the variable component, but there is no certainty that this will continue.</w:t>
            </w:r>
          </w:p>
          <w:p w:rsidR="00907BE7" w:rsidRPr="007B48EC" w:rsidRDefault="00907BE7" w:rsidP="00907BE7">
            <w:pPr>
              <w:numPr>
                <w:ilvl w:val="0"/>
                <w:numId w:val="3"/>
              </w:numPr>
              <w:spacing w:after="0" w:line="240" w:lineRule="auto"/>
              <w:contextualSpacing/>
              <w:jc w:val="both"/>
              <w:rPr>
                <w:rFonts w:eastAsia="Times New Roman"/>
                <w:color w:val="000000" w:themeColor="text1"/>
                <w:lang w:eastAsia="en-AU"/>
              </w:rPr>
            </w:pPr>
            <w:r w:rsidRPr="007B48EC">
              <w:rPr>
                <w:rFonts w:eastAsia="Times New Roman"/>
                <w:color w:val="000000" w:themeColor="text1"/>
                <w:lang w:eastAsia="en-AU"/>
              </w:rPr>
              <w:t>To be fair, the remaining variable costs should be assigned to operators in proportion to the features that drive these costs, rather than in proportion to market share.</w:t>
            </w:r>
          </w:p>
          <w:p w:rsidR="00907BE7" w:rsidRPr="007B48EC" w:rsidRDefault="00907BE7" w:rsidP="00907BE7">
            <w:pPr>
              <w:numPr>
                <w:ilvl w:val="0"/>
                <w:numId w:val="3"/>
              </w:numPr>
              <w:spacing w:after="0" w:line="240" w:lineRule="auto"/>
              <w:contextualSpacing/>
              <w:jc w:val="both"/>
              <w:rPr>
                <w:rFonts w:eastAsia="Times New Roman"/>
                <w:color w:val="000000" w:themeColor="text1"/>
                <w:lang w:eastAsia="en-AU"/>
              </w:rPr>
            </w:pPr>
            <w:r w:rsidRPr="007B48EC">
              <w:rPr>
                <w:rFonts w:eastAsia="Times New Roman"/>
                <w:color w:val="000000" w:themeColor="text1"/>
                <w:lang w:eastAsia="en-AU"/>
              </w:rPr>
              <w:t>Sector costs are less clear.</w:t>
            </w:r>
          </w:p>
          <w:p w:rsidR="00907BE7" w:rsidRPr="007B48EC" w:rsidRDefault="00907BE7" w:rsidP="00907BE7">
            <w:pPr>
              <w:numPr>
                <w:ilvl w:val="1"/>
                <w:numId w:val="3"/>
              </w:numPr>
              <w:spacing w:after="0" w:line="240" w:lineRule="auto"/>
              <w:contextualSpacing/>
              <w:jc w:val="both"/>
              <w:rPr>
                <w:rFonts w:eastAsia="Times New Roman"/>
                <w:color w:val="000000" w:themeColor="text1"/>
                <w:lang w:eastAsia="en-AU"/>
              </w:rPr>
            </w:pPr>
            <w:r w:rsidRPr="007B48EC">
              <w:rPr>
                <w:rFonts w:eastAsia="Times New Roman"/>
                <w:color w:val="000000" w:themeColor="text1"/>
                <w:lang w:eastAsia="en-AU"/>
              </w:rPr>
              <w:t>Arguably, sectoral costs are the joint responsibility of all the operators in the sector and these regulatory costs are unrelated to market share, so should be uniformly distributed among the operators.</w:t>
            </w:r>
          </w:p>
          <w:p w:rsidR="00907BE7" w:rsidRPr="007B48EC" w:rsidRDefault="00907BE7" w:rsidP="00907BE7">
            <w:pPr>
              <w:numPr>
                <w:ilvl w:val="1"/>
                <w:numId w:val="3"/>
              </w:numPr>
              <w:spacing w:after="0" w:line="240" w:lineRule="auto"/>
              <w:contextualSpacing/>
              <w:jc w:val="both"/>
              <w:rPr>
                <w:rFonts w:eastAsia="Times New Roman"/>
                <w:color w:val="000000" w:themeColor="text1"/>
                <w:lang w:eastAsia="en-AU"/>
              </w:rPr>
            </w:pPr>
            <w:r w:rsidRPr="007B48EC">
              <w:rPr>
                <w:rFonts w:eastAsia="Times New Roman"/>
                <w:color w:val="000000" w:themeColor="text1"/>
                <w:lang w:eastAsia="en-AU"/>
              </w:rPr>
              <w:t xml:space="preserve">In response to this point, operators with large market shares are able to spread these charges more thinly across the energy they supply. Consequently, a firm’s market share is related to the firm’s ability to afford the Levy and remain competitive. </w:t>
            </w:r>
          </w:p>
          <w:p w:rsidR="00907BE7" w:rsidRPr="00907BE7" w:rsidRDefault="00907BE7" w:rsidP="00907BE7">
            <w:pPr>
              <w:numPr>
                <w:ilvl w:val="1"/>
                <w:numId w:val="3"/>
              </w:numPr>
              <w:spacing w:after="0" w:line="240" w:lineRule="auto"/>
              <w:contextualSpacing/>
              <w:jc w:val="both"/>
              <w:rPr>
                <w:rFonts w:eastAsia="Times New Roman"/>
                <w:lang w:eastAsia="en-AU"/>
              </w:rPr>
            </w:pPr>
            <w:r w:rsidRPr="007B48EC">
              <w:rPr>
                <w:rFonts w:eastAsia="Times New Roman"/>
                <w:color w:val="000000" w:themeColor="text1"/>
                <w:lang w:eastAsia="en-AU"/>
              </w:rPr>
              <w:t>On balance, the equitable approach is in line with current practice—sector costs should be distributed in proportion to operators’ capacity to pay them.</w:t>
            </w:r>
          </w:p>
        </w:tc>
      </w:tr>
      <w:tr w:rsidR="00907BE7" w:rsidRPr="00907BE7" w:rsidTr="003B49EE">
        <w:trPr>
          <w:trHeight w:val="80"/>
        </w:trPr>
        <w:tc>
          <w:tcPr>
            <w:tcW w:w="9072" w:type="dxa"/>
            <w:tcBorders>
              <w:top w:val="nil"/>
              <w:left w:val="nil"/>
              <w:bottom w:val="nil"/>
              <w:right w:val="single" w:sz="4" w:space="0" w:color="FFFFFF"/>
            </w:tcBorders>
            <w:shd w:val="clear" w:color="auto" w:fill="4F81BD"/>
            <w:noWrap/>
            <w:vAlign w:val="bottom"/>
            <w:hideMark/>
          </w:tcPr>
          <w:p w:rsidR="00907BE7" w:rsidRPr="00907BE7" w:rsidRDefault="00907BE7" w:rsidP="00907BE7">
            <w:pPr>
              <w:spacing w:after="0" w:line="240" w:lineRule="auto"/>
              <w:rPr>
                <w:rFonts w:eastAsia="Times New Roman"/>
                <w:b/>
                <w:bCs/>
                <w:color w:val="FFFFFF"/>
                <w:sz w:val="20"/>
                <w:lang w:eastAsia="en-AU"/>
              </w:rPr>
            </w:pPr>
            <w:r w:rsidRPr="00907BE7">
              <w:rPr>
                <w:i/>
                <w:color w:val="FFFFFF"/>
              </w:rPr>
              <w:t xml:space="preserve">Simple </w:t>
            </w:r>
            <w:r w:rsidRPr="00907BE7">
              <w:rPr>
                <w:color w:val="FFFFFF"/>
              </w:rPr>
              <w:sym w:font="Wingdings" w:char="F0AB"/>
            </w:r>
            <w:r w:rsidRPr="00907BE7">
              <w:rPr>
                <w:color w:val="FFFFFF"/>
              </w:rPr>
              <w:sym w:font="Wingdings" w:char="F0AB"/>
            </w:r>
          </w:p>
        </w:tc>
      </w:tr>
      <w:tr w:rsidR="00907BE7" w:rsidRPr="00907BE7" w:rsidTr="003B49EE">
        <w:trPr>
          <w:trHeight w:val="542"/>
        </w:trPr>
        <w:tc>
          <w:tcPr>
            <w:tcW w:w="9072" w:type="dxa"/>
            <w:tcBorders>
              <w:top w:val="nil"/>
              <w:left w:val="nil"/>
              <w:bottom w:val="nil"/>
              <w:right w:val="single" w:sz="4" w:space="0" w:color="FFFFFF"/>
            </w:tcBorders>
            <w:shd w:val="clear" w:color="auto" w:fill="FFFFFF"/>
            <w:noWrap/>
            <w:vAlign w:val="center"/>
            <w:hideMark/>
          </w:tcPr>
          <w:p w:rsidR="00907BE7" w:rsidRPr="007B48EC" w:rsidRDefault="00907BE7" w:rsidP="00907BE7">
            <w:pPr>
              <w:spacing w:after="0" w:line="240" w:lineRule="auto"/>
              <w:jc w:val="both"/>
              <w:rPr>
                <w:i/>
                <w:color w:val="000000" w:themeColor="text1"/>
              </w:rPr>
            </w:pPr>
            <w:r w:rsidRPr="007B48EC">
              <w:rPr>
                <w:color w:val="000000" w:themeColor="text1"/>
              </w:rPr>
              <w:t>Including both variable and fixed components introduces complexity into the levy structure.</w:t>
            </w:r>
          </w:p>
        </w:tc>
      </w:tr>
      <w:tr w:rsidR="00907BE7" w:rsidRPr="00907BE7" w:rsidTr="003B49EE">
        <w:trPr>
          <w:trHeight w:val="80"/>
        </w:trPr>
        <w:tc>
          <w:tcPr>
            <w:tcW w:w="9072" w:type="dxa"/>
            <w:tcBorders>
              <w:top w:val="nil"/>
              <w:left w:val="nil"/>
              <w:right w:val="single" w:sz="4" w:space="0" w:color="FFFFFF"/>
            </w:tcBorders>
            <w:shd w:val="clear" w:color="auto" w:fill="4F81BD"/>
            <w:noWrap/>
            <w:vAlign w:val="center"/>
            <w:hideMark/>
          </w:tcPr>
          <w:p w:rsidR="00907BE7" w:rsidRPr="00907BE7" w:rsidRDefault="00907BE7" w:rsidP="00907BE7">
            <w:pPr>
              <w:spacing w:after="0" w:line="240" w:lineRule="auto"/>
              <w:rPr>
                <w:i/>
                <w:color w:val="FFFFFF"/>
              </w:rPr>
            </w:pPr>
            <w:r w:rsidRPr="00907BE7">
              <w:rPr>
                <w:i/>
                <w:color w:val="FFFFFF"/>
              </w:rPr>
              <w:t xml:space="preserve">Competition </w:t>
            </w:r>
            <w:r w:rsidRPr="00907BE7">
              <w:rPr>
                <w:color w:val="FFFFFF"/>
              </w:rPr>
              <w:sym w:font="Wingdings" w:char="F0AB"/>
            </w:r>
            <w:r w:rsidRPr="00907BE7">
              <w:rPr>
                <w:color w:val="FFFFFF"/>
              </w:rPr>
              <w:sym w:font="Wingdings" w:char="F0AB"/>
            </w:r>
            <w:r w:rsidRPr="00907BE7">
              <w:rPr>
                <w:color w:val="FFFFFF"/>
              </w:rPr>
              <w:sym w:font="Wingdings" w:char="F0AB"/>
            </w:r>
          </w:p>
        </w:tc>
      </w:tr>
      <w:tr w:rsidR="00907BE7" w:rsidRPr="00907BE7" w:rsidTr="003B49EE">
        <w:trPr>
          <w:trHeight w:val="542"/>
        </w:trPr>
        <w:tc>
          <w:tcPr>
            <w:tcW w:w="9072" w:type="dxa"/>
            <w:tcBorders>
              <w:top w:val="nil"/>
              <w:left w:val="nil"/>
              <w:bottom w:val="single" w:sz="4" w:space="0" w:color="4F81BD"/>
              <w:right w:val="single" w:sz="4" w:space="0" w:color="FFFFFF"/>
            </w:tcBorders>
            <w:shd w:val="clear" w:color="auto" w:fill="FFFFFF"/>
            <w:noWrap/>
            <w:vAlign w:val="center"/>
            <w:hideMark/>
          </w:tcPr>
          <w:p w:rsidR="00907BE7" w:rsidRPr="007B48EC" w:rsidRDefault="00907BE7" w:rsidP="00907BE7">
            <w:pPr>
              <w:spacing w:after="0" w:line="240" w:lineRule="auto"/>
              <w:jc w:val="both"/>
              <w:rPr>
                <w:i/>
                <w:color w:val="000000" w:themeColor="text1"/>
              </w:rPr>
            </w:pPr>
            <w:r w:rsidRPr="007B48EC">
              <w:rPr>
                <w:color w:val="000000" w:themeColor="text1"/>
              </w:rPr>
              <w:t>The current structure can give firms with a larger market share a competitive advantage. Inappropriately specifying a cost as fixed can create artificial barriers to enter the market and artificial economies of scale. Established utilities with large market shares can spread high fixed costs across the energy they sell; recent entrants are at a disadvantage, only having a small number of customers and amount of energy supplied to recoup their levy. This is especially true for the distribution sectors, where any new entrant will be charged half the fixed component of the Levy for the sector.</w:t>
            </w:r>
          </w:p>
        </w:tc>
      </w:tr>
    </w:tbl>
    <w:p w:rsidR="00730D8F" w:rsidRDefault="003B2BB0" w:rsidP="00591669">
      <w:pPr>
        <w:spacing w:before="240"/>
        <w:jc w:val="both"/>
      </w:pPr>
      <w:r>
        <w:t xml:space="preserve">In light of the </w:t>
      </w:r>
      <w:r w:rsidR="008745CD">
        <w:t>cons</w:t>
      </w:r>
      <w:r>
        <w:t xml:space="preserve"> in the method of distribution of the EIL, it is appropriate to consider alternatives</w:t>
      </w:r>
      <w:r w:rsidRPr="00F0150F">
        <w:t>.</w:t>
      </w:r>
      <w:r w:rsidR="00F0150F" w:rsidRPr="00F0150F">
        <w:t xml:space="preserve"> </w:t>
      </w:r>
      <w:r w:rsidRPr="00F0150F">
        <w:t>The next section of the report compares the current method to other options</w:t>
      </w:r>
      <w:bookmarkEnd w:id="37"/>
      <w:r w:rsidR="00A05CE2">
        <w:t xml:space="preserve">, concluding in a recommendation for the ACT Government to adopt a new method of distributing </w:t>
      </w:r>
      <w:r w:rsidR="00576BCC">
        <w:t>the Levy</w:t>
      </w:r>
      <w:r w:rsidR="00A05CE2">
        <w:t xml:space="preserve"> within energy industry sectors.</w:t>
      </w:r>
    </w:p>
    <w:p w:rsidR="006358B7" w:rsidRDefault="006358B7">
      <w:pPr>
        <w:spacing w:after="0" w:line="240" w:lineRule="auto"/>
        <w:rPr>
          <w:rFonts w:ascii="Cambria" w:eastAsia="Times New Roman" w:hAnsi="Cambria"/>
          <w:b/>
          <w:bCs/>
          <w:color w:val="365F91"/>
          <w:sz w:val="28"/>
          <w:szCs w:val="28"/>
        </w:rPr>
      </w:pPr>
      <w:r>
        <w:br w:type="page"/>
      </w:r>
    </w:p>
    <w:p w:rsidR="002B3857" w:rsidRDefault="0067782F" w:rsidP="006358B7">
      <w:pPr>
        <w:pStyle w:val="Heading1"/>
      </w:pPr>
      <w:bookmarkStart w:id="40" w:name="_Toc454982003"/>
      <w:r>
        <w:t xml:space="preserve">Section 4: </w:t>
      </w:r>
      <w:r w:rsidR="002B3857">
        <w:t>Term</w:t>
      </w:r>
      <w:r w:rsidR="00DD5CC7">
        <w:t xml:space="preserve"> of r</w:t>
      </w:r>
      <w:r>
        <w:t xml:space="preserve">eference 3 — </w:t>
      </w:r>
      <w:r w:rsidR="002B3857">
        <w:t>Improvements to structure and distribution</w:t>
      </w:r>
      <w:bookmarkEnd w:id="40"/>
    </w:p>
    <w:p w:rsidR="00603DCC" w:rsidRDefault="008745CD" w:rsidP="00CB716F">
      <w:pPr>
        <w:jc w:val="both"/>
      </w:pPr>
      <w:r>
        <w:t>T</w:t>
      </w:r>
      <w:r w:rsidR="00603DCC">
        <w:t>he previous section recommend</w:t>
      </w:r>
      <w:r>
        <w:t>s</w:t>
      </w:r>
      <w:r w:rsidR="00603DCC">
        <w:t xml:space="preserve"> that the current levy structure and method of distribution </w:t>
      </w:r>
      <w:r w:rsidR="00981537">
        <w:t xml:space="preserve">are </w:t>
      </w:r>
      <w:r w:rsidR="00305907">
        <w:t>replaced; t</w:t>
      </w:r>
      <w:r w:rsidR="00603DCC">
        <w:t>his section considers alternat</w:t>
      </w:r>
      <w:r w:rsidR="00492E22">
        <w:t>iv</w:t>
      </w:r>
      <w:r w:rsidR="00603DCC">
        <w:t>e</w:t>
      </w:r>
      <w:r w:rsidR="00305907">
        <w:t>s</w:t>
      </w:r>
      <w:r w:rsidR="00603DCC">
        <w:t xml:space="preserve">. The first subsection contains discussion on options </w:t>
      </w:r>
      <w:r w:rsidR="00981537">
        <w:t>from</w:t>
      </w:r>
      <w:r w:rsidR="001B2203">
        <w:t xml:space="preserve"> </w:t>
      </w:r>
      <w:r w:rsidR="00603DCC">
        <w:t xml:space="preserve">the </w:t>
      </w:r>
      <w:r w:rsidR="006E3829">
        <w:t xml:space="preserve">investigation </w:t>
      </w:r>
      <w:r w:rsidR="00603DCC">
        <w:t>discussion paper; the second subsection compares the ACT</w:t>
      </w:r>
      <w:r w:rsidR="00A32C9A">
        <w:t>’s</w:t>
      </w:r>
      <w:r w:rsidR="00603DCC">
        <w:t xml:space="preserve"> approach to other jurisdictions.</w:t>
      </w:r>
    </w:p>
    <w:p w:rsidR="002B3857" w:rsidRDefault="0067782F" w:rsidP="006358B7">
      <w:pPr>
        <w:pStyle w:val="Heading2"/>
      </w:pPr>
      <w:bookmarkStart w:id="41" w:name="_Toc454982004"/>
      <w:r>
        <w:t xml:space="preserve">4.1 </w:t>
      </w:r>
      <w:r w:rsidR="00793B9C">
        <w:t>I</w:t>
      </w:r>
      <w:r w:rsidR="002B3857">
        <w:t xml:space="preserve">nvestigation </w:t>
      </w:r>
      <w:r w:rsidR="00793B9C">
        <w:t xml:space="preserve">paper </w:t>
      </w:r>
      <w:r w:rsidR="002B3857">
        <w:t>options</w:t>
      </w:r>
      <w:bookmarkEnd w:id="41"/>
    </w:p>
    <w:p w:rsidR="001602C0" w:rsidRPr="001602C0" w:rsidRDefault="002728FF" w:rsidP="002728FF">
      <w:pPr>
        <w:spacing w:before="240"/>
        <w:ind w:left="567" w:right="804"/>
        <w:jc w:val="both"/>
      </w:pPr>
      <w:r>
        <w:rPr>
          <w:noProof/>
          <w:lang w:eastAsia="en-AU"/>
        </w:rPr>
        <w:pict>
          <v:rect id="_x0000_s1052" style="position:absolute;left:0;text-align:left;margin-left:21pt;margin-top:2.7pt;width:407.25pt;height:96.75pt;z-index:251675648;mso-width-relative:margin;mso-height-relative:margin" filled="f"/>
        </w:pict>
      </w:r>
      <w:r w:rsidR="001602C0" w:rsidRPr="001602C0">
        <w:t>The discussion paper provided four options for comment. As with the current approach, each option has pros and cons.</w:t>
      </w:r>
    </w:p>
    <w:p w:rsidR="001602C0" w:rsidRPr="001602C0" w:rsidRDefault="001602C0" w:rsidP="002728FF">
      <w:pPr>
        <w:spacing w:before="240"/>
        <w:ind w:left="567" w:right="804"/>
        <w:jc w:val="both"/>
      </w:pPr>
      <w:r w:rsidRPr="001602C0">
        <w:t>On balance, if a new approach is adopted, this report recommends Option 4. This option requires each operator to pay a fixed fee to cover the lowest possible cost of regulating a firm; the remaining costs are distributed by market share.</w:t>
      </w:r>
    </w:p>
    <w:p w:rsidR="00F42EAE" w:rsidRDefault="006D61B0" w:rsidP="006D61B0">
      <w:pPr>
        <w:jc w:val="both"/>
      </w:pPr>
      <w:r>
        <w:t>This section describes the options</w:t>
      </w:r>
      <w:r w:rsidR="00793B9C">
        <w:t xml:space="preserve"> for levy structure and methods of distribution </w:t>
      </w:r>
      <w:r>
        <w:t xml:space="preserve">included in the discussion paper, responses from stakeholders, and the merits of each </w:t>
      </w:r>
      <w:r w:rsidR="00793B9C">
        <w:t>approach</w:t>
      </w:r>
      <w:r>
        <w:t xml:space="preserve">. </w:t>
      </w:r>
      <w:r w:rsidR="00F42EAE">
        <w:t>The following table provides and indication of the strengths and wea</w:t>
      </w:r>
      <w:r w:rsidR="003F77E5">
        <w:t>knesses of the current approach and</w:t>
      </w:r>
      <w:r w:rsidR="00F42EAE">
        <w:t xml:space="preserve"> the discussion paper approaches</w:t>
      </w:r>
      <w:r w:rsidR="002F1D53">
        <w:t xml:space="preserve"> (ratings are not rigorously defined, but are indicative of the investigation findings below).</w:t>
      </w:r>
    </w:p>
    <w:tbl>
      <w:tblPr>
        <w:tblW w:w="9095" w:type="dxa"/>
        <w:tblInd w:w="108" w:type="dxa"/>
        <w:tblLayout w:type="fixed"/>
        <w:tblLook w:val="04A0"/>
      </w:tblPr>
      <w:tblGrid>
        <w:gridCol w:w="1441"/>
        <w:gridCol w:w="1275"/>
        <w:gridCol w:w="1276"/>
        <w:gridCol w:w="1276"/>
        <w:gridCol w:w="1275"/>
        <w:gridCol w:w="1276"/>
        <w:gridCol w:w="1276"/>
      </w:tblGrid>
      <w:tr w:rsidR="00C67D3E" w:rsidRPr="00F42EAE" w:rsidTr="00B4186F">
        <w:trPr>
          <w:trHeight w:val="580"/>
          <w:tblHeader/>
        </w:trPr>
        <w:tc>
          <w:tcPr>
            <w:tcW w:w="1441" w:type="dxa"/>
            <w:tcBorders>
              <w:top w:val="nil"/>
              <w:left w:val="nil"/>
              <w:bottom w:val="single" w:sz="12" w:space="0" w:color="FFFFFF"/>
              <w:right w:val="single" w:sz="4" w:space="0" w:color="FFFFFF"/>
            </w:tcBorders>
            <w:shd w:val="clear" w:color="auto" w:fill="4F81BD" w:themeFill="accent1"/>
            <w:noWrap/>
            <w:vAlign w:val="bottom"/>
            <w:hideMark/>
          </w:tcPr>
          <w:p w:rsidR="00F42EAE" w:rsidRPr="00C67D3E" w:rsidRDefault="00F42EAE" w:rsidP="00F42EAE">
            <w:pPr>
              <w:spacing w:after="0" w:line="240" w:lineRule="auto"/>
              <w:rPr>
                <w:rFonts w:eastAsia="Times New Roman"/>
                <w:b/>
                <w:bCs/>
                <w:color w:val="FFFFFF"/>
                <w:sz w:val="20"/>
                <w:lang w:eastAsia="en-AU"/>
              </w:rPr>
            </w:pPr>
          </w:p>
        </w:tc>
        <w:tc>
          <w:tcPr>
            <w:tcW w:w="1275" w:type="dxa"/>
            <w:tcBorders>
              <w:top w:val="nil"/>
              <w:left w:val="nil"/>
              <w:bottom w:val="single" w:sz="12" w:space="0" w:color="FFFFFF"/>
              <w:right w:val="single" w:sz="4" w:space="0" w:color="FFFFFF"/>
            </w:tcBorders>
            <w:shd w:val="clear" w:color="auto" w:fill="4F81BD" w:themeFill="accent1"/>
            <w:noWrap/>
            <w:vAlign w:val="center"/>
            <w:hideMark/>
          </w:tcPr>
          <w:p w:rsidR="00F42EAE" w:rsidRPr="00C67D3E" w:rsidRDefault="00F42EAE" w:rsidP="002F1D53">
            <w:pPr>
              <w:spacing w:after="0" w:line="240" w:lineRule="auto"/>
              <w:rPr>
                <w:rFonts w:eastAsia="Times New Roman"/>
                <w:b/>
                <w:bCs/>
                <w:color w:val="FFFFFF"/>
                <w:sz w:val="20"/>
                <w:lang w:eastAsia="en-AU"/>
              </w:rPr>
            </w:pPr>
            <w:r w:rsidRPr="00C67D3E">
              <w:rPr>
                <w:rFonts w:eastAsia="Times New Roman"/>
                <w:b/>
                <w:bCs/>
                <w:color w:val="FFFFFF"/>
                <w:sz w:val="20"/>
                <w:lang w:eastAsia="en-AU"/>
              </w:rPr>
              <w:t>Predictable</w:t>
            </w:r>
          </w:p>
        </w:tc>
        <w:tc>
          <w:tcPr>
            <w:tcW w:w="1276" w:type="dxa"/>
            <w:tcBorders>
              <w:top w:val="nil"/>
              <w:left w:val="nil"/>
              <w:bottom w:val="single" w:sz="12" w:space="0" w:color="FFFFFF"/>
              <w:right w:val="single" w:sz="4" w:space="0" w:color="FFFFFF"/>
            </w:tcBorders>
            <w:shd w:val="clear" w:color="auto" w:fill="4F81BD" w:themeFill="accent1"/>
            <w:noWrap/>
            <w:vAlign w:val="center"/>
            <w:hideMark/>
          </w:tcPr>
          <w:p w:rsidR="00F42EAE" w:rsidRPr="00C67D3E" w:rsidRDefault="00F42EAE" w:rsidP="002F1D53">
            <w:pPr>
              <w:spacing w:after="0" w:line="240" w:lineRule="auto"/>
              <w:rPr>
                <w:rFonts w:eastAsia="Times New Roman"/>
                <w:b/>
                <w:bCs/>
                <w:color w:val="FFFFFF"/>
                <w:sz w:val="20"/>
                <w:lang w:eastAsia="en-AU"/>
              </w:rPr>
            </w:pPr>
            <w:r w:rsidRPr="00C67D3E">
              <w:rPr>
                <w:rFonts w:eastAsia="Times New Roman"/>
                <w:b/>
                <w:bCs/>
                <w:color w:val="FFFFFF"/>
                <w:sz w:val="20"/>
                <w:lang w:eastAsia="en-AU"/>
              </w:rPr>
              <w:t>Efficient</w:t>
            </w:r>
          </w:p>
        </w:tc>
        <w:tc>
          <w:tcPr>
            <w:tcW w:w="1276" w:type="dxa"/>
            <w:tcBorders>
              <w:top w:val="nil"/>
              <w:left w:val="nil"/>
              <w:bottom w:val="single" w:sz="12" w:space="0" w:color="FFFFFF"/>
              <w:right w:val="single" w:sz="4" w:space="0" w:color="FFFFFF"/>
            </w:tcBorders>
            <w:shd w:val="clear" w:color="auto" w:fill="4F81BD" w:themeFill="accent1"/>
            <w:noWrap/>
            <w:vAlign w:val="center"/>
            <w:hideMark/>
          </w:tcPr>
          <w:p w:rsidR="00F42EAE" w:rsidRPr="00C67D3E" w:rsidRDefault="00F42EAE" w:rsidP="002F1D53">
            <w:pPr>
              <w:spacing w:after="0" w:line="240" w:lineRule="auto"/>
              <w:rPr>
                <w:rFonts w:eastAsia="Times New Roman"/>
                <w:b/>
                <w:bCs/>
                <w:color w:val="FFFFFF"/>
                <w:sz w:val="20"/>
                <w:lang w:eastAsia="en-AU"/>
              </w:rPr>
            </w:pPr>
            <w:r w:rsidRPr="00C67D3E">
              <w:rPr>
                <w:rFonts w:eastAsia="Times New Roman"/>
                <w:b/>
                <w:bCs/>
                <w:color w:val="FFFFFF"/>
                <w:sz w:val="20"/>
                <w:lang w:eastAsia="en-AU"/>
              </w:rPr>
              <w:t>Simple</w:t>
            </w:r>
          </w:p>
        </w:tc>
        <w:tc>
          <w:tcPr>
            <w:tcW w:w="1275" w:type="dxa"/>
            <w:tcBorders>
              <w:top w:val="nil"/>
              <w:left w:val="nil"/>
              <w:bottom w:val="single" w:sz="12" w:space="0" w:color="FFFFFF"/>
              <w:right w:val="single" w:sz="4" w:space="0" w:color="FFFFFF"/>
            </w:tcBorders>
            <w:shd w:val="clear" w:color="auto" w:fill="4F81BD" w:themeFill="accent1"/>
            <w:noWrap/>
            <w:vAlign w:val="center"/>
            <w:hideMark/>
          </w:tcPr>
          <w:p w:rsidR="00F42EAE" w:rsidRPr="00C67D3E" w:rsidRDefault="00F42EAE" w:rsidP="002F1D53">
            <w:pPr>
              <w:spacing w:after="0" w:line="240" w:lineRule="auto"/>
              <w:rPr>
                <w:rFonts w:eastAsia="Times New Roman"/>
                <w:b/>
                <w:bCs/>
                <w:color w:val="FFFFFF"/>
                <w:sz w:val="20"/>
                <w:lang w:eastAsia="en-AU"/>
              </w:rPr>
            </w:pPr>
            <w:r w:rsidRPr="00C67D3E">
              <w:rPr>
                <w:rFonts w:eastAsia="Times New Roman"/>
                <w:b/>
                <w:bCs/>
                <w:color w:val="FFFFFF"/>
                <w:sz w:val="20"/>
                <w:lang w:eastAsia="en-AU"/>
              </w:rPr>
              <w:t>Fair</w:t>
            </w:r>
          </w:p>
        </w:tc>
        <w:tc>
          <w:tcPr>
            <w:tcW w:w="1276" w:type="dxa"/>
            <w:tcBorders>
              <w:top w:val="nil"/>
              <w:left w:val="nil"/>
              <w:bottom w:val="single" w:sz="12" w:space="0" w:color="FFFFFF"/>
              <w:right w:val="single" w:sz="4" w:space="0" w:color="FFFFFF"/>
            </w:tcBorders>
            <w:shd w:val="clear" w:color="auto" w:fill="4F81BD" w:themeFill="accent1"/>
            <w:noWrap/>
            <w:vAlign w:val="center"/>
            <w:hideMark/>
          </w:tcPr>
          <w:p w:rsidR="00F42EAE" w:rsidRPr="00C67D3E" w:rsidRDefault="00F42EAE" w:rsidP="002F1D53">
            <w:pPr>
              <w:spacing w:after="0" w:line="240" w:lineRule="auto"/>
              <w:rPr>
                <w:rFonts w:eastAsia="Times New Roman"/>
                <w:b/>
                <w:bCs/>
                <w:color w:val="FFFFFF"/>
                <w:sz w:val="20"/>
                <w:lang w:eastAsia="en-AU"/>
              </w:rPr>
            </w:pPr>
            <w:r w:rsidRPr="00C67D3E">
              <w:rPr>
                <w:rFonts w:eastAsia="Times New Roman"/>
                <w:b/>
                <w:bCs/>
                <w:color w:val="FFFFFF"/>
                <w:sz w:val="20"/>
                <w:lang w:eastAsia="en-AU"/>
              </w:rPr>
              <w:t>Competition</w:t>
            </w:r>
          </w:p>
        </w:tc>
        <w:tc>
          <w:tcPr>
            <w:tcW w:w="1276" w:type="dxa"/>
            <w:tcBorders>
              <w:top w:val="nil"/>
              <w:left w:val="nil"/>
              <w:bottom w:val="single" w:sz="12" w:space="0" w:color="FFFFFF"/>
              <w:right w:val="nil"/>
            </w:tcBorders>
            <w:shd w:val="clear" w:color="auto" w:fill="4F81BD" w:themeFill="accent1"/>
            <w:noWrap/>
            <w:vAlign w:val="center"/>
            <w:hideMark/>
          </w:tcPr>
          <w:p w:rsidR="00F42EAE" w:rsidRPr="00C67D3E" w:rsidRDefault="00F42EAE" w:rsidP="002F1D53">
            <w:pPr>
              <w:spacing w:after="0" w:line="240" w:lineRule="auto"/>
              <w:rPr>
                <w:rFonts w:eastAsia="Times New Roman"/>
                <w:b/>
                <w:bCs/>
                <w:color w:val="FFFFFF"/>
                <w:sz w:val="20"/>
                <w:lang w:eastAsia="en-AU"/>
              </w:rPr>
            </w:pPr>
            <w:r w:rsidRPr="00C67D3E">
              <w:rPr>
                <w:rFonts w:eastAsia="Times New Roman"/>
                <w:b/>
                <w:bCs/>
                <w:color w:val="FFFFFF"/>
                <w:sz w:val="20"/>
                <w:lang w:eastAsia="en-AU"/>
              </w:rPr>
              <w:t>Cost recovery</w:t>
            </w:r>
          </w:p>
        </w:tc>
      </w:tr>
      <w:tr w:rsidR="00C67D3E" w:rsidRPr="00F42EAE" w:rsidTr="003B49EE">
        <w:trPr>
          <w:trHeight w:val="488"/>
        </w:trPr>
        <w:tc>
          <w:tcPr>
            <w:tcW w:w="1441"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F42EAE" w:rsidP="00C67D3E">
            <w:pPr>
              <w:spacing w:after="0" w:line="240" w:lineRule="auto"/>
              <w:rPr>
                <w:rFonts w:eastAsia="Times New Roman"/>
                <w:color w:val="000000" w:themeColor="text1"/>
                <w:lang w:eastAsia="en-AU"/>
              </w:rPr>
            </w:pPr>
            <w:r w:rsidRPr="007B48EC">
              <w:rPr>
                <w:rFonts w:eastAsia="Times New Roman"/>
                <w:color w:val="000000" w:themeColor="text1"/>
                <w:lang w:eastAsia="en-AU"/>
              </w:rPr>
              <w:t>Current Approach</w:t>
            </w:r>
          </w:p>
        </w:tc>
        <w:tc>
          <w:tcPr>
            <w:tcW w:w="1275"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FE3E34"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FE3E34" w:rsidP="008605F3">
            <w:pPr>
              <w:spacing w:after="0" w:line="240" w:lineRule="auto"/>
              <w:rPr>
                <w:rFonts w:eastAsia="Times New Roman"/>
                <w:color w:val="000000" w:themeColor="text1"/>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FE3E34"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5"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FE3E34"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FE3E34"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nil"/>
            </w:tcBorders>
            <w:shd w:val="clear" w:color="auto" w:fill="FFFFFF" w:themeFill="background1"/>
            <w:noWrap/>
            <w:vAlign w:val="center"/>
            <w:hideMark/>
          </w:tcPr>
          <w:p w:rsidR="00F42EAE" w:rsidRPr="007B48EC" w:rsidRDefault="00FE3E34"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r>
      <w:tr w:rsidR="00C67D3E" w:rsidRPr="00F42EAE" w:rsidTr="003B49EE">
        <w:trPr>
          <w:trHeight w:val="488"/>
        </w:trPr>
        <w:tc>
          <w:tcPr>
            <w:tcW w:w="1441"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F42EAE" w:rsidP="00C67D3E">
            <w:pPr>
              <w:spacing w:after="0" w:line="240" w:lineRule="auto"/>
              <w:rPr>
                <w:rFonts w:eastAsia="Times New Roman"/>
                <w:color w:val="000000" w:themeColor="text1"/>
                <w:lang w:eastAsia="en-AU"/>
              </w:rPr>
            </w:pPr>
            <w:r w:rsidRPr="007B48EC">
              <w:rPr>
                <w:rFonts w:eastAsia="Times New Roman"/>
                <w:color w:val="000000" w:themeColor="text1"/>
                <w:lang w:eastAsia="en-AU"/>
              </w:rPr>
              <w:t>Option 1: Fixed</w:t>
            </w:r>
          </w:p>
        </w:tc>
        <w:tc>
          <w:tcPr>
            <w:tcW w:w="1275"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FE3E34"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FE3E34" w:rsidP="008605F3">
            <w:pPr>
              <w:spacing w:after="0" w:line="240" w:lineRule="auto"/>
              <w:rPr>
                <w:rFonts w:eastAsia="Times New Roman"/>
                <w:color w:val="000000" w:themeColor="text1"/>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5"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nil"/>
            </w:tcBorders>
            <w:shd w:val="clear" w:color="B8CCE4" w:fill="B8CCE4"/>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r>
      <w:tr w:rsidR="00C67D3E" w:rsidRPr="00F42EAE" w:rsidTr="003B49EE">
        <w:trPr>
          <w:trHeight w:val="488"/>
        </w:trPr>
        <w:tc>
          <w:tcPr>
            <w:tcW w:w="1441"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F42EAE" w:rsidP="00C67D3E">
            <w:pPr>
              <w:spacing w:after="0" w:line="240" w:lineRule="auto"/>
              <w:rPr>
                <w:rFonts w:eastAsia="Times New Roman"/>
                <w:color w:val="000000" w:themeColor="text1"/>
                <w:lang w:eastAsia="en-AU"/>
              </w:rPr>
            </w:pPr>
            <w:r w:rsidRPr="007B48EC">
              <w:rPr>
                <w:rFonts w:eastAsia="Times New Roman"/>
                <w:color w:val="000000" w:themeColor="text1"/>
                <w:lang w:eastAsia="en-AU"/>
              </w:rPr>
              <w:t>Option 2: Variable</w:t>
            </w:r>
          </w:p>
        </w:tc>
        <w:tc>
          <w:tcPr>
            <w:tcW w:w="1275"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FE3E34"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FE3E34"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5"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00B80734"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auto" w:fill="FFFFFF" w:themeFill="background1"/>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nil"/>
            </w:tcBorders>
            <w:shd w:val="clear" w:color="auto" w:fill="FFFFFF" w:themeFill="background1"/>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r>
      <w:tr w:rsidR="00C67D3E" w:rsidRPr="00F42EAE" w:rsidTr="003B49EE">
        <w:trPr>
          <w:trHeight w:val="488"/>
        </w:trPr>
        <w:tc>
          <w:tcPr>
            <w:tcW w:w="1441"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F42EAE" w:rsidP="00C67D3E">
            <w:pPr>
              <w:spacing w:after="0" w:line="240" w:lineRule="auto"/>
              <w:rPr>
                <w:rFonts w:eastAsia="Times New Roman"/>
                <w:color w:val="000000" w:themeColor="text1"/>
                <w:lang w:eastAsia="en-AU"/>
              </w:rPr>
            </w:pPr>
            <w:r w:rsidRPr="007B48EC">
              <w:rPr>
                <w:rFonts w:eastAsia="Times New Roman"/>
                <w:color w:val="000000" w:themeColor="text1"/>
                <w:lang w:eastAsia="en-AU"/>
              </w:rPr>
              <w:t>Option 3: Variable with minimum fee</w:t>
            </w:r>
          </w:p>
        </w:tc>
        <w:tc>
          <w:tcPr>
            <w:tcW w:w="1275"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5"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single" w:sz="4" w:space="0" w:color="FFFFFF"/>
            </w:tcBorders>
            <w:shd w:val="clear" w:color="B8CCE4" w:fill="B8CCE4"/>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FFFFFF"/>
              <w:right w:val="nil"/>
            </w:tcBorders>
            <w:shd w:val="clear" w:color="B8CCE4" w:fill="B8CCE4"/>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r>
      <w:tr w:rsidR="00C67D3E" w:rsidRPr="00F42EAE" w:rsidTr="003B49EE">
        <w:trPr>
          <w:trHeight w:val="684"/>
        </w:trPr>
        <w:tc>
          <w:tcPr>
            <w:tcW w:w="1441"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F42EAE" w:rsidRPr="007B48EC" w:rsidRDefault="00F42EAE" w:rsidP="00C67D3E">
            <w:pPr>
              <w:spacing w:after="0" w:line="240" w:lineRule="auto"/>
              <w:rPr>
                <w:rFonts w:eastAsia="Times New Roman"/>
                <w:color w:val="000000" w:themeColor="text1"/>
                <w:lang w:eastAsia="en-AU"/>
              </w:rPr>
            </w:pPr>
            <w:r w:rsidRPr="007B48EC">
              <w:rPr>
                <w:rFonts w:eastAsia="Times New Roman"/>
                <w:color w:val="000000" w:themeColor="text1"/>
                <w:lang w:eastAsia="en-AU"/>
              </w:rPr>
              <w:t>Option 4: fixed fee and variable</w:t>
            </w:r>
          </w:p>
        </w:tc>
        <w:tc>
          <w:tcPr>
            <w:tcW w:w="1275"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5"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6" w:type="dxa"/>
            <w:tcBorders>
              <w:top w:val="nil"/>
              <w:left w:val="nil"/>
              <w:bottom w:val="single" w:sz="4" w:space="0" w:color="4F81BD" w:themeColor="accent1"/>
              <w:right w:val="nil"/>
            </w:tcBorders>
            <w:shd w:val="clear" w:color="auto" w:fill="FFFFFF" w:themeFill="background1"/>
            <w:noWrap/>
            <w:vAlign w:val="center"/>
            <w:hideMark/>
          </w:tcPr>
          <w:p w:rsidR="00F42EAE" w:rsidRPr="007B48EC" w:rsidRDefault="008605F3" w:rsidP="008605F3">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r>
    </w:tbl>
    <w:p w:rsidR="006D61B0" w:rsidRPr="008360B2" w:rsidRDefault="006D61B0" w:rsidP="003F77E5">
      <w:pPr>
        <w:spacing w:before="240"/>
        <w:jc w:val="both"/>
      </w:pPr>
      <w:r>
        <w:t>To aid with exposition, this section will not deal with adjustments due to differences between estimated costs and actual costs (</w:t>
      </w:r>
      <w:r w:rsidR="00B432AF">
        <w:t xml:space="preserve">variable </w:t>
      </w:r>
      <m:oMath>
        <m:r>
          <w:rPr>
            <w:rFonts w:ascii="Cambria Math" w:hAnsi="Cambria Math"/>
          </w:rPr>
          <m:t>A</m:t>
        </m:r>
      </m:oMath>
      <w:r>
        <w:t xml:space="preserve"> in the current formula), retrospectivity of any changes to the system, and the implementation of a firm’s </w:t>
      </w:r>
      <w:r w:rsidRPr="0010373F">
        <w:t>market share</w:t>
      </w:r>
      <w:r>
        <w:t xml:space="preserve"> (in the current formula this is based on proportion of energy supplied). Th</w:t>
      </w:r>
      <w:r w:rsidR="000F4BAE">
        <w:t>ese issues will be dealt with later in the report</w:t>
      </w:r>
      <w:r w:rsidR="00672506">
        <w:t xml:space="preserve">: see </w:t>
      </w:r>
      <w:r w:rsidR="004E6404">
        <w:t xml:space="preserve">Section </w:t>
      </w:r>
      <w:r w:rsidR="00672506">
        <w:t xml:space="preserve">5.1 for adjustment due to estimation; </w:t>
      </w:r>
      <w:r w:rsidR="004E6404">
        <w:t xml:space="preserve">Section </w:t>
      </w:r>
      <w:r w:rsidR="00672506">
        <w:t>6 for retrospective adjustment; and later in this section for implementation of market share</w:t>
      </w:r>
      <w:r>
        <w:t>.</w:t>
      </w:r>
    </w:p>
    <w:p w:rsidR="00A02B70" w:rsidRDefault="006D61B0" w:rsidP="006D61B0">
      <w:pPr>
        <w:jc w:val="both"/>
      </w:pPr>
      <w:r>
        <w:t xml:space="preserve">For consistency, each option refers to the total cost to be recovered </w:t>
      </w:r>
      <w:proofErr w:type="gramStart"/>
      <w:r>
        <w:t xml:space="preserve">as </w:t>
      </w:r>
      <m:oMath>
        <w:proofErr w:type="gramEnd"/>
        <m:r>
          <w:rPr>
            <w:rFonts w:ascii="Cambria Math" w:hAnsi="Cambria Math"/>
          </w:rPr>
          <m:t>L</m:t>
        </m:r>
      </m:oMath>
      <w:r>
        <w:t xml:space="preserve">, the number of operators in the sector as </w:t>
      </w:r>
      <m:oMath>
        <m:r>
          <w:rPr>
            <w:rFonts w:ascii="Cambria Math" w:hAnsi="Cambria Math"/>
          </w:rPr>
          <m:t>NC</m:t>
        </m:r>
      </m:oMath>
      <w:r>
        <w:t xml:space="preserve">, and the market share of firm </w:t>
      </w:r>
      <m:oMath>
        <m:r>
          <w:rPr>
            <w:rFonts w:ascii="Cambria Math" w:hAnsi="Cambria Math"/>
          </w:rPr>
          <m:t>a</m:t>
        </m:r>
      </m:oMath>
      <w:r>
        <w:t xml:space="preserve"> as </w:t>
      </w:r>
      <m:oMath>
        <m:sSub>
          <m:sSubPr>
            <m:ctrlPr>
              <w:rPr>
                <w:rFonts w:ascii="Cambria Math" w:hAnsi="Cambria Math"/>
                <w:i/>
              </w:rPr>
            </m:ctrlPr>
          </m:sSubPr>
          <m:e>
            <m:r>
              <w:rPr>
                <w:rFonts w:ascii="Cambria Math" w:hAnsi="Cambria Math"/>
              </w:rPr>
              <m:t>M</m:t>
            </m:r>
          </m:e>
          <m:sub>
            <m:r>
              <w:rPr>
                <w:rFonts w:ascii="Cambria Math" w:hAnsi="Cambria Math"/>
              </w:rPr>
              <m:t>a</m:t>
            </m:r>
          </m:sub>
        </m:sSub>
      </m:oMath>
      <w:r>
        <w:t>.</w:t>
      </w:r>
    </w:p>
    <w:p w:rsidR="00B55F32" w:rsidRDefault="00B55F32" w:rsidP="00BF3556">
      <w:pPr>
        <w:pStyle w:val="optionheading"/>
        <w:jc w:val="center"/>
      </w:pPr>
      <w:bookmarkStart w:id="42" w:name="_Toc443051397"/>
      <w:bookmarkStart w:id="43" w:name="_Toc443901119"/>
      <w:bookmarkStart w:id="44" w:name="_Toc444861387"/>
      <w:bookmarkStart w:id="45" w:name="_Toc449438544"/>
      <w:bookmarkStart w:id="46" w:name="_Toc454982005"/>
      <w:r>
        <w:t>Option 1: Fixed methodology</w:t>
      </w:r>
      <w:bookmarkEnd w:id="42"/>
      <w:bookmarkEnd w:id="43"/>
      <w:bookmarkEnd w:id="44"/>
      <w:bookmarkEnd w:id="45"/>
      <w:bookmarkEnd w:id="46"/>
    </w:p>
    <w:p w:rsidR="00603711" w:rsidRDefault="00603711" w:rsidP="00C30D59">
      <w:pPr>
        <w:pStyle w:val="Heading4"/>
      </w:pPr>
      <w:r>
        <w:t>Method, formula, and structure categories:</w:t>
      </w:r>
    </w:p>
    <w:tbl>
      <w:tblPr>
        <w:tblW w:w="9072" w:type="dxa"/>
        <w:tblInd w:w="108" w:type="dxa"/>
        <w:tblLayout w:type="fixed"/>
        <w:tblLook w:val="04A0"/>
      </w:tblPr>
      <w:tblGrid>
        <w:gridCol w:w="9072"/>
      </w:tblGrid>
      <w:tr w:rsidR="00603711" w:rsidRPr="00786F2C" w:rsidTr="000E6679">
        <w:trPr>
          <w:trHeight w:val="210"/>
        </w:trPr>
        <w:tc>
          <w:tcPr>
            <w:tcW w:w="9072" w:type="dxa"/>
            <w:tcBorders>
              <w:top w:val="nil"/>
              <w:left w:val="nil"/>
              <w:bottom w:val="single" w:sz="12" w:space="0" w:color="FFFFFF"/>
              <w:right w:val="single" w:sz="4" w:space="0" w:color="FFFFFF"/>
            </w:tcBorders>
            <w:shd w:val="clear" w:color="auto" w:fill="4F81BD" w:themeFill="accent1"/>
            <w:noWrap/>
            <w:vAlign w:val="bottom"/>
            <w:hideMark/>
          </w:tcPr>
          <w:p w:rsidR="00603711" w:rsidRPr="00786F2C" w:rsidRDefault="00603711" w:rsidP="00603711">
            <w:pPr>
              <w:spacing w:after="0" w:line="240" w:lineRule="auto"/>
              <w:rPr>
                <w:rFonts w:eastAsia="Times New Roman"/>
                <w:b/>
                <w:bCs/>
                <w:color w:val="FFFFFF" w:themeColor="background1"/>
                <w:sz w:val="20"/>
                <w:lang w:eastAsia="en-AU"/>
              </w:rPr>
            </w:pPr>
            <w:r>
              <w:rPr>
                <w:i/>
                <w:color w:val="FFFFFF" w:themeColor="background1"/>
              </w:rPr>
              <w:t>Method</w:t>
            </w:r>
          </w:p>
        </w:tc>
      </w:tr>
      <w:tr w:rsidR="00603711" w:rsidRPr="008605F3" w:rsidTr="000E6679">
        <w:trPr>
          <w:trHeight w:val="340"/>
        </w:trPr>
        <w:tc>
          <w:tcPr>
            <w:tcW w:w="9072" w:type="dxa"/>
            <w:tcBorders>
              <w:top w:val="nil"/>
              <w:left w:val="nil"/>
              <w:bottom w:val="single" w:sz="4" w:space="0" w:color="FFFFFF"/>
              <w:right w:val="single" w:sz="4" w:space="0" w:color="FFFFFF"/>
            </w:tcBorders>
            <w:shd w:val="clear" w:color="auto" w:fill="FFFFFF" w:themeFill="background1"/>
            <w:noWrap/>
            <w:vAlign w:val="center"/>
            <w:hideMark/>
          </w:tcPr>
          <w:p w:rsidR="00603711" w:rsidRPr="007B48EC" w:rsidRDefault="00603711" w:rsidP="00D7775D">
            <w:pPr>
              <w:spacing w:after="0" w:line="240" w:lineRule="auto"/>
              <w:jc w:val="both"/>
              <w:rPr>
                <w:rFonts w:eastAsia="Times New Roman"/>
                <w:color w:val="000000" w:themeColor="text1"/>
                <w:lang w:eastAsia="en-AU"/>
              </w:rPr>
            </w:pPr>
            <w:r w:rsidRPr="007B48EC">
              <w:rPr>
                <w:color w:val="000000" w:themeColor="text1"/>
              </w:rPr>
              <w:t>The total regulatory cost would be distributed uniformly among all operators in the sector, regardless of market share.</w:t>
            </w:r>
          </w:p>
        </w:tc>
      </w:tr>
      <w:tr w:rsidR="00603711" w:rsidRPr="00786F2C" w:rsidTr="000E6679">
        <w:trPr>
          <w:trHeight w:val="115"/>
        </w:trPr>
        <w:tc>
          <w:tcPr>
            <w:tcW w:w="9072" w:type="dxa"/>
            <w:tcBorders>
              <w:top w:val="nil"/>
              <w:left w:val="nil"/>
              <w:right w:val="single" w:sz="4" w:space="0" w:color="FFFFFF"/>
            </w:tcBorders>
            <w:shd w:val="clear" w:color="auto" w:fill="4F81BD" w:themeFill="accent1"/>
            <w:noWrap/>
            <w:vAlign w:val="center"/>
            <w:hideMark/>
          </w:tcPr>
          <w:p w:rsidR="00603711" w:rsidRPr="00786F2C" w:rsidRDefault="00603711" w:rsidP="00603711">
            <w:pPr>
              <w:spacing w:after="0" w:line="240" w:lineRule="auto"/>
              <w:rPr>
                <w:i/>
                <w:color w:val="FFFFFF" w:themeColor="background1"/>
              </w:rPr>
            </w:pPr>
            <w:r>
              <w:rPr>
                <w:i/>
                <w:color w:val="FFFFFF" w:themeColor="background1"/>
              </w:rPr>
              <w:t>Formula for individual firm</w:t>
            </w:r>
          </w:p>
        </w:tc>
      </w:tr>
      <w:tr w:rsidR="00603711" w:rsidRPr="00786F2C" w:rsidTr="00603711">
        <w:trPr>
          <w:trHeight w:val="864"/>
        </w:trPr>
        <w:tc>
          <w:tcPr>
            <w:tcW w:w="9072" w:type="dxa"/>
            <w:tcBorders>
              <w:top w:val="nil"/>
              <w:left w:val="nil"/>
              <w:bottom w:val="nil"/>
              <w:right w:val="single" w:sz="4" w:space="0" w:color="FFFFFF"/>
            </w:tcBorders>
            <w:shd w:val="clear" w:color="auto" w:fill="FFFFFF" w:themeFill="background1"/>
            <w:noWrap/>
            <w:vAlign w:val="center"/>
            <w:hideMark/>
          </w:tcPr>
          <w:p w:rsidR="00603711" w:rsidRPr="007B48EC" w:rsidRDefault="00606DE5" w:rsidP="00603711">
            <w:pPr>
              <w:spacing w:before="240" w:after="0"/>
              <w:jc w:val="both"/>
              <w:rPr>
                <w:color w:val="000000" w:themeColor="text1"/>
              </w:rPr>
            </w:pPr>
            <m:oMathPara>
              <m:oMathParaPr>
                <m:jc m:val="center"/>
              </m:oMathParaPr>
              <m:oMath>
                <m:f>
                  <m:fPr>
                    <m:ctrlPr>
                      <w:rPr>
                        <w:rFonts w:ascii="Cambria Math" w:hAnsi="Cambria Math"/>
                        <w:i/>
                        <w:color w:val="000000" w:themeColor="text1"/>
                      </w:rPr>
                    </m:ctrlPr>
                  </m:fPr>
                  <m:num>
                    <m:r>
                      <w:rPr>
                        <w:rFonts w:ascii="Cambria Math" w:hAnsi="Cambria Math"/>
                        <w:color w:val="000000" w:themeColor="text1"/>
                      </w:rPr>
                      <m:t>L</m:t>
                    </m:r>
                  </m:num>
                  <m:den>
                    <m:r>
                      <w:rPr>
                        <w:rFonts w:ascii="Cambria Math" w:hAnsi="Cambria Math"/>
                        <w:color w:val="000000" w:themeColor="text1"/>
                      </w:rPr>
                      <m:t>NC</m:t>
                    </m:r>
                  </m:den>
                </m:f>
              </m:oMath>
            </m:oMathPara>
          </w:p>
          <w:p w:rsidR="00603711" w:rsidRPr="00786F2C" w:rsidRDefault="00603711" w:rsidP="00603711">
            <w:pPr>
              <w:spacing w:after="0" w:line="240" w:lineRule="auto"/>
              <w:rPr>
                <w:i/>
                <w:color w:val="FFFFFF" w:themeColor="background1"/>
              </w:rPr>
            </w:pPr>
          </w:p>
        </w:tc>
      </w:tr>
      <w:tr w:rsidR="00603711" w:rsidRPr="00786F2C" w:rsidTr="007E1A3E">
        <w:trPr>
          <w:trHeight w:val="183"/>
        </w:trPr>
        <w:tc>
          <w:tcPr>
            <w:tcW w:w="9072" w:type="dxa"/>
            <w:tcBorders>
              <w:top w:val="nil"/>
              <w:left w:val="nil"/>
              <w:bottom w:val="nil"/>
              <w:right w:val="single" w:sz="4" w:space="0" w:color="FFFFFF"/>
            </w:tcBorders>
            <w:shd w:val="clear" w:color="auto" w:fill="4F81BD" w:themeFill="accent1"/>
            <w:noWrap/>
            <w:vAlign w:val="center"/>
            <w:hideMark/>
          </w:tcPr>
          <w:p w:rsidR="00603711" w:rsidRPr="00603711" w:rsidRDefault="00603711" w:rsidP="00630CB6">
            <w:pPr>
              <w:spacing w:after="0" w:line="240" w:lineRule="auto"/>
              <w:rPr>
                <w:i/>
                <w:color w:val="FFFFFF" w:themeColor="background1"/>
              </w:rPr>
            </w:pPr>
            <w:r w:rsidRPr="00603711">
              <w:rPr>
                <w:i/>
                <w:color w:val="FFFFFF" w:themeColor="background1"/>
              </w:rPr>
              <w:t>Categories in the levy structure</w:t>
            </w:r>
          </w:p>
        </w:tc>
      </w:tr>
      <w:tr w:rsidR="00603711" w:rsidRPr="00786F2C" w:rsidTr="000E6679">
        <w:trPr>
          <w:trHeight w:val="361"/>
        </w:trPr>
        <w:tc>
          <w:tcPr>
            <w:tcW w:w="9072" w:type="dxa"/>
            <w:tcBorders>
              <w:top w:val="nil"/>
              <w:left w:val="nil"/>
              <w:bottom w:val="single" w:sz="4" w:space="0" w:color="8064A2" w:themeColor="accent4"/>
              <w:right w:val="single" w:sz="4" w:space="0" w:color="FFFFFF"/>
            </w:tcBorders>
            <w:shd w:val="clear" w:color="auto" w:fill="FFFFFF" w:themeFill="background1"/>
            <w:noWrap/>
            <w:vAlign w:val="center"/>
            <w:hideMark/>
          </w:tcPr>
          <w:p w:rsidR="00603711" w:rsidRPr="007B48EC" w:rsidRDefault="00603711" w:rsidP="00603711">
            <w:pPr>
              <w:spacing w:after="0"/>
              <w:jc w:val="both"/>
              <w:rPr>
                <w:i/>
                <w:color w:val="000000" w:themeColor="text1"/>
              </w:rPr>
            </w:pPr>
            <w:r w:rsidRPr="007B48EC">
              <w:rPr>
                <w:color w:val="000000" w:themeColor="text1"/>
              </w:rPr>
              <w:t>Industry sectors</w:t>
            </w:r>
            <w:r w:rsidR="000E6679" w:rsidRPr="007B48EC">
              <w:rPr>
                <w:color w:val="000000" w:themeColor="text1"/>
              </w:rPr>
              <w:t>, total regulatory cost, and number of operators in each sector.</w:t>
            </w:r>
          </w:p>
        </w:tc>
      </w:tr>
    </w:tbl>
    <w:p w:rsidR="00786F2C" w:rsidRDefault="00786F2C" w:rsidP="00C30D59">
      <w:pPr>
        <w:pStyle w:val="Heading4"/>
      </w:pPr>
      <w:r>
        <w:t>Pros:</w:t>
      </w:r>
    </w:p>
    <w:tbl>
      <w:tblPr>
        <w:tblW w:w="9072" w:type="dxa"/>
        <w:tblInd w:w="108" w:type="dxa"/>
        <w:tblLayout w:type="fixed"/>
        <w:tblLook w:val="04A0"/>
      </w:tblPr>
      <w:tblGrid>
        <w:gridCol w:w="9072"/>
      </w:tblGrid>
      <w:tr w:rsidR="00786F2C" w:rsidRPr="00C67D3E" w:rsidTr="007E1A3E">
        <w:trPr>
          <w:trHeight w:val="143"/>
        </w:trPr>
        <w:tc>
          <w:tcPr>
            <w:tcW w:w="9072" w:type="dxa"/>
            <w:tcBorders>
              <w:top w:val="nil"/>
              <w:left w:val="nil"/>
              <w:bottom w:val="single" w:sz="12" w:space="0" w:color="FFFFFF"/>
              <w:right w:val="single" w:sz="4" w:space="0" w:color="FFFFFF"/>
            </w:tcBorders>
            <w:shd w:val="clear" w:color="auto" w:fill="4F81BD" w:themeFill="accent1"/>
            <w:noWrap/>
            <w:vAlign w:val="bottom"/>
            <w:hideMark/>
          </w:tcPr>
          <w:p w:rsidR="00786F2C" w:rsidRPr="00786F2C" w:rsidRDefault="00630CB6" w:rsidP="00786F2C">
            <w:pPr>
              <w:spacing w:after="0" w:line="240" w:lineRule="auto"/>
              <w:rPr>
                <w:rFonts w:eastAsia="Times New Roman"/>
                <w:b/>
                <w:bCs/>
                <w:color w:val="FFFFFF" w:themeColor="background1"/>
                <w:sz w:val="20"/>
                <w:lang w:eastAsia="en-AU"/>
              </w:rPr>
            </w:pPr>
            <w:r>
              <w:rPr>
                <w:i/>
                <w:color w:val="FFFFFF" w:themeColor="background1"/>
              </w:rPr>
              <w:t>Simple</w:t>
            </w:r>
            <w:r w:rsidR="00786F2C">
              <w:rPr>
                <w:i/>
                <w:color w:val="FFFFFF" w:themeColor="background1"/>
              </w:rPr>
              <w:t xml:space="preserve"> </w:t>
            </w:r>
            <w:r w:rsidR="00786F2C" w:rsidRPr="00630CB6">
              <w:rPr>
                <w:color w:val="FFFFFF" w:themeColor="background1"/>
              </w:rPr>
              <w:sym w:font="Wingdings" w:char="F0AB"/>
            </w:r>
            <w:r w:rsidR="00786F2C" w:rsidRPr="00630CB6">
              <w:rPr>
                <w:color w:val="FFFFFF" w:themeColor="background1"/>
              </w:rPr>
              <w:sym w:font="Wingdings" w:char="F0AB"/>
            </w:r>
            <w:r w:rsidR="00786F2C" w:rsidRPr="00630CB6">
              <w:rPr>
                <w:color w:val="FFFFFF" w:themeColor="background1"/>
              </w:rPr>
              <w:sym w:font="Wingdings" w:char="F0AB"/>
            </w:r>
            <w:r w:rsidR="00786F2C" w:rsidRPr="00630CB6">
              <w:rPr>
                <w:color w:val="FFFFFF" w:themeColor="background1"/>
              </w:rPr>
              <w:sym w:font="Wingdings" w:char="F0AB"/>
            </w:r>
            <w:r w:rsidR="00786F2C" w:rsidRPr="00630CB6">
              <w:rPr>
                <w:color w:val="FFFFFF" w:themeColor="background1"/>
              </w:rPr>
              <w:sym w:font="Wingdings" w:char="F0AB"/>
            </w:r>
          </w:p>
        </w:tc>
      </w:tr>
      <w:tr w:rsidR="00786F2C" w:rsidRPr="00C67D3E" w:rsidTr="000E6679">
        <w:trPr>
          <w:trHeight w:val="103"/>
        </w:trPr>
        <w:tc>
          <w:tcPr>
            <w:tcW w:w="9072" w:type="dxa"/>
            <w:tcBorders>
              <w:top w:val="nil"/>
              <w:left w:val="nil"/>
              <w:bottom w:val="single" w:sz="4" w:space="0" w:color="FFFFFF"/>
              <w:right w:val="single" w:sz="4" w:space="0" w:color="FFFFFF"/>
            </w:tcBorders>
            <w:shd w:val="clear" w:color="auto" w:fill="FFFFFF" w:themeFill="background1"/>
            <w:noWrap/>
            <w:vAlign w:val="center"/>
            <w:hideMark/>
          </w:tcPr>
          <w:p w:rsidR="00786F2C" w:rsidRPr="007B48EC" w:rsidRDefault="00786F2C" w:rsidP="00D7775D">
            <w:pPr>
              <w:spacing w:after="0" w:line="240" w:lineRule="auto"/>
              <w:jc w:val="both"/>
              <w:rPr>
                <w:rFonts w:eastAsia="Times New Roman"/>
                <w:color w:val="000000" w:themeColor="text1"/>
                <w:lang w:eastAsia="en-AU"/>
              </w:rPr>
            </w:pPr>
            <w:r w:rsidRPr="007B48EC">
              <w:rPr>
                <w:color w:val="000000" w:themeColor="text1"/>
              </w:rPr>
              <w:t>This approach only depends on the total regulatory costs and the number of operators in the sector, thus is simpler than the current methodology.</w:t>
            </w:r>
          </w:p>
        </w:tc>
      </w:tr>
      <w:tr w:rsidR="00786F2C" w:rsidRPr="00C67D3E" w:rsidTr="00786F2C">
        <w:trPr>
          <w:trHeight w:val="281"/>
        </w:trPr>
        <w:tc>
          <w:tcPr>
            <w:tcW w:w="9072" w:type="dxa"/>
            <w:tcBorders>
              <w:top w:val="nil"/>
              <w:left w:val="nil"/>
              <w:right w:val="single" w:sz="4" w:space="0" w:color="FFFFFF"/>
            </w:tcBorders>
            <w:shd w:val="clear" w:color="auto" w:fill="4F81BD" w:themeFill="accent1"/>
            <w:noWrap/>
            <w:vAlign w:val="center"/>
            <w:hideMark/>
          </w:tcPr>
          <w:p w:rsidR="00786F2C" w:rsidRPr="00786F2C" w:rsidRDefault="00786F2C" w:rsidP="00786F2C">
            <w:pPr>
              <w:spacing w:after="0" w:line="240" w:lineRule="auto"/>
              <w:rPr>
                <w:i/>
                <w:color w:val="FFFFFF" w:themeColor="background1"/>
              </w:rPr>
            </w:pPr>
            <w:r w:rsidRPr="00786F2C">
              <w:rPr>
                <w:i/>
                <w:color w:val="FFFFFF" w:themeColor="background1"/>
              </w:rPr>
              <w:t xml:space="preserve">Efficient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786F2C" w:rsidRPr="00C67D3E" w:rsidTr="000E6679">
        <w:trPr>
          <w:trHeight w:val="542"/>
        </w:trPr>
        <w:tc>
          <w:tcPr>
            <w:tcW w:w="9072" w:type="dxa"/>
            <w:tcBorders>
              <w:top w:val="nil"/>
              <w:left w:val="nil"/>
              <w:bottom w:val="single" w:sz="4" w:space="0" w:color="8064A2" w:themeColor="accent4"/>
              <w:right w:val="single" w:sz="4" w:space="0" w:color="FFFFFF"/>
            </w:tcBorders>
            <w:shd w:val="clear" w:color="auto" w:fill="FFFFFF" w:themeFill="background1"/>
            <w:noWrap/>
            <w:vAlign w:val="center"/>
            <w:hideMark/>
          </w:tcPr>
          <w:p w:rsidR="00786F2C" w:rsidRPr="007B48EC" w:rsidRDefault="00786F2C" w:rsidP="00D7775D">
            <w:pPr>
              <w:spacing w:after="0" w:line="240" w:lineRule="auto"/>
              <w:jc w:val="both"/>
              <w:rPr>
                <w:i/>
                <w:color w:val="000000" w:themeColor="text1"/>
              </w:rPr>
            </w:pPr>
            <w:r w:rsidRPr="007B48EC">
              <w:rPr>
                <w:color w:val="000000" w:themeColor="text1"/>
              </w:rPr>
              <w:t>Simpler systems are generally more efficient, as they will require fewer administration costs. It is also possible, but unlikely, for this system to be inefficient, if there are sufficiently many operators, resulting in a large number of small levy charges.</w:t>
            </w:r>
          </w:p>
        </w:tc>
      </w:tr>
    </w:tbl>
    <w:p w:rsidR="00786F2C" w:rsidRDefault="00786F2C" w:rsidP="00C30D59">
      <w:pPr>
        <w:pStyle w:val="Heading4"/>
      </w:pPr>
      <w:r>
        <w:t>Cons:</w:t>
      </w:r>
    </w:p>
    <w:tbl>
      <w:tblPr>
        <w:tblW w:w="9072" w:type="dxa"/>
        <w:tblInd w:w="108" w:type="dxa"/>
        <w:tblLayout w:type="fixed"/>
        <w:tblLook w:val="04A0"/>
      </w:tblPr>
      <w:tblGrid>
        <w:gridCol w:w="9072"/>
      </w:tblGrid>
      <w:tr w:rsidR="00786F2C" w:rsidRPr="00786F2C" w:rsidTr="007E1A3E">
        <w:trPr>
          <w:trHeight w:val="222"/>
        </w:trPr>
        <w:tc>
          <w:tcPr>
            <w:tcW w:w="9072" w:type="dxa"/>
            <w:tcBorders>
              <w:top w:val="nil"/>
              <w:left w:val="nil"/>
              <w:bottom w:val="single" w:sz="12" w:space="0" w:color="FFFFFF"/>
              <w:right w:val="single" w:sz="4" w:space="0" w:color="FFFFFF"/>
            </w:tcBorders>
            <w:shd w:val="clear" w:color="auto" w:fill="4F81BD" w:themeFill="accent1"/>
            <w:noWrap/>
            <w:vAlign w:val="bottom"/>
            <w:hideMark/>
          </w:tcPr>
          <w:p w:rsidR="00786F2C" w:rsidRPr="00786F2C" w:rsidRDefault="00786F2C" w:rsidP="00786F2C">
            <w:pPr>
              <w:spacing w:after="0" w:line="240" w:lineRule="auto"/>
              <w:rPr>
                <w:rFonts w:eastAsia="Times New Roman"/>
                <w:b/>
                <w:bCs/>
                <w:color w:val="FFFFFF" w:themeColor="background1"/>
                <w:sz w:val="20"/>
                <w:lang w:eastAsia="en-AU"/>
              </w:rPr>
            </w:pPr>
            <w:r w:rsidRPr="00786F2C">
              <w:rPr>
                <w:i/>
                <w:color w:val="FFFFFF" w:themeColor="background1"/>
              </w:rPr>
              <w:t xml:space="preserve">Predictability </w:t>
            </w:r>
            <w:r w:rsidRPr="00630CB6">
              <w:rPr>
                <w:color w:val="FFFFFF" w:themeColor="background1"/>
              </w:rPr>
              <w:sym w:font="Wingdings" w:char="F0AB"/>
            </w:r>
          </w:p>
        </w:tc>
      </w:tr>
      <w:tr w:rsidR="00786F2C" w:rsidRPr="008605F3" w:rsidTr="000E6679">
        <w:trPr>
          <w:trHeight w:val="1032"/>
        </w:trPr>
        <w:tc>
          <w:tcPr>
            <w:tcW w:w="9072" w:type="dxa"/>
            <w:tcBorders>
              <w:top w:val="nil"/>
              <w:left w:val="nil"/>
              <w:bottom w:val="single" w:sz="4" w:space="0" w:color="FFFFFF"/>
              <w:right w:val="single" w:sz="4" w:space="0" w:color="FFFFFF"/>
            </w:tcBorders>
            <w:shd w:val="clear" w:color="auto" w:fill="FFFFFF" w:themeFill="background1"/>
            <w:noWrap/>
            <w:vAlign w:val="center"/>
            <w:hideMark/>
          </w:tcPr>
          <w:p w:rsidR="00786F2C" w:rsidRPr="007B48EC" w:rsidRDefault="00786F2C" w:rsidP="00D7775D">
            <w:pPr>
              <w:spacing w:after="0" w:line="240" w:lineRule="auto"/>
              <w:jc w:val="both"/>
              <w:rPr>
                <w:color w:val="000000" w:themeColor="text1"/>
              </w:rPr>
            </w:pPr>
            <w:r w:rsidRPr="007B48EC">
              <w:rPr>
                <w:color w:val="000000" w:themeColor="text1"/>
              </w:rPr>
              <w:t>This methodology relies on the total regulatory cost and the number of operators in the sector, which are both outside of an individual utility’s control. As a result, they would be unable to manage these costs.</w:t>
            </w:r>
          </w:p>
          <w:p w:rsidR="00786F2C" w:rsidRPr="00603711" w:rsidRDefault="00786F2C" w:rsidP="00907BE7">
            <w:pPr>
              <w:spacing w:before="240" w:after="0" w:line="240" w:lineRule="auto"/>
              <w:jc w:val="both"/>
            </w:pPr>
            <w:r w:rsidRPr="007B48EC">
              <w:rPr>
                <w:color w:val="000000" w:themeColor="text1"/>
              </w:rPr>
              <w:t>The total regulatory cost has been volatile, so the Levy under this method will be volatile. This is compounded by uncertainty of when a utility may enter or exit the sector.</w:t>
            </w:r>
            <w:r>
              <w:t xml:space="preserve"> </w:t>
            </w:r>
          </w:p>
        </w:tc>
      </w:tr>
      <w:tr w:rsidR="00786F2C" w:rsidRPr="00786F2C" w:rsidTr="000E6679">
        <w:trPr>
          <w:trHeight w:val="53"/>
        </w:trPr>
        <w:tc>
          <w:tcPr>
            <w:tcW w:w="9072" w:type="dxa"/>
            <w:tcBorders>
              <w:top w:val="nil"/>
              <w:left w:val="nil"/>
              <w:right w:val="single" w:sz="4" w:space="0" w:color="FFFFFF"/>
            </w:tcBorders>
            <w:shd w:val="clear" w:color="auto" w:fill="4F81BD" w:themeFill="accent1"/>
            <w:noWrap/>
            <w:vAlign w:val="center"/>
            <w:hideMark/>
          </w:tcPr>
          <w:p w:rsidR="00786F2C" w:rsidRPr="00786F2C" w:rsidRDefault="00786F2C" w:rsidP="00786F2C">
            <w:pPr>
              <w:spacing w:after="0" w:line="240" w:lineRule="auto"/>
              <w:rPr>
                <w:i/>
                <w:color w:val="FFFFFF" w:themeColor="background1"/>
              </w:rPr>
            </w:pPr>
            <w:r>
              <w:rPr>
                <w:i/>
                <w:color w:val="FFFFFF" w:themeColor="background1"/>
              </w:rPr>
              <w:t>Fair</w:t>
            </w:r>
            <w:r w:rsidR="00603711">
              <w:rPr>
                <w:i/>
                <w:color w:val="FFFFFF" w:themeColor="background1"/>
              </w:rPr>
              <w:t xml:space="preserve"> </w:t>
            </w:r>
            <w:r w:rsidRPr="00630CB6">
              <w:rPr>
                <w:color w:val="FFFFFF" w:themeColor="background1"/>
              </w:rPr>
              <w:sym w:font="Wingdings" w:char="F0AB"/>
            </w:r>
          </w:p>
        </w:tc>
      </w:tr>
      <w:tr w:rsidR="00786F2C" w:rsidRPr="00786F2C" w:rsidTr="000E6679">
        <w:trPr>
          <w:trHeight w:val="447"/>
        </w:trPr>
        <w:tc>
          <w:tcPr>
            <w:tcW w:w="9072" w:type="dxa"/>
            <w:tcBorders>
              <w:top w:val="nil"/>
              <w:left w:val="nil"/>
              <w:bottom w:val="nil"/>
              <w:right w:val="single" w:sz="4" w:space="0" w:color="FFFFFF"/>
            </w:tcBorders>
            <w:shd w:val="clear" w:color="auto" w:fill="FFFFFF" w:themeFill="background1"/>
            <w:noWrap/>
            <w:vAlign w:val="center"/>
            <w:hideMark/>
          </w:tcPr>
          <w:p w:rsidR="00786F2C" w:rsidRPr="007B48EC" w:rsidRDefault="00786F2C" w:rsidP="00D7775D">
            <w:pPr>
              <w:spacing w:after="0" w:line="240" w:lineRule="auto"/>
              <w:jc w:val="both"/>
              <w:rPr>
                <w:i/>
                <w:color w:val="000000" w:themeColor="text1"/>
              </w:rPr>
            </w:pPr>
            <w:r w:rsidRPr="007B48EC">
              <w:rPr>
                <w:color w:val="000000" w:themeColor="text1"/>
              </w:rPr>
              <w:t>Option 1 trades fairness for simplicity. Costs that were directly attributable to individual operators would be shared uniformly across the sector, violating the fairness criterion. This compounds the fairness issues in the current methodology.</w:t>
            </w:r>
          </w:p>
        </w:tc>
      </w:tr>
      <w:tr w:rsidR="00603711" w:rsidRPr="00786F2C" w:rsidTr="000E6679">
        <w:trPr>
          <w:trHeight w:val="63"/>
        </w:trPr>
        <w:tc>
          <w:tcPr>
            <w:tcW w:w="9072" w:type="dxa"/>
            <w:tcBorders>
              <w:top w:val="nil"/>
              <w:left w:val="nil"/>
              <w:bottom w:val="nil"/>
              <w:right w:val="single" w:sz="4" w:space="0" w:color="FFFFFF"/>
            </w:tcBorders>
            <w:shd w:val="clear" w:color="auto" w:fill="4F81BD" w:themeFill="accent1"/>
            <w:noWrap/>
            <w:vAlign w:val="center"/>
            <w:hideMark/>
          </w:tcPr>
          <w:p w:rsidR="00603711" w:rsidRPr="00603711" w:rsidRDefault="00603711" w:rsidP="00786F2C">
            <w:pPr>
              <w:spacing w:after="0" w:line="240" w:lineRule="auto"/>
              <w:rPr>
                <w:color w:val="FFFFFF" w:themeColor="background1"/>
              </w:rPr>
            </w:pPr>
            <w:r w:rsidRPr="00603711">
              <w:rPr>
                <w:i/>
                <w:color w:val="FFFFFF" w:themeColor="background1"/>
              </w:rPr>
              <w:t>Competition</w:t>
            </w:r>
            <w:r>
              <w:rPr>
                <w:i/>
                <w:color w:val="FFFFFF" w:themeColor="background1"/>
              </w:rPr>
              <w:t xml:space="preserve"> </w:t>
            </w:r>
            <w:r w:rsidRPr="00630CB6">
              <w:rPr>
                <w:color w:val="FFFFFF" w:themeColor="background1"/>
              </w:rPr>
              <w:sym w:font="Wingdings" w:char="F0AB"/>
            </w:r>
          </w:p>
        </w:tc>
      </w:tr>
      <w:tr w:rsidR="00603711" w:rsidRPr="00786F2C" w:rsidTr="000E6679">
        <w:trPr>
          <w:trHeight w:val="221"/>
        </w:trPr>
        <w:tc>
          <w:tcPr>
            <w:tcW w:w="9072" w:type="dxa"/>
            <w:tcBorders>
              <w:top w:val="nil"/>
              <w:left w:val="nil"/>
              <w:bottom w:val="single" w:sz="4" w:space="0" w:color="8064A2" w:themeColor="accent4"/>
              <w:right w:val="single" w:sz="4" w:space="0" w:color="FFFFFF"/>
            </w:tcBorders>
            <w:shd w:val="clear" w:color="auto" w:fill="FFFFFF" w:themeFill="background1"/>
            <w:noWrap/>
            <w:vAlign w:val="center"/>
            <w:hideMark/>
          </w:tcPr>
          <w:p w:rsidR="00603711" w:rsidRPr="007B48EC" w:rsidRDefault="00603711" w:rsidP="00D7775D">
            <w:pPr>
              <w:spacing w:after="0" w:line="240" w:lineRule="auto"/>
              <w:jc w:val="both"/>
              <w:rPr>
                <w:color w:val="000000" w:themeColor="text1"/>
              </w:rPr>
            </w:pPr>
            <w:r w:rsidRPr="007B48EC">
              <w:rPr>
                <w:color w:val="000000" w:themeColor="text1"/>
              </w:rPr>
              <w:t>Option 1 increases the competition concerns with the current methodology. There would be greater barriers to enter the market and greater artificial economies of scale.</w:t>
            </w:r>
          </w:p>
        </w:tc>
      </w:tr>
    </w:tbl>
    <w:p w:rsidR="007E1A3E" w:rsidRDefault="007E1A3E" w:rsidP="007E1A3E">
      <w:pPr>
        <w:rPr>
          <w:rFonts w:ascii="Arial" w:eastAsiaTheme="majorEastAsia" w:hAnsi="Arial" w:cstheme="majorBidi"/>
          <w:color w:val="262626" w:themeColor="text1" w:themeTint="D9"/>
        </w:rPr>
      </w:pPr>
      <w:bookmarkStart w:id="47" w:name="_Toc443051398"/>
      <w:bookmarkStart w:id="48" w:name="_Toc443901120"/>
      <w:bookmarkStart w:id="49" w:name="_Toc444861388"/>
      <w:bookmarkStart w:id="50" w:name="_Toc449438545"/>
      <w:r>
        <w:br w:type="page"/>
      </w:r>
    </w:p>
    <w:p w:rsidR="00B55F32" w:rsidRDefault="00B55F32" w:rsidP="00BF3556">
      <w:pPr>
        <w:pStyle w:val="optionheading"/>
        <w:jc w:val="center"/>
      </w:pPr>
      <w:bookmarkStart w:id="51" w:name="_Toc454982006"/>
      <w:r>
        <w:t>Option 2: Variable methodology</w:t>
      </w:r>
      <w:bookmarkEnd w:id="47"/>
      <w:bookmarkEnd w:id="48"/>
      <w:bookmarkEnd w:id="49"/>
      <w:bookmarkEnd w:id="50"/>
      <w:bookmarkEnd w:id="51"/>
    </w:p>
    <w:p w:rsidR="00F02DEB" w:rsidRPr="00F02DEB" w:rsidRDefault="00F02DEB" w:rsidP="00F02DEB">
      <w:pPr>
        <w:keepNext/>
        <w:keepLines/>
        <w:spacing w:before="200" w:after="0"/>
        <w:outlineLvl w:val="3"/>
        <w:rPr>
          <w:rFonts w:ascii="Arial" w:eastAsia="Times New Roman" w:hAnsi="Arial"/>
          <w:b/>
          <w:bCs/>
          <w:i/>
          <w:iCs/>
          <w:color w:val="AB4387"/>
        </w:rPr>
      </w:pPr>
      <w:r w:rsidRPr="00F02DEB">
        <w:rPr>
          <w:rFonts w:ascii="Arial" w:eastAsia="Times New Roman" w:hAnsi="Arial"/>
          <w:b/>
          <w:bCs/>
          <w:i/>
          <w:iCs/>
          <w:color w:val="AB4387"/>
        </w:rPr>
        <w:t>Method, formula, and structure categories:</w:t>
      </w:r>
    </w:p>
    <w:tbl>
      <w:tblPr>
        <w:tblW w:w="9072" w:type="dxa"/>
        <w:tblInd w:w="108" w:type="dxa"/>
        <w:tblLayout w:type="fixed"/>
        <w:tblLook w:val="04A0"/>
      </w:tblPr>
      <w:tblGrid>
        <w:gridCol w:w="9072"/>
      </w:tblGrid>
      <w:tr w:rsidR="00F02DEB" w:rsidRPr="00F02DEB" w:rsidTr="008C53A9">
        <w:trPr>
          <w:trHeight w:val="210"/>
        </w:trPr>
        <w:tc>
          <w:tcPr>
            <w:tcW w:w="9072" w:type="dxa"/>
            <w:tcBorders>
              <w:top w:val="nil"/>
              <w:left w:val="nil"/>
              <w:bottom w:val="single" w:sz="12" w:space="0" w:color="FFFFFF"/>
              <w:right w:val="single" w:sz="4" w:space="0" w:color="FFFFFF"/>
            </w:tcBorders>
            <w:shd w:val="clear" w:color="auto" w:fill="4F81BD"/>
            <w:noWrap/>
            <w:vAlign w:val="bottom"/>
            <w:hideMark/>
          </w:tcPr>
          <w:p w:rsidR="00F02DEB" w:rsidRPr="00F02DEB" w:rsidRDefault="00F02DEB" w:rsidP="00F02DEB">
            <w:pPr>
              <w:spacing w:after="0" w:line="240" w:lineRule="auto"/>
              <w:rPr>
                <w:rFonts w:eastAsia="Times New Roman"/>
                <w:b/>
                <w:bCs/>
                <w:color w:val="FFFFFF"/>
                <w:sz w:val="20"/>
                <w:lang w:eastAsia="en-AU"/>
              </w:rPr>
            </w:pPr>
            <w:r w:rsidRPr="00630CB6">
              <w:rPr>
                <w:i/>
                <w:color w:val="FFFFFF" w:themeColor="background1"/>
              </w:rPr>
              <w:t>Method</w:t>
            </w:r>
          </w:p>
        </w:tc>
      </w:tr>
      <w:tr w:rsidR="00F02DEB" w:rsidRPr="00F02DEB" w:rsidTr="008C53A9">
        <w:trPr>
          <w:trHeight w:val="340"/>
        </w:trPr>
        <w:tc>
          <w:tcPr>
            <w:tcW w:w="9072" w:type="dxa"/>
            <w:tcBorders>
              <w:top w:val="nil"/>
              <w:left w:val="nil"/>
              <w:bottom w:val="single" w:sz="4" w:space="0" w:color="FFFFFF"/>
              <w:right w:val="single" w:sz="4" w:space="0" w:color="FFFFFF"/>
            </w:tcBorders>
            <w:shd w:val="clear" w:color="auto" w:fill="FFFFFF"/>
            <w:noWrap/>
            <w:vAlign w:val="center"/>
            <w:hideMark/>
          </w:tcPr>
          <w:p w:rsidR="00F02DEB" w:rsidRPr="007B48EC" w:rsidRDefault="00F02DEB" w:rsidP="00F02DEB">
            <w:pPr>
              <w:spacing w:after="0"/>
              <w:jc w:val="both"/>
              <w:rPr>
                <w:rFonts w:eastAsia="Times New Roman"/>
                <w:color w:val="000000" w:themeColor="text1"/>
                <w:lang w:eastAsia="en-AU"/>
              </w:rPr>
            </w:pPr>
            <w:r w:rsidRPr="007B48EC">
              <w:rPr>
                <w:color w:val="000000" w:themeColor="text1"/>
              </w:rPr>
              <w:t>Total regulatory cost would be divided among operators based on market share.</w:t>
            </w:r>
          </w:p>
        </w:tc>
      </w:tr>
      <w:tr w:rsidR="00F02DEB" w:rsidRPr="00F02DEB" w:rsidTr="008C53A9">
        <w:trPr>
          <w:trHeight w:val="115"/>
        </w:trPr>
        <w:tc>
          <w:tcPr>
            <w:tcW w:w="9072" w:type="dxa"/>
            <w:tcBorders>
              <w:top w:val="nil"/>
              <w:left w:val="nil"/>
              <w:right w:val="single" w:sz="4" w:space="0" w:color="FFFFFF"/>
            </w:tcBorders>
            <w:shd w:val="clear" w:color="auto" w:fill="4F81BD"/>
            <w:noWrap/>
            <w:vAlign w:val="center"/>
            <w:hideMark/>
          </w:tcPr>
          <w:p w:rsidR="00F02DEB" w:rsidRPr="00F02DEB" w:rsidRDefault="00F02DEB" w:rsidP="00F02DEB">
            <w:pPr>
              <w:spacing w:after="0" w:line="240" w:lineRule="auto"/>
              <w:rPr>
                <w:i/>
                <w:color w:val="FFFFFF"/>
              </w:rPr>
            </w:pPr>
            <w:r w:rsidRPr="00630CB6">
              <w:rPr>
                <w:i/>
                <w:color w:val="FFFFFF" w:themeColor="background1"/>
              </w:rPr>
              <w:t>Formula for individual firm</w:t>
            </w:r>
          </w:p>
        </w:tc>
      </w:tr>
      <w:tr w:rsidR="00F02DEB" w:rsidRPr="00F02DEB" w:rsidTr="008C53A9">
        <w:trPr>
          <w:trHeight w:val="864"/>
        </w:trPr>
        <w:tc>
          <w:tcPr>
            <w:tcW w:w="9072" w:type="dxa"/>
            <w:tcBorders>
              <w:top w:val="nil"/>
              <w:left w:val="nil"/>
              <w:bottom w:val="nil"/>
              <w:right w:val="single" w:sz="4" w:space="0" w:color="FFFFFF"/>
            </w:tcBorders>
            <w:shd w:val="clear" w:color="auto" w:fill="FFFFFF"/>
            <w:noWrap/>
            <w:vAlign w:val="center"/>
            <w:hideMark/>
          </w:tcPr>
          <w:p w:rsidR="00F02DEB" w:rsidRPr="007B48EC" w:rsidRDefault="00F02DEB" w:rsidP="00F02DEB">
            <w:pPr>
              <w:spacing w:before="240" w:after="0"/>
              <w:jc w:val="both"/>
              <w:rPr>
                <w:color w:val="000000" w:themeColor="text1"/>
              </w:rPr>
            </w:pPr>
            <m:oMathPara>
              <m:oMath>
                <m:r>
                  <w:rPr>
                    <w:rFonts w:ascii="Cambria Math" w:hAnsi="Cambria Math"/>
                    <w:color w:val="000000" w:themeColor="text1"/>
                  </w:rPr>
                  <m:t>L×</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a</m:t>
                    </m:r>
                  </m:sub>
                </m:sSub>
              </m:oMath>
            </m:oMathPara>
          </w:p>
          <w:p w:rsidR="00F02DEB" w:rsidRPr="00F02DEB" w:rsidRDefault="00F02DEB" w:rsidP="00F02DEB">
            <w:pPr>
              <w:spacing w:after="0" w:line="240" w:lineRule="auto"/>
              <w:rPr>
                <w:i/>
                <w:color w:val="FFFFFF"/>
              </w:rPr>
            </w:pPr>
          </w:p>
        </w:tc>
      </w:tr>
      <w:tr w:rsidR="00F02DEB" w:rsidRPr="00F02DEB" w:rsidTr="00AC745B">
        <w:trPr>
          <w:trHeight w:val="80"/>
        </w:trPr>
        <w:tc>
          <w:tcPr>
            <w:tcW w:w="9072" w:type="dxa"/>
            <w:tcBorders>
              <w:top w:val="nil"/>
              <w:left w:val="nil"/>
              <w:bottom w:val="nil"/>
              <w:right w:val="single" w:sz="4" w:space="0" w:color="FFFFFF"/>
            </w:tcBorders>
            <w:shd w:val="clear" w:color="auto" w:fill="4F81BD"/>
            <w:noWrap/>
            <w:vAlign w:val="center"/>
            <w:hideMark/>
          </w:tcPr>
          <w:p w:rsidR="00F02DEB" w:rsidRPr="00F02DEB" w:rsidRDefault="00F02DEB" w:rsidP="00630CB6">
            <w:pPr>
              <w:spacing w:after="0" w:line="240" w:lineRule="auto"/>
              <w:rPr>
                <w:i/>
                <w:color w:val="FFFFFF"/>
              </w:rPr>
            </w:pPr>
            <w:r w:rsidRPr="00630CB6">
              <w:rPr>
                <w:i/>
                <w:color w:val="FFFFFF" w:themeColor="background1"/>
              </w:rPr>
              <w:t>Categories in the levy structure</w:t>
            </w:r>
          </w:p>
        </w:tc>
      </w:tr>
      <w:tr w:rsidR="00F02DEB" w:rsidRPr="00F02DEB" w:rsidTr="008C53A9">
        <w:trPr>
          <w:trHeight w:val="361"/>
        </w:trPr>
        <w:tc>
          <w:tcPr>
            <w:tcW w:w="9072" w:type="dxa"/>
            <w:tcBorders>
              <w:top w:val="nil"/>
              <w:left w:val="nil"/>
              <w:bottom w:val="single" w:sz="4" w:space="0" w:color="8064A2"/>
              <w:right w:val="single" w:sz="4" w:space="0" w:color="FFFFFF"/>
            </w:tcBorders>
            <w:shd w:val="clear" w:color="auto" w:fill="FFFFFF"/>
            <w:noWrap/>
            <w:vAlign w:val="center"/>
            <w:hideMark/>
          </w:tcPr>
          <w:p w:rsidR="00F02DEB" w:rsidRPr="007B48EC" w:rsidRDefault="00F02DEB" w:rsidP="00F02DEB">
            <w:pPr>
              <w:spacing w:after="0"/>
              <w:jc w:val="both"/>
              <w:rPr>
                <w:i/>
                <w:color w:val="000000" w:themeColor="text1"/>
              </w:rPr>
            </w:pPr>
            <w:r w:rsidRPr="007B48EC">
              <w:rPr>
                <w:color w:val="000000" w:themeColor="text1"/>
              </w:rPr>
              <w:t>Industry sectors, total regulatory cost, and market share for each firm.</w:t>
            </w:r>
          </w:p>
        </w:tc>
      </w:tr>
    </w:tbl>
    <w:p w:rsidR="00F02DEB" w:rsidRPr="00F02DEB" w:rsidRDefault="00F02DEB" w:rsidP="00F02DEB">
      <w:pPr>
        <w:keepNext/>
        <w:keepLines/>
        <w:spacing w:before="200" w:after="0"/>
        <w:outlineLvl w:val="3"/>
        <w:rPr>
          <w:rFonts w:ascii="Arial" w:eastAsia="Times New Roman" w:hAnsi="Arial"/>
          <w:b/>
          <w:bCs/>
          <w:i/>
          <w:iCs/>
          <w:color w:val="AB4387"/>
        </w:rPr>
      </w:pPr>
      <w:r w:rsidRPr="00F02DEB">
        <w:rPr>
          <w:rFonts w:ascii="Arial" w:eastAsia="Times New Roman" w:hAnsi="Arial"/>
          <w:b/>
          <w:bCs/>
          <w:i/>
          <w:iCs/>
          <w:color w:val="AB4387"/>
        </w:rPr>
        <w:t>Pros:</w:t>
      </w:r>
    </w:p>
    <w:tbl>
      <w:tblPr>
        <w:tblW w:w="9072" w:type="dxa"/>
        <w:tblInd w:w="108" w:type="dxa"/>
        <w:tblLayout w:type="fixed"/>
        <w:tblLook w:val="04A0"/>
      </w:tblPr>
      <w:tblGrid>
        <w:gridCol w:w="9072"/>
      </w:tblGrid>
      <w:tr w:rsidR="00F02DEB" w:rsidRPr="00F02DEB" w:rsidTr="008C53A9">
        <w:trPr>
          <w:trHeight w:val="143"/>
        </w:trPr>
        <w:tc>
          <w:tcPr>
            <w:tcW w:w="9072" w:type="dxa"/>
            <w:tcBorders>
              <w:top w:val="nil"/>
              <w:left w:val="nil"/>
              <w:bottom w:val="single" w:sz="12" w:space="0" w:color="FFFFFF"/>
              <w:right w:val="single" w:sz="4" w:space="0" w:color="FFFFFF"/>
            </w:tcBorders>
            <w:shd w:val="clear" w:color="auto" w:fill="4F81BD"/>
            <w:noWrap/>
            <w:vAlign w:val="bottom"/>
            <w:hideMark/>
          </w:tcPr>
          <w:p w:rsidR="00F02DEB" w:rsidRPr="00F02DEB" w:rsidRDefault="00F02DEB" w:rsidP="00F02DEB">
            <w:pPr>
              <w:spacing w:after="0" w:line="240" w:lineRule="auto"/>
              <w:rPr>
                <w:rFonts w:eastAsia="Times New Roman"/>
                <w:b/>
                <w:bCs/>
                <w:color w:val="FFFFFF"/>
                <w:sz w:val="20"/>
                <w:lang w:eastAsia="en-AU"/>
              </w:rPr>
            </w:pPr>
            <w:r w:rsidRPr="00630CB6">
              <w:rPr>
                <w:i/>
                <w:color w:val="FFFFFF" w:themeColor="background1"/>
              </w:rPr>
              <w:t xml:space="preserve">Simple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F02DEB" w:rsidRPr="00F02DEB" w:rsidTr="008C53A9">
        <w:trPr>
          <w:trHeight w:val="103"/>
        </w:trPr>
        <w:tc>
          <w:tcPr>
            <w:tcW w:w="9072" w:type="dxa"/>
            <w:tcBorders>
              <w:top w:val="nil"/>
              <w:left w:val="nil"/>
              <w:bottom w:val="single" w:sz="4" w:space="0" w:color="FFFFFF"/>
              <w:right w:val="single" w:sz="4" w:space="0" w:color="FFFFFF"/>
            </w:tcBorders>
            <w:shd w:val="clear" w:color="auto" w:fill="FFFFFF"/>
            <w:noWrap/>
            <w:vAlign w:val="center"/>
            <w:hideMark/>
          </w:tcPr>
          <w:p w:rsidR="00F02DEB" w:rsidRPr="00F02DEB" w:rsidRDefault="00F02DEB" w:rsidP="00D7775D">
            <w:pPr>
              <w:spacing w:after="0" w:line="240" w:lineRule="auto"/>
              <w:jc w:val="both"/>
              <w:rPr>
                <w:rFonts w:eastAsia="Times New Roman"/>
                <w:color w:val="002060"/>
                <w:lang w:eastAsia="en-AU"/>
              </w:rPr>
            </w:pPr>
            <w:r w:rsidRPr="00F02DEB">
              <w:t>The variable approach is more complex than Option 1, but simpler than the current levy structure and method of distribution.</w:t>
            </w:r>
          </w:p>
        </w:tc>
      </w:tr>
      <w:tr w:rsidR="00F02DEB" w:rsidRPr="00F02DEB" w:rsidTr="007B48EC">
        <w:trPr>
          <w:trHeight w:val="70"/>
        </w:trPr>
        <w:tc>
          <w:tcPr>
            <w:tcW w:w="9072" w:type="dxa"/>
            <w:tcBorders>
              <w:top w:val="nil"/>
              <w:left w:val="nil"/>
              <w:right w:val="single" w:sz="4" w:space="0" w:color="FFFFFF"/>
            </w:tcBorders>
            <w:shd w:val="clear" w:color="auto" w:fill="4F81BD"/>
            <w:noWrap/>
            <w:vAlign w:val="center"/>
            <w:hideMark/>
          </w:tcPr>
          <w:p w:rsidR="00F02DEB" w:rsidRPr="00F02DEB" w:rsidRDefault="00F02DEB" w:rsidP="00F02DEB">
            <w:pPr>
              <w:spacing w:after="0" w:line="240" w:lineRule="auto"/>
              <w:rPr>
                <w:i/>
                <w:color w:val="FFFFFF"/>
              </w:rPr>
            </w:pPr>
            <w:r w:rsidRPr="00630CB6">
              <w:rPr>
                <w:i/>
                <w:color w:val="FFFFFF" w:themeColor="background1"/>
              </w:rPr>
              <w:t xml:space="preserve">Predictable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F02DEB" w:rsidRPr="00F02DEB" w:rsidTr="007B48EC">
        <w:trPr>
          <w:trHeight w:val="542"/>
        </w:trPr>
        <w:tc>
          <w:tcPr>
            <w:tcW w:w="9072" w:type="dxa"/>
            <w:tcBorders>
              <w:top w:val="nil"/>
              <w:left w:val="nil"/>
              <w:bottom w:val="single" w:sz="4" w:space="0" w:color="4F81BD" w:themeColor="accent1"/>
              <w:right w:val="single" w:sz="4" w:space="0" w:color="FFFFFF"/>
            </w:tcBorders>
            <w:shd w:val="clear" w:color="auto" w:fill="FFFFFF"/>
            <w:noWrap/>
            <w:vAlign w:val="center"/>
            <w:hideMark/>
          </w:tcPr>
          <w:p w:rsidR="00F02DEB" w:rsidRPr="007B48EC" w:rsidRDefault="00F02DEB" w:rsidP="00D7775D">
            <w:pPr>
              <w:spacing w:after="0" w:line="240" w:lineRule="auto"/>
              <w:jc w:val="both"/>
              <w:rPr>
                <w:color w:val="000000" w:themeColor="text1"/>
              </w:rPr>
            </w:pPr>
            <w:r w:rsidRPr="007B48EC">
              <w:rPr>
                <w:color w:val="000000" w:themeColor="text1"/>
              </w:rPr>
              <w:t>The results of Option 2 are more predictable than the current methodology and Option 1. An individual operator’s levy is determined by the total regulatory costs and the operator’s market share. While total regulatory costs have been volatile, individual levies’ volatility have been compounded by the volatility of the fixed component; Option 2 reduces this volatility. The operator’s market share may fluctuate as other operators enter or exit the market, but the operator has a greater ability to manage this variability.</w:t>
            </w:r>
          </w:p>
        </w:tc>
      </w:tr>
    </w:tbl>
    <w:p w:rsidR="00F02DEB" w:rsidRPr="00F02DEB" w:rsidRDefault="00F02DEB" w:rsidP="00F02DEB">
      <w:pPr>
        <w:keepNext/>
        <w:keepLines/>
        <w:spacing w:before="200" w:after="0"/>
        <w:outlineLvl w:val="3"/>
        <w:rPr>
          <w:rFonts w:ascii="Arial" w:eastAsia="Times New Roman" w:hAnsi="Arial"/>
          <w:b/>
          <w:bCs/>
          <w:i/>
          <w:iCs/>
          <w:color w:val="AB4387"/>
        </w:rPr>
      </w:pPr>
      <w:r w:rsidRPr="00F02DEB">
        <w:rPr>
          <w:rFonts w:ascii="Arial" w:eastAsia="Times New Roman" w:hAnsi="Arial"/>
          <w:b/>
          <w:bCs/>
          <w:i/>
          <w:iCs/>
          <w:color w:val="AB4387"/>
        </w:rPr>
        <w:t>Cons:</w:t>
      </w:r>
    </w:p>
    <w:tbl>
      <w:tblPr>
        <w:tblW w:w="9072" w:type="dxa"/>
        <w:tblInd w:w="108" w:type="dxa"/>
        <w:tblLayout w:type="fixed"/>
        <w:tblLook w:val="04A0"/>
      </w:tblPr>
      <w:tblGrid>
        <w:gridCol w:w="9072"/>
      </w:tblGrid>
      <w:tr w:rsidR="00F02DEB" w:rsidRPr="00F02DEB" w:rsidTr="00AC745B">
        <w:trPr>
          <w:trHeight w:val="80"/>
        </w:trPr>
        <w:tc>
          <w:tcPr>
            <w:tcW w:w="9072" w:type="dxa"/>
            <w:tcBorders>
              <w:top w:val="nil"/>
              <w:left w:val="nil"/>
              <w:bottom w:val="single" w:sz="12" w:space="0" w:color="FFFFFF"/>
              <w:right w:val="single" w:sz="4" w:space="0" w:color="FFFFFF"/>
            </w:tcBorders>
            <w:shd w:val="clear" w:color="auto" w:fill="4F81BD"/>
            <w:noWrap/>
            <w:vAlign w:val="center"/>
            <w:hideMark/>
          </w:tcPr>
          <w:p w:rsidR="00F02DEB" w:rsidRPr="00F02DEB" w:rsidRDefault="00F02DEB" w:rsidP="00F02DEB">
            <w:pPr>
              <w:spacing w:after="0" w:line="240" w:lineRule="auto"/>
              <w:rPr>
                <w:i/>
                <w:color w:val="FFFFFF"/>
              </w:rPr>
            </w:pPr>
            <w:r w:rsidRPr="00630CB6">
              <w:rPr>
                <w:i/>
                <w:color w:val="FFFFFF" w:themeColor="background1"/>
              </w:rPr>
              <w:t xml:space="preserve">Fair </w:t>
            </w:r>
            <w:r w:rsidRPr="00630CB6">
              <w:rPr>
                <w:color w:val="FFFFFF" w:themeColor="background1"/>
              </w:rPr>
              <w:sym w:font="Wingdings" w:char="F0AB"/>
            </w:r>
            <w:r w:rsidRPr="00630CB6">
              <w:rPr>
                <w:color w:val="FFFFFF" w:themeColor="background1"/>
              </w:rPr>
              <w:sym w:font="Wingdings" w:char="F0AB"/>
            </w:r>
            <w:r w:rsidR="00B80734" w:rsidRPr="00630CB6">
              <w:rPr>
                <w:color w:val="FFFFFF" w:themeColor="background1"/>
              </w:rPr>
              <w:sym w:font="Wingdings" w:char="F0AB"/>
            </w:r>
          </w:p>
        </w:tc>
      </w:tr>
      <w:tr w:rsidR="00F02DEB" w:rsidRPr="00F02DEB" w:rsidTr="008C53A9">
        <w:trPr>
          <w:trHeight w:val="542"/>
        </w:trPr>
        <w:tc>
          <w:tcPr>
            <w:tcW w:w="9072" w:type="dxa"/>
            <w:tcBorders>
              <w:top w:val="nil"/>
              <w:left w:val="nil"/>
              <w:bottom w:val="single" w:sz="4" w:space="0" w:color="8064A2"/>
              <w:right w:val="single" w:sz="4" w:space="0" w:color="FFFFFF"/>
            </w:tcBorders>
            <w:shd w:val="clear" w:color="auto" w:fill="FFFFFF"/>
            <w:noWrap/>
            <w:vAlign w:val="center"/>
            <w:hideMark/>
          </w:tcPr>
          <w:p w:rsidR="00F02DEB" w:rsidRPr="007B48EC" w:rsidRDefault="00F02DEB" w:rsidP="00D7775D">
            <w:pPr>
              <w:spacing w:after="0" w:line="240" w:lineRule="auto"/>
              <w:jc w:val="both"/>
              <w:rPr>
                <w:color w:val="000000" w:themeColor="text1"/>
              </w:rPr>
            </w:pPr>
            <w:r w:rsidRPr="007B48EC">
              <w:rPr>
                <w:color w:val="000000" w:themeColor="text1"/>
              </w:rPr>
              <w:t xml:space="preserve">Option 2 is fairer than Option 1, as the methodology accounts for the differences in responsibility for regulatory costs. </w:t>
            </w:r>
          </w:p>
          <w:p w:rsidR="00F02DEB" w:rsidRPr="00F02DEB" w:rsidRDefault="00F02DEB" w:rsidP="00907BE7">
            <w:pPr>
              <w:spacing w:before="240" w:after="0" w:line="240" w:lineRule="auto"/>
              <w:jc w:val="both"/>
            </w:pPr>
            <w:r w:rsidRPr="007B48EC">
              <w:rPr>
                <w:color w:val="000000" w:themeColor="text1"/>
              </w:rPr>
              <w:t>Arguably, however, this approach introduces unfairness to operators with large market shares, who may pay more than their fair share.</w:t>
            </w:r>
            <w:r w:rsidRPr="00F02DEB">
              <w:t xml:space="preserve"> </w:t>
            </w:r>
          </w:p>
        </w:tc>
      </w:tr>
      <w:tr w:rsidR="00F02DEB" w:rsidRPr="00F02DEB" w:rsidTr="00AC745B">
        <w:trPr>
          <w:trHeight w:val="70"/>
        </w:trPr>
        <w:tc>
          <w:tcPr>
            <w:tcW w:w="9072" w:type="dxa"/>
            <w:tcBorders>
              <w:top w:val="nil"/>
              <w:left w:val="nil"/>
              <w:bottom w:val="single" w:sz="4" w:space="0" w:color="8064A2"/>
              <w:right w:val="single" w:sz="4" w:space="0" w:color="FFFFFF"/>
            </w:tcBorders>
            <w:shd w:val="clear" w:color="auto" w:fill="4F81BD"/>
            <w:noWrap/>
            <w:vAlign w:val="center"/>
          </w:tcPr>
          <w:p w:rsidR="00F02DEB" w:rsidRPr="00F02DEB" w:rsidRDefault="00F02DEB" w:rsidP="00F02DEB">
            <w:pPr>
              <w:spacing w:after="0" w:line="240" w:lineRule="auto"/>
              <w:rPr>
                <w:i/>
                <w:color w:val="FFFFFF"/>
              </w:rPr>
            </w:pPr>
            <w:r w:rsidRPr="00630CB6">
              <w:rPr>
                <w:i/>
                <w:color w:val="FFFFFF" w:themeColor="background1"/>
              </w:rPr>
              <w:t xml:space="preserve">Competition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F02DEB" w:rsidRPr="00F02DEB" w:rsidTr="008C53A9">
        <w:trPr>
          <w:trHeight w:val="542"/>
        </w:trPr>
        <w:tc>
          <w:tcPr>
            <w:tcW w:w="9072" w:type="dxa"/>
            <w:tcBorders>
              <w:top w:val="nil"/>
              <w:left w:val="nil"/>
              <w:bottom w:val="single" w:sz="4" w:space="0" w:color="8064A2"/>
              <w:right w:val="single" w:sz="4" w:space="0" w:color="FFFFFF"/>
            </w:tcBorders>
            <w:shd w:val="clear" w:color="auto" w:fill="FFFFFF"/>
            <w:noWrap/>
            <w:vAlign w:val="center"/>
          </w:tcPr>
          <w:p w:rsidR="00F02DEB" w:rsidRPr="007B48EC" w:rsidRDefault="00F02DEB" w:rsidP="00D7775D">
            <w:pPr>
              <w:spacing w:after="0" w:line="240" w:lineRule="auto"/>
              <w:jc w:val="both"/>
              <w:rPr>
                <w:i/>
                <w:color w:val="000000" w:themeColor="text1"/>
              </w:rPr>
            </w:pPr>
            <w:r w:rsidRPr="007B48EC">
              <w:rPr>
                <w:color w:val="000000" w:themeColor="text1"/>
              </w:rPr>
              <w:t>Option 2 does not create the same barriers to entry or artificial economies of scale as the previous options. There is, however, a danger for the system to cross-subsidise operators with smaller market shares at the expense of larger firms.</w:t>
            </w:r>
          </w:p>
        </w:tc>
      </w:tr>
      <w:tr w:rsidR="00F02DEB" w:rsidRPr="00F02DEB" w:rsidTr="00AC745B">
        <w:trPr>
          <w:trHeight w:val="70"/>
        </w:trPr>
        <w:tc>
          <w:tcPr>
            <w:tcW w:w="9072" w:type="dxa"/>
            <w:tcBorders>
              <w:top w:val="nil"/>
              <w:left w:val="nil"/>
              <w:bottom w:val="single" w:sz="4" w:space="0" w:color="8064A2"/>
              <w:right w:val="single" w:sz="4" w:space="0" w:color="FFFFFF"/>
            </w:tcBorders>
            <w:shd w:val="clear" w:color="auto" w:fill="4F81BD"/>
            <w:noWrap/>
            <w:vAlign w:val="bottom"/>
          </w:tcPr>
          <w:p w:rsidR="00F02DEB" w:rsidRPr="00F02DEB" w:rsidRDefault="00F02DEB" w:rsidP="00F02DEB">
            <w:pPr>
              <w:spacing w:after="0" w:line="240" w:lineRule="auto"/>
              <w:rPr>
                <w:rFonts w:eastAsia="Times New Roman"/>
                <w:b/>
                <w:bCs/>
                <w:color w:val="FFFFFF"/>
                <w:sz w:val="20"/>
                <w:lang w:eastAsia="en-AU"/>
              </w:rPr>
            </w:pPr>
            <w:r w:rsidRPr="00630CB6">
              <w:rPr>
                <w:i/>
                <w:color w:val="FFFFFF" w:themeColor="background1"/>
              </w:rPr>
              <w:t xml:space="preserve">Efficient </w:t>
            </w:r>
            <w:r w:rsidRPr="00630CB6">
              <w:rPr>
                <w:color w:val="FFFFFF" w:themeColor="background1"/>
              </w:rPr>
              <w:sym w:font="Wingdings" w:char="F0AB"/>
            </w:r>
            <w:r w:rsidRPr="00630CB6">
              <w:rPr>
                <w:color w:val="FFFFFF" w:themeColor="background1"/>
              </w:rPr>
              <w:sym w:font="Wingdings" w:char="F0AB"/>
            </w:r>
          </w:p>
        </w:tc>
      </w:tr>
      <w:tr w:rsidR="00F02DEB" w:rsidRPr="00F02DEB" w:rsidTr="008C53A9">
        <w:trPr>
          <w:trHeight w:val="542"/>
        </w:trPr>
        <w:tc>
          <w:tcPr>
            <w:tcW w:w="9072" w:type="dxa"/>
            <w:tcBorders>
              <w:top w:val="nil"/>
              <w:left w:val="nil"/>
              <w:bottom w:val="single" w:sz="4" w:space="0" w:color="8064A2"/>
              <w:right w:val="single" w:sz="4" w:space="0" w:color="FFFFFF"/>
            </w:tcBorders>
            <w:shd w:val="clear" w:color="auto" w:fill="FFFFFF"/>
            <w:noWrap/>
            <w:vAlign w:val="center"/>
          </w:tcPr>
          <w:p w:rsidR="00F02DEB" w:rsidRPr="007B48EC" w:rsidRDefault="00F02DEB" w:rsidP="00D7775D">
            <w:pPr>
              <w:spacing w:after="0" w:line="240" w:lineRule="auto"/>
              <w:jc w:val="both"/>
              <w:rPr>
                <w:color w:val="000000" w:themeColor="text1"/>
              </w:rPr>
            </w:pPr>
            <w:r w:rsidRPr="007B48EC">
              <w:rPr>
                <w:color w:val="000000" w:themeColor="text1"/>
              </w:rPr>
              <w:t xml:space="preserve">There is a danger of inefficiency. If a firm has sufficiently small market share, then the cost of administering their share of the Levy may be greater than their levy charge. This will be enhanced if there are a large number of firms with small market shares. </w:t>
            </w:r>
          </w:p>
          <w:p w:rsidR="00F02DEB" w:rsidRPr="007B48EC" w:rsidRDefault="00F02DEB" w:rsidP="00907BE7">
            <w:pPr>
              <w:spacing w:before="240" w:after="0" w:line="240" w:lineRule="auto"/>
              <w:jc w:val="both"/>
              <w:rPr>
                <w:color w:val="000000" w:themeColor="text1"/>
              </w:rPr>
            </w:pPr>
            <w:r w:rsidRPr="007B48EC">
              <w:rPr>
                <w:color w:val="000000" w:themeColor="text1"/>
              </w:rPr>
              <w:t xml:space="preserve">Given the current ACT energy markets, this is unlikely to be an issue. For this approach to be inefficient requires very small market shares. (In the indicative example in Appendix D, a firm with a 0.16 per cent market share would still be charged $1,120 under Option 2.) </w:t>
            </w:r>
          </w:p>
          <w:p w:rsidR="00F02DEB" w:rsidRPr="00F02DEB" w:rsidRDefault="00F02DEB" w:rsidP="00907BE7">
            <w:pPr>
              <w:spacing w:before="240" w:after="0" w:line="240" w:lineRule="auto"/>
              <w:jc w:val="both"/>
              <w:rPr>
                <w:i/>
              </w:rPr>
            </w:pPr>
            <w:r w:rsidRPr="007B48EC">
              <w:rPr>
                <w:color w:val="000000" w:themeColor="text1"/>
              </w:rPr>
              <w:t>However, this approach is not future-proof, as its efficiency depends on the number of operators in the energy sectors and their market shares.</w:t>
            </w:r>
          </w:p>
        </w:tc>
      </w:tr>
    </w:tbl>
    <w:p w:rsidR="00F02DEB" w:rsidRPr="00F02DEB" w:rsidRDefault="00F02DEB" w:rsidP="00F02DEB">
      <w:pPr>
        <w:spacing w:after="0" w:line="240" w:lineRule="auto"/>
      </w:pPr>
      <w:r w:rsidRPr="00F02DEB">
        <w:br w:type="page"/>
      </w:r>
    </w:p>
    <w:p w:rsidR="00D57B53" w:rsidRPr="00D57B53" w:rsidRDefault="00D57B53" w:rsidP="00D57B53">
      <w:pPr>
        <w:keepNext/>
        <w:keepLines/>
        <w:spacing w:before="200" w:after="0"/>
        <w:jc w:val="center"/>
        <w:outlineLvl w:val="2"/>
        <w:rPr>
          <w:rFonts w:ascii="Arial" w:eastAsia="Times New Roman" w:hAnsi="Arial"/>
          <w:b/>
          <w:bCs/>
          <w:color w:val="262626"/>
        </w:rPr>
      </w:pPr>
      <w:bookmarkStart w:id="52" w:name="_Toc454982007"/>
      <w:r w:rsidRPr="00D57B53">
        <w:rPr>
          <w:rFonts w:ascii="Arial" w:eastAsia="Times New Roman" w:hAnsi="Arial"/>
          <w:b/>
          <w:bCs/>
          <w:color w:val="262626"/>
        </w:rPr>
        <w:t>Option 3: Variable methodology (with minimum fee)</w:t>
      </w:r>
      <w:bookmarkEnd w:id="52"/>
    </w:p>
    <w:p w:rsidR="00D57B53" w:rsidRPr="00D57B53" w:rsidRDefault="00D57B53" w:rsidP="00D57B53">
      <w:pPr>
        <w:keepNext/>
        <w:keepLines/>
        <w:spacing w:before="200" w:after="0"/>
        <w:outlineLvl w:val="3"/>
        <w:rPr>
          <w:rFonts w:ascii="Arial" w:eastAsia="Times New Roman" w:hAnsi="Arial"/>
          <w:b/>
          <w:bCs/>
          <w:i/>
          <w:iCs/>
          <w:color w:val="AB4387"/>
        </w:rPr>
      </w:pPr>
      <w:r w:rsidRPr="00D57B53">
        <w:rPr>
          <w:rFonts w:ascii="Arial" w:eastAsia="Times New Roman" w:hAnsi="Arial"/>
          <w:b/>
          <w:bCs/>
          <w:i/>
          <w:iCs/>
          <w:color w:val="AB4387"/>
        </w:rPr>
        <w:t>Method, formula, and structure categories:</w:t>
      </w:r>
    </w:p>
    <w:tbl>
      <w:tblPr>
        <w:tblW w:w="9072" w:type="dxa"/>
        <w:tblInd w:w="108" w:type="dxa"/>
        <w:tblLayout w:type="fixed"/>
        <w:tblLook w:val="04A0"/>
      </w:tblPr>
      <w:tblGrid>
        <w:gridCol w:w="9072"/>
      </w:tblGrid>
      <w:tr w:rsidR="00D57B53" w:rsidRPr="00D57B53" w:rsidTr="008C53A9">
        <w:trPr>
          <w:trHeight w:val="210"/>
        </w:trPr>
        <w:tc>
          <w:tcPr>
            <w:tcW w:w="9072" w:type="dxa"/>
            <w:tcBorders>
              <w:top w:val="nil"/>
              <w:left w:val="nil"/>
              <w:bottom w:val="single" w:sz="12" w:space="0" w:color="FFFFFF"/>
              <w:right w:val="single" w:sz="4" w:space="0" w:color="FFFFFF"/>
            </w:tcBorders>
            <w:shd w:val="clear" w:color="auto" w:fill="4F81BD"/>
            <w:noWrap/>
            <w:vAlign w:val="bottom"/>
            <w:hideMark/>
          </w:tcPr>
          <w:p w:rsidR="00D57B53" w:rsidRPr="00D57B53" w:rsidRDefault="00D57B53" w:rsidP="00D57B53">
            <w:pPr>
              <w:spacing w:after="0" w:line="240" w:lineRule="auto"/>
              <w:rPr>
                <w:rFonts w:eastAsia="Times New Roman"/>
                <w:b/>
                <w:bCs/>
                <w:color w:val="FFFFFF"/>
                <w:sz w:val="20"/>
                <w:lang w:eastAsia="en-AU"/>
              </w:rPr>
            </w:pPr>
            <w:r w:rsidRPr="00630CB6">
              <w:rPr>
                <w:i/>
                <w:color w:val="FFFFFF" w:themeColor="background1"/>
              </w:rPr>
              <w:t>Method</w:t>
            </w:r>
          </w:p>
        </w:tc>
      </w:tr>
      <w:tr w:rsidR="00D57B53" w:rsidRPr="00D57B53" w:rsidTr="008C53A9">
        <w:trPr>
          <w:trHeight w:val="340"/>
        </w:trPr>
        <w:tc>
          <w:tcPr>
            <w:tcW w:w="9072" w:type="dxa"/>
            <w:tcBorders>
              <w:top w:val="nil"/>
              <w:left w:val="nil"/>
              <w:bottom w:val="single" w:sz="4" w:space="0" w:color="FFFFFF"/>
              <w:right w:val="single" w:sz="4" w:space="0" w:color="FFFFFF"/>
            </w:tcBorders>
            <w:shd w:val="clear" w:color="auto" w:fill="FFFFFF"/>
            <w:noWrap/>
            <w:vAlign w:val="center"/>
            <w:hideMark/>
          </w:tcPr>
          <w:p w:rsidR="00D57B53" w:rsidRPr="007B48EC" w:rsidRDefault="00D57B53" w:rsidP="00D57B53">
            <w:pPr>
              <w:spacing w:after="0"/>
              <w:jc w:val="both"/>
              <w:rPr>
                <w:rFonts w:eastAsia="Times New Roman"/>
                <w:color w:val="000000" w:themeColor="text1"/>
                <w:lang w:eastAsia="en-AU"/>
              </w:rPr>
            </w:pPr>
            <w:r w:rsidRPr="007B48EC">
              <w:rPr>
                <w:rFonts w:eastAsia="Times New Roman"/>
                <w:color w:val="000000" w:themeColor="text1"/>
                <w:lang w:eastAsia="en-AU"/>
              </w:rPr>
              <w:t>The same methodology as Option 2, except with a minimum EIL payable for each operator.</w:t>
            </w:r>
          </w:p>
        </w:tc>
      </w:tr>
      <w:tr w:rsidR="00D57B53" w:rsidRPr="00D57B53" w:rsidTr="008C53A9">
        <w:trPr>
          <w:trHeight w:val="115"/>
        </w:trPr>
        <w:tc>
          <w:tcPr>
            <w:tcW w:w="9072" w:type="dxa"/>
            <w:tcBorders>
              <w:top w:val="nil"/>
              <w:left w:val="nil"/>
              <w:right w:val="single" w:sz="4" w:space="0" w:color="FFFFFF"/>
            </w:tcBorders>
            <w:shd w:val="clear" w:color="auto" w:fill="4F81BD"/>
            <w:noWrap/>
            <w:vAlign w:val="center"/>
            <w:hideMark/>
          </w:tcPr>
          <w:p w:rsidR="00D57B53" w:rsidRPr="00D57B53" w:rsidRDefault="00D57B53" w:rsidP="00D57B53">
            <w:pPr>
              <w:spacing w:after="0" w:line="240" w:lineRule="auto"/>
              <w:rPr>
                <w:i/>
                <w:color w:val="FFFFFF"/>
              </w:rPr>
            </w:pPr>
            <w:r w:rsidRPr="00630CB6">
              <w:rPr>
                <w:i/>
                <w:color w:val="FFFFFF" w:themeColor="background1"/>
              </w:rPr>
              <w:t>Formula for individual firm</w:t>
            </w:r>
          </w:p>
        </w:tc>
      </w:tr>
      <w:tr w:rsidR="00D57B53" w:rsidRPr="00D57B53" w:rsidTr="008C53A9">
        <w:trPr>
          <w:trHeight w:val="864"/>
        </w:trPr>
        <w:tc>
          <w:tcPr>
            <w:tcW w:w="9072" w:type="dxa"/>
            <w:tcBorders>
              <w:top w:val="nil"/>
              <w:left w:val="nil"/>
              <w:bottom w:val="nil"/>
              <w:right w:val="single" w:sz="4" w:space="0" w:color="FFFFFF"/>
            </w:tcBorders>
            <w:shd w:val="clear" w:color="auto" w:fill="FFFFFF"/>
            <w:noWrap/>
            <w:vAlign w:val="center"/>
            <w:hideMark/>
          </w:tcPr>
          <w:p w:rsidR="00D57B53" w:rsidRPr="007B48EC" w:rsidRDefault="00D57B53" w:rsidP="00D57B53">
            <w:pPr>
              <w:spacing w:before="240" w:after="0"/>
              <w:jc w:val="both"/>
              <w:rPr>
                <w:color w:val="000000" w:themeColor="text1"/>
              </w:rPr>
            </w:pPr>
            <w:r w:rsidRPr="007B48EC">
              <w:rPr>
                <w:color w:val="000000" w:themeColor="text1"/>
              </w:rPr>
              <w:t xml:space="preserve">The greatest of the minimum fee, </w:t>
            </w:r>
            <m:oMath>
              <m:r>
                <w:rPr>
                  <w:rFonts w:ascii="Cambria Math" w:hAnsi="Cambria Math"/>
                  <w:color w:val="000000" w:themeColor="text1"/>
                </w:rPr>
                <m:t>F</m:t>
              </m:r>
            </m:oMath>
            <w:r w:rsidRPr="007B48EC">
              <w:rPr>
                <w:color w:val="000000" w:themeColor="text1"/>
              </w:rPr>
              <w:t xml:space="preserve">, and the Option 2 charge: </w:t>
            </w:r>
            <m:oMath>
              <m:r>
                <m:rPr>
                  <m:sty m:val="p"/>
                </m:rPr>
                <w:rPr>
                  <w:rFonts w:ascii="Cambria Math" w:hAnsi="Cambria Math"/>
                  <w:color w:val="000000" w:themeColor="text1"/>
                </w:rPr>
                <m:t>L×</m:t>
              </m:r>
              <m:sSub>
                <m:sSubPr>
                  <m:ctrlPr>
                    <w:rPr>
                      <w:rFonts w:ascii="Cambria Math" w:hAnsi="Cambria Math"/>
                      <w:color w:val="000000" w:themeColor="text1"/>
                    </w:rPr>
                  </m:ctrlPr>
                </m:sSubPr>
                <m:e>
                  <m:r>
                    <m:rPr>
                      <m:sty m:val="p"/>
                    </m:rPr>
                    <w:rPr>
                      <w:rFonts w:ascii="Cambria Math" w:hAnsi="Cambria Math"/>
                      <w:color w:val="000000" w:themeColor="text1"/>
                    </w:rPr>
                    <m:t>M</m:t>
                  </m:r>
                </m:e>
                <m:sub>
                  <m:r>
                    <m:rPr>
                      <m:sty m:val="p"/>
                    </m:rPr>
                    <w:rPr>
                      <w:rFonts w:ascii="Cambria Math" w:hAnsi="Cambria Math"/>
                      <w:color w:val="000000" w:themeColor="text1"/>
                    </w:rPr>
                    <m:t>a</m:t>
                  </m:r>
                </m:sub>
              </m:sSub>
            </m:oMath>
          </w:p>
          <w:p w:rsidR="00D57B53" w:rsidRPr="00D57B53" w:rsidRDefault="00D57B53" w:rsidP="00D57B53">
            <w:pPr>
              <w:spacing w:after="0" w:line="240" w:lineRule="auto"/>
              <w:rPr>
                <w:i/>
                <w:color w:val="FFFFFF"/>
              </w:rPr>
            </w:pPr>
          </w:p>
        </w:tc>
      </w:tr>
      <w:tr w:rsidR="00D57B53" w:rsidRPr="00D57B53" w:rsidTr="008C53A9">
        <w:trPr>
          <w:trHeight w:val="183"/>
        </w:trPr>
        <w:tc>
          <w:tcPr>
            <w:tcW w:w="9072" w:type="dxa"/>
            <w:tcBorders>
              <w:top w:val="nil"/>
              <w:left w:val="nil"/>
              <w:bottom w:val="nil"/>
              <w:right w:val="single" w:sz="4" w:space="0" w:color="FFFFFF"/>
            </w:tcBorders>
            <w:shd w:val="clear" w:color="auto" w:fill="4F81BD"/>
            <w:noWrap/>
            <w:vAlign w:val="center"/>
            <w:hideMark/>
          </w:tcPr>
          <w:p w:rsidR="00D57B53" w:rsidRPr="00D57B53" w:rsidRDefault="00D57B53" w:rsidP="00630CB6">
            <w:pPr>
              <w:spacing w:after="0" w:line="240" w:lineRule="auto"/>
              <w:rPr>
                <w:i/>
                <w:color w:val="FFFFFF"/>
              </w:rPr>
            </w:pPr>
            <w:r w:rsidRPr="00630CB6">
              <w:rPr>
                <w:i/>
                <w:color w:val="FFFFFF" w:themeColor="background1"/>
              </w:rPr>
              <w:t>Categories in the levy structure</w:t>
            </w:r>
          </w:p>
        </w:tc>
      </w:tr>
      <w:tr w:rsidR="00D57B53" w:rsidRPr="00D57B53" w:rsidTr="008C53A9">
        <w:trPr>
          <w:trHeight w:val="361"/>
        </w:trPr>
        <w:tc>
          <w:tcPr>
            <w:tcW w:w="9072" w:type="dxa"/>
            <w:tcBorders>
              <w:top w:val="nil"/>
              <w:left w:val="nil"/>
              <w:bottom w:val="single" w:sz="4" w:space="0" w:color="8064A2"/>
              <w:right w:val="single" w:sz="4" w:space="0" w:color="FFFFFF"/>
            </w:tcBorders>
            <w:shd w:val="clear" w:color="auto" w:fill="FFFFFF"/>
            <w:noWrap/>
            <w:vAlign w:val="center"/>
            <w:hideMark/>
          </w:tcPr>
          <w:p w:rsidR="00D57B53" w:rsidRPr="007B48EC" w:rsidRDefault="00D57B53" w:rsidP="00D57B53">
            <w:pPr>
              <w:spacing w:after="0"/>
              <w:jc w:val="both"/>
              <w:rPr>
                <w:i/>
                <w:color w:val="000000" w:themeColor="text1"/>
              </w:rPr>
            </w:pPr>
            <w:r w:rsidRPr="007B48EC">
              <w:rPr>
                <w:color w:val="000000" w:themeColor="text1"/>
              </w:rPr>
              <w:t>Industry sectors, total regulatory cost, market share for each firm, and the minimum fee.</w:t>
            </w:r>
          </w:p>
        </w:tc>
      </w:tr>
    </w:tbl>
    <w:p w:rsidR="00D57B53" w:rsidRPr="00D57B53" w:rsidRDefault="00D57B53" w:rsidP="00D57B53">
      <w:pPr>
        <w:keepNext/>
        <w:keepLines/>
        <w:spacing w:before="200" w:after="0"/>
        <w:outlineLvl w:val="3"/>
        <w:rPr>
          <w:rFonts w:ascii="Arial" w:eastAsia="Times New Roman" w:hAnsi="Arial"/>
          <w:b/>
          <w:bCs/>
          <w:i/>
          <w:iCs/>
          <w:color w:val="AB4387"/>
        </w:rPr>
      </w:pPr>
      <w:r w:rsidRPr="00D57B53">
        <w:rPr>
          <w:rFonts w:ascii="Arial" w:eastAsia="Times New Roman" w:hAnsi="Arial"/>
          <w:b/>
          <w:bCs/>
          <w:i/>
          <w:iCs/>
          <w:color w:val="AB4387"/>
        </w:rPr>
        <w:t>Pros:</w:t>
      </w:r>
    </w:p>
    <w:tbl>
      <w:tblPr>
        <w:tblW w:w="9072" w:type="dxa"/>
        <w:tblInd w:w="108" w:type="dxa"/>
        <w:tblLayout w:type="fixed"/>
        <w:tblLook w:val="04A0"/>
      </w:tblPr>
      <w:tblGrid>
        <w:gridCol w:w="9072"/>
      </w:tblGrid>
      <w:tr w:rsidR="00D57B53" w:rsidRPr="00D57B53" w:rsidTr="008C53A9">
        <w:trPr>
          <w:trHeight w:val="143"/>
        </w:trPr>
        <w:tc>
          <w:tcPr>
            <w:tcW w:w="9072" w:type="dxa"/>
            <w:tcBorders>
              <w:top w:val="nil"/>
              <w:left w:val="nil"/>
              <w:bottom w:val="single" w:sz="12" w:space="0" w:color="FFFFFF"/>
              <w:right w:val="single" w:sz="4" w:space="0" w:color="FFFFFF"/>
            </w:tcBorders>
            <w:shd w:val="clear" w:color="auto" w:fill="4F81BD"/>
            <w:noWrap/>
            <w:vAlign w:val="bottom"/>
            <w:hideMark/>
          </w:tcPr>
          <w:p w:rsidR="00D57B53" w:rsidRPr="00D57B53" w:rsidRDefault="00D57B53" w:rsidP="00D57B53">
            <w:pPr>
              <w:spacing w:after="0" w:line="240" w:lineRule="auto"/>
              <w:rPr>
                <w:rFonts w:eastAsia="Times New Roman"/>
                <w:b/>
                <w:bCs/>
                <w:color w:val="FFFFFF"/>
                <w:sz w:val="20"/>
                <w:lang w:eastAsia="en-AU"/>
              </w:rPr>
            </w:pPr>
            <w:r w:rsidRPr="00630CB6">
              <w:rPr>
                <w:i/>
                <w:color w:val="FFFFFF" w:themeColor="background1"/>
              </w:rPr>
              <w:t xml:space="preserve">Efficiency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D57B53" w:rsidRPr="00D57B53" w:rsidTr="008C53A9">
        <w:trPr>
          <w:trHeight w:val="103"/>
        </w:trPr>
        <w:tc>
          <w:tcPr>
            <w:tcW w:w="9072" w:type="dxa"/>
            <w:tcBorders>
              <w:top w:val="nil"/>
              <w:left w:val="nil"/>
              <w:bottom w:val="single" w:sz="4" w:space="0" w:color="FFFFFF"/>
              <w:right w:val="single" w:sz="4" w:space="0" w:color="FFFFFF"/>
            </w:tcBorders>
            <w:shd w:val="clear" w:color="auto" w:fill="FFFFFF"/>
            <w:noWrap/>
            <w:vAlign w:val="center"/>
            <w:hideMark/>
          </w:tcPr>
          <w:p w:rsidR="00D57B53" w:rsidRPr="007B48EC" w:rsidRDefault="00D57B53" w:rsidP="00D7775D">
            <w:pPr>
              <w:spacing w:after="0" w:line="240" w:lineRule="auto"/>
              <w:jc w:val="both"/>
              <w:rPr>
                <w:rFonts w:eastAsia="Times New Roman"/>
                <w:color w:val="000000" w:themeColor="text1"/>
                <w:lang w:eastAsia="en-AU"/>
              </w:rPr>
            </w:pPr>
            <w:r w:rsidRPr="007B48EC">
              <w:rPr>
                <w:rFonts w:eastAsia="Times New Roman"/>
                <w:color w:val="000000" w:themeColor="text1"/>
                <w:lang w:eastAsia="en-AU"/>
              </w:rPr>
              <w:t>A minimum fee ensures there is no potential inefficiency from collecting small levy charges, but increases the level of complexity.</w:t>
            </w:r>
          </w:p>
        </w:tc>
      </w:tr>
      <w:tr w:rsidR="00D57B53" w:rsidRPr="00D57B53" w:rsidTr="008C53A9">
        <w:trPr>
          <w:trHeight w:val="195"/>
        </w:trPr>
        <w:tc>
          <w:tcPr>
            <w:tcW w:w="9072" w:type="dxa"/>
            <w:tcBorders>
              <w:top w:val="nil"/>
              <w:left w:val="nil"/>
              <w:right w:val="single" w:sz="4" w:space="0" w:color="FFFFFF"/>
            </w:tcBorders>
            <w:shd w:val="clear" w:color="auto" w:fill="4F81BD"/>
            <w:noWrap/>
            <w:vAlign w:val="center"/>
            <w:hideMark/>
          </w:tcPr>
          <w:p w:rsidR="00D57B53" w:rsidRPr="00D57B53" w:rsidRDefault="00D57B53" w:rsidP="00D57B53">
            <w:pPr>
              <w:spacing w:after="0" w:line="240" w:lineRule="auto"/>
              <w:rPr>
                <w:i/>
                <w:color w:val="FFFFFF"/>
              </w:rPr>
            </w:pPr>
            <w:r w:rsidRPr="00630CB6">
              <w:rPr>
                <w:i/>
                <w:color w:val="FFFFFF" w:themeColor="background1"/>
              </w:rPr>
              <w:t xml:space="preserve">Predictability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D57B53" w:rsidRPr="00D57B53" w:rsidTr="005B0F58">
        <w:trPr>
          <w:trHeight w:val="80"/>
        </w:trPr>
        <w:tc>
          <w:tcPr>
            <w:tcW w:w="9072" w:type="dxa"/>
            <w:tcBorders>
              <w:top w:val="nil"/>
              <w:left w:val="nil"/>
              <w:bottom w:val="single" w:sz="4" w:space="0" w:color="4F81BD" w:themeColor="accent1"/>
              <w:right w:val="single" w:sz="4" w:space="0" w:color="FFFFFF"/>
            </w:tcBorders>
            <w:shd w:val="clear" w:color="auto" w:fill="FFFFFF"/>
            <w:noWrap/>
            <w:vAlign w:val="center"/>
            <w:hideMark/>
          </w:tcPr>
          <w:p w:rsidR="00D57B53" w:rsidRPr="007B48EC" w:rsidRDefault="00D57B53" w:rsidP="00D7775D">
            <w:pPr>
              <w:spacing w:after="0" w:line="240" w:lineRule="auto"/>
              <w:jc w:val="both"/>
              <w:rPr>
                <w:color w:val="000000" w:themeColor="text1"/>
              </w:rPr>
            </w:pPr>
            <w:r w:rsidRPr="007B48EC">
              <w:rPr>
                <w:color w:val="000000" w:themeColor="text1"/>
              </w:rPr>
              <w:t>Retains predictability advantages of Option 2.</w:t>
            </w:r>
          </w:p>
        </w:tc>
      </w:tr>
    </w:tbl>
    <w:p w:rsidR="00D57B53" w:rsidRPr="00D57B53" w:rsidRDefault="00D57B53" w:rsidP="00D57B53">
      <w:pPr>
        <w:keepNext/>
        <w:keepLines/>
        <w:spacing w:before="200" w:after="0"/>
        <w:outlineLvl w:val="3"/>
        <w:rPr>
          <w:rFonts w:ascii="Arial" w:eastAsia="Times New Roman" w:hAnsi="Arial"/>
          <w:b/>
          <w:bCs/>
          <w:i/>
          <w:iCs/>
          <w:color w:val="AB4387"/>
        </w:rPr>
      </w:pPr>
      <w:r w:rsidRPr="00D57B53">
        <w:rPr>
          <w:rFonts w:ascii="Arial" w:eastAsia="Times New Roman" w:hAnsi="Arial"/>
          <w:b/>
          <w:bCs/>
          <w:i/>
          <w:iCs/>
          <w:color w:val="AB4387"/>
        </w:rPr>
        <w:t>Cons:</w:t>
      </w:r>
    </w:p>
    <w:tbl>
      <w:tblPr>
        <w:tblW w:w="9072" w:type="dxa"/>
        <w:tblInd w:w="108" w:type="dxa"/>
        <w:tblLayout w:type="fixed"/>
        <w:tblLook w:val="04A0"/>
      </w:tblPr>
      <w:tblGrid>
        <w:gridCol w:w="9072"/>
      </w:tblGrid>
      <w:tr w:rsidR="00D57B53" w:rsidRPr="00D57B53" w:rsidTr="008C53A9">
        <w:trPr>
          <w:trHeight w:val="143"/>
        </w:trPr>
        <w:tc>
          <w:tcPr>
            <w:tcW w:w="9072" w:type="dxa"/>
            <w:tcBorders>
              <w:top w:val="nil"/>
              <w:left w:val="nil"/>
              <w:bottom w:val="single" w:sz="12" w:space="0" w:color="FFFFFF"/>
              <w:right w:val="single" w:sz="4" w:space="0" w:color="FFFFFF"/>
            </w:tcBorders>
            <w:shd w:val="clear" w:color="auto" w:fill="4F81BD"/>
            <w:noWrap/>
            <w:vAlign w:val="bottom"/>
            <w:hideMark/>
          </w:tcPr>
          <w:p w:rsidR="00D57B53" w:rsidRPr="00630CB6" w:rsidRDefault="00D57B53" w:rsidP="00D57B53">
            <w:pPr>
              <w:spacing w:after="0" w:line="240" w:lineRule="auto"/>
              <w:rPr>
                <w:i/>
                <w:color w:val="FFFFFF" w:themeColor="background1"/>
              </w:rPr>
            </w:pPr>
            <w:r w:rsidRPr="00630CB6">
              <w:rPr>
                <w:i/>
                <w:color w:val="FFFFFF" w:themeColor="background1"/>
              </w:rPr>
              <w:t>Fair</w:t>
            </w:r>
            <w:r w:rsidR="001D05C5" w:rsidRPr="00630CB6">
              <w:rPr>
                <w:i/>
                <w:color w:val="FFFFFF" w:themeColor="background1"/>
              </w:rPr>
              <w:t xml:space="preserve">        </w:t>
            </w:r>
            <w:r w:rsidRPr="00630CB6">
              <w:rPr>
                <w:i/>
                <w:color w:val="FFFFFF" w:themeColor="background1"/>
              </w:rPr>
              <w:t xml:space="preserve">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i/>
                <w:color w:val="FFFFFF" w:themeColor="background1"/>
              </w:rPr>
              <w:t xml:space="preserve"> </w:t>
            </w:r>
          </w:p>
          <w:p w:rsidR="00D57B53" w:rsidRPr="00D57B53" w:rsidRDefault="00D57B53" w:rsidP="00D57B53">
            <w:pPr>
              <w:spacing w:after="0" w:line="240" w:lineRule="auto"/>
              <w:rPr>
                <w:rFonts w:eastAsia="Times New Roman"/>
                <w:b/>
                <w:bCs/>
                <w:color w:val="FFFFFF"/>
                <w:sz w:val="20"/>
                <w:lang w:eastAsia="en-AU"/>
              </w:rPr>
            </w:pPr>
            <w:r w:rsidRPr="00630CB6">
              <w:rPr>
                <w:i/>
                <w:color w:val="FFFFFF" w:themeColor="background1"/>
              </w:rPr>
              <w:t xml:space="preserve">Competition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D57B53" w:rsidRPr="00D57B53" w:rsidTr="00C80D66">
        <w:trPr>
          <w:trHeight w:val="542"/>
        </w:trPr>
        <w:tc>
          <w:tcPr>
            <w:tcW w:w="9072" w:type="dxa"/>
            <w:tcBorders>
              <w:top w:val="nil"/>
              <w:left w:val="nil"/>
              <w:bottom w:val="nil"/>
              <w:right w:val="single" w:sz="4" w:space="0" w:color="FFFFFF"/>
            </w:tcBorders>
            <w:shd w:val="clear" w:color="auto" w:fill="FFFFFF"/>
            <w:noWrap/>
            <w:vAlign w:val="center"/>
            <w:hideMark/>
          </w:tcPr>
          <w:p w:rsidR="00D57B53" w:rsidRPr="007B48EC" w:rsidRDefault="00D57B53" w:rsidP="00D7775D">
            <w:pPr>
              <w:spacing w:after="0" w:line="240" w:lineRule="auto"/>
              <w:jc w:val="both"/>
              <w:rPr>
                <w:rFonts w:eastAsia="Times New Roman"/>
                <w:color w:val="000000" w:themeColor="text1"/>
                <w:lang w:eastAsia="en-AU"/>
              </w:rPr>
            </w:pPr>
            <w:r w:rsidRPr="007B48EC">
              <w:rPr>
                <w:rFonts w:eastAsia="Times New Roman"/>
                <w:color w:val="000000" w:themeColor="text1"/>
                <w:lang w:eastAsia="en-AU"/>
              </w:rPr>
              <w:t>Option 3 retains most advantages of Option 2.</w:t>
            </w:r>
          </w:p>
          <w:p w:rsidR="00D57B53" w:rsidRPr="00D57B53" w:rsidRDefault="00D57B53" w:rsidP="00907BE7">
            <w:pPr>
              <w:spacing w:before="240" w:after="0" w:line="240" w:lineRule="auto"/>
              <w:jc w:val="both"/>
              <w:rPr>
                <w:rFonts w:eastAsia="Times New Roman"/>
                <w:color w:val="002060"/>
                <w:lang w:eastAsia="en-AU"/>
              </w:rPr>
            </w:pPr>
            <w:r w:rsidRPr="007B48EC">
              <w:rPr>
                <w:rFonts w:eastAsia="Times New Roman"/>
                <w:color w:val="000000" w:themeColor="text1"/>
                <w:lang w:eastAsia="en-AU"/>
              </w:rPr>
              <w:t>In principle, Option 2 will be more fair and less of a barrier to competition; however, Option 3 will be more efficient. This trade-off depends on the number of operators paying the minimum fee, how the minimum fee is determined and advertised, and the length of time for which is it set.</w:t>
            </w:r>
          </w:p>
        </w:tc>
      </w:tr>
      <w:tr w:rsidR="00C80D66" w:rsidRPr="00D57B53" w:rsidTr="00C80D66">
        <w:trPr>
          <w:trHeight w:val="91"/>
        </w:trPr>
        <w:tc>
          <w:tcPr>
            <w:tcW w:w="9072" w:type="dxa"/>
            <w:tcBorders>
              <w:top w:val="nil"/>
              <w:left w:val="nil"/>
              <w:bottom w:val="nil"/>
              <w:right w:val="single" w:sz="4" w:space="0" w:color="FFFFFF"/>
            </w:tcBorders>
            <w:shd w:val="clear" w:color="auto" w:fill="4F81BD" w:themeFill="accent1"/>
            <w:noWrap/>
            <w:vAlign w:val="center"/>
            <w:hideMark/>
          </w:tcPr>
          <w:p w:rsidR="00C80D66" w:rsidRPr="00C80D66" w:rsidRDefault="00C80D66" w:rsidP="008C53A9">
            <w:pPr>
              <w:spacing w:after="0" w:line="240" w:lineRule="auto"/>
              <w:rPr>
                <w:rFonts w:eastAsia="Times New Roman"/>
                <w:b/>
                <w:bCs/>
                <w:i/>
                <w:color w:val="FFFFFF"/>
                <w:sz w:val="20"/>
                <w:lang w:eastAsia="en-AU"/>
              </w:rPr>
            </w:pPr>
            <w:r w:rsidRPr="00630CB6">
              <w:rPr>
                <w:i/>
                <w:color w:val="FFFFFF" w:themeColor="background1"/>
              </w:rPr>
              <w:t xml:space="preserve">Simple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C80D66" w:rsidRPr="00D57B53" w:rsidTr="00C80D66">
        <w:trPr>
          <w:trHeight w:val="91"/>
        </w:trPr>
        <w:tc>
          <w:tcPr>
            <w:tcW w:w="9072" w:type="dxa"/>
            <w:tcBorders>
              <w:top w:val="nil"/>
              <w:left w:val="nil"/>
              <w:bottom w:val="nil"/>
              <w:right w:val="single" w:sz="4" w:space="0" w:color="FFFFFF"/>
            </w:tcBorders>
            <w:shd w:val="clear" w:color="auto" w:fill="auto"/>
            <w:noWrap/>
            <w:vAlign w:val="center"/>
            <w:hideMark/>
          </w:tcPr>
          <w:p w:rsidR="00C80D66" w:rsidRPr="007B48EC" w:rsidRDefault="00C80D66" w:rsidP="00D7775D">
            <w:pPr>
              <w:spacing w:after="0" w:line="240" w:lineRule="auto"/>
              <w:jc w:val="both"/>
              <w:rPr>
                <w:rFonts w:eastAsia="Times New Roman"/>
                <w:b/>
                <w:bCs/>
                <w:i/>
                <w:color w:val="000000" w:themeColor="text1"/>
                <w:sz w:val="20"/>
                <w:lang w:eastAsia="en-AU"/>
              </w:rPr>
            </w:pPr>
            <w:r w:rsidRPr="007B48EC">
              <w:rPr>
                <w:color w:val="000000" w:themeColor="text1"/>
              </w:rPr>
              <w:t>In comparison to Option 2, the minimum fee increases the complexity of the methodology.</w:t>
            </w:r>
          </w:p>
        </w:tc>
      </w:tr>
      <w:tr w:rsidR="00C80D66" w:rsidRPr="00D57B53" w:rsidTr="00C80D66">
        <w:trPr>
          <w:trHeight w:val="91"/>
        </w:trPr>
        <w:tc>
          <w:tcPr>
            <w:tcW w:w="9072" w:type="dxa"/>
            <w:tcBorders>
              <w:top w:val="nil"/>
              <w:left w:val="nil"/>
              <w:bottom w:val="nil"/>
              <w:right w:val="single" w:sz="4" w:space="0" w:color="FFFFFF"/>
            </w:tcBorders>
            <w:shd w:val="clear" w:color="auto" w:fill="4F81BD" w:themeFill="accent1"/>
            <w:noWrap/>
            <w:vAlign w:val="center"/>
            <w:hideMark/>
          </w:tcPr>
          <w:p w:rsidR="00C80D66" w:rsidRPr="005D2330" w:rsidRDefault="00C80D66" w:rsidP="008C53A9">
            <w:pPr>
              <w:spacing w:after="0" w:line="240" w:lineRule="auto"/>
              <w:rPr>
                <w:i/>
                <w:color w:val="FFFFFF"/>
              </w:rPr>
            </w:pPr>
            <w:r w:rsidRPr="00630CB6">
              <w:rPr>
                <w:i/>
                <w:color w:val="FFFFFF" w:themeColor="background1"/>
              </w:rPr>
              <w:t xml:space="preserve">Cost recovery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C80D66" w:rsidRPr="00D57B53" w:rsidTr="008C53A9">
        <w:trPr>
          <w:trHeight w:val="542"/>
        </w:trPr>
        <w:tc>
          <w:tcPr>
            <w:tcW w:w="9072" w:type="dxa"/>
            <w:tcBorders>
              <w:top w:val="nil"/>
              <w:left w:val="nil"/>
              <w:bottom w:val="single" w:sz="4" w:space="0" w:color="8064A2"/>
              <w:right w:val="single" w:sz="4" w:space="0" w:color="FFFFFF"/>
            </w:tcBorders>
            <w:shd w:val="clear" w:color="auto" w:fill="FFFFFF"/>
            <w:noWrap/>
            <w:vAlign w:val="center"/>
            <w:hideMark/>
          </w:tcPr>
          <w:p w:rsidR="00C80D66" w:rsidRPr="007B48EC" w:rsidRDefault="00C80D66" w:rsidP="00D7775D">
            <w:pPr>
              <w:spacing w:after="0" w:line="240" w:lineRule="auto"/>
              <w:jc w:val="both"/>
              <w:rPr>
                <w:i/>
                <w:color w:val="000000" w:themeColor="text1"/>
              </w:rPr>
            </w:pPr>
            <w:r w:rsidRPr="007B48EC">
              <w:rPr>
                <w:color w:val="000000" w:themeColor="text1"/>
              </w:rPr>
              <w:t>Option 3 can lead to over-recovery of costs. If the variable charge for an operator is below the minimum fee, the operator pays the minimum fee. The consequence is that more than the estimated regulatory cost is collected. This can be rectified by discounting the other firms in the sector; however, this can compound the issue by lowering other operators below the minimum fee threshold. This is further complicated by the adjustments between estimated and actual costs in the following year. The result is a trade</w:t>
            </w:r>
            <w:r w:rsidRPr="007B48EC">
              <w:rPr>
                <w:color w:val="000000" w:themeColor="text1"/>
              </w:rPr>
              <w:noBreakHyphen/>
              <w:t>off between over-recovery and complexity.</w:t>
            </w:r>
          </w:p>
        </w:tc>
      </w:tr>
    </w:tbl>
    <w:p w:rsidR="00F02DEB" w:rsidRDefault="00F02DEB">
      <w:pPr>
        <w:spacing w:after="0" w:line="240" w:lineRule="auto"/>
      </w:pPr>
    </w:p>
    <w:p w:rsidR="00F02DEB" w:rsidRDefault="00F02DEB">
      <w:pPr>
        <w:spacing w:after="0" w:line="240" w:lineRule="auto"/>
      </w:pPr>
    </w:p>
    <w:p w:rsidR="00BF3556" w:rsidRDefault="00BF3556">
      <w:pPr>
        <w:spacing w:after="0" w:line="240" w:lineRule="auto"/>
      </w:pPr>
      <w:r>
        <w:br w:type="page"/>
      </w:r>
    </w:p>
    <w:p w:rsidR="001D05C5" w:rsidRPr="001D05C5" w:rsidRDefault="001D05C5" w:rsidP="001D05C5">
      <w:pPr>
        <w:keepNext/>
        <w:keepLines/>
        <w:spacing w:before="200" w:after="0"/>
        <w:jc w:val="center"/>
        <w:outlineLvl w:val="2"/>
        <w:rPr>
          <w:rFonts w:ascii="Arial" w:eastAsia="Times New Roman" w:hAnsi="Arial"/>
          <w:b/>
          <w:bCs/>
          <w:color w:val="262626"/>
        </w:rPr>
      </w:pPr>
      <w:bookmarkStart w:id="53" w:name="_Toc454982008"/>
      <w:bookmarkStart w:id="54" w:name="_Toc443051400"/>
      <w:bookmarkStart w:id="55" w:name="_Toc443901122"/>
      <w:bookmarkStart w:id="56" w:name="_Toc444861390"/>
      <w:bookmarkStart w:id="57" w:name="_Toc449438547"/>
      <w:r w:rsidRPr="001D05C5">
        <w:rPr>
          <w:rFonts w:ascii="Arial" w:eastAsia="Times New Roman" w:hAnsi="Arial"/>
          <w:b/>
          <w:bCs/>
          <w:color w:val="262626"/>
        </w:rPr>
        <w:t>Option 4: Current methodology (with defined fixed fee)</w:t>
      </w:r>
      <w:bookmarkEnd w:id="53"/>
    </w:p>
    <w:p w:rsidR="001D05C5" w:rsidRPr="001D05C5" w:rsidRDefault="001D05C5" w:rsidP="001D05C5">
      <w:pPr>
        <w:keepNext/>
        <w:keepLines/>
        <w:spacing w:before="200" w:after="0"/>
        <w:outlineLvl w:val="3"/>
        <w:rPr>
          <w:rFonts w:ascii="Arial" w:eastAsia="Times New Roman" w:hAnsi="Arial"/>
          <w:b/>
          <w:bCs/>
          <w:i/>
          <w:iCs/>
          <w:color w:val="AB4387"/>
        </w:rPr>
      </w:pPr>
      <w:r w:rsidRPr="001D05C5">
        <w:rPr>
          <w:rFonts w:ascii="Arial" w:eastAsia="Times New Roman" w:hAnsi="Arial"/>
          <w:b/>
          <w:bCs/>
          <w:i/>
          <w:iCs/>
          <w:color w:val="AB4387"/>
        </w:rPr>
        <w:t>Method, formula, and structure categories:</w:t>
      </w:r>
    </w:p>
    <w:tbl>
      <w:tblPr>
        <w:tblW w:w="9072" w:type="dxa"/>
        <w:tblInd w:w="108" w:type="dxa"/>
        <w:tblLayout w:type="fixed"/>
        <w:tblLook w:val="04A0"/>
      </w:tblPr>
      <w:tblGrid>
        <w:gridCol w:w="9072"/>
      </w:tblGrid>
      <w:tr w:rsidR="001D05C5" w:rsidRPr="001D05C5" w:rsidTr="008C53A9">
        <w:trPr>
          <w:trHeight w:val="210"/>
        </w:trPr>
        <w:tc>
          <w:tcPr>
            <w:tcW w:w="9072" w:type="dxa"/>
            <w:tcBorders>
              <w:top w:val="nil"/>
              <w:left w:val="nil"/>
              <w:bottom w:val="single" w:sz="12" w:space="0" w:color="FFFFFF"/>
              <w:right w:val="single" w:sz="4" w:space="0" w:color="FFFFFF"/>
            </w:tcBorders>
            <w:shd w:val="clear" w:color="auto" w:fill="4F81BD"/>
            <w:noWrap/>
            <w:vAlign w:val="bottom"/>
            <w:hideMark/>
          </w:tcPr>
          <w:p w:rsidR="001D05C5" w:rsidRPr="001D05C5" w:rsidRDefault="001D05C5" w:rsidP="001D05C5">
            <w:pPr>
              <w:spacing w:after="0" w:line="240" w:lineRule="auto"/>
              <w:rPr>
                <w:rFonts w:eastAsia="Times New Roman"/>
                <w:b/>
                <w:bCs/>
                <w:color w:val="FFFFFF"/>
                <w:sz w:val="20"/>
                <w:lang w:eastAsia="en-AU"/>
              </w:rPr>
            </w:pPr>
            <w:r w:rsidRPr="00630CB6">
              <w:rPr>
                <w:i/>
                <w:color w:val="FFFFFF" w:themeColor="background1"/>
              </w:rPr>
              <w:t>Method</w:t>
            </w:r>
          </w:p>
        </w:tc>
      </w:tr>
      <w:tr w:rsidR="001D05C5" w:rsidRPr="001D05C5" w:rsidTr="008C53A9">
        <w:trPr>
          <w:trHeight w:val="340"/>
        </w:trPr>
        <w:tc>
          <w:tcPr>
            <w:tcW w:w="9072" w:type="dxa"/>
            <w:tcBorders>
              <w:top w:val="nil"/>
              <w:left w:val="nil"/>
              <w:bottom w:val="single" w:sz="4" w:space="0" w:color="FFFFFF"/>
              <w:right w:val="single" w:sz="4" w:space="0" w:color="FFFFFF"/>
            </w:tcBorders>
            <w:shd w:val="clear" w:color="auto" w:fill="FFFFFF"/>
            <w:noWrap/>
            <w:vAlign w:val="center"/>
            <w:hideMark/>
          </w:tcPr>
          <w:p w:rsidR="001D05C5" w:rsidRPr="007B48EC" w:rsidRDefault="001D05C5" w:rsidP="00D7775D">
            <w:pPr>
              <w:spacing w:after="0"/>
              <w:jc w:val="both"/>
              <w:rPr>
                <w:rFonts w:eastAsia="Times New Roman"/>
                <w:color w:val="000000" w:themeColor="text1"/>
                <w:lang w:eastAsia="en-AU"/>
              </w:rPr>
            </w:pPr>
            <w:r w:rsidRPr="007B48EC">
              <w:rPr>
                <w:rFonts w:eastAsia="Times New Roman"/>
                <w:color w:val="000000" w:themeColor="text1"/>
                <w:lang w:eastAsia="en-AU"/>
              </w:rPr>
              <w:t>All operators in the sector would be charged a pre-determined fixed fee</w:t>
            </w:r>
            <w:proofErr w:type="gramStart"/>
            <w:r w:rsidRPr="007B48EC">
              <w:rPr>
                <w:rFonts w:eastAsia="Times New Roman"/>
                <w:color w:val="000000" w:themeColor="text1"/>
                <w:lang w:eastAsia="en-AU"/>
              </w:rPr>
              <w:t xml:space="preserve">, </w:t>
            </w:r>
            <m:oMath>
              <w:proofErr w:type="gramEnd"/>
              <m:r>
                <w:rPr>
                  <w:rFonts w:ascii="Cambria Math" w:eastAsia="Times New Roman" w:hAnsi="Cambria Math"/>
                  <w:color w:val="000000" w:themeColor="text1"/>
                  <w:lang w:eastAsia="en-AU"/>
                </w:rPr>
                <m:t>F</m:t>
              </m:r>
            </m:oMath>
            <w:r w:rsidRPr="007B48EC">
              <w:rPr>
                <w:rFonts w:eastAsia="Times New Roman"/>
                <w:color w:val="000000" w:themeColor="text1"/>
                <w:lang w:eastAsia="en-AU"/>
              </w:rPr>
              <w:t>, to recover the lowest possible cost of regulating a firm in the sector. The remaining regulatory cost (total regulatory costs minus fees paid by all operators) is distributed in proportion to market share.</w:t>
            </w:r>
          </w:p>
        </w:tc>
      </w:tr>
      <w:tr w:rsidR="001D05C5" w:rsidRPr="001D05C5" w:rsidTr="008C53A9">
        <w:trPr>
          <w:trHeight w:val="115"/>
        </w:trPr>
        <w:tc>
          <w:tcPr>
            <w:tcW w:w="9072" w:type="dxa"/>
            <w:tcBorders>
              <w:top w:val="nil"/>
              <w:left w:val="nil"/>
              <w:right w:val="single" w:sz="4" w:space="0" w:color="FFFFFF"/>
            </w:tcBorders>
            <w:shd w:val="clear" w:color="auto" w:fill="4F81BD"/>
            <w:noWrap/>
            <w:vAlign w:val="center"/>
            <w:hideMark/>
          </w:tcPr>
          <w:p w:rsidR="001D05C5" w:rsidRPr="001D05C5" w:rsidRDefault="001D05C5" w:rsidP="001D05C5">
            <w:pPr>
              <w:spacing w:after="0" w:line="240" w:lineRule="auto"/>
              <w:rPr>
                <w:i/>
                <w:color w:val="FFFFFF"/>
              </w:rPr>
            </w:pPr>
            <w:r w:rsidRPr="00630CB6">
              <w:rPr>
                <w:i/>
                <w:color w:val="FFFFFF" w:themeColor="background1"/>
              </w:rPr>
              <w:t>Formula for individual firm</w:t>
            </w:r>
          </w:p>
        </w:tc>
      </w:tr>
      <w:tr w:rsidR="001D05C5" w:rsidRPr="001D05C5" w:rsidTr="008C53A9">
        <w:trPr>
          <w:trHeight w:val="864"/>
        </w:trPr>
        <w:tc>
          <w:tcPr>
            <w:tcW w:w="9072" w:type="dxa"/>
            <w:tcBorders>
              <w:top w:val="nil"/>
              <w:left w:val="nil"/>
              <w:bottom w:val="nil"/>
              <w:right w:val="single" w:sz="4" w:space="0" w:color="FFFFFF"/>
            </w:tcBorders>
            <w:shd w:val="clear" w:color="auto" w:fill="FFFFFF"/>
            <w:noWrap/>
            <w:vAlign w:val="center"/>
            <w:hideMark/>
          </w:tcPr>
          <w:p w:rsidR="001D05C5" w:rsidRPr="007B48EC" w:rsidRDefault="001D05C5" w:rsidP="001D05C5">
            <w:pPr>
              <w:spacing w:before="240" w:after="0"/>
              <w:jc w:val="both"/>
              <w:rPr>
                <w:color w:val="000000" w:themeColor="text1"/>
              </w:rPr>
            </w:pPr>
            <m:oMathPara>
              <m:oMath>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L-</m:t>
                    </m:r>
                    <m:d>
                      <m:dPr>
                        <m:ctrlPr>
                          <w:rPr>
                            <w:rFonts w:ascii="Cambria Math" w:hAnsi="Cambria Math"/>
                            <w:i/>
                            <w:color w:val="000000" w:themeColor="text1"/>
                          </w:rPr>
                        </m:ctrlPr>
                      </m:dPr>
                      <m:e>
                        <m:r>
                          <w:rPr>
                            <w:rFonts w:ascii="Cambria Math" w:hAnsi="Cambria Math"/>
                            <w:color w:val="000000" w:themeColor="text1"/>
                          </w:rPr>
                          <m:t>F×NC</m:t>
                        </m:r>
                      </m:e>
                    </m:d>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a</m:t>
                    </m:r>
                  </m:sub>
                </m:sSub>
              </m:oMath>
            </m:oMathPara>
          </w:p>
          <w:p w:rsidR="001D05C5" w:rsidRPr="001D05C5" w:rsidRDefault="001D05C5" w:rsidP="001D05C5">
            <w:pPr>
              <w:spacing w:after="0" w:line="240" w:lineRule="auto"/>
              <w:rPr>
                <w:i/>
                <w:color w:val="FFFFFF"/>
              </w:rPr>
            </w:pPr>
          </w:p>
        </w:tc>
      </w:tr>
      <w:tr w:rsidR="001D05C5" w:rsidRPr="001D05C5" w:rsidTr="000D7123">
        <w:trPr>
          <w:trHeight w:val="80"/>
        </w:trPr>
        <w:tc>
          <w:tcPr>
            <w:tcW w:w="9072" w:type="dxa"/>
            <w:tcBorders>
              <w:top w:val="nil"/>
              <w:left w:val="nil"/>
              <w:bottom w:val="nil"/>
              <w:right w:val="single" w:sz="4" w:space="0" w:color="FFFFFF"/>
            </w:tcBorders>
            <w:shd w:val="clear" w:color="auto" w:fill="4F81BD"/>
            <w:noWrap/>
            <w:vAlign w:val="center"/>
            <w:hideMark/>
          </w:tcPr>
          <w:p w:rsidR="001D05C5" w:rsidRPr="001D05C5" w:rsidRDefault="001D05C5" w:rsidP="00630CB6">
            <w:pPr>
              <w:spacing w:after="0" w:line="240" w:lineRule="auto"/>
              <w:rPr>
                <w:i/>
                <w:color w:val="FFFFFF"/>
              </w:rPr>
            </w:pPr>
            <w:r w:rsidRPr="00630CB6">
              <w:rPr>
                <w:i/>
                <w:color w:val="FFFFFF" w:themeColor="background1"/>
              </w:rPr>
              <w:t>Categories in the levy structure</w:t>
            </w:r>
          </w:p>
        </w:tc>
      </w:tr>
      <w:tr w:rsidR="001D05C5" w:rsidRPr="001D05C5" w:rsidTr="008C53A9">
        <w:trPr>
          <w:trHeight w:val="361"/>
        </w:trPr>
        <w:tc>
          <w:tcPr>
            <w:tcW w:w="9072" w:type="dxa"/>
            <w:tcBorders>
              <w:top w:val="nil"/>
              <w:left w:val="nil"/>
              <w:bottom w:val="single" w:sz="4" w:space="0" w:color="8064A2"/>
              <w:right w:val="single" w:sz="4" w:space="0" w:color="FFFFFF"/>
            </w:tcBorders>
            <w:shd w:val="clear" w:color="auto" w:fill="FFFFFF"/>
            <w:noWrap/>
            <w:vAlign w:val="center"/>
            <w:hideMark/>
          </w:tcPr>
          <w:p w:rsidR="001D05C5" w:rsidRPr="007B48EC" w:rsidRDefault="001D05C5" w:rsidP="001D05C5">
            <w:pPr>
              <w:spacing w:after="0"/>
              <w:jc w:val="both"/>
              <w:rPr>
                <w:i/>
                <w:color w:val="000000" w:themeColor="text1"/>
              </w:rPr>
            </w:pPr>
            <w:r w:rsidRPr="007B48EC">
              <w:rPr>
                <w:color w:val="000000" w:themeColor="text1"/>
              </w:rPr>
              <w:t>Industry sectors, total regulatory cost, market share for each firm, and the pre-determined fee.</w:t>
            </w:r>
          </w:p>
        </w:tc>
      </w:tr>
    </w:tbl>
    <w:p w:rsidR="001D05C5" w:rsidRPr="001D05C5" w:rsidRDefault="001D05C5" w:rsidP="001D05C5">
      <w:pPr>
        <w:keepNext/>
        <w:keepLines/>
        <w:spacing w:before="200" w:after="0"/>
        <w:outlineLvl w:val="3"/>
        <w:rPr>
          <w:rFonts w:ascii="Arial" w:eastAsia="Times New Roman" w:hAnsi="Arial"/>
          <w:b/>
          <w:bCs/>
          <w:i/>
          <w:iCs/>
          <w:color w:val="AB4387"/>
        </w:rPr>
      </w:pPr>
      <w:r w:rsidRPr="001D05C5">
        <w:rPr>
          <w:rFonts w:ascii="Arial" w:eastAsia="Times New Roman" w:hAnsi="Arial"/>
          <w:b/>
          <w:bCs/>
          <w:i/>
          <w:iCs/>
          <w:color w:val="AB4387"/>
        </w:rPr>
        <w:t>Pros:</w:t>
      </w:r>
    </w:p>
    <w:tbl>
      <w:tblPr>
        <w:tblW w:w="9072" w:type="dxa"/>
        <w:tblInd w:w="108" w:type="dxa"/>
        <w:tblLayout w:type="fixed"/>
        <w:tblLook w:val="04A0"/>
      </w:tblPr>
      <w:tblGrid>
        <w:gridCol w:w="9072"/>
      </w:tblGrid>
      <w:tr w:rsidR="001D05C5" w:rsidRPr="001D05C5" w:rsidTr="008C53A9">
        <w:trPr>
          <w:trHeight w:val="163"/>
        </w:trPr>
        <w:tc>
          <w:tcPr>
            <w:tcW w:w="9072" w:type="dxa"/>
            <w:tcBorders>
              <w:top w:val="nil"/>
              <w:left w:val="nil"/>
              <w:bottom w:val="single" w:sz="12" w:space="0" w:color="FFFFFF"/>
              <w:right w:val="single" w:sz="4" w:space="0" w:color="FFFFFF"/>
            </w:tcBorders>
            <w:shd w:val="clear" w:color="auto" w:fill="4F81BD"/>
            <w:noWrap/>
            <w:vAlign w:val="center"/>
            <w:hideMark/>
          </w:tcPr>
          <w:p w:rsidR="001D05C5" w:rsidRPr="001D05C5" w:rsidRDefault="001D05C5" w:rsidP="001D05C5">
            <w:pPr>
              <w:spacing w:after="0" w:line="240" w:lineRule="auto"/>
              <w:rPr>
                <w:i/>
                <w:color w:val="FFFFFF"/>
              </w:rPr>
            </w:pPr>
            <w:r w:rsidRPr="00630CB6">
              <w:rPr>
                <w:i/>
                <w:color w:val="FFFFFF" w:themeColor="background1"/>
              </w:rPr>
              <w:t xml:space="preserve">Predictability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1D05C5" w:rsidRPr="001D05C5" w:rsidTr="008C53A9">
        <w:trPr>
          <w:trHeight w:val="103"/>
        </w:trPr>
        <w:tc>
          <w:tcPr>
            <w:tcW w:w="9072" w:type="dxa"/>
            <w:tcBorders>
              <w:top w:val="nil"/>
              <w:left w:val="nil"/>
              <w:bottom w:val="single" w:sz="4" w:space="0" w:color="FFFFFF"/>
              <w:right w:val="single" w:sz="4" w:space="0" w:color="FFFFFF"/>
            </w:tcBorders>
            <w:shd w:val="clear" w:color="auto" w:fill="FFFFFF"/>
            <w:noWrap/>
            <w:vAlign w:val="center"/>
            <w:hideMark/>
          </w:tcPr>
          <w:p w:rsidR="001D05C5" w:rsidRPr="007B48EC" w:rsidRDefault="001D05C5" w:rsidP="00D7775D">
            <w:pPr>
              <w:spacing w:after="0" w:line="240" w:lineRule="auto"/>
              <w:jc w:val="both"/>
              <w:rPr>
                <w:color w:val="000000" w:themeColor="text1"/>
              </w:rPr>
            </w:pPr>
            <w:r w:rsidRPr="007B48EC">
              <w:rPr>
                <w:color w:val="000000" w:themeColor="text1"/>
              </w:rPr>
              <w:t>Option 4 combines a determined fee with a variable component based on total regulatory cost and market share. This removes the volatility of individual charges due to the total fixed regulatory costs in the current methodology. The predictability of Option 4 rests on the transparency of how the determined fee will change over time, the operator’s market share, and the total regulatory cost. If the determined fee is transparently managed, Option 4 will increase certainty in the energy industry sectors.</w:t>
            </w:r>
          </w:p>
          <w:p w:rsidR="001D05C5" w:rsidRPr="001D05C5" w:rsidRDefault="001D05C5" w:rsidP="00907BE7">
            <w:pPr>
              <w:spacing w:before="240" w:after="0" w:line="240" w:lineRule="auto"/>
              <w:jc w:val="both"/>
            </w:pPr>
            <w:r w:rsidRPr="007B48EC">
              <w:rPr>
                <w:color w:val="000000" w:themeColor="text1"/>
              </w:rPr>
              <w:t>Option 4 is less predictable that Option 2. The variable component of a utility’s levy depends on how many firms are in the sector. This method moves volatility associated with operators entering or exiting the market from the fixed component to the variable component. As the variable component will be significantly larger than the sum of the fixed fees, this will improve certainty and decrease volatility.</w:t>
            </w:r>
          </w:p>
        </w:tc>
      </w:tr>
      <w:tr w:rsidR="001D05C5" w:rsidRPr="001D05C5" w:rsidTr="008C53A9">
        <w:trPr>
          <w:trHeight w:val="70"/>
        </w:trPr>
        <w:tc>
          <w:tcPr>
            <w:tcW w:w="9072" w:type="dxa"/>
            <w:tcBorders>
              <w:top w:val="nil"/>
              <w:left w:val="nil"/>
              <w:right w:val="single" w:sz="4" w:space="0" w:color="FFFFFF"/>
            </w:tcBorders>
            <w:shd w:val="clear" w:color="auto" w:fill="4F81BD"/>
            <w:noWrap/>
            <w:vAlign w:val="center"/>
            <w:hideMark/>
          </w:tcPr>
          <w:p w:rsidR="001D05C5" w:rsidRPr="001D05C5" w:rsidRDefault="001D05C5" w:rsidP="001D05C5">
            <w:pPr>
              <w:spacing w:after="0" w:line="240" w:lineRule="auto"/>
              <w:rPr>
                <w:i/>
                <w:color w:val="FFFFFF"/>
              </w:rPr>
            </w:pPr>
            <w:r w:rsidRPr="00630CB6">
              <w:rPr>
                <w:i/>
                <w:color w:val="FFFFFF" w:themeColor="background1"/>
              </w:rPr>
              <w:t xml:space="preserve">Fair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1D05C5" w:rsidRPr="001D05C5" w:rsidTr="008C53A9">
        <w:trPr>
          <w:trHeight w:val="542"/>
        </w:trPr>
        <w:tc>
          <w:tcPr>
            <w:tcW w:w="9072" w:type="dxa"/>
            <w:tcBorders>
              <w:top w:val="nil"/>
              <w:left w:val="nil"/>
              <w:bottom w:val="nil"/>
              <w:right w:val="single" w:sz="4" w:space="0" w:color="FFFFFF"/>
            </w:tcBorders>
            <w:shd w:val="clear" w:color="auto" w:fill="FFFFFF"/>
            <w:noWrap/>
            <w:vAlign w:val="center"/>
            <w:hideMark/>
          </w:tcPr>
          <w:p w:rsidR="001D05C5" w:rsidRPr="007B48EC" w:rsidRDefault="001D05C5" w:rsidP="001D05C5">
            <w:pPr>
              <w:spacing w:after="0" w:line="240" w:lineRule="auto"/>
              <w:contextualSpacing/>
              <w:jc w:val="both"/>
              <w:rPr>
                <w:rFonts w:eastAsia="Times New Roman"/>
                <w:color w:val="000000" w:themeColor="text1"/>
                <w:sz w:val="23"/>
                <w:szCs w:val="23"/>
                <w:lang w:eastAsia="en-AU"/>
              </w:rPr>
            </w:pPr>
            <w:r w:rsidRPr="007B48EC">
              <w:rPr>
                <w:rFonts w:eastAsia="Times New Roman"/>
                <w:color w:val="000000" w:themeColor="text1"/>
                <w:lang w:eastAsia="en-AU"/>
              </w:rPr>
              <w:t>Option 4 ensures that costs that are predictably ascribable to an arbitrary operator in the sector are assigned to every firm, by including them in the determined fixed fee. All factor dependent operator costs and sector costs will be distributed according to market share. This is a fair structure, as it ensures:</w:t>
            </w:r>
          </w:p>
          <w:p w:rsidR="001D05C5" w:rsidRPr="007B48EC" w:rsidRDefault="001D05C5" w:rsidP="001D05C5">
            <w:pPr>
              <w:numPr>
                <w:ilvl w:val="0"/>
                <w:numId w:val="6"/>
              </w:numPr>
              <w:spacing w:after="0" w:line="240" w:lineRule="auto"/>
              <w:contextualSpacing/>
              <w:jc w:val="both"/>
              <w:rPr>
                <w:rFonts w:eastAsia="Times New Roman"/>
                <w:color w:val="000000" w:themeColor="text1"/>
                <w:sz w:val="23"/>
                <w:szCs w:val="23"/>
                <w:lang w:eastAsia="en-AU"/>
              </w:rPr>
            </w:pPr>
            <w:r w:rsidRPr="007B48EC">
              <w:rPr>
                <w:rFonts w:eastAsia="Times New Roman"/>
                <w:color w:val="000000" w:themeColor="text1"/>
                <w:lang w:eastAsia="en-AU"/>
              </w:rPr>
              <w:t xml:space="preserve">operators pay for their factor independent operator costs; and </w:t>
            </w:r>
          </w:p>
          <w:p w:rsidR="001D05C5" w:rsidRPr="001D05C5" w:rsidRDefault="001D05C5" w:rsidP="001D05C5">
            <w:pPr>
              <w:numPr>
                <w:ilvl w:val="0"/>
                <w:numId w:val="6"/>
              </w:numPr>
              <w:spacing w:after="0" w:line="240" w:lineRule="auto"/>
              <w:contextualSpacing/>
              <w:jc w:val="both"/>
              <w:rPr>
                <w:rFonts w:eastAsia="Times New Roman"/>
                <w:sz w:val="23"/>
                <w:szCs w:val="23"/>
                <w:lang w:eastAsia="en-AU"/>
              </w:rPr>
            </w:pPr>
            <w:proofErr w:type="gramStart"/>
            <w:r w:rsidRPr="007B48EC">
              <w:rPr>
                <w:rFonts w:eastAsia="Times New Roman"/>
                <w:color w:val="000000" w:themeColor="text1"/>
                <w:lang w:eastAsia="en-AU"/>
              </w:rPr>
              <w:t>operators</w:t>
            </w:r>
            <w:proofErr w:type="gramEnd"/>
            <w:r w:rsidRPr="007B48EC">
              <w:rPr>
                <w:rFonts w:eastAsia="Times New Roman"/>
                <w:color w:val="000000" w:themeColor="text1"/>
                <w:lang w:eastAsia="en-AU"/>
              </w:rPr>
              <w:t xml:space="preserve"> with large market shares cover most of the remaining costs, allowing them to be spread across most of the market, while ensuring that large operators do not subsidise costs that can be directly attributed to individual operators.</w:t>
            </w:r>
          </w:p>
        </w:tc>
      </w:tr>
      <w:tr w:rsidR="001D05C5" w:rsidRPr="001D05C5" w:rsidTr="001D05C5">
        <w:trPr>
          <w:trHeight w:val="80"/>
        </w:trPr>
        <w:tc>
          <w:tcPr>
            <w:tcW w:w="9072" w:type="dxa"/>
            <w:tcBorders>
              <w:top w:val="nil"/>
              <w:left w:val="nil"/>
              <w:bottom w:val="nil"/>
              <w:right w:val="single" w:sz="4" w:space="0" w:color="FFFFFF"/>
            </w:tcBorders>
            <w:shd w:val="clear" w:color="auto" w:fill="4F81BD"/>
            <w:noWrap/>
            <w:vAlign w:val="bottom"/>
            <w:hideMark/>
          </w:tcPr>
          <w:p w:rsidR="001D05C5" w:rsidRPr="001D05C5" w:rsidRDefault="001D05C5" w:rsidP="001D05C5">
            <w:pPr>
              <w:spacing w:after="0" w:line="240" w:lineRule="auto"/>
              <w:rPr>
                <w:rFonts w:eastAsia="Times New Roman"/>
                <w:b/>
                <w:bCs/>
                <w:color w:val="FFFFFF"/>
                <w:sz w:val="20"/>
                <w:lang w:eastAsia="en-AU"/>
              </w:rPr>
            </w:pPr>
            <w:r w:rsidRPr="00630CB6">
              <w:rPr>
                <w:i/>
                <w:color w:val="FFFFFF" w:themeColor="background1"/>
              </w:rPr>
              <w:t xml:space="preserve">Competition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1D05C5" w:rsidRPr="001D05C5" w:rsidTr="008C53A9">
        <w:trPr>
          <w:trHeight w:val="542"/>
        </w:trPr>
        <w:tc>
          <w:tcPr>
            <w:tcW w:w="9072" w:type="dxa"/>
            <w:tcBorders>
              <w:top w:val="nil"/>
              <w:left w:val="nil"/>
              <w:bottom w:val="nil"/>
              <w:right w:val="single" w:sz="4" w:space="0" w:color="FFFFFF"/>
            </w:tcBorders>
            <w:shd w:val="clear" w:color="auto" w:fill="FFFFFF"/>
            <w:noWrap/>
            <w:vAlign w:val="center"/>
            <w:hideMark/>
          </w:tcPr>
          <w:p w:rsidR="001D05C5" w:rsidRPr="007B48EC" w:rsidRDefault="001D05C5" w:rsidP="00D7775D">
            <w:pPr>
              <w:spacing w:after="0" w:line="240" w:lineRule="auto"/>
              <w:jc w:val="both"/>
              <w:rPr>
                <w:i/>
                <w:color w:val="000000" w:themeColor="text1"/>
              </w:rPr>
            </w:pPr>
            <w:r w:rsidRPr="007B48EC">
              <w:rPr>
                <w:color w:val="000000" w:themeColor="text1"/>
              </w:rPr>
              <w:t>Option 4 ensures that small operators do not face large, unfair, unpredictable barriers to enter the market. All operators must pay the determined fee; however, this charge is due to costs that can be ascribed to even the smallest operators.</w:t>
            </w:r>
          </w:p>
        </w:tc>
      </w:tr>
      <w:tr w:rsidR="001D05C5" w:rsidRPr="001D05C5" w:rsidTr="001D05C5">
        <w:trPr>
          <w:trHeight w:val="89"/>
        </w:trPr>
        <w:tc>
          <w:tcPr>
            <w:tcW w:w="9072" w:type="dxa"/>
            <w:tcBorders>
              <w:top w:val="nil"/>
              <w:left w:val="nil"/>
              <w:bottom w:val="nil"/>
              <w:right w:val="single" w:sz="4" w:space="0" w:color="FFFFFF"/>
            </w:tcBorders>
            <w:shd w:val="clear" w:color="auto" w:fill="4F81BD"/>
            <w:noWrap/>
            <w:vAlign w:val="center"/>
            <w:hideMark/>
          </w:tcPr>
          <w:p w:rsidR="001D05C5" w:rsidRPr="001D05C5" w:rsidRDefault="001D05C5" w:rsidP="001D05C5">
            <w:pPr>
              <w:spacing w:after="0" w:line="240" w:lineRule="auto"/>
              <w:rPr>
                <w:i/>
                <w:color w:val="FFFFFF"/>
              </w:rPr>
            </w:pPr>
            <w:r w:rsidRPr="00630CB6">
              <w:rPr>
                <w:i/>
                <w:color w:val="FFFFFF" w:themeColor="background1"/>
              </w:rPr>
              <w:t xml:space="preserve">Efficient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1D05C5" w:rsidRPr="001D05C5" w:rsidTr="008C53A9">
        <w:trPr>
          <w:trHeight w:val="542"/>
        </w:trPr>
        <w:tc>
          <w:tcPr>
            <w:tcW w:w="9072" w:type="dxa"/>
            <w:tcBorders>
              <w:top w:val="nil"/>
              <w:left w:val="nil"/>
              <w:bottom w:val="nil"/>
              <w:right w:val="single" w:sz="4" w:space="0" w:color="FFFFFF"/>
            </w:tcBorders>
            <w:shd w:val="clear" w:color="auto" w:fill="FFFFFF"/>
            <w:noWrap/>
            <w:vAlign w:val="center"/>
            <w:hideMark/>
          </w:tcPr>
          <w:p w:rsidR="001D05C5" w:rsidRPr="007B48EC" w:rsidRDefault="001D05C5" w:rsidP="00D7775D">
            <w:pPr>
              <w:spacing w:after="0" w:line="240" w:lineRule="auto"/>
              <w:jc w:val="both"/>
              <w:rPr>
                <w:i/>
                <w:color w:val="000000" w:themeColor="text1"/>
              </w:rPr>
            </w:pPr>
            <w:r w:rsidRPr="007B48EC">
              <w:rPr>
                <w:color w:val="000000" w:themeColor="text1"/>
              </w:rPr>
              <w:t>Option 2 has the potential for inefficiency, when an operator’s market share is too low to recover costs efficiently. Option 4 ensures that the least regulatory cost attributable to any operator is recovered as the determined fee. This ensures that the methodology will not suffer from the same efficiency as Option 2.</w:t>
            </w:r>
          </w:p>
        </w:tc>
      </w:tr>
      <w:tr w:rsidR="001D05C5" w:rsidRPr="001D05C5" w:rsidTr="00CE7CC4">
        <w:trPr>
          <w:trHeight w:val="80"/>
        </w:trPr>
        <w:tc>
          <w:tcPr>
            <w:tcW w:w="9072" w:type="dxa"/>
            <w:tcBorders>
              <w:top w:val="nil"/>
              <w:left w:val="nil"/>
              <w:right w:val="single" w:sz="4" w:space="0" w:color="FFFFFF"/>
            </w:tcBorders>
            <w:shd w:val="clear" w:color="auto" w:fill="4F81BD"/>
            <w:noWrap/>
            <w:vAlign w:val="center"/>
            <w:hideMark/>
          </w:tcPr>
          <w:p w:rsidR="001D05C5" w:rsidRPr="001D05C5" w:rsidRDefault="001D05C5" w:rsidP="001D05C5">
            <w:pPr>
              <w:spacing w:after="0" w:line="240" w:lineRule="auto"/>
              <w:rPr>
                <w:i/>
                <w:color w:val="FFFFFF"/>
              </w:rPr>
            </w:pPr>
            <w:r w:rsidRPr="00630CB6">
              <w:rPr>
                <w:i/>
                <w:color w:val="FFFFFF" w:themeColor="background1"/>
              </w:rPr>
              <w:t xml:space="preserve">Cost recovery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1D05C5" w:rsidRPr="001D05C5" w:rsidTr="00CE7CC4">
        <w:trPr>
          <w:trHeight w:val="284"/>
        </w:trPr>
        <w:tc>
          <w:tcPr>
            <w:tcW w:w="9072" w:type="dxa"/>
            <w:tcBorders>
              <w:top w:val="nil"/>
              <w:left w:val="nil"/>
              <w:bottom w:val="nil"/>
              <w:right w:val="single" w:sz="4" w:space="0" w:color="FFFFFF"/>
            </w:tcBorders>
            <w:shd w:val="clear" w:color="auto" w:fill="FFFFFF"/>
            <w:noWrap/>
            <w:vAlign w:val="center"/>
            <w:hideMark/>
          </w:tcPr>
          <w:p w:rsidR="001D05C5" w:rsidRPr="007B48EC" w:rsidRDefault="001D05C5" w:rsidP="00D7775D">
            <w:pPr>
              <w:spacing w:after="0" w:line="240" w:lineRule="auto"/>
              <w:jc w:val="both"/>
              <w:rPr>
                <w:i/>
                <w:color w:val="000000" w:themeColor="text1"/>
              </w:rPr>
            </w:pPr>
            <w:r w:rsidRPr="007B48EC">
              <w:rPr>
                <w:color w:val="000000" w:themeColor="text1"/>
              </w:rPr>
              <w:t>Option 3 resolves the inefficiency of small payments by imposing a minimum fee; this would result in over-recovery whenever it is in effect. Option 4 will not over-recover the estimated total regulatory cost, while resolving the potential inefficiency.</w:t>
            </w:r>
          </w:p>
        </w:tc>
      </w:tr>
      <w:tr w:rsidR="00CE7CC4" w:rsidRPr="001D05C5" w:rsidTr="00CE7CC4">
        <w:trPr>
          <w:trHeight w:val="80"/>
        </w:trPr>
        <w:tc>
          <w:tcPr>
            <w:tcW w:w="9072" w:type="dxa"/>
            <w:tcBorders>
              <w:top w:val="nil"/>
              <w:left w:val="nil"/>
              <w:bottom w:val="single" w:sz="4" w:space="0" w:color="4F81BD" w:themeColor="accent1"/>
              <w:right w:val="single" w:sz="4" w:space="0" w:color="FFFFFF"/>
            </w:tcBorders>
            <w:shd w:val="clear" w:color="auto" w:fill="FFFFFF"/>
            <w:noWrap/>
            <w:vAlign w:val="center"/>
            <w:hideMark/>
          </w:tcPr>
          <w:p w:rsidR="00CE7CC4" w:rsidRPr="00CE7CC4" w:rsidRDefault="00CE7CC4" w:rsidP="00CE7CC4">
            <w:pPr>
              <w:spacing w:after="0" w:line="240" w:lineRule="auto"/>
              <w:jc w:val="both"/>
              <w:rPr>
                <w:color w:val="000000" w:themeColor="text1"/>
                <w:sz w:val="2"/>
              </w:rPr>
            </w:pPr>
          </w:p>
        </w:tc>
      </w:tr>
    </w:tbl>
    <w:p w:rsidR="001D05C5" w:rsidRPr="001D05C5" w:rsidRDefault="001D05C5" w:rsidP="001D05C5">
      <w:pPr>
        <w:keepNext/>
        <w:keepLines/>
        <w:spacing w:before="200" w:after="0"/>
        <w:outlineLvl w:val="3"/>
        <w:rPr>
          <w:rFonts w:ascii="Arial" w:eastAsia="Times New Roman" w:hAnsi="Arial"/>
          <w:b/>
          <w:bCs/>
          <w:i/>
          <w:iCs/>
          <w:color w:val="AB4387"/>
        </w:rPr>
      </w:pPr>
      <w:r w:rsidRPr="001D05C5">
        <w:rPr>
          <w:rFonts w:ascii="Arial" w:eastAsia="Times New Roman" w:hAnsi="Arial"/>
          <w:b/>
          <w:bCs/>
          <w:i/>
          <w:iCs/>
          <w:color w:val="AB4387"/>
        </w:rPr>
        <w:t>Cons:</w:t>
      </w:r>
    </w:p>
    <w:tbl>
      <w:tblPr>
        <w:tblW w:w="9072" w:type="dxa"/>
        <w:tblInd w:w="108" w:type="dxa"/>
        <w:tblLayout w:type="fixed"/>
        <w:tblLook w:val="04A0"/>
      </w:tblPr>
      <w:tblGrid>
        <w:gridCol w:w="9072"/>
      </w:tblGrid>
      <w:tr w:rsidR="001D05C5" w:rsidRPr="001D05C5" w:rsidTr="008C53A9">
        <w:trPr>
          <w:trHeight w:val="143"/>
        </w:trPr>
        <w:tc>
          <w:tcPr>
            <w:tcW w:w="9072" w:type="dxa"/>
            <w:tcBorders>
              <w:top w:val="nil"/>
              <w:left w:val="nil"/>
              <w:bottom w:val="single" w:sz="12" w:space="0" w:color="FFFFFF"/>
              <w:right w:val="single" w:sz="4" w:space="0" w:color="FFFFFF"/>
            </w:tcBorders>
            <w:shd w:val="clear" w:color="auto" w:fill="4F81BD"/>
            <w:noWrap/>
            <w:vAlign w:val="center"/>
            <w:hideMark/>
          </w:tcPr>
          <w:p w:rsidR="001D05C5" w:rsidRPr="001D05C5" w:rsidRDefault="001D05C5" w:rsidP="001D05C5">
            <w:pPr>
              <w:spacing w:after="0" w:line="240" w:lineRule="auto"/>
              <w:rPr>
                <w:rFonts w:eastAsia="Times New Roman"/>
                <w:b/>
                <w:bCs/>
                <w:i/>
                <w:color w:val="FFFFFF"/>
                <w:sz w:val="20"/>
                <w:lang w:eastAsia="en-AU"/>
              </w:rPr>
            </w:pPr>
            <w:r w:rsidRPr="00630CB6">
              <w:rPr>
                <w:i/>
                <w:color w:val="FFFFFF" w:themeColor="background1"/>
              </w:rPr>
              <w:t xml:space="preserve">Simple </w:t>
            </w:r>
            <w:r w:rsidRPr="00630CB6">
              <w:rPr>
                <w:color w:val="FFFFFF" w:themeColor="background1"/>
              </w:rPr>
              <w:sym w:font="Wingdings" w:char="F0AB"/>
            </w:r>
            <w:r w:rsidRPr="00630CB6">
              <w:rPr>
                <w:color w:val="FFFFFF" w:themeColor="background1"/>
              </w:rPr>
              <w:sym w:font="Wingdings" w:char="F0AB"/>
            </w:r>
            <w:r w:rsidRPr="00630CB6">
              <w:rPr>
                <w:color w:val="FFFFFF" w:themeColor="background1"/>
              </w:rPr>
              <w:sym w:font="Wingdings" w:char="F0AB"/>
            </w:r>
          </w:p>
        </w:tc>
      </w:tr>
      <w:tr w:rsidR="001D05C5" w:rsidRPr="001D05C5" w:rsidTr="001D05C5">
        <w:trPr>
          <w:trHeight w:val="103"/>
        </w:trPr>
        <w:tc>
          <w:tcPr>
            <w:tcW w:w="9072" w:type="dxa"/>
            <w:tcBorders>
              <w:top w:val="single" w:sz="12" w:space="0" w:color="FFFFFF"/>
              <w:left w:val="nil"/>
              <w:bottom w:val="single" w:sz="4" w:space="0" w:color="4F81BD"/>
              <w:right w:val="single" w:sz="4" w:space="0" w:color="FFFFFF"/>
            </w:tcBorders>
            <w:shd w:val="clear" w:color="auto" w:fill="FFFFFF"/>
            <w:noWrap/>
            <w:vAlign w:val="center"/>
            <w:hideMark/>
          </w:tcPr>
          <w:p w:rsidR="001D05C5" w:rsidRPr="007B48EC" w:rsidRDefault="001D05C5" w:rsidP="001D05C5">
            <w:pPr>
              <w:spacing w:after="0" w:line="240" w:lineRule="auto"/>
              <w:contextualSpacing/>
              <w:jc w:val="both"/>
              <w:rPr>
                <w:rFonts w:eastAsia="Times New Roman"/>
                <w:color w:val="000000" w:themeColor="text1"/>
                <w:lang w:eastAsia="en-AU"/>
              </w:rPr>
            </w:pPr>
            <w:r w:rsidRPr="007B48EC">
              <w:rPr>
                <w:rFonts w:eastAsia="Times New Roman"/>
                <w:color w:val="000000" w:themeColor="text1"/>
                <w:lang w:eastAsia="en-AU"/>
              </w:rPr>
              <w:t>Option 4 is more complex than some of the other options.</w:t>
            </w:r>
          </w:p>
          <w:p w:rsidR="001D05C5" w:rsidRPr="007B48EC" w:rsidRDefault="001D05C5" w:rsidP="001D05C5">
            <w:pPr>
              <w:numPr>
                <w:ilvl w:val="0"/>
                <w:numId w:val="6"/>
              </w:numPr>
              <w:spacing w:after="0" w:line="240" w:lineRule="auto"/>
              <w:contextualSpacing/>
              <w:jc w:val="both"/>
              <w:rPr>
                <w:rFonts w:eastAsia="Times New Roman"/>
                <w:color w:val="000000" w:themeColor="text1"/>
                <w:lang w:eastAsia="en-AU"/>
              </w:rPr>
            </w:pPr>
            <w:r w:rsidRPr="007B48EC">
              <w:rPr>
                <w:rFonts w:eastAsia="Times New Roman"/>
                <w:color w:val="000000" w:themeColor="text1"/>
                <w:lang w:eastAsia="en-AU"/>
              </w:rPr>
              <w:t>The formula has both a fixed and variable component.</w:t>
            </w:r>
          </w:p>
          <w:p w:rsidR="001D05C5" w:rsidRPr="007B48EC" w:rsidRDefault="001D05C5" w:rsidP="001D05C5">
            <w:pPr>
              <w:numPr>
                <w:ilvl w:val="0"/>
                <w:numId w:val="6"/>
              </w:numPr>
              <w:spacing w:after="0" w:line="240" w:lineRule="auto"/>
              <w:contextualSpacing/>
              <w:jc w:val="both"/>
              <w:rPr>
                <w:rFonts w:eastAsia="Times New Roman"/>
                <w:color w:val="000000" w:themeColor="text1"/>
                <w:lang w:eastAsia="en-AU"/>
              </w:rPr>
            </w:pPr>
            <w:r w:rsidRPr="007B48EC">
              <w:rPr>
                <w:rFonts w:eastAsia="Times New Roman"/>
                <w:color w:val="000000" w:themeColor="text1"/>
                <w:lang w:eastAsia="en-AU"/>
              </w:rPr>
              <w:t xml:space="preserve">The determined fee requires the Administrator to determine the minimal cost of regulating a single operator and transparently presenting this information to the industry. This fee should be expected to remain steady over future years, so the Levy Administrator will be required to forecast the minimal costs in determining the fee. </w:t>
            </w:r>
          </w:p>
          <w:p w:rsidR="001D05C5" w:rsidRPr="001D05C5" w:rsidRDefault="001D05C5" w:rsidP="00D7775D">
            <w:pPr>
              <w:spacing w:after="0" w:line="240" w:lineRule="auto"/>
              <w:jc w:val="both"/>
              <w:rPr>
                <w:rFonts w:eastAsia="Times New Roman"/>
                <w:b/>
                <w:bCs/>
                <w:i/>
                <w:color w:val="FFFFFF"/>
                <w:sz w:val="20"/>
                <w:lang w:eastAsia="en-AU"/>
              </w:rPr>
            </w:pPr>
            <w:r w:rsidRPr="007B48EC">
              <w:rPr>
                <w:color w:val="000000" w:themeColor="text1"/>
              </w:rPr>
              <w:t>Unlike the current methodology, the variable component depends on the number of utilities in the sector, as well as the fixed component and market shares.</w:t>
            </w:r>
          </w:p>
        </w:tc>
      </w:tr>
    </w:tbl>
    <w:p w:rsidR="005B0F58" w:rsidRDefault="005B0F58" w:rsidP="00D85385">
      <w:pPr>
        <w:pStyle w:val="Heading3"/>
      </w:pPr>
    </w:p>
    <w:p w:rsidR="00A75E93" w:rsidRDefault="00A75E93">
      <w:pPr>
        <w:spacing w:after="0" w:line="240" w:lineRule="auto"/>
      </w:pPr>
      <w:r>
        <w:br w:type="page"/>
      </w:r>
    </w:p>
    <w:p w:rsidR="005B0F58" w:rsidRDefault="00E10EA5" w:rsidP="00A75E93">
      <w:pPr>
        <w:pStyle w:val="Heading3"/>
      </w:pPr>
      <w:bookmarkStart w:id="58" w:name="_Toc454982009"/>
      <w:r>
        <w:t>Additional</w:t>
      </w:r>
      <w:r w:rsidR="0066205F">
        <w:t xml:space="preserve"> options: Solely d</w:t>
      </w:r>
      <w:r w:rsidR="00A75E93">
        <w:t>etermined fees</w:t>
      </w:r>
      <w:r w:rsidR="000D7123" w:rsidRPr="000D7123">
        <w:t xml:space="preserve"> </w:t>
      </w:r>
      <w:r w:rsidR="000D7123">
        <w:t>or the current approach with guidelines</w:t>
      </w:r>
      <w:bookmarkEnd w:id="58"/>
    </w:p>
    <w:p w:rsidR="00A53007" w:rsidRDefault="000D7123" w:rsidP="00A53007">
      <w:pPr>
        <w:jc w:val="both"/>
      </w:pPr>
      <w:r>
        <w:t xml:space="preserve">Two </w:t>
      </w:r>
      <w:r w:rsidR="00C0383A">
        <w:t xml:space="preserve">additional </w:t>
      </w:r>
      <w:r w:rsidR="001353F7">
        <w:t>methods</w:t>
      </w:r>
      <w:r>
        <w:t xml:space="preserve"> </w:t>
      </w:r>
      <w:r w:rsidR="0066205F">
        <w:t>for</w:t>
      </w:r>
      <w:r>
        <w:t xml:space="preserve"> distributing the Levy</w:t>
      </w:r>
      <w:r w:rsidR="00C0383A">
        <w:t xml:space="preserve"> which</w:t>
      </w:r>
      <w:r>
        <w:t xml:space="preserve"> were not included in the discussion paper warrant discussion. This section briefly describes the options, their merits, and why the investigation prefers Option 4.</w:t>
      </w:r>
      <w:r w:rsidR="00712650">
        <w:t xml:space="preserve"> </w:t>
      </w:r>
      <w:r w:rsidR="00A53007">
        <w:t>The indicative ratings of these approaches (and Option 4) are</w:t>
      </w:r>
      <w:r w:rsidR="00A02B70">
        <w:t>:</w:t>
      </w:r>
    </w:p>
    <w:tbl>
      <w:tblPr>
        <w:tblW w:w="9095" w:type="dxa"/>
        <w:tblInd w:w="108" w:type="dxa"/>
        <w:tblLayout w:type="fixed"/>
        <w:tblLook w:val="04A0"/>
      </w:tblPr>
      <w:tblGrid>
        <w:gridCol w:w="1418"/>
        <w:gridCol w:w="1279"/>
        <w:gridCol w:w="1280"/>
        <w:gridCol w:w="1279"/>
        <w:gridCol w:w="1280"/>
        <w:gridCol w:w="1279"/>
        <w:gridCol w:w="1280"/>
      </w:tblGrid>
      <w:tr w:rsidR="00A53007" w:rsidRPr="00C67D3E" w:rsidTr="00094E77">
        <w:trPr>
          <w:trHeight w:val="580"/>
          <w:tblHeader/>
        </w:trPr>
        <w:tc>
          <w:tcPr>
            <w:tcW w:w="1418" w:type="dxa"/>
            <w:tcBorders>
              <w:top w:val="nil"/>
              <w:left w:val="nil"/>
              <w:bottom w:val="single" w:sz="12" w:space="0" w:color="FFFFFF"/>
              <w:right w:val="single" w:sz="4" w:space="0" w:color="FFFFFF"/>
            </w:tcBorders>
            <w:shd w:val="clear" w:color="auto" w:fill="4F81BD" w:themeFill="accent1"/>
            <w:noWrap/>
            <w:vAlign w:val="bottom"/>
            <w:hideMark/>
          </w:tcPr>
          <w:p w:rsidR="00A53007" w:rsidRPr="00C67D3E" w:rsidRDefault="00A53007" w:rsidP="00BA315B">
            <w:pPr>
              <w:spacing w:after="0" w:line="240" w:lineRule="auto"/>
              <w:rPr>
                <w:rFonts w:eastAsia="Times New Roman"/>
                <w:b/>
                <w:bCs/>
                <w:color w:val="FFFFFF"/>
                <w:sz w:val="20"/>
                <w:lang w:eastAsia="en-AU"/>
              </w:rPr>
            </w:pPr>
          </w:p>
        </w:tc>
        <w:tc>
          <w:tcPr>
            <w:tcW w:w="1279" w:type="dxa"/>
            <w:tcBorders>
              <w:top w:val="nil"/>
              <w:left w:val="nil"/>
              <w:bottom w:val="single" w:sz="12" w:space="0" w:color="FFFFFF"/>
              <w:right w:val="single" w:sz="4" w:space="0" w:color="FFFFFF"/>
            </w:tcBorders>
            <w:shd w:val="clear" w:color="auto" w:fill="4F81BD" w:themeFill="accent1"/>
            <w:noWrap/>
            <w:vAlign w:val="center"/>
            <w:hideMark/>
          </w:tcPr>
          <w:p w:rsidR="00A53007" w:rsidRPr="00C67D3E" w:rsidRDefault="00A53007" w:rsidP="00BA315B">
            <w:pPr>
              <w:spacing w:after="0" w:line="240" w:lineRule="auto"/>
              <w:rPr>
                <w:rFonts w:eastAsia="Times New Roman"/>
                <w:b/>
                <w:bCs/>
                <w:color w:val="FFFFFF"/>
                <w:sz w:val="20"/>
                <w:lang w:eastAsia="en-AU"/>
              </w:rPr>
            </w:pPr>
            <w:r w:rsidRPr="00C67D3E">
              <w:rPr>
                <w:rFonts w:eastAsia="Times New Roman"/>
                <w:b/>
                <w:bCs/>
                <w:color w:val="FFFFFF"/>
                <w:sz w:val="20"/>
                <w:lang w:eastAsia="en-AU"/>
              </w:rPr>
              <w:t>Predictable</w:t>
            </w:r>
          </w:p>
        </w:tc>
        <w:tc>
          <w:tcPr>
            <w:tcW w:w="1280" w:type="dxa"/>
            <w:tcBorders>
              <w:top w:val="nil"/>
              <w:left w:val="nil"/>
              <w:bottom w:val="single" w:sz="12" w:space="0" w:color="FFFFFF"/>
              <w:right w:val="single" w:sz="4" w:space="0" w:color="FFFFFF"/>
            </w:tcBorders>
            <w:shd w:val="clear" w:color="auto" w:fill="4F81BD" w:themeFill="accent1"/>
            <w:noWrap/>
            <w:vAlign w:val="center"/>
            <w:hideMark/>
          </w:tcPr>
          <w:p w:rsidR="00A53007" w:rsidRPr="00C67D3E" w:rsidRDefault="00A53007" w:rsidP="00BA315B">
            <w:pPr>
              <w:spacing w:after="0" w:line="240" w:lineRule="auto"/>
              <w:rPr>
                <w:rFonts w:eastAsia="Times New Roman"/>
                <w:b/>
                <w:bCs/>
                <w:color w:val="FFFFFF"/>
                <w:sz w:val="20"/>
                <w:lang w:eastAsia="en-AU"/>
              </w:rPr>
            </w:pPr>
            <w:r w:rsidRPr="00C67D3E">
              <w:rPr>
                <w:rFonts w:eastAsia="Times New Roman"/>
                <w:b/>
                <w:bCs/>
                <w:color w:val="FFFFFF"/>
                <w:sz w:val="20"/>
                <w:lang w:eastAsia="en-AU"/>
              </w:rPr>
              <w:t>Efficient</w:t>
            </w:r>
          </w:p>
        </w:tc>
        <w:tc>
          <w:tcPr>
            <w:tcW w:w="1279" w:type="dxa"/>
            <w:tcBorders>
              <w:top w:val="nil"/>
              <w:left w:val="nil"/>
              <w:bottom w:val="single" w:sz="12" w:space="0" w:color="FFFFFF"/>
              <w:right w:val="single" w:sz="4" w:space="0" w:color="FFFFFF"/>
            </w:tcBorders>
            <w:shd w:val="clear" w:color="auto" w:fill="4F81BD" w:themeFill="accent1"/>
            <w:noWrap/>
            <w:vAlign w:val="center"/>
            <w:hideMark/>
          </w:tcPr>
          <w:p w:rsidR="00A53007" w:rsidRPr="00C67D3E" w:rsidRDefault="00A53007" w:rsidP="00BA315B">
            <w:pPr>
              <w:spacing w:after="0" w:line="240" w:lineRule="auto"/>
              <w:rPr>
                <w:rFonts w:eastAsia="Times New Roman"/>
                <w:b/>
                <w:bCs/>
                <w:color w:val="FFFFFF"/>
                <w:sz w:val="20"/>
                <w:lang w:eastAsia="en-AU"/>
              </w:rPr>
            </w:pPr>
            <w:r w:rsidRPr="00C67D3E">
              <w:rPr>
                <w:rFonts w:eastAsia="Times New Roman"/>
                <w:b/>
                <w:bCs/>
                <w:color w:val="FFFFFF"/>
                <w:sz w:val="20"/>
                <w:lang w:eastAsia="en-AU"/>
              </w:rPr>
              <w:t>Simple</w:t>
            </w:r>
          </w:p>
        </w:tc>
        <w:tc>
          <w:tcPr>
            <w:tcW w:w="1280" w:type="dxa"/>
            <w:tcBorders>
              <w:top w:val="nil"/>
              <w:left w:val="nil"/>
              <w:bottom w:val="single" w:sz="12" w:space="0" w:color="FFFFFF"/>
              <w:right w:val="single" w:sz="4" w:space="0" w:color="FFFFFF"/>
            </w:tcBorders>
            <w:shd w:val="clear" w:color="auto" w:fill="4F81BD" w:themeFill="accent1"/>
            <w:noWrap/>
            <w:vAlign w:val="center"/>
            <w:hideMark/>
          </w:tcPr>
          <w:p w:rsidR="00A53007" w:rsidRPr="00C67D3E" w:rsidRDefault="00A53007" w:rsidP="00BA315B">
            <w:pPr>
              <w:spacing w:after="0" w:line="240" w:lineRule="auto"/>
              <w:rPr>
                <w:rFonts w:eastAsia="Times New Roman"/>
                <w:b/>
                <w:bCs/>
                <w:color w:val="FFFFFF"/>
                <w:sz w:val="20"/>
                <w:lang w:eastAsia="en-AU"/>
              </w:rPr>
            </w:pPr>
            <w:r w:rsidRPr="00C67D3E">
              <w:rPr>
                <w:rFonts w:eastAsia="Times New Roman"/>
                <w:b/>
                <w:bCs/>
                <w:color w:val="FFFFFF"/>
                <w:sz w:val="20"/>
                <w:lang w:eastAsia="en-AU"/>
              </w:rPr>
              <w:t>Fair</w:t>
            </w:r>
          </w:p>
        </w:tc>
        <w:tc>
          <w:tcPr>
            <w:tcW w:w="1279" w:type="dxa"/>
            <w:tcBorders>
              <w:top w:val="nil"/>
              <w:left w:val="nil"/>
              <w:bottom w:val="single" w:sz="12" w:space="0" w:color="FFFFFF"/>
              <w:right w:val="single" w:sz="4" w:space="0" w:color="FFFFFF"/>
            </w:tcBorders>
            <w:shd w:val="clear" w:color="auto" w:fill="4F81BD" w:themeFill="accent1"/>
            <w:noWrap/>
            <w:vAlign w:val="center"/>
            <w:hideMark/>
          </w:tcPr>
          <w:p w:rsidR="00A53007" w:rsidRPr="00C67D3E" w:rsidRDefault="00A53007" w:rsidP="00BA315B">
            <w:pPr>
              <w:spacing w:after="0" w:line="240" w:lineRule="auto"/>
              <w:rPr>
                <w:rFonts w:eastAsia="Times New Roman"/>
                <w:b/>
                <w:bCs/>
                <w:color w:val="FFFFFF"/>
                <w:sz w:val="20"/>
                <w:lang w:eastAsia="en-AU"/>
              </w:rPr>
            </w:pPr>
            <w:r w:rsidRPr="00C67D3E">
              <w:rPr>
                <w:rFonts w:eastAsia="Times New Roman"/>
                <w:b/>
                <w:bCs/>
                <w:color w:val="FFFFFF"/>
                <w:sz w:val="20"/>
                <w:lang w:eastAsia="en-AU"/>
              </w:rPr>
              <w:t>Competition</w:t>
            </w:r>
          </w:p>
        </w:tc>
        <w:tc>
          <w:tcPr>
            <w:tcW w:w="1280" w:type="dxa"/>
            <w:tcBorders>
              <w:top w:val="nil"/>
              <w:left w:val="nil"/>
              <w:bottom w:val="single" w:sz="12" w:space="0" w:color="FFFFFF"/>
              <w:right w:val="nil"/>
            </w:tcBorders>
            <w:shd w:val="clear" w:color="auto" w:fill="4F81BD" w:themeFill="accent1"/>
            <w:noWrap/>
            <w:vAlign w:val="center"/>
            <w:hideMark/>
          </w:tcPr>
          <w:p w:rsidR="00A53007" w:rsidRPr="00C67D3E" w:rsidRDefault="00A53007" w:rsidP="00BA315B">
            <w:pPr>
              <w:spacing w:after="0" w:line="240" w:lineRule="auto"/>
              <w:rPr>
                <w:rFonts w:eastAsia="Times New Roman"/>
                <w:b/>
                <w:bCs/>
                <w:color w:val="FFFFFF"/>
                <w:sz w:val="20"/>
                <w:lang w:eastAsia="en-AU"/>
              </w:rPr>
            </w:pPr>
            <w:r w:rsidRPr="00C67D3E">
              <w:rPr>
                <w:rFonts w:eastAsia="Times New Roman"/>
                <w:b/>
                <w:bCs/>
                <w:color w:val="FFFFFF"/>
                <w:sz w:val="20"/>
                <w:lang w:eastAsia="en-AU"/>
              </w:rPr>
              <w:t>Cost recovery</w:t>
            </w:r>
          </w:p>
        </w:tc>
      </w:tr>
      <w:tr w:rsidR="00A53007" w:rsidRPr="00C67D3E" w:rsidTr="00ED2078">
        <w:trPr>
          <w:trHeight w:val="488"/>
        </w:trPr>
        <w:tc>
          <w:tcPr>
            <w:tcW w:w="1418" w:type="dxa"/>
            <w:tcBorders>
              <w:top w:val="nil"/>
              <w:left w:val="nil"/>
              <w:bottom w:val="single" w:sz="4" w:space="0" w:color="FFFFFF"/>
              <w:right w:val="single" w:sz="4" w:space="0" w:color="FFFFFF"/>
            </w:tcBorders>
            <w:shd w:val="clear" w:color="auto" w:fill="FFFFFF" w:themeFill="background1"/>
            <w:noWrap/>
            <w:vAlign w:val="center"/>
            <w:hideMark/>
          </w:tcPr>
          <w:p w:rsidR="00A53007" w:rsidRPr="007B48EC" w:rsidRDefault="00151588" w:rsidP="00712650">
            <w:pPr>
              <w:spacing w:after="0" w:line="240" w:lineRule="auto"/>
              <w:rPr>
                <w:rFonts w:eastAsia="Times New Roman"/>
                <w:color w:val="000000" w:themeColor="text1"/>
                <w:lang w:eastAsia="en-AU"/>
              </w:rPr>
            </w:pPr>
            <w:r>
              <w:rPr>
                <w:rFonts w:eastAsia="Times New Roman"/>
                <w:color w:val="000000" w:themeColor="text1"/>
                <w:lang w:eastAsia="en-AU"/>
              </w:rPr>
              <w:t>D</w:t>
            </w:r>
            <w:r w:rsidR="00A53007" w:rsidRPr="007B48EC">
              <w:rPr>
                <w:rFonts w:eastAsia="Times New Roman"/>
                <w:color w:val="000000" w:themeColor="text1"/>
                <w:lang w:eastAsia="en-AU"/>
              </w:rPr>
              <w:t>etermined fees</w:t>
            </w:r>
          </w:p>
        </w:tc>
        <w:tc>
          <w:tcPr>
            <w:tcW w:w="1279" w:type="dxa"/>
            <w:tcBorders>
              <w:top w:val="nil"/>
              <w:left w:val="nil"/>
              <w:bottom w:val="single" w:sz="4" w:space="0" w:color="FFFFFF"/>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80" w:type="dxa"/>
            <w:tcBorders>
              <w:top w:val="nil"/>
              <w:left w:val="nil"/>
              <w:bottom w:val="single" w:sz="4" w:space="0" w:color="FFFFFF"/>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9" w:type="dxa"/>
            <w:tcBorders>
              <w:top w:val="nil"/>
              <w:left w:val="nil"/>
              <w:bottom w:val="single" w:sz="4" w:space="0" w:color="FFFFFF"/>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80" w:type="dxa"/>
            <w:tcBorders>
              <w:top w:val="nil"/>
              <w:left w:val="nil"/>
              <w:bottom w:val="single" w:sz="4" w:space="0" w:color="FFFFFF"/>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9" w:type="dxa"/>
            <w:tcBorders>
              <w:top w:val="nil"/>
              <w:left w:val="nil"/>
              <w:bottom w:val="single" w:sz="4" w:space="0" w:color="FFFFFF"/>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80" w:type="dxa"/>
            <w:tcBorders>
              <w:top w:val="nil"/>
              <w:left w:val="nil"/>
              <w:bottom w:val="single" w:sz="4" w:space="0" w:color="FFFFFF"/>
              <w:right w:val="nil"/>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p>
        </w:tc>
      </w:tr>
      <w:tr w:rsidR="00A53007" w:rsidRPr="00C67D3E" w:rsidTr="00ED2078">
        <w:trPr>
          <w:trHeight w:val="488"/>
        </w:trPr>
        <w:tc>
          <w:tcPr>
            <w:tcW w:w="1418" w:type="dxa"/>
            <w:tcBorders>
              <w:top w:val="nil"/>
              <w:left w:val="nil"/>
              <w:right w:val="single" w:sz="4" w:space="0" w:color="FFFFFF"/>
            </w:tcBorders>
            <w:shd w:val="clear" w:color="B8CCE4" w:fill="B8CCE4"/>
            <w:noWrap/>
            <w:vAlign w:val="center"/>
            <w:hideMark/>
          </w:tcPr>
          <w:p w:rsidR="00A53007" w:rsidRPr="007B48EC" w:rsidRDefault="00A53007" w:rsidP="00BA315B">
            <w:pPr>
              <w:spacing w:after="0" w:line="240" w:lineRule="auto"/>
              <w:rPr>
                <w:rFonts w:eastAsia="Times New Roman"/>
                <w:color w:val="000000" w:themeColor="text1"/>
                <w:lang w:eastAsia="en-AU"/>
              </w:rPr>
            </w:pPr>
            <w:r w:rsidRPr="007B48EC">
              <w:rPr>
                <w:rFonts w:eastAsia="Times New Roman"/>
                <w:color w:val="000000" w:themeColor="text1"/>
                <w:lang w:eastAsia="en-AU"/>
              </w:rPr>
              <w:t>Guidelines</w:t>
            </w:r>
          </w:p>
        </w:tc>
        <w:tc>
          <w:tcPr>
            <w:tcW w:w="1279" w:type="dxa"/>
            <w:tcBorders>
              <w:top w:val="nil"/>
              <w:left w:val="nil"/>
              <w:right w:val="single" w:sz="4" w:space="0" w:color="FFFFFF"/>
            </w:tcBorders>
            <w:shd w:val="clear" w:color="B8CCE4" w:fill="B8CCE4"/>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80" w:type="dxa"/>
            <w:tcBorders>
              <w:top w:val="nil"/>
              <w:left w:val="nil"/>
              <w:right w:val="single" w:sz="4" w:space="0" w:color="FFFFFF"/>
            </w:tcBorders>
            <w:shd w:val="clear" w:color="B8CCE4" w:fill="B8CCE4"/>
            <w:noWrap/>
            <w:vAlign w:val="center"/>
            <w:hideMark/>
          </w:tcPr>
          <w:p w:rsidR="00A53007" w:rsidRPr="007B48EC" w:rsidRDefault="00A53007" w:rsidP="00BA315B">
            <w:pPr>
              <w:spacing w:after="0" w:line="240" w:lineRule="auto"/>
              <w:rPr>
                <w:rFonts w:eastAsia="Times New Roman"/>
                <w:color w:val="000000" w:themeColor="text1"/>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9" w:type="dxa"/>
            <w:tcBorders>
              <w:top w:val="nil"/>
              <w:left w:val="nil"/>
              <w:right w:val="single" w:sz="4" w:space="0" w:color="FFFFFF"/>
            </w:tcBorders>
            <w:shd w:val="clear" w:color="B8CCE4" w:fill="B8CCE4"/>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80" w:type="dxa"/>
            <w:tcBorders>
              <w:top w:val="nil"/>
              <w:left w:val="nil"/>
              <w:right w:val="single" w:sz="4" w:space="0" w:color="FFFFFF"/>
            </w:tcBorders>
            <w:shd w:val="clear" w:color="B8CCE4" w:fill="B8CCE4"/>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9" w:type="dxa"/>
            <w:tcBorders>
              <w:top w:val="nil"/>
              <w:left w:val="nil"/>
              <w:right w:val="single" w:sz="4" w:space="0" w:color="FFFFFF"/>
            </w:tcBorders>
            <w:shd w:val="clear" w:color="B8CCE4" w:fill="B8CCE4"/>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80" w:type="dxa"/>
            <w:tcBorders>
              <w:top w:val="nil"/>
              <w:left w:val="nil"/>
              <w:right w:val="nil"/>
            </w:tcBorders>
            <w:shd w:val="clear" w:color="B8CCE4" w:fill="B8CCE4"/>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r>
      <w:tr w:rsidR="00A53007" w:rsidRPr="00C67D3E" w:rsidTr="00ED2078">
        <w:trPr>
          <w:trHeight w:val="488"/>
        </w:trPr>
        <w:tc>
          <w:tcPr>
            <w:tcW w:w="1418"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lang w:eastAsia="en-AU"/>
              </w:rPr>
            </w:pPr>
            <w:r w:rsidRPr="007B48EC">
              <w:rPr>
                <w:rFonts w:eastAsia="Times New Roman"/>
                <w:color w:val="000000" w:themeColor="text1"/>
                <w:lang w:eastAsia="en-AU"/>
              </w:rPr>
              <w:t>Option 4: fixed fee and variable</w:t>
            </w:r>
          </w:p>
        </w:tc>
        <w:tc>
          <w:tcPr>
            <w:tcW w:w="1279"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80"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9"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80"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79" w:type="dxa"/>
            <w:tcBorders>
              <w:top w:val="nil"/>
              <w:left w:val="nil"/>
              <w:bottom w:val="single" w:sz="4" w:space="0" w:color="4F81BD" w:themeColor="accent1"/>
              <w:right w:val="single" w:sz="4" w:space="0" w:color="FFFFFF"/>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c>
          <w:tcPr>
            <w:tcW w:w="1280" w:type="dxa"/>
            <w:tcBorders>
              <w:top w:val="nil"/>
              <w:left w:val="nil"/>
              <w:bottom w:val="single" w:sz="4" w:space="0" w:color="4F81BD" w:themeColor="accent1"/>
              <w:right w:val="nil"/>
            </w:tcBorders>
            <w:shd w:val="clear" w:color="auto" w:fill="FFFFFF" w:themeFill="background1"/>
            <w:noWrap/>
            <w:vAlign w:val="center"/>
            <w:hideMark/>
          </w:tcPr>
          <w:p w:rsidR="00A53007" w:rsidRPr="007B48EC" w:rsidRDefault="00A53007" w:rsidP="00BA315B">
            <w:pPr>
              <w:spacing w:after="0" w:line="240" w:lineRule="auto"/>
              <w:rPr>
                <w:rFonts w:eastAsia="Times New Roman"/>
                <w:color w:val="000000" w:themeColor="text1"/>
                <w:sz w:val="20"/>
                <w:lang w:eastAsia="en-AU"/>
              </w:rPr>
            </w:pP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r w:rsidRPr="007B48EC">
              <w:rPr>
                <w:rFonts w:eastAsia="Times New Roman"/>
                <w:color w:val="000000" w:themeColor="text1"/>
                <w:lang w:eastAsia="en-AU"/>
              </w:rPr>
              <w:sym w:font="Wingdings" w:char="F0AB"/>
            </w:r>
          </w:p>
        </w:tc>
      </w:tr>
    </w:tbl>
    <w:p w:rsidR="000D7123" w:rsidRDefault="000D7123" w:rsidP="0066205F">
      <w:pPr>
        <w:spacing w:before="240"/>
        <w:jc w:val="both"/>
      </w:pPr>
      <w:r>
        <w:t xml:space="preserve">The first </w:t>
      </w:r>
      <w:r w:rsidR="0066205F">
        <w:t>approach</w:t>
      </w:r>
      <w:r>
        <w:t xml:space="preserve"> is to recover the EIL entirely through pre-determined fees. This approach has the significant advantages of being simple and predictable. </w:t>
      </w:r>
      <w:r w:rsidR="003412A7">
        <w:t>However, there will be similar fairness and competition concerns to Option 1, i</w:t>
      </w:r>
      <w:r>
        <w:t>f the fees are uniform</w:t>
      </w:r>
      <w:r w:rsidR="003412A7">
        <w:t xml:space="preserve"> across an industry sector</w:t>
      </w:r>
      <w:r w:rsidR="00DE2D11">
        <w:t>. In particular, small firms will be charged more than is reasonable, and the cost of regulation will not be evenly distributed over the energy sold in the ACT. The fees could, however, be organised in a tier structure so that firms supplying more energy in a year are charged a higher levy.</w:t>
      </w:r>
      <w:r w:rsidR="00712650" w:rsidRPr="007B48EC">
        <w:rPr>
          <w:rStyle w:val="FootnoteReference"/>
          <w:rFonts w:eastAsia="Times New Roman"/>
          <w:color w:val="000000" w:themeColor="text1"/>
          <w:lang w:eastAsia="en-AU"/>
        </w:rPr>
        <w:footnoteReference w:id="15"/>
      </w:r>
      <w:r w:rsidR="00CA2ECE">
        <w:t xml:space="preserve"> There are residual fairness and competition </w:t>
      </w:r>
      <w:r w:rsidR="00712650">
        <w:t xml:space="preserve">issues </w:t>
      </w:r>
      <w:r w:rsidR="004E5BC9">
        <w:t>when there are</w:t>
      </w:r>
      <w:r w:rsidR="00712650">
        <w:t xml:space="preserve"> </w:t>
      </w:r>
      <w:r w:rsidR="00CA2ECE">
        <w:t>significant</w:t>
      </w:r>
      <w:r w:rsidR="00712650">
        <w:t xml:space="preserve"> differences</w:t>
      </w:r>
      <w:r w:rsidR="00CA2ECE">
        <w:t xml:space="preserve"> </w:t>
      </w:r>
      <w:r w:rsidR="00712650">
        <w:t>between the estimated and actual amounts of energy supplied</w:t>
      </w:r>
      <w:r w:rsidR="004E5BC9">
        <w:t xml:space="preserve"> by a firm</w:t>
      </w:r>
      <w:r w:rsidR="00CA2ECE">
        <w:t>. These residual concerns are connected to the main drawback of this approach—it will not accurately recover costs.</w:t>
      </w:r>
      <w:r w:rsidR="00DE2D11">
        <w:t xml:space="preserve"> </w:t>
      </w:r>
    </w:p>
    <w:p w:rsidR="00CA2ECE" w:rsidRDefault="00285099" w:rsidP="00DC2CF6">
      <w:pPr>
        <w:jc w:val="both"/>
      </w:pPr>
      <w:r>
        <w:t xml:space="preserve">This approach gains simplicity at the expense of accurate regulatory cost recovery. As fees would be determined ahead of time, they would be based on estimates of future costs. In principle, these fees should be set for a number of years at a time </w:t>
      </w:r>
      <w:r w:rsidR="004E5BC9">
        <w:t>(</w:t>
      </w:r>
      <w:r>
        <w:t>based on an estimate of the regulatory cost for that period</w:t>
      </w:r>
      <w:r w:rsidR="004E5BC9">
        <w:t>)</w:t>
      </w:r>
      <w:r>
        <w:t xml:space="preserve">. </w:t>
      </w:r>
      <w:r w:rsidR="00A02B70">
        <w:t>It</w:t>
      </w:r>
      <w:r w:rsidR="00CA2ECE">
        <w:t xml:space="preserve"> is almost </w:t>
      </w:r>
      <w:r w:rsidR="004E5BC9">
        <w:t>certain</w:t>
      </w:r>
      <w:r w:rsidR="00CA2ECE">
        <w:t xml:space="preserve"> that the amount collected in fees will not be the actual regulatory costs. </w:t>
      </w:r>
    </w:p>
    <w:p w:rsidR="00DE2D11" w:rsidRDefault="00CA2ECE" w:rsidP="00DC2CF6">
      <w:pPr>
        <w:jc w:val="both"/>
      </w:pPr>
      <w:r>
        <w:t xml:space="preserve">The cost recovery and residual fairness and competition </w:t>
      </w:r>
      <w:r w:rsidR="004E5BC9">
        <w:t>concerns with this approach</w:t>
      </w:r>
      <w:r>
        <w:t xml:space="preserve"> can be resolved by reintroducing complexity to the system. The end result of this process is likely to be similar to the investigations preferable Option 4. </w:t>
      </w:r>
    </w:p>
    <w:p w:rsidR="00CA2ECE" w:rsidRDefault="007B48EC" w:rsidP="00DC2CF6">
      <w:pPr>
        <w:jc w:val="both"/>
      </w:pPr>
      <w:r>
        <w:t xml:space="preserve">The second </w:t>
      </w:r>
      <w:r w:rsidR="00185F41">
        <w:t>approach</w:t>
      </w:r>
      <w:r w:rsidR="001239C8">
        <w:t xml:space="preserve"> </w:t>
      </w:r>
      <w:r w:rsidR="00D13F3F">
        <w:t xml:space="preserve">uses published guidelines to </w:t>
      </w:r>
      <w:r w:rsidR="00BA315B">
        <w:t>clarif</w:t>
      </w:r>
      <w:r w:rsidR="00D13F3F">
        <w:t>y</w:t>
      </w:r>
      <w:r w:rsidR="001239C8">
        <w:t xml:space="preserve"> </w:t>
      </w:r>
      <w:r w:rsidR="00BA315B">
        <w:t xml:space="preserve">the Levy Administrator’s </w:t>
      </w:r>
      <w:r>
        <w:t>interpretation of ‘fixed cost’</w:t>
      </w:r>
      <w:r w:rsidR="00BA315B">
        <w:t>, while retaining the current legislation</w:t>
      </w:r>
      <w:r>
        <w:t>.</w:t>
      </w:r>
      <w:r w:rsidR="00185F41">
        <w:t xml:space="preserve"> Option 4 can be understood as removing the ambiguity in the fixed component and replacing it with determined fees. Guidelines are another approach to achieve similar ends without the need for legislative amendments.</w:t>
      </w:r>
    </w:p>
    <w:p w:rsidR="00A75E93" w:rsidRDefault="00DC2CF6" w:rsidP="00DC2CF6">
      <w:pPr>
        <w:jc w:val="both"/>
      </w:pPr>
      <w:r>
        <w:t>Option 4 has</w:t>
      </w:r>
      <w:r w:rsidR="00BA315B">
        <w:t xml:space="preserve"> a number of advantages over retaining the current approach, even with published guidelines. Option 4 will </w:t>
      </w:r>
      <w:r w:rsidR="003A4E08">
        <w:t>clarify</w:t>
      </w:r>
      <w:r w:rsidR="00BA315B">
        <w:t xml:space="preserve"> the legislation and </w:t>
      </w:r>
      <w:r>
        <w:t>ensur</w:t>
      </w:r>
      <w:r w:rsidR="00BA315B">
        <w:t>e</w:t>
      </w:r>
      <w:r>
        <w:t xml:space="preserve"> the administration of the Levy is carried out under the right interpretati</w:t>
      </w:r>
      <w:r w:rsidR="001239C8">
        <w:t>on of the levy structure</w:t>
      </w:r>
      <w:r w:rsidR="00BA315B">
        <w:t>. Accurate cost recovery depend</w:t>
      </w:r>
      <w:r w:rsidR="005058EF">
        <w:t>s</w:t>
      </w:r>
      <w:r w:rsidR="00BA315B">
        <w:t xml:space="preserve"> on t</w:t>
      </w:r>
      <w:r w:rsidR="005376DB">
        <w:t xml:space="preserve">he number of firms in a sector and </w:t>
      </w:r>
      <w:r w:rsidR="00BA315B">
        <w:t>Option 4 ensures that any fluctuation in levy charges due to the size of the sector is isolated in the variable component of the levy. Finally, t</w:t>
      </w:r>
      <w:r w:rsidR="001239C8">
        <w:t xml:space="preserve">his </w:t>
      </w:r>
      <w:r w:rsidR="005376DB">
        <w:t>Option 4</w:t>
      </w:r>
      <w:r>
        <w:t xml:space="preserve"> will also ensure the fixed component is determined for energy sectors for periods more than one year at a time.</w:t>
      </w:r>
    </w:p>
    <w:p w:rsidR="005B0F58" w:rsidRDefault="00BA315B" w:rsidP="00E23588">
      <w:pPr>
        <w:jc w:val="both"/>
      </w:pPr>
      <w:r>
        <w:t xml:space="preserve">The main advantage of using guidelines </w:t>
      </w:r>
      <w:r w:rsidR="00E23588">
        <w:t xml:space="preserve">to clarify the current EIL is it eliminates the need for legislative amendments. This advantage is diminished by the need to amend the Act in order to correct the current approach to </w:t>
      </w:r>
      <w:r w:rsidR="00A53007">
        <w:t>adjusting the Levy</w:t>
      </w:r>
      <w:r w:rsidR="00E23588">
        <w:t xml:space="preserve"> for differences between actual and estimated amounts of energy sold </w:t>
      </w:r>
      <w:r w:rsidR="00A53007">
        <w:t>(</w:t>
      </w:r>
      <w:r w:rsidR="00E23588">
        <w:t xml:space="preserve">see </w:t>
      </w:r>
      <w:r w:rsidR="00A53007">
        <w:t>Section 5.1).</w:t>
      </w:r>
    </w:p>
    <w:p w:rsidR="00B55F32" w:rsidRDefault="006A7218" w:rsidP="00D85385">
      <w:pPr>
        <w:pStyle w:val="Heading3"/>
      </w:pPr>
      <w:bookmarkStart w:id="59" w:name="_Toc443901123"/>
      <w:bookmarkStart w:id="60" w:name="_Toc444861391"/>
      <w:bookmarkStart w:id="61" w:name="_Toc449438548"/>
      <w:bookmarkStart w:id="62" w:name="_Toc454982010"/>
      <w:bookmarkEnd w:id="54"/>
      <w:bookmarkEnd w:id="55"/>
      <w:bookmarkEnd w:id="56"/>
      <w:bookmarkEnd w:id="57"/>
      <w:r>
        <w:t xml:space="preserve">Submissions commenting on the </w:t>
      </w:r>
      <w:r w:rsidR="005C0E27">
        <w:t xml:space="preserve">Investigation </w:t>
      </w:r>
      <w:r>
        <w:t>Discussion Paper Options</w:t>
      </w:r>
      <w:bookmarkEnd w:id="59"/>
      <w:bookmarkEnd w:id="60"/>
      <w:bookmarkEnd w:id="61"/>
      <w:bookmarkEnd w:id="62"/>
    </w:p>
    <w:p w:rsidR="00D07E07" w:rsidRDefault="005C0E27" w:rsidP="00CB716F">
      <w:pPr>
        <w:jc w:val="both"/>
      </w:pPr>
      <w:r>
        <w:t xml:space="preserve">Four </w:t>
      </w:r>
      <w:r w:rsidR="00834FEC">
        <w:t xml:space="preserve">out </w:t>
      </w:r>
      <w:r>
        <w:t>of seven submissions to the investigation indicated a preference between the options discussed above.</w:t>
      </w:r>
    </w:p>
    <w:p w:rsidR="005C0E27" w:rsidRDefault="005C0E27" w:rsidP="00CB716F">
      <w:pPr>
        <w:jc w:val="both"/>
      </w:pPr>
      <w:r>
        <w:t xml:space="preserve">ERM Business Energy preferred </w:t>
      </w:r>
      <w:r w:rsidR="00834FEC">
        <w:t>Option 2, the variable method, as it is a simple</w:t>
      </w:r>
      <w:r>
        <w:t xml:space="preserve"> variable method. Origin Energy submitted that Option 2 may be the most appropriate; however, they preferred to retain the current approach</w:t>
      </w:r>
      <w:r w:rsidR="00B14836">
        <w:t>,</w:t>
      </w:r>
      <w:r>
        <w:t xml:space="preserve"> “given the stage of development of competition in the ACT energy market”.</w:t>
      </w:r>
    </w:p>
    <w:p w:rsidR="005C0E27" w:rsidRDefault="005C0E27" w:rsidP="00CB716F">
      <w:pPr>
        <w:jc w:val="both"/>
      </w:pPr>
      <w:r>
        <w:t xml:space="preserve">Energy Australia and the ICRC preferred Option 4, with </w:t>
      </w:r>
      <w:r w:rsidR="00834FEC">
        <w:t>a</w:t>
      </w:r>
      <w:r>
        <w:t xml:space="preserve"> fixed fee. </w:t>
      </w:r>
      <w:r w:rsidR="00FE0518">
        <w:t>Energy Australia</w:t>
      </w:r>
      <w:r>
        <w:t xml:space="preserve"> balanced the </w:t>
      </w:r>
      <w:r w:rsidR="00834FEC">
        <w:t>pro</w:t>
      </w:r>
      <w:r>
        <w:t xml:space="preserve"> that Option 4 “provides a basis for levy payers to contribute to the cost of shared services” against the </w:t>
      </w:r>
      <w:r w:rsidR="00834FEC">
        <w:t>con</w:t>
      </w:r>
      <w:r>
        <w:t xml:space="preserve"> </w:t>
      </w:r>
      <w:r w:rsidR="00834FEC">
        <w:t xml:space="preserve">that </w:t>
      </w:r>
      <w:r w:rsidR="00576BCC">
        <w:t>the Levy</w:t>
      </w:r>
      <w:r>
        <w:t xml:space="preserve"> would be difficult to predict for new or </w:t>
      </w:r>
      <w:proofErr w:type="spellStart"/>
      <w:r>
        <w:t>exiting</w:t>
      </w:r>
      <w:proofErr w:type="spellEnd"/>
      <w:r>
        <w:t xml:space="preserve"> operators. </w:t>
      </w:r>
      <w:r w:rsidR="00FE0518">
        <w:t>They</w:t>
      </w:r>
      <w:r>
        <w:t xml:space="preserve"> </w:t>
      </w:r>
      <w:r w:rsidR="00824C6A">
        <w:t>concluded</w:t>
      </w:r>
      <w:r>
        <w:t>:</w:t>
      </w:r>
    </w:p>
    <w:p w:rsidR="005C0E27" w:rsidRPr="00BF3FB3" w:rsidRDefault="00BF3FB3" w:rsidP="00CB716F">
      <w:pPr>
        <w:pStyle w:val="Quote1"/>
      </w:pPr>
      <w:r>
        <w:t>[</w:t>
      </w:r>
      <w:r w:rsidRPr="00BF3FB3">
        <w:t>I]n w</w:t>
      </w:r>
      <w:r w:rsidR="00DF0017">
        <w:t>eighing up the pros and cons our</w:t>
      </w:r>
      <w:r w:rsidRPr="00BF3FB3">
        <w:t xml:space="preserve"> preferred option is 4 – “Current Methodology with defined fixed”, with the condition that the defined fixed fee continues to reflect the administrative costs of the local regulatory functions that would be used by all the parties paying the Energy Industry Levy. Given that the fixed component pays for services that establish a sound and safe energy framework for ACT customers, we believe this is a fair cost to be fixed and shared equally amongst participants in the ACT energy market.</w:t>
      </w:r>
    </w:p>
    <w:p w:rsidR="00BF3FB3" w:rsidRDefault="00BF3FB3" w:rsidP="004105E8">
      <w:pPr>
        <w:jc w:val="both"/>
      </w:pPr>
      <w:r>
        <w:t>The ICRC preferred Option 4</w:t>
      </w:r>
      <w:r w:rsidR="00DF0017">
        <w:t>,</w:t>
      </w:r>
      <w:r>
        <w:t xml:space="preserve"> as “it eliminates a barrier to entry without exposing the Territory to increased risk of not recovering regulatory costs.”</w:t>
      </w:r>
    </w:p>
    <w:p w:rsidR="003C06F6" w:rsidRDefault="003C06F6" w:rsidP="008A4B03">
      <w:pPr>
        <w:jc w:val="both"/>
      </w:pPr>
      <w:r>
        <w:t>In opposition to Option 4, Origin Energy submitted that</w:t>
      </w:r>
    </w:p>
    <w:p w:rsidR="003C06F6" w:rsidRDefault="003C06F6" w:rsidP="008A4B03">
      <w:pPr>
        <w:pStyle w:val="Quote1"/>
      </w:pPr>
      <w:r>
        <w:t>Option 4 would not be appropriate as a flat fixed fee apportioned across all energy industry participants does not reflect the way these au</w:t>
      </w:r>
      <w:r w:rsidR="002819AA">
        <w:t>thorisation holders operate (as </w:t>
      </w:r>
      <w:r>
        <w:t>a retailer or distributor).</w:t>
      </w:r>
    </w:p>
    <w:p w:rsidR="003C06F6" w:rsidRPr="003C06F6" w:rsidRDefault="003C06F6" w:rsidP="003C06F6">
      <w:pPr>
        <w:ind w:right="521"/>
        <w:jc w:val="both"/>
      </w:pPr>
      <w:r>
        <w:t>ERM Business Energy submitted that</w:t>
      </w:r>
    </w:p>
    <w:p w:rsidR="003C06F6" w:rsidRPr="002E4C98" w:rsidRDefault="002E4C98" w:rsidP="008A4B03">
      <w:pPr>
        <w:pStyle w:val="Quote1"/>
      </w:pPr>
      <w:r w:rsidRPr="002E4C98">
        <w:t>While both Option 1 and 4 would improve participant’s ability to forecast their EIL in advance, both fail to allo</w:t>
      </w:r>
      <w:r w:rsidR="00694A27">
        <w:t>cate costs that are reflective o</w:t>
      </w:r>
      <w:r w:rsidRPr="002E4C98">
        <w:t>f the degree to which a participant contributes to regulatory costs.</w:t>
      </w:r>
    </w:p>
    <w:p w:rsidR="009021D1" w:rsidRDefault="009021D1" w:rsidP="00B55F32">
      <w:pPr>
        <w:jc w:val="both"/>
      </w:pPr>
      <w:r w:rsidRPr="009021D1">
        <w:t xml:space="preserve">In light </w:t>
      </w:r>
      <w:r>
        <w:t>of the comparison of options presented in the investigation discussion paper, this report recommends:</w:t>
      </w:r>
    </w:p>
    <w:p w:rsidR="00C56DA5" w:rsidRPr="00C56DA5" w:rsidRDefault="00C61A24" w:rsidP="00C56DA5">
      <w:pPr>
        <w:pStyle w:val="Recommendationnonlist"/>
      </w:pPr>
      <w:r w:rsidRPr="00493EEE">
        <w:rPr>
          <w:b/>
        </w:rPr>
        <w:t xml:space="preserve">Recommendation 2: </w:t>
      </w:r>
      <w:r w:rsidR="00C56DA5" w:rsidRPr="00C56DA5">
        <w:t>Restructure the Levy so that, in a sector, each firm is charged:</w:t>
      </w:r>
    </w:p>
    <w:p w:rsidR="00C56DA5" w:rsidRPr="00C56DA5" w:rsidRDefault="00C56DA5" w:rsidP="00C56DA5">
      <w:pPr>
        <w:pStyle w:val="Recommendationnonlist"/>
        <w:numPr>
          <w:ilvl w:val="0"/>
          <w:numId w:val="28"/>
        </w:numPr>
      </w:pPr>
      <w:r w:rsidRPr="00C56DA5">
        <w:t>the same pre-determined fixed fee (based on the lowest possible cost of regulating a firm in the sector); and</w:t>
      </w:r>
    </w:p>
    <w:p w:rsidR="00C56DA5" w:rsidRPr="00C56DA5" w:rsidRDefault="00C56DA5" w:rsidP="00C56DA5">
      <w:pPr>
        <w:pStyle w:val="Recommendationnonlist"/>
        <w:numPr>
          <w:ilvl w:val="0"/>
          <w:numId w:val="28"/>
        </w:numPr>
      </w:pPr>
      <w:proofErr w:type="gramStart"/>
      <w:r w:rsidRPr="00C56DA5">
        <w:t>a</w:t>
      </w:r>
      <w:proofErr w:type="gramEnd"/>
      <w:r w:rsidRPr="00C56DA5">
        <w:t xml:space="preserve"> share of the remaining Levy for the sector (in proportion to the firm’s market share).</w:t>
      </w:r>
    </w:p>
    <w:p w:rsidR="00C61A24" w:rsidRDefault="00C56DA5" w:rsidP="00C56DA5">
      <w:pPr>
        <w:pStyle w:val="Recommendationnonlist"/>
        <w:ind w:firstLine="0"/>
      </w:pPr>
      <w:r w:rsidRPr="00C56DA5">
        <w:t>The investigation recommends determining the fixed fees for a period of five years at a time. The pre</w:t>
      </w:r>
      <w:r w:rsidRPr="00C56DA5">
        <w:noBreakHyphen/>
      </w:r>
      <w:proofErr w:type="spellStart"/>
      <w:r w:rsidRPr="00C56DA5">
        <w:t>determined</w:t>
      </w:r>
      <w:proofErr w:type="spellEnd"/>
      <w:r w:rsidRPr="00C56DA5">
        <w:t xml:space="preserve"> fee should be subject to change due to significant, unforeseen events.</w:t>
      </w:r>
    </w:p>
    <w:p w:rsidR="00C61A24" w:rsidRPr="009021D1" w:rsidRDefault="00C61A24" w:rsidP="00C61A24">
      <w:pPr>
        <w:pStyle w:val="Recommendationnonlist"/>
        <w:spacing w:before="240"/>
      </w:pPr>
      <w:bookmarkStart w:id="63" w:name="_Toc443051403"/>
      <w:bookmarkStart w:id="64" w:name="_Toc443901124"/>
      <w:bookmarkStart w:id="65" w:name="_Toc444861392"/>
      <w:r w:rsidRPr="001B76F5">
        <w:rPr>
          <w:b/>
        </w:rPr>
        <w:t>Recommendation</w:t>
      </w:r>
      <w:r>
        <w:rPr>
          <w:b/>
        </w:rPr>
        <w:t xml:space="preserve"> 3</w:t>
      </w:r>
      <w:r w:rsidRPr="00C22367">
        <w:rPr>
          <w:b/>
        </w:rPr>
        <w:t>:</w:t>
      </w:r>
      <w:r>
        <w:t xml:space="preserve"> The Levy Administrator </w:t>
      </w:r>
      <w:r w:rsidR="008C1B2F">
        <w:t>will</w:t>
      </w:r>
      <w:r>
        <w:t xml:space="preserve"> publish guidelines explaining the purpose and calculation of the EIL, the approach the Levy Administrator adopts, and any administrative practice that can be expected of the Levy Administrator. These guidelines </w:t>
      </w:r>
      <w:r w:rsidR="008C1B2F">
        <w:t>sh</w:t>
      </w:r>
      <w:r w:rsidR="00276FDD">
        <w:t>ould</w:t>
      </w:r>
      <w:r>
        <w:t xml:space="preserve"> take a similar form to circulars produced by the Commissioner of Revenue. </w:t>
      </w:r>
    </w:p>
    <w:p w:rsidR="00B55F32" w:rsidRDefault="00B55F32" w:rsidP="00D85385">
      <w:pPr>
        <w:pStyle w:val="Heading3"/>
      </w:pPr>
      <w:bookmarkStart w:id="66" w:name="_Toc449438549"/>
      <w:bookmarkStart w:id="67" w:name="_Toc454982011"/>
      <w:r>
        <w:t>Market share and the variable component</w:t>
      </w:r>
      <w:bookmarkEnd w:id="63"/>
      <w:bookmarkEnd w:id="64"/>
      <w:bookmarkEnd w:id="65"/>
      <w:bookmarkEnd w:id="66"/>
      <w:bookmarkEnd w:id="67"/>
    </w:p>
    <w:p w:rsidR="00B55F32" w:rsidRDefault="00F03328" w:rsidP="008A4B03">
      <w:pPr>
        <w:jc w:val="both"/>
      </w:pPr>
      <w:r>
        <w:t xml:space="preserve">In </w:t>
      </w:r>
      <w:r w:rsidR="00684975">
        <w:t>Section 2</w:t>
      </w:r>
      <w:r>
        <w:t>, r</w:t>
      </w:r>
      <w:r w:rsidR="00B55F32">
        <w:t xml:space="preserve">egulatory costs were divided into three types: </w:t>
      </w:r>
      <w:r w:rsidR="00F556BA">
        <w:t xml:space="preserve">factor independent </w:t>
      </w:r>
      <w:r w:rsidR="00B55F32">
        <w:t xml:space="preserve">operator costs, </w:t>
      </w:r>
      <w:r w:rsidR="00F556BA">
        <w:t xml:space="preserve">factor dependent </w:t>
      </w:r>
      <w:r w:rsidR="00B55F32">
        <w:t xml:space="preserve">operator costs, and sector costs. Best practice cost recovery of </w:t>
      </w:r>
      <w:r w:rsidR="00F556BA">
        <w:t xml:space="preserve">factor dependent </w:t>
      </w:r>
      <w:r w:rsidR="00B55F32">
        <w:t xml:space="preserve">operator costs should </w:t>
      </w:r>
      <w:r w:rsidR="0087576A">
        <w:t xml:space="preserve">be in proportion to </w:t>
      </w:r>
      <w:r w:rsidR="00B55F32">
        <w:t>the f</w:t>
      </w:r>
      <w:r w:rsidR="00F556BA">
        <w:t>eatures</w:t>
      </w:r>
      <w:r w:rsidR="00B55F32">
        <w:t xml:space="preserve"> that </w:t>
      </w:r>
      <w:r w:rsidR="0087576A">
        <w:t>drive</w:t>
      </w:r>
      <w:r w:rsidR="00B55F32">
        <w:t xml:space="preserve"> variation between operators (for example, see the CRGs). In principle, there may be many different features and the variable component of </w:t>
      </w:r>
      <w:r w:rsidR="00576BCC">
        <w:t>the Levy</w:t>
      </w:r>
      <w:r w:rsidR="00B55F32">
        <w:t xml:space="preserve"> could be structured accordingly. There are three underlying principles to consider: fairness, efficiency, and simplicity. A levy structure that includes all the variable factors</w:t>
      </w:r>
      <w:r w:rsidR="00E61288">
        <w:t>:</w:t>
      </w:r>
    </w:p>
    <w:p w:rsidR="00B55F32" w:rsidRPr="008A4B03" w:rsidRDefault="00B55F32" w:rsidP="00353E23">
      <w:pPr>
        <w:pStyle w:val="ListParagraph"/>
        <w:numPr>
          <w:ilvl w:val="0"/>
          <w:numId w:val="6"/>
        </w:numPr>
        <w:jc w:val="both"/>
        <w:rPr>
          <w:szCs w:val="23"/>
        </w:rPr>
      </w:pPr>
      <w:r w:rsidRPr="008A4B03">
        <w:rPr>
          <w:i/>
          <w:szCs w:val="23"/>
        </w:rPr>
        <w:t>is fairer</w:t>
      </w:r>
      <w:r w:rsidRPr="008A4B03">
        <w:rPr>
          <w:szCs w:val="23"/>
        </w:rPr>
        <w:t>, as the operators respons</w:t>
      </w:r>
      <w:r w:rsidR="00C52EE3">
        <w:rPr>
          <w:szCs w:val="23"/>
        </w:rPr>
        <w:t>ible for the costs pay them</w:t>
      </w:r>
      <w:r w:rsidRPr="008A4B03">
        <w:rPr>
          <w:szCs w:val="23"/>
        </w:rPr>
        <w:t>; and</w:t>
      </w:r>
    </w:p>
    <w:p w:rsidR="00B55F32" w:rsidRPr="008A4B03" w:rsidRDefault="00B55F32" w:rsidP="00353E23">
      <w:pPr>
        <w:pStyle w:val="ListParagraph"/>
        <w:numPr>
          <w:ilvl w:val="0"/>
          <w:numId w:val="6"/>
        </w:numPr>
        <w:spacing w:after="240"/>
        <w:jc w:val="both"/>
        <w:rPr>
          <w:szCs w:val="23"/>
        </w:rPr>
      </w:pPr>
      <w:proofErr w:type="gramStart"/>
      <w:r w:rsidRPr="008A4B03">
        <w:rPr>
          <w:i/>
          <w:szCs w:val="23"/>
        </w:rPr>
        <w:t>encourages</w:t>
      </w:r>
      <w:proofErr w:type="gramEnd"/>
      <w:r w:rsidRPr="008A4B03">
        <w:rPr>
          <w:i/>
          <w:szCs w:val="23"/>
        </w:rPr>
        <w:t xml:space="preserve"> regulatory efficiency</w:t>
      </w:r>
      <w:r w:rsidRPr="008A4B03">
        <w:rPr>
          <w:szCs w:val="23"/>
        </w:rPr>
        <w:t xml:space="preserve">, as firms are responsible for the regulatory costs </w:t>
      </w:r>
      <w:r w:rsidR="007B1631">
        <w:rPr>
          <w:szCs w:val="23"/>
        </w:rPr>
        <w:t xml:space="preserve">and </w:t>
      </w:r>
      <w:r w:rsidRPr="008A4B03">
        <w:rPr>
          <w:szCs w:val="23"/>
        </w:rPr>
        <w:t>have incentives to reduce these costs.</w:t>
      </w:r>
    </w:p>
    <w:p w:rsidR="00B55F32" w:rsidRPr="008A4B03" w:rsidRDefault="00B55F32" w:rsidP="00B55F32">
      <w:pPr>
        <w:jc w:val="both"/>
        <w:rPr>
          <w:szCs w:val="23"/>
        </w:rPr>
      </w:pPr>
      <w:r w:rsidRPr="008A4B03">
        <w:rPr>
          <w:szCs w:val="23"/>
        </w:rPr>
        <w:t>This is</w:t>
      </w:r>
      <w:r w:rsidR="00F03328" w:rsidRPr="008A4B03">
        <w:rPr>
          <w:szCs w:val="23"/>
        </w:rPr>
        <w:t xml:space="preserve"> trade</w:t>
      </w:r>
      <w:r w:rsidR="00C52EE3">
        <w:rPr>
          <w:szCs w:val="23"/>
        </w:rPr>
        <w:t>d-off against simplicity</w:t>
      </w:r>
      <w:r w:rsidR="00C06605">
        <w:rPr>
          <w:szCs w:val="23"/>
        </w:rPr>
        <w:t xml:space="preserve"> and administrative complexity</w:t>
      </w:r>
      <w:r w:rsidR="00C52EE3">
        <w:rPr>
          <w:szCs w:val="23"/>
        </w:rPr>
        <w:t>—</w:t>
      </w:r>
      <w:r w:rsidRPr="008A4B03">
        <w:rPr>
          <w:szCs w:val="23"/>
        </w:rPr>
        <w:t xml:space="preserve">the more variable factors included in </w:t>
      </w:r>
      <w:r w:rsidR="00576BCC">
        <w:rPr>
          <w:szCs w:val="23"/>
        </w:rPr>
        <w:t>the Levy</w:t>
      </w:r>
      <w:r w:rsidRPr="008A4B03">
        <w:rPr>
          <w:szCs w:val="23"/>
        </w:rPr>
        <w:t>, the more complex the levy structure</w:t>
      </w:r>
      <w:r w:rsidR="00C06605">
        <w:rPr>
          <w:szCs w:val="23"/>
        </w:rPr>
        <w:t xml:space="preserve"> and the more diffic</w:t>
      </w:r>
      <w:r w:rsidR="004C3B7A">
        <w:rPr>
          <w:szCs w:val="23"/>
        </w:rPr>
        <w:t>ult it is to administer</w:t>
      </w:r>
      <w:r w:rsidRPr="008A4B03">
        <w:rPr>
          <w:szCs w:val="23"/>
        </w:rPr>
        <w:t xml:space="preserve">. </w:t>
      </w:r>
    </w:p>
    <w:p w:rsidR="00B55F32" w:rsidRPr="008A4B03" w:rsidRDefault="00B55F32" w:rsidP="00B55F32">
      <w:pPr>
        <w:jc w:val="both"/>
        <w:rPr>
          <w:szCs w:val="23"/>
        </w:rPr>
      </w:pPr>
      <w:r w:rsidRPr="008A4B03">
        <w:rPr>
          <w:szCs w:val="23"/>
        </w:rPr>
        <w:t xml:space="preserve">The current methodology provides a simple method </w:t>
      </w:r>
      <w:r w:rsidR="00475ED0" w:rsidRPr="008A4B03">
        <w:rPr>
          <w:szCs w:val="23"/>
        </w:rPr>
        <w:t>for</w:t>
      </w:r>
      <w:r w:rsidRPr="008A4B03">
        <w:rPr>
          <w:szCs w:val="23"/>
        </w:rPr>
        <w:t xml:space="preserve"> determining the variable component of </w:t>
      </w:r>
      <w:r w:rsidR="00576BCC">
        <w:rPr>
          <w:szCs w:val="23"/>
        </w:rPr>
        <w:t>the Levy</w:t>
      </w:r>
      <w:r w:rsidRPr="008A4B03">
        <w:rPr>
          <w:szCs w:val="23"/>
        </w:rPr>
        <w:t xml:space="preserve">. The fairness of this method suffers to the extent that variable costs do not correlate </w:t>
      </w:r>
      <w:r w:rsidR="00475ED0" w:rsidRPr="008A4B03">
        <w:rPr>
          <w:szCs w:val="23"/>
        </w:rPr>
        <w:t>with</w:t>
      </w:r>
      <w:r w:rsidRPr="008A4B03">
        <w:rPr>
          <w:szCs w:val="23"/>
        </w:rPr>
        <w:t xml:space="preserve"> market share. The only incentive from this distrib</w:t>
      </w:r>
      <w:r w:rsidR="002819AA">
        <w:rPr>
          <w:szCs w:val="23"/>
        </w:rPr>
        <w:t>ution is to reduce market share</w:t>
      </w:r>
      <w:r w:rsidR="00E970E3">
        <w:rPr>
          <w:szCs w:val="23"/>
        </w:rPr>
        <w:t xml:space="preserve">, but this </w:t>
      </w:r>
      <w:r w:rsidRPr="008A4B03">
        <w:rPr>
          <w:szCs w:val="23"/>
        </w:rPr>
        <w:t xml:space="preserve">is countered by the ability of firms to spread the regulatory costs across the energy they provide. </w:t>
      </w:r>
    </w:p>
    <w:p w:rsidR="00B55F32" w:rsidRPr="008A4B03" w:rsidRDefault="00B55F32" w:rsidP="00B55F32">
      <w:pPr>
        <w:jc w:val="both"/>
        <w:rPr>
          <w:szCs w:val="23"/>
        </w:rPr>
      </w:pPr>
      <w:r w:rsidRPr="008A4B03">
        <w:rPr>
          <w:szCs w:val="23"/>
        </w:rPr>
        <w:t xml:space="preserve">The only option outlined above </w:t>
      </w:r>
      <w:r w:rsidR="00C041C1" w:rsidRPr="008A4B03">
        <w:rPr>
          <w:szCs w:val="23"/>
        </w:rPr>
        <w:t xml:space="preserve">that does not offer a similar </w:t>
      </w:r>
      <w:r w:rsidRPr="008A4B03">
        <w:rPr>
          <w:szCs w:val="23"/>
        </w:rPr>
        <w:t>trade-off is Option 1: Fixed Methodology, which has no variable component.</w:t>
      </w:r>
    </w:p>
    <w:p w:rsidR="00B55F32" w:rsidRPr="008A4B03" w:rsidRDefault="00B55F32" w:rsidP="00B55F32">
      <w:pPr>
        <w:jc w:val="both"/>
        <w:rPr>
          <w:szCs w:val="23"/>
        </w:rPr>
      </w:pPr>
      <w:r w:rsidRPr="008A4B03">
        <w:rPr>
          <w:szCs w:val="23"/>
        </w:rPr>
        <w:t xml:space="preserve">In its submission, ERM Business Energy argued that the variability in levy charges between operators is better accounted for by number of customers, rather than proportion of total energy supplied. They also </w:t>
      </w:r>
      <w:r w:rsidR="00F03328" w:rsidRPr="008A4B03">
        <w:rPr>
          <w:szCs w:val="23"/>
        </w:rPr>
        <w:t>submitted</w:t>
      </w:r>
      <w:r w:rsidRPr="008A4B03">
        <w:rPr>
          <w:szCs w:val="23"/>
        </w:rPr>
        <w:t xml:space="preserve"> that the type of consumer, whether commercial or residential, </w:t>
      </w:r>
      <w:r w:rsidR="00031C5B">
        <w:rPr>
          <w:szCs w:val="23"/>
        </w:rPr>
        <w:t>affects</w:t>
      </w:r>
      <w:r w:rsidRPr="008A4B03">
        <w:rPr>
          <w:szCs w:val="23"/>
        </w:rPr>
        <w:t xml:space="preserve"> the regulation costs. </w:t>
      </w:r>
    </w:p>
    <w:p w:rsidR="00B55F32" w:rsidRPr="008A4B03" w:rsidRDefault="00B55F32" w:rsidP="00B55F32">
      <w:pPr>
        <w:spacing w:before="240"/>
        <w:jc w:val="both"/>
        <w:rPr>
          <w:szCs w:val="23"/>
        </w:rPr>
      </w:pPr>
      <w:r w:rsidRPr="008A4B03">
        <w:rPr>
          <w:szCs w:val="23"/>
        </w:rPr>
        <w:t>This is an argument about the fairness of the levy structure</w:t>
      </w:r>
      <w:r w:rsidR="001A073D">
        <w:rPr>
          <w:szCs w:val="23"/>
        </w:rPr>
        <w:t xml:space="preserve"> and not about incentives for reducing regulatory costs</w:t>
      </w:r>
      <w:r w:rsidRPr="008A4B03">
        <w:rPr>
          <w:szCs w:val="23"/>
        </w:rPr>
        <w:t xml:space="preserve">. Neither market share approach, whether in terms of customers or energy supplied, </w:t>
      </w:r>
      <w:r w:rsidR="000B1A31">
        <w:rPr>
          <w:szCs w:val="23"/>
        </w:rPr>
        <w:t>will</w:t>
      </w:r>
      <w:r w:rsidRPr="008A4B03">
        <w:rPr>
          <w:szCs w:val="23"/>
        </w:rPr>
        <w:t xml:space="preserve"> </w:t>
      </w:r>
      <w:r w:rsidR="000B1A31">
        <w:rPr>
          <w:szCs w:val="23"/>
        </w:rPr>
        <w:t>provide</w:t>
      </w:r>
      <w:r w:rsidRPr="008A4B03">
        <w:rPr>
          <w:szCs w:val="23"/>
        </w:rPr>
        <w:t xml:space="preserve"> significant incentives for operators to reduce regulatory costs. </w:t>
      </w:r>
    </w:p>
    <w:p w:rsidR="00B55F32" w:rsidRPr="008A4B03" w:rsidRDefault="001A073D" w:rsidP="00B55F32">
      <w:pPr>
        <w:spacing w:before="240"/>
        <w:jc w:val="both"/>
        <w:rPr>
          <w:szCs w:val="23"/>
        </w:rPr>
      </w:pPr>
      <w:r>
        <w:rPr>
          <w:szCs w:val="23"/>
        </w:rPr>
        <w:t>On the other hand, v</w:t>
      </w:r>
      <w:r w:rsidR="00B55F32" w:rsidRPr="008A4B03">
        <w:rPr>
          <w:szCs w:val="23"/>
        </w:rPr>
        <w:t xml:space="preserve">arying the ACAT portion of </w:t>
      </w:r>
      <w:r w:rsidR="00576BCC">
        <w:rPr>
          <w:szCs w:val="23"/>
        </w:rPr>
        <w:t>the Levy</w:t>
      </w:r>
      <w:r w:rsidR="00B55F32" w:rsidRPr="008A4B03">
        <w:rPr>
          <w:szCs w:val="23"/>
        </w:rPr>
        <w:t xml:space="preserve"> </w:t>
      </w:r>
      <w:r>
        <w:rPr>
          <w:szCs w:val="23"/>
        </w:rPr>
        <w:t>on a user pays</w:t>
      </w:r>
      <w:r w:rsidR="00B55F32" w:rsidRPr="008A4B03">
        <w:rPr>
          <w:szCs w:val="23"/>
        </w:rPr>
        <w:t xml:space="preserve"> </w:t>
      </w:r>
      <w:r>
        <w:rPr>
          <w:szCs w:val="23"/>
        </w:rPr>
        <w:t xml:space="preserve">basis could </w:t>
      </w:r>
      <w:r w:rsidR="00B55F32" w:rsidRPr="008A4B03">
        <w:rPr>
          <w:szCs w:val="23"/>
        </w:rPr>
        <w:t xml:space="preserve">encourage efficiency of utilities. In this structure, operators would have an incentive to lower their regulatory costs by reducing the number of ACAT complaints, allowing them to be more competitive in the sector. The </w:t>
      </w:r>
      <w:r w:rsidR="00E52F54">
        <w:rPr>
          <w:szCs w:val="23"/>
        </w:rPr>
        <w:t>Energy</w:t>
      </w:r>
      <w:r w:rsidR="00B55F32" w:rsidRPr="008A4B03">
        <w:rPr>
          <w:szCs w:val="23"/>
        </w:rPr>
        <w:t xml:space="preserve"> Ombudsmen of other jurisdictions</w:t>
      </w:r>
      <w:r w:rsidR="00E52F54">
        <w:rPr>
          <w:szCs w:val="23"/>
        </w:rPr>
        <w:t>, which perform the function of arbiters,</w:t>
      </w:r>
      <w:r w:rsidR="00B55F32" w:rsidRPr="008A4B03">
        <w:rPr>
          <w:szCs w:val="23"/>
        </w:rPr>
        <w:t xml:space="preserve"> </w:t>
      </w:r>
      <w:r w:rsidR="004350A9">
        <w:rPr>
          <w:szCs w:val="23"/>
        </w:rPr>
        <w:t xml:space="preserve">typically </w:t>
      </w:r>
      <w:r w:rsidR="00B55F32" w:rsidRPr="008A4B03">
        <w:rPr>
          <w:szCs w:val="23"/>
        </w:rPr>
        <w:t xml:space="preserve">structure their membership fees according to number of complaints and other regulatory activities. </w:t>
      </w:r>
      <w:r w:rsidR="00F03328" w:rsidRPr="008A4B03">
        <w:rPr>
          <w:szCs w:val="23"/>
        </w:rPr>
        <w:t xml:space="preserve">This will be discussed further in the </w:t>
      </w:r>
      <w:r w:rsidR="00684975">
        <w:rPr>
          <w:szCs w:val="23"/>
        </w:rPr>
        <w:t>Section 4.2</w:t>
      </w:r>
      <w:r w:rsidR="00F03328" w:rsidRPr="008A4B03">
        <w:rPr>
          <w:szCs w:val="23"/>
        </w:rPr>
        <w:t>.</w:t>
      </w:r>
    </w:p>
    <w:p w:rsidR="00B55F32" w:rsidRPr="008A4B03" w:rsidRDefault="00F03328" w:rsidP="00B55F32">
      <w:pPr>
        <w:spacing w:before="240"/>
        <w:jc w:val="both"/>
        <w:rPr>
          <w:szCs w:val="23"/>
        </w:rPr>
      </w:pPr>
      <w:r w:rsidRPr="008A4B03">
        <w:rPr>
          <w:szCs w:val="23"/>
        </w:rPr>
        <w:t xml:space="preserve">This report recommends retaining a single variable component, to be distributed according to market share. There are significant complexities involved </w:t>
      </w:r>
      <w:r w:rsidR="006D119E">
        <w:rPr>
          <w:szCs w:val="23"/>
        </w:rPr>
        <w:t xml:space="preserve">in changing the </w:t>
      </w:r>
      <w:r w:rsidR="0093192A">
        <w:rPr>
          <w:szCs w:val="23"/>
        </w:rPr>
        <w:t>definition</w:t>
      </w:r>
      <w:r w:rsidR="006D119E">
        <w:rPr>
          <w:szCs w:val="23"/>
        </w:rPr>
        <w:t xml:space="preserve"> </w:t>
      </w:r>
      <w:r w:rsidR="00DB4438">
        <w:rPr>
          <w:szCs w:val="23"/>
        </w:rPr>
        <w:t xml:space="preserve">of </w:t>
      </w:r>
      <w:r w:rsidRPr="008A4B03">
        <w:rPr>
          <w:szCs w:val="23"/>
        </w:rPr>
        <w:t>market share from proportion of energy sold to number of customers. First, it is not at all clear whether this would be appropriate in the distribution sectors. Second, this implementation may require varying costs according to further subdivisions of customers, significantly complicating the levy structure and distribution.</w:t>
      </w:r>
    </w:p>
    <w:p w:rsidR="00C61A24" w:rsidRPr="008A4B03" w:rsidRDefault="00C61A24" w:rsidP="00C61A24">
      <w:pPr>
        <w:pStyle w:val="Recommendationnonlist"/>
      </w:pPr>
      <w:r w:rsidRPr="008A4B03">
        <w:rPr>
          <w:b/>
        </w:rPr>
        <w:t xml:space="preserve">Recommendation 4: </w:t>
      </w:r>
      <w:r w:rsidRPr="001B76F5">
        <w:t xml:space="preserve">Continue to allocate the variable component based </w:t>
      </w:r>
      <w:r>
        <w:t>on the current definition of market share, defined as the proportion of energy supplied by a firm.</w:t>
      </w:r>
    </w:p>
    <w:p w:rsidR="009F3FEA" w:rsidRPr="008A4B03" w:rsidRDefault="009F3FEA" w:rsidP="00576BCC">
      <w:pPr>
        <w:jc w:val="both"/>
      </w:pPr>
      <w:r>
        <w:t xml:space="preserve">Retaining the current approach to market share in the Act increases the level of certainty provided to industry. While it may be appropriate to investigate </w:t>
      </w:r>
      <w:r w:rsidR="00D95D3A">
        <w:t xml:space="preserve">alternative </w:t>
      </w:r>
      <w:r>
        <w:t xml:space="preserve">approaches </w:t>
      </w:r>
      <w:r w:rsidR="00D95D3A">
        <w:t xml:space="preserve">in </w:t>
      </w:r>
      <w:r>
        <w:t xml:space="preserve">the future, this will be a complex exercise and will not result in changes soon. </w:t>
      </w:r>
    </w:p>
    <w:p w:rsidR="002B3857" w:rsidRDefault="0067782F" w:rsidP="006358B7">
      <w:pPr>
        <w:pStyle w:val="Heading2"/>
      </w:pPr>
      <w:bookmarkStart w:id="68" w:name="_Toc454982012"/>
      <w:r>
        <w:t xml:space="preserve">4.2 </w:t>
      </w:r>
      <w:r w:rsidR="00D919CD">
        <w:t>O</w:t>
      </w:r>
      <w:r w:rsidR="002B3857">
        <w:t xml:space="preserve">ther </w:t>
      </w:r>
      <w:r w:rsidR="00D919CD">
        <w:t>jurisdictions</w:t>
      </w:r>
      <w:bookmarkEnd w:id="68"/>
    </w:p>
    <w:p w:rsidR="001602C0" w:rsidRPr="001602C0" w:rsidRDefault="00264215" w:rsidP="00264215">
      <w:pPr>
        <w:spacing w:before="240"/>
        <w:ind w:left="567" w:right="804"/>
        <w:jc w:val="both"/>
      </w:pPr>
      <w:r>
        <w:rPr>
          <w:noProof/>
          <w:lang w:eastAsia="en-AU"/>
        </w:rPr>
        <w:pict>
          <v:rect id="_x0000_s1053" style="position:absolute;left:0;text-align:left;margin-left:15.75pt;margin-top:2.25pt;width:402pt;height:156.75pt;z-index:251676672;mso-width-relative:margin;mso-height-relative:margin" filled="f"/>
        </w:pict>
      </w:r>
      <w:r w:rsidR="001602C0" w:rsidRPr="001602C0">
        <w:t>Industry submissions commented on differences between the ACT’s and other jurisdictions’ approaches to energy sector regulatory cost recovery.</w:t>
      </w:r>
    </w:p>
    <w:p w:rsidR="001602C0" w:rsidRPr="001602C0" w:rsidRDefault="001602C0" w:rsidP="00264215">
      <w:pPr>
        <w:spacing w:before="240"/>
        <w:ind w:left="567" w:right="804"/>
        <w:jc w:val="both"/>
      </w:pPr>
      <w:r w:rsidRPr="001602C0">
        <w:t>The ACT is particularly different in how costs to the Energy Arbiter, the ACT Civil and Administrative Tribunal, are recovered. Unlike other jurisdictions, the ACT recovers all the regulatory costs as a single charge. This is appropriate given the size of the ACT energy market.</w:t>
      </w:r>
    </w:p>
    <w:p w:rsidR="001602C0" w:rsidRPr="001602C0" w:rsidRDefault="001602C0" w:rsidP="00264215">
      <w:pPr>
        <w:spacing w:before="240"/>
        <w:ind w:left="567" w:right="804"/>
        <w:jc w:val="both"/>
      </w:pPr>
      <w:r w:rsidRPr="001602C0">
        <w:t>This report recommends continuing to combine cost recovery for these industry sectors in one levy, but suggests that this should be reviewed in the future.</w:t>
      </w:r>
    </w:p>
    <w:p w:rsidR="00E61AF9" w:rsidRDefault="006D119E" w:rsidP="008A4B03">
      <w:pPr>
        <w:jc w:val="both"/>
      </w:pPr>
      <w:r>
        <w:t>The discussion p</w:t>
      </w:r>
      <w:r w:rsidR="00D805C7">
        <w:t>aper asked:</w:t>
      </w:r>
    </w:p>
    <w:p w:rsidR="00D805C7" w:rsidRPr="00D805C7" w:rsidRDefault="00D805C7" w:rsidP="008A4B03">
      <w:pPr>
        <w:pStyle w:val="Quote1"/>
      </w:pPr>
      <w:r w:rsidRPr="00D805C7">
        <w:t xml:space="preserve">Are there insights </w:t>
      </w:r>
      <w:r w:rsidRPr="00074706">
        <w:t>from</w:t>
      </w:r>
      <w:r w:rsidRPr="00D805C7">
        <w:t xml:space="preserve"> other jurisdictions that may be appropriate for the ACT to consider? If so, what are the relative merits of these? </w:t>
      </w:r>
    </w:p>
    <w:p w:rsidR="00D805C7" w:rsidRDefault="007C73F8" w:rsidP="008A4B03">
      <w:pPr>
        <w:jc w:val="both"/>
      </w:pPr>
      <w:r>
        <w:t xml:space="preserve">One submission to the investigation </w:t>
      </w:r>
      <w:r w:rsidR="00D805C7">
        <w:t>noted the relatively high cost of the</w:t>
      </w:r>
      <w:r w:rsidR="008A4B03">
        <w:t xml:space="preserve"> EIL compared to electricity licenc</w:t>
      </w:r>
      <w:r w:rsidR="00D805C7">
        <w:t>e fees in Victoria. Origin Energy submitted that:</w:t>
      </w:r>
    </w:p>
    <w:p w:rsidR="00D805C7" w:rsidRPr="00D805C7" w:rsidRDefault="00D805C7" w:rsidP="008A4B03">
      <w:pPr>
        <w:pStyle w:val="Quote1"/>
      </w:pPr>
      <w:r w:rsidRPr="00D805C7">
        <w:t>In relation to insights that may be gained from other jurisdictions (page 9 of the consultation paper), Origin encourages consistency in the way that regulatory costs are recovered. The current ACT methodology is not dissimilar from approaches applied elsewhere (noting for example that Queensland relies on a variable approach).</w:t>
      </w:r>
    </w:p>
    <w:p w:rsidR="00E61AF9" w:rsidRDefault="00D805C7" w:rsidP="008A4B03">
      <w:pPr>
        <w:jc w:val="both"/>
      </w:pPr>
      <w:r>
        <w:t xml:space="preserve">Energy Australia submitted that there are significant differences in how the ACT recovers the same costs as other jurisdictions: </w:t>
      </w:r>
    </w:p>
    <w:p w:rsidR="00D805C7" w:rsidRPr="00D805C7" w:rsidRDefault="00D805C7" w:rsidP="008A4B03">
      <w:pPr>
        <w:pStyle w:val="Quote1"/>
      </w:pPr>
      <w:r w:rsidRPr="00D805C7">
        <w:t>We note that the overall calculation of the ACT Energy Industry Levy (EIL) is not in line with how other jurisdictions calculate the fees for the same services. We do not think this is an adverse arrangement but rather wish to point out that it can be a source of confusion for entrants who operate in multiple jurisdictions and pay fees and levies for similar regulatory functions (in other jurisdictions) but with different calculations. However, there is ample information available about the purpose and calculation of the fee to allow supplie</w:t>
      </w:r>
      <w:r w:rsidR="00541EF1">
        <w:t>r</w:t>
      </w:r>
      <w:r w:rsidRPr="00D805C7">
        <w:t>s and distributors to understand what contributes to the EIL.</w:t>
      </w:r>
    </w:p>
    <w:p w:rsidR="00E61AF9" w:rsidRDefault="00D805C7" w:rsidP="008A4B03">
      <w:pPr>
        <w:jc w:val="both"/>
        <w:rPr>
          <w:rFonts w:asciiTheme="minorHAnsi" w:eastAsia="Times New Roman" w:hAnsiTheme="minorHAnsi"/>
          <w:lang w:eastAsia="en-AU"/>
        </w:rPr>
      </w:pPr>
      <w:r>
        <w:rPr>
          <w:rFonts w:asciiTheme="minorHAnsi" w:eastAsia="Times New Roman" w:hAnsiTheme="minorHAnsi"/>
          <w:lang w:eastAsia="en-AU"/>
        </w:rPr>
        <w:t xml:space="preserve">This section briefly compares the ACT approach to other jurisdictions, commenting on its appropriateness. </w:t>
      </w:r>
      <w:r w:rsidR="00CD7CB9">
        <w:rPr>
          <w:rFonts w:asciiTheme="minorHAnsi" w:eastAsia="Times New Roman" w:hAnsiTheme="minorHAnsi"/>
          <w:lang w:eastAsia="en-AU"/>
        </w:rPr>
        <w:t xml:space="preserve">It is difficult to provide a detailed, accurate comparison due to lack of transparency across all jurisdictions as well as the variation in approaches to regulatory costs. For example, in other states Energy Ombudsmen are funded by membership fees and </w:t>
      </w:r>
      <w:r w:rsidR="008910DA">
        <w:rPr>
          <w:rFonts w:asciiTheme="minorHAnsi" w:eastAsia="Times New Roman" w:hAnsiTheme="minorHAnsi"/>
          <w:lang w:eastAsia="en-AU"/>
        </w:rPr>
        <w:t>some</w:t>
      </w:r>
      <w:r w:rsidR="00CD7CB9">
        <w:rPr>
          <w:rFonts w:asciiTheme="minorHAnsi" w:eastAsia="Times New Roman" w:hAnsiTheme="minorHAnsi"/>
          <w:lang w:eastAsia="en-AU"/>
        </w:rPr>
        <w:t xml:space="preserve"> details relating to these fees are not disclosed</w:t>
      </w:r>
      <w:r w:rsidR="00F63557">
        <w:rPr>
          <w:rFonts w:asciiTheme="minorHAnsi" w:eastAsia="Times New Roman" w:hAnsiTheme="minorHAnsi"/>
          <w:lang w:eastAsia="en-AU"/>
        </w:rPr>
        <w:t xml:space="preserve"> for privacy reasons</w:t>
      </w:r>
      <w:r w:rsidR="00CD7CB9">
        <w:rPr>
          <w:rFonts w:asciiTheme="minorHAnsi" w:eastAsia="Times New Roman" w:hAnsiTheme="minorHAnsi"/>
          <w:lang w:eastAsia="en-AU"/>
        </w:rPr>
        <w:t>.</w:t>
      </w:r>
    </w:p>
    <w:p w:rsidR="00CC3FCC" w:rsidRPr="0006513D" w:rsidRDefault="009E41C1" w:rsidP="00CC3FCC">
      <w:pPr>
        <w:jc w:val="both"/>
        <w:rPr>
          <w:rFonts w:asciiTheme="minorHAnsi" w:eastAsia="Times New Roman" w:hAnsiTheme="minorHAnsi"/>
          <w:lang w:eastAsia="en-AU"/>
        </w:rPr>
      </w:pPr>
      <w:r>
        <w:rPr>
          <w:rFonts w:asciiTheme="minorHAnsi" w:eastAsia="Times New Roman" w:hAnsiTheme="minorHAnsi"/>
          <w:lang w:eastAsia="en-AU"/>
        </w:rPr>
        <w:t>A summary of the costs for small electricity retailers in the ACT, N</w:t>
      </w:r>
      <w:r w:rsidR="00702CF4">
        <w:rPr>
          <w:rFonts w:asciiTheme="minorHAnsi" w:eastAsia="Times New Roman" w:hAnsiTheme="minorHAnsi"/>
          <w:lang w:eastAsia="en-AU"/>
        </w:rPr>
        <w:t xml:space="preserve">ew </w:t>
      </w:r>
      <w:r>
        <w:rPr>
          <w:rFonts w:asciiTheme="minorHAnsi" w:eastAsia="Times New Roman" w:hAnsiTheme="minorHAnsi"/>
          <w:lang w:eastAsia="en-AU"/>
        </w:rPr>
        <w:t>S</w:t>
      </w:r>
      <w:r w:rsidR="00702CF4">
        <w:rPr>
          <w:rFonts w:asciiTheme="minorHAnsi" w:eastAsia="Times New Roman" w:hAnsiTheme="minorHAnsi"/>
          <w:lang w:eastAsia="en-AU"/>
        </w:rPr>
        <w:t xml:space="preserve">outh </w:t>
      </w:r>
      <w:r>
        <w:rPr>
          <w:rFonts w:asciiTheme="minorHAnsi" w:eastAsia="Times New Roman" w:hAnsiTheme="minorHAnsi"/>
          <w:lang w:eastAsia="en-AU"/>
        </w:rPr>
        <w:t>W</w:t>
      </w:r>
      <w:r w:rsidR="00702CF4">
        <w:rPr>
          <w:rFonts w:asciiTheme="minorHAnsi" w:eastAsia="Times New Roman" w:hAnsiTheme="minorHAnsi"/>
          <w:lang w:eastAsia="en-AU"/>
        </w:rPr>
        <w:t>ales (NSW)</w:t>
      </w:r>
      <w:r>
        <w:rPr>
          <w:rFonts w:asciiTheme="minorHAnsi" w:eastAsia="Times New Roman" w:hAnsiTheme="minorHAnsi"/>
          <w:lang w:eastAsia="en-AU"/>
        </w:rPr>
        <w:t xml:space="preserve"> and Victoria is include</w:t>
      </w:r>
      <w:r w:rsidR="0006513D">
        <w:rPr>
          <w:rFonts w:asciiTheme="minorHAnsi" w:eastAsia="Times New Roman" w:hAnsiTheme="minorHAnsi"/>
          <w:lang w:eastAsia="en-AU"/>
        </w:rPr>
        <w:t>d</w:t>
      </w:r>
      <w:r>
        <w:rPr>
          <w:rFonts w:asciiTheme="minorHAnsi" w:eastAsia="Times New Roman" w:hAnsiTheme="minorHAnsi"/>
          <w:lang w:eastAsia="en-AU"/>
        </w:rPr>
        <w:t xml:space="preserve"> in Appendix E. </w:t>
      </w:r>
      <w:r w:rsidR="00CC3FCC">
        <w:rPr>
          <w:rFonts w:asciiTheme="minorHAnsi" w:eastAsia="Times New Roman" w:hAnsiTheme="minorHAnsi"/>
          <w:lang w:eastAsia="en-AU"/>
        </w:rPr>
        <w:t xml:space="preserve">In Victoria, a retailer with </w:t>
      </w:r>
      <w:r w:rsidR="00CC3FCC">
        <w:t>a 2 per cent market share would have paid</w:t>
      </w:r>
      <w:r w:rsidR="004350A9">
        <w:t xml:space="preserve"> a $24,000 licence fee, in 2013</w:t>
      </w:r>
      <w:r w:rsidR="004350A9">
        <w:noBreakHyphen/>
      </w:r>
      <w:r w:rsidR="00CC3FCC">
        <w:t>14, with a minimum Energy Ombudsman membership fee of $2,000. On average, the Ombudsman charged an additional $190 per case.</w:t>
      </w:r>
      <w:r w:rsidR="00702CF4">
        <w:t xml:space="preserve"> In NSW, </w:t>
      </w:r>
      <w:r w:rsidR="00130BA3">
        <w:t>the retailer would have paid a fixed Ombudsman membership and additional charges per case. In 2013-14, the average case charge was $290</w:t>
      </w:r>
      <w:r w:rsidR="00702CF4">
        <w:t xml:space="preserve"> </w:t>
      </w:r>
      <w:r w:rsidR="00130BA3">
        <w:t xml:space="preserve">and the average fixed membership fee was $21,192 (although a small firm would </w:t>
      </w:r>
      <w:r w:rsidR="004350A9">
        <w:t>likely</w:t>
      </w:r>
      <w:r w:rsidR="00130BA3">
        <w:t xml:space="preserve"> have paid less than this</w:t>
      </w:r>
      <w:r w:rsidR="004350A9">
        <w:t xml:space="preserve"> as a fixed fee</w:t>
      </w:r>
      <w:r w:rsidR="00130BA3">
        <w:t>).</w:t>
      </w:r>
    </w:p>
    <w:p w:rsidR="00E61AF9" w:rsidRDefault="00E61AF9" w:rsidP="00D85385">
      <w:pPr>
        <w:pStyle w:val="Heading3"/>
      </w:pPr>
      <w:bookmarkStart w:id="69" w:name="_Toc443901126"/>
      <w:bookmarkStart w:id="70" w:name="_Toc444861394"/>
      <w:bookmarkStart w:id="71" w:name="_Toc449438551"/>
      <w:bookmarkStart w:id="72" w:name="_Toc454982013"/>
      <w:r>
        <w:t>National costs</w:t>
      </w:r>
      <w:bookmarkEnd w:id="69"/>
      <w:bookmarkEnd w:id="70"/>
      <w:bookmarkEnd w:id="71"/>
      <w:bookmarkEnd w:id="72"/>
    </w:p>
    <w:p w:rsidR="00731258" w:rsidRDefault="00E61AF9" w:rsidP="008A4B03">
      <w:pPr>
        <w:jc w:val="both"/>
        <w:rPr>
          <w:rFonts w:cs="Arial"/>
          <w:szCs w:val="24"/>
        </w:rPr>
      </w:pPr>
      <w:r>
        <w:t>As outlined above, the EIL was</w:t>
      </w:r>
      <w:r w:rsidRPr="0084172A">
        <w:rPr>
          <w:rFonts w:cs="Arial"/>
          <w:szCs w:val="24"/>
        </w:rPr>
        <w:t xml:space="preserve"> </w:t>
      </w:r>
      <w:r>
        <w:rPr>
          <w:rFonts w:cs="Arial"/>
          <w:szCs w:val="24"/>
        </w:rPr>
        <w:t>introduced as part of</w:t>
      </w:r>
      <w:r w:rsidRPr="002E3F2A">
        <w:rPr>
          <w:rFonts w:cs="Arial"/>
          <w:szCs w:val="24"/>
        </w:rPr>
        <w:t xml:space="preserve"> </w:t>
      </w:r>
      <w:r>
        <w:rPr>
          <w:rFonts w:cs="Arial"/>
          <w:szCs w:val="24"/>
        </w:rPr>
        <w:t xml:space="preserve">the </w:t>
      </w:r>
      <w:r w:rsidRPr="002E3F2A">
        <w:rPr>
          <w:rFonts w:cs="Arial"/>
          <w:szCs w:val="24"/>
        </w:rPr>
        <w:t>implementation of National Energy Market reforms</w:t>
      </w:r>
      <w:r>
        <w:rPr>
          <w:rFonts w:cs="Arial"/>
          <w:szCs w:val="24"/>
        </w:rPr>
        <w:t xml:space="preserve">. As various economic regulatory roles were centralised to the AEMC and </w:t>
      </w:r>
      <w:r w:rsidR="00E772AF">
        <w:rPr>
          <w:rFonts w:cs="Arial"/>
          <w:szCs w:val="24"/>
        </w:rPr>
        <w:t>Australian Energy Regulator (</w:t>
      </w:r>
      <w:r>
        <w:rPr>
          <w:rFonts w:cs="Arial"/>
          <w:szCs w:val="24"/>
        </w:rPr>
        <w:t>AER</w:t>
      </w:r>
      <w:r w:rsidR="00E772AF">
        <w:rPr>
          <w:rFonts w:cs="Arial"/>
          <w:szCs w:val="24"/>
        </w:rPr>
        <w:t>)</w:t>
      </w:r>
      <w:r>
        <w:rPr>
          <w:rFonts w:cs="Arial"/>
          <w:szCs w:val="24"/>
        </w:rPr>
        <w:t>, the ACT changed its funding structure for these roles from a fee structure t</w:t>
      </w:r>
      <w:r w:rsidR="00731258">
        <w:rPr>
          <w:rFonts w:cs="Arial"/>
          <w:szCs w:val="24"/>
        </w:rPr>
        <w:t xml:space="preserve">o a levy structure. This was in </w:t>
      </w:r>
      <w:r>
        <w:rPr>
          <w:rFonts w:cs="Arial"/>
          <w:szCs w:val="24"/>
        </w:rPr>
        <w:t>line with the Australian Energy Market Agreement</w:t>
      </w:r>
      <w:r w:rsidR="00731258">
        <w:rPr>
          <w:rFonts w:cs="Arial"/>
          <w:szCs w:val="24"/>
        </w:rPr>
        <w:t xml:space="preserve">. The original </w:t>
      </w:r>
      <w:r w:rsidR="008A4B03">
        <w:rPr>
          <w:rFonts w:cs="Arial"/>
          <w:szCs w:val="24"/>
        </w:rPr>
        <w:t>agreement (2004)</w:t>
      </w:r>
      <w:r w:rsidR="00731258">
        <w:rPr>
          <w:rFonts w:cs="Arial"/>
          <w:szCs w:val="24"/>
        </w:rPr>
        <w:t xml:space="preserve"> said:</w:t>
      </w:r>
    </w:p>
    <w:p w:rsidR="00731258" w:rsidRDefault="00731258" w:rsidP="008A4B03">
      <w:pPr>
        <w:pStyle w:val="Quote1"/>
      </w:pPr>
      <w:r>
        <w:t>10.1 The Parties agree that the AER and AEMC will be funded by an industry levy.</w:t>
      </w:r>
      <w:r>
        <w:rPr>
          <w:rStyle w:val="FootnoteReference"/>
          <w:rFonts w:cs="Arial"/>
          <w:szCs w:val="24"/>
        </w:rPr>
        <w:footnoteReference w:id="16"/>
      </w:r>
    </w:p>
    <w:p w:rsidR="00E61AF9" w:rsidRDefault="00731258" w:rsidP="00E61AF9">
      <w:proofErr w:type="gramStart"/>
      <w:r>
        <w:rPr>
          <w:rFonts w:cs="Arial"/>
          <w:szCs w:val="24"/>
        </w:rPr>
        <w:t>and</w:t>
      </w:r>
      <w:proofErr w:type="gramEnd"/>
      <w:r>
        <w:rPr>
          <w:rFonts w:cs="Arial"/>
          <w:szCs w:val="24"/>
        </w:rPr>
        <w:t xml:space="preserve"> the amended </w:t>
      </w:r>
      <w:r w:rsidR="008A4B03">
        <w:rPr>
          <w:rFonts w:cs="Arial"/>
          <w:szCs w:val="24"/>
        </w:rPr>
        <w:t>agreement (</w:t>
      </w:r>
      <w:r>
        <w:rPr>
          <w:rFonts w:cs="Arial"/>
          <w:szCs w:val="24"/>
        </w:rPr>
        <w:t>2009</w:t>
      </w:r>
      <w:r w:rsidR="008A4B03">
        <w:rPr>
          <w:rFonts w:cs="Arial"/>
          <w:szCs w:val="24"/>
        </w:rPr>
        <w:t>)</w:t>
      </w:r>
      <w:r>
        <w:rPr>
          <w:rFonts w:cs="Arial"/>
          <w:szCs w:val="24"/>
        </w:rPr>
        <w:t xml:space="preserve"> said</w:t>
      </w:r>
      <w:r w:rsidR="00E61AF9">
        <w:rPr>
          <w:rFonts w:cs="Arial"/>
          <w:szCs w:val="24"/>
        </w:rPr>
        <w:t>:</w:t>
      </w:r>
    </w:p>
    <w:p w:rsidR="00E61AF9" w:rsidRDefault="00E61AF9" w:rsidP="008A4B03">
      <w:pPr>
        <w:pStyle w:val="Quote1"/>
        <w:rPr>
          <w:lang w:eastAsia="en-AU"/>
        </w:rPr>
      </w:pPr>
      <w:r>
        <w:rPr>
          <w:lang w:eastAsia="en-AU"/>
        </w:rPr>
        <w:t>14.6 The Parties agree that the implementation of the National Distribution and Retail Regulatory Functions will also include:</w:t>
      </w:r>
    </w:p>
    <w:p w:rsidR="00E61AF9" w:rsidRDefault="00E61AF9" w:rsidP="008A4B03">
      <w:pPr>
        <w:pStyle w:val="Quote1"/>
        <w:rPr>
          <w:lang w:eastAsia="en-AU"/>
        </w:rPr>
      </w:pPr>
      <w:r>
        <w:rPr>
          <w:lang w:eastAsia="en-AU"/>
        </w:rPr>
        <w:t>(a) mechanisms for account to be taken of the impact of State and Territory Distribution and Retail functions on the National Distribution and Retail Regulatory Functions where appropriate;</w:t>
      </w:r>
    </w:p>
    <w:p w:rsidR="00E61AF9" w:rsidRDefault="00E61AF9" w:rsidP="008A4B03">
      <w:pPr>
        <w:pStyle w:val="Quote1"/>
        <w:rPr>
          <w:lang w:eastAsia="en-AU"/>
        </w:rPr>
      </w:pPr>
      <w:r>
        <w:rPr>
          <w:lang w:eastAsia="en-AU"/>
        </w:rPr>
        <w:t>(b) the removal of all redundant State and Territory levies, fees and other charges associated with these functions when these functions are transferred;</w:t>
      </w:r>
    </w:p>
    <w:p w:rsidR="00E61AF9" w:rsidRDefault="00E61AF9" w:rsidP="008A4B03">
      <w:pPr>
        <w:pStyle w:val="Quote1"/>
        <w:rPr>
          <w:lang w:eastAsia="en-AU"/>
        </w:rPr>
      </w:pPr>
      <w:r>
        <w:rPr>
          <w:lang w:eastAsia="en-AU"/>
        </w:rPr>
        <w:t xml:space="preserve">(c) </w:t>
      </w:r>
      <w:proofErr w:type="gramStart"/>
      <w:r>
        <w:rPr>
          <w:lang w:eastAsia="en-AU"/>
        </w:rPr>
        <w:t>at</w:t>
      </w:r>
      <w:proofErr w:type="gramEnd"/>
      <w:r>
        <w:rPr>
          <w:lang w:eastAsia="en-AU"/>
        </w:rPr>
        <w:t xml:space="preserve"> the discretion of each Party, State or Territory levies to pay for the costs of the AEMC</w:t>
      </w:r>
      <w:r w:rsidR="00731258">
        <w:rPr>
          <w:rStyle w:val="FootnoteReference"/>
          <w:lang w:eastAsia="en-AU"/>
        </w:rPr>
        <w:footnoteReference w:id="17"/>
      </w:r>
    </w:p>
    <w:p w:rsidR="00E61AF9" w:rsidRDefault="00E61AF9" w:rsidP="00510E29">
      <w:pPr>
        <w:jc w:val="both"/>
      </w:pPr>
      <w:r>
        <w:t xml:space="preserve">Accordingly, the ACT replaced the </w:t>
      </w:r>
      <w:r w:rsidR="00057FA7">
        <w:t>previous</w:t>
      </w:r>
      <w:r>
        <w:t xml:space="preserve"> licence structure with </w:t>
      </w:r>
      <w:r w:rsidR="00057FA7">
        <w:t>the</w:t>
      </w:r>
      <w:r>
        <w:t xml:space="preserve"> industry levy. There has been a m</w:t>
      </w:r>
      <w:r w:rsidR="008D169F">
        <w:t>ixed approach from other states:</w:t>
      </w:r>
      <w:r>
        <w:t xml:space="preserve"> some proc</w:t>
      </w:r>
      <w:r w:rsidR="00A075A1">
        <w:t xml:space="preserve">eeding to pay for costs by levy, while </w:t>
      </w:r>
      <w:r w:rsidR="00BA5BC8">
        <w:t>others</w:t>
      </w:r>
      <w:r>
        <w:t xml:space="preserve"> have retained a licence fee structure.</w:t>
      </w:r>
      <w:r w:rsidR="00057FA7">
        <w:t xml:space="preserve"> </w:t>
      </w:r>
    </w:p>
    <w:p w:rsidR="00E61AF9" w:rsidRDefault="00E61AF9" w:rsidP="00510E29">
      <w:pPr>
        <w:jc w:val="both"/>
      </w:pPr>
      <w:r>
        <w:t>While the ACT may not be in line with other states in regard to collection of national costs, the industry levy approach seems best practice an</w:t>
      </w:r>
      <w:r w:rsidR="00EF45C0">
        <w:t>d other states are following our</w:t>
      </w:r>
      <w:r>
        <w:t xml:space="preserve"> lead. Similarly, the costs for administering </w:t>
      </w:r>
      <w:r w:rsidR="00576BCC">
        <w:t>the Levy</w:t>
      </w:r>
      <w:r>
        <w:t xml:space="preserve"> should </w:t>
      </w:r>
      <w:r w:rsidR="002772B8">
        <w:t xml:space="preserve">be </w:t>
      </w:r>
      <w:r>
        <w:t xml:space="preserve">covered </w:t>
      </w:r>
      <w:r w:rsidR="00EF45C0">
        <w:t>within</w:t>
      </w:r>
      <w:r>
        <w:t xml:space="preserve"> </w:t>
      </w:r>
      <w:r w:rsidR="00576BCC">
        <w:t>the Levy</w:t>
      </w:r>
      <w:r>
        <w:t>.</w:t>
      </w:r>
    </w:p>
    <w:p w:rsidR="00E61AF9" w:rsidRDefault="00E61AF9" w:rsidP="00D85385">
      <w:pPr>
        <w:pStyle w:val="Heading3"/>
      </w:pPr>
      <w:bookmarkStart w:id="73" w:name="_Toc443901127"/>
      <w:bookmarkStart w:id="74" w:name="_Toc444861395"/>
      <w:bookmarkStart w:id="75" w:name="_Toc449438552"/>
      <w:bookmarkStart w:id="76" w:name="_Toc454982014"/>
      <w:r>
        <w:t>A</w:t>
      </w:r>
      <w:r w:rsidR="00FE61C1">
        <w:t xml:space="preserve">CT </w:t>
      </w:r>
      <w:r>
        <w:t>C</w:t>
      </w:r>
      <w:r w:rsidR="00FE61C1">
        <w:t xml:space="preserve">ivil and Administrative </w:t>
      </w:r>
      <w:r>
        <w:t>T</w:t>
      </w:r>
      <w:bookmarkEnd w:id="73"/>
      <w:bookmarkEnd w:id="74"/>
      <w:bookmarkEnd w:id="75"/>
      <w:r w:rsidR="00FE61C1">
        <w:t>ribunal</w:t>
      </w:r>
      <w:bookmarkEnd w:id="76"/>
    </w:p>
    <w:p w:rsidR="00E61AF9" w:rsidRDefault="00E61AF9" w:rsidP="00510E29">
      <w:pPr>
        <w:jc w:val="both"/>
      </w:pPr>
      <w:r>
        <w:t>Most jurisdiction</w:t>
      </w:r>
      <w:r w:rsidR="00E52F54">
        <w:t>s have an independently funded E</w:t>
      </w:r>
      <w:r>
        <w:t>nergy Ombudsman. Utilities are required to be members of the Energy Ombudsman for the state</w:t>
      </w:r>
      <w:r w:rsidR="00EF45C0">
        <w:t xml:space="preserve"> and </w:t>
      </w:r>
      <w:r w:rsidR="00EA2E8B">
        <w:t xml:space="preserve">to </w:t>
      </w:r>
      <w:r w:rsidR="00EF45C0">
        <w:t>pay the</w:t>
      </w:r>
      <w:r>
        <w:t xml:space="preserve"> associated </w:t>
      </w:r>
      <w:r w:rsidR="00EF45C0">
        <w:t xml:space="preserve">membership </w:t>
      </w:r>
      <w:r>
        <w:t xml:space="preserve">fees. The fees are typically divided into an annual fee and a “user pays method”. The annual fee is determined by a combination of the utility’s number of customers, the number of </w:t>
      </w:r>
      <w:r w:rsidR="00BE23D0">
        <w:t>complaints</w:t>
      </w:r>
      <w:r>
        <w:t xml:space="preserve"> in the previous year, and the type of utility. As Energy Australia pointed out, this would provide “an incentive for ACT energy participants to improve customer exper</w:t>
      </w:r>
      <w:r w:rsidR="001A01B7">
        <w:t>ience and to reduce complaints.”</w:t>
      </w:r>
    </w:p>
    <w:p w:rsidR="001C5EC6" w:rsidRDefault="00E61AF9" w:rsidP="00510E29">
      <w:pPr>
        <w:jc w:val="both"/>
      </w:pPr>
      <w:r>
        <w:t xml:space="preserve">The approach taken in other jurisdictions is in line with the fairness criteria from </w:t>
      </w:r>
      <w:r w:rsidR="00BA10C1">
        <w:t>Section 2</w:t>
      </w:r>
      <w:r w:rsidR="005F7703">
        <w:t>.</w:t>
      </w:r>
      <w:r>
        <w:t xml:space="preserve"> </w:t>
      </w:r>
      <w:r w:rsidR="005F7703">
        <w:t>The ACT levy trades this for greater simplicity</w:t>
      </w:r>
      <w:r>
        <w:t xml:space="preserve"> </w:t>
      </w:r>
      <w:r w:rsidR="005F7703">
        <w:t xml:space="preserve">for </w:t>
      </w:r>
      <w:r>
        <w:t xml:space="preserve">the energy </w:t>
      </w:r>
      <w:r w:rsidR="005F7703">
        <w:t>industry, combining multiple obligations into one levy payment</w:t>
      </w:r>
      <w:r>
        <w:t>. Ene</w:t>
      </w:r>
      <w:r w:rsidR="001C5EC6">
        <w:t>rgy Australia went on to say:</w:t>
      </w:r>
    </w:p>
    <w:p w:rsidR="00E61AF9" w:rsidRDefault="001C5EC6" w:rsidP="001C5EC6">
      <w:pPr>
        <w:pStyle w:val="Quote1"/>
      </w:pPr>
      <w:r>
        <w:t>[T]</w:t>
      </w:r>
      <w:r w:rsidR="00E61AF9">
        <w:t xml:space="preserve">his would add further complexity to the calculation of </w:t>
      </w:r>
      <w:r w:rsidR="00576BCC">
        <w:t>the Levy</w:t>
      </w:r>
      <w:r w:rsidR="00E61AF9">
        <w:t xml:space="preserve"> and reduce predictability of </w:t>
      </w:r>
      <w:r w:rsidR="00576BCC">
        <w:t>the Levy</w:t>
      </w:r>
      <w:r w:rsidR="00E61AF9">
        <w:t xml:space="preserve"> amount. Given the number of complaints handled by the ACA</w:t>
      </w:r>
      <w:r w:rsidR="00EF45C0">
        <w:t>T</w:t>
      </w:r>
      <w:r w:rsidR="00E61AF9">
        <w:t xml:space="preserve"> are quite small, such a substantive change to the calculation would not realise enough benefits to the ACT</w:t>
      </w:r>
      <w:r>
        <w:t xml:space="preserve"> market to warrant this change.</w:t>
      </w:r>
    </w:p>
    <w:p w:rsidR="00E61AF9" w:rsidRDefault="00E61AF9" w:rsidP="00D85385">
      <w:pPr>
        <w:pStyle w:val="Heading3"/>
      </w:pPr>
      <w:bookmarkStart w:id="77" w:name="_Toc443901128"/>
      <w:bookmarkStart w:id="78" w:name="_Toc444861396"/>
      <w:bookmarkStart w:id="79" w:name="_Toc449438553"/>
      <w:bookmarkStart w:id="80" w:name="_Toc454982015"/>
      <w:r>
        <w:t>Technical Regulator</w:t>
      </w:r>
      <w:bookmarkEnd w:id="77"/>
      <w:bookmarkEnd w:id="78"/>
      <w:bookmarkEnd w:id="79"/>
      <w:bookmarkEnd w:id="80"/>
    </w:p>
    <w:p w:rsidR="00C94065" w:rsidRDefault="00C94065" w:rsidP="00510E29">
      <w:pPr>
        <w:jc w:val="both"/>
      </w:pPr>
      <w:r>
        <w:t>There is a mixed approach to cost recovery for Technical Regulators. For example, New South Wales recovers electricity costs through a levy but Victoria retains a fee structure. It is worth noting that Victoria is currently reviewing their approach to recovering regulatory costs.</w:t>
      </w:r>
    </w:p>
    <w:p w:rsidR="00C94065" w:rsidRDefault="005F7703" w:rsidP="00D85385">
      <w:pPr>
        <w:pStyle w:val="Heading3"/>
      </w:pPr>
      <w:bookmarkStart w:id="81" w:name="_Toc443901129"/>
      <w:bookmarkStart w:id="82" w:name="_Toc444861397"/>
      <w:bookmarkStart w:id="83" w:name="_Toc449438554"/>
      <w:bookmarkStart w:id="84" w:name="_Toc454982016"/>
      <w:r>
        <w:t>Recommendation</w:t>
      </w:r>
      <w:r w:rsidR="00C94065">
        <w:t xml:space="preserve"> based on other jurisdictions</w:t>
      </w:r>
      <w:bookmarkEnd w:id="81"/>
      <w:bookmarkEnd w:id="82"/>
      <w:bookmarkEnd w:id="83"/>
      <w:bookmarkEnd w:id="84"/>
      <w:r w:rsidR="00C94065">
        <w:t xml:space="preserve"> </w:t>
      </w:r>
    </w:p>
    <w:p w:rsidR="00C94065" w:rsidRDefault="00C94065" w:rsidP="00510E29">
      <w:pPr>
        <w:jc w:val="both"/>
      </w:pPr>
      <w:r>
        <w:t xml:space="preserve">The most noticeable difference between the ACT and other jurisdictions is that the ACT combines regulatory costs into a single levy. This trades simplicity in calculating </w:t>
      </w:r>
      <w:r w:rsidR="00576BCC">
        <w:t>the Levy</w:t>
      </w:r>
      <w:r>
        <w:t xml:space="preserve"> for reduced regulatory requirements for industry. </w:t>
      </w:r>
      <w:r w:rsidR="00D8087D">
        <w:t xml:space="preserve">In light of this, and the </w:t>
      </w:r>
      <w:r>
        <w:t xml:space="preserve">current state of the energy industry sectors, the </w:t>
      </w:r>
      <w:r w:rsidR="00CA6C40">
        <w:t>investigation</w:t>
      </w:r>
      <w:r>
        <w:t xml:space="preserve"> recommends:</w:t>
      </w:r>
    </w:p>
    <w:p w:rsidR="00C61A24" w:rsidRDefault="00C61A24" w:rsidP="00C61A24">
      <w:pPr>
        <w:pStyle w:val="Recommendationnonlist"/>
      </w:pPr>
      <w:r w:rsidRPr="00462779">
        <w:rPr>
          <w:b/>
        </w:rPr>
        <w:t>Recommendation 5</w:t>
      </w:r>
      <w:r w:rsidRPr="00462779">
        <w:t>: The EIL</w:t>
      </w:r>
      <w:r>
        <w:t xml:space="preserve"> should continue to recover the combined costs for all regulatory bodies, including national bodies, the ACAT in its role as the </w:t>
      </w:r>
      <w:r w:rsidRPr="00462779">
        <w:t>Energy Arbiter</w:t>
      </w:r>
      <w:r>
        <w:t>, the Technical Regulator, and the Levy Administrator.</w:t>
      </w:r>
    </w:p>
    <w:p w:rsidR="00D8087D" w:rsidRPr="00D8087D" w:rsidRDefault="00982331" w:rsidP="00576BCC">
      <w:pPr>
        <w:jc w:val="both"/>
      </w:pPr>
      <w:r>
        <w:t>Whether this trade-</w:t>
      </w:r>
      <w:r w:rsidR="00D8087D">
        <w:t xml:space="preserve">off will remain in the best interest of the ACT depends on how the energy market matures, this is beyond the current Terms of Reference but could </w:t>
      </w:r>
      <w:r w:rsidR="00CF4DBD">
        <w:t xml:space="preserve">be </w:t>
      </w:r>
      <w:r w:rsidR="00D8087D">
        <w:t>examined as part of a future investigation.</w:t>
      </w:r>
    </w:p>
    <w:p w:rsidR="006358B7" w:rsidRDefault="006358B7">
      <w:pPr>
        <w:spacing w:after="0" w:line="240" w:lineRule="auto"/>
      </w:pPr>
      <w:r>
        <w:br w:type="page"/>
      </w:r>
    </w:p>
    <w:p w:rsidR="002B3857" w:rsidRDefault="0067782F" w:rsidP="006358B7">
      <w:pPr>
        <w:pStyle w:val="Heading1"/>
      </w:pPr>
      <w:bookmarkStart w:id="85" w:name="_Toc454982017"/>
      <w:r>
        <w:t>Section 5: Term of reference 6 —</w:t>
      </w:r>
      <w:r w:rsidR="002B3857">
        <w:t xml:space="preserve"> </w:t>
      </w:r>
      <w:proofErr w:type="gramStart"/>
      <w:r w:rsidR="002B3857">
        <w:t>Other</w:t>
      </w:r>
      <w:proofErr w:type="gramEnd"/>
      <w:r w:rsidR="00D25DDD">
        <w:t xml:space="preserve"> issues</w:t>
      </w:r>
      <w:bookmarkEnd w:id="85"/>
    </w:p>
    <w:p w:rsidR="004E0C30" w:rsidRDefault="00353E23" w:rsidP="00510E29">
      <w:pPr>
        <w:jc w:val="both"/>
      </w:pPr>
      <w:r>
        <w:t xml:space="preserve">This section deals with other issues that </w:t>
      </w:r>
      <w:r w:rsidR="00CF4DBD">
        <w:t>were raised</w:t>
      </w:r>
      <w:r>
        <w:t xml:space="preserve"> during the investigation of the EIL. </w:t>
      </w:r>
    </w:p>
    <w:p w:rsidR="004E0C30" w:rsidRDefault="00353E23" w:rsidP="0001275B">
      <w:pPr>
        <w:pStyle w:val="ListParagraph"/>
        <w:numPr>
          <w:ilvl w:val="0"/>
          <w:numId w:val="24"/>
        </w:numPr>
        <w:jc w:val="both"/>
      </w:pPr>
      <w:r>
        <w:t>The adjustment of the EIL to correct for estimation.</w:t>
      </w:r>
    </w:p>
    <w:p w:rsidR="00353E23" w:rsidRDefault="00353E23" w:rsidP="0001275B">
      <w:pPr>
        <w:pStyle w:val="ListParagraph"/>
        <w:numPr>
          <w:ilvl w:val="0"/>
          <w:numId w:val="24"/>
        </w:numPr>
        <w:jc w:val="both"/>
      </w:pPr>
      <w:r>
        <w:t xml:space="preserve">The transparency of administering </w:t>
      </w:r>
      <w:r w:rsidR="00576BCC">
        <w:t>the Levy</w:t>
      </w:r>
      <w:r>
        <w:t>.</w:t>
      </w:r>
    </w:p>
    <w:p w:rsidR="00353E23" w:rsidRDefault="00353E23" w:rsidP="0001275B">
      <w:pPr>
        <w:pStyle w:val="ListParagraph"/>
        <w:numPr>
          <w:ilvl w:val="0"/>
          <w:numId w:val="24"/>
        </w:numPr>
        <w:jc w:val="both"/>
      </w:pPr>
      <w:r>
        <w:t>The complexity and regulatory burden due to the combined governance</w:t>
      </w:r>
      <w:r w:rsidR="00B925E1">
        <w:t xml:space="preserve"> of </w:t>
      </w:r>
      <w:r w:rsidR="00576BCC">
        <w:t>the Levy</w:t>
      </w:r>
      <w:r>
        <w:t xml:space="preserve"> by the ICRC and the ACT Revenue Office.</w:t>
      </w:r>
    </w:p>
    <w:p w:rsidR="00353E23" w:rsidRDefault="00353E23" w:rsidP="0001275B">
      <w:pPr>
        <w:pStyle w:val="ListParagraph"/>
        <w:numPr>
          <w:ilvl w:val="0"/>
          <w:numId w:val="24"/>
        </w:numPr>
        <w:jc w:val="both"/>
      </w:pPr>
      <w:r>
        <w:t xml:space="preserve">The visibility of </w:t>
      </w:r>
      <w:r w:rsidR="00576BCC">
        <w:t>the Levy</w:t>
      </w:r>
      <w:r>
        <w:t xml:space="preserve"> to operators entering the ACT energy markets.</w:t>
      </w:r>
    </w:p>
    <w:p w:rsidR="004E0C30" w:rsidRDefault="003644B5" w:rsidP="003A4496">
      <w:pPr>
        <w:spacing w:before="240"/>
        <w:jc w:val="both"/>
      </w:pPr>
      <w:r>
        <w:t>As a</w:t>
      </w:r>
      <w:r w:rsidR="00353E23">
        <w:t xml:space="preserve">djustment, transparency, and the governance of </w:t>
      </w:r>
      <w:r w:rsidR="00576BCC">
        <w:t>the Levy</w:t>
      </w:r>
      <w:r w:rsidR="00353E23">
        <w:t xml:space="preserve"> are significant issues, </w:t>
      </w:r>
      <w:r>
        <w:t>they</w:t>
      </w:r>
      <w:r w:rsidR="00353E23">
        <w:t xml:space="preserve"> fall outside the </w:t>
      </w:r>
      <w:r w:rsidR="000E777A">
        <w:t>Terms of Reference</w:t>
      </w:r>
      <w:r w:rsidR="00353E23">
        <w:t xml:space="preserve"> for this investigation. Nonetheless, recommendations are made regarding adjustment and transparency.</w:t>
      </w:r>
    </w:p>
    <w:p w:rsidR="004E0C30" w:rsidRDefault="00353E23" w:rsidP="00510E29">
      <w:pPr>
        <w:jc w:val="both"/>
      </w:pPr>
      <w:r>
        <w:t xml:space="preserve">A recommendation regarding the visibility of </w:t>
      </w:r>
      <w:r w:rsidR="00576BCC">
        <w:t>the Levy</w:t>
      </w:r>
      <w:r>
        <w:t xml:space="preserve"> is also made. </w:t>
      </w:r>
    </w:p>
    <w:p w:rsidR="002B3857" w:rsidRDefault="0067782F" w:rsidP="006358B7">
      <w:pPr>
        <w:pStyle w:val="Heading2"/>
      </w:pPr>
      <w:bookmarkStart w:id="86" w:name="_Toc454982018"/>
      <w:r>
        <w:t xml:space="preserve">5.1 </w:t>
      </w:r>
      <w:r w:rsidR="00F318AC">
        <w:t>A</w:t>
      </w:r>
      <w:r w:rsidR="002B3857">
        <w:t>djustment</w:t>
      </w:r>
      <w:bookmarkEnd w:id="86"/>
    </w:p>
    <w:p w:rsidR="00E61AF9" w:rsidRDefault="00E61AF9" w:rsidP="00510E29">
      <w:pPr>
        <w:jc w:val="both"/>
      </w:pPr>
      <w:r>
        <w:t xml:space="preserve">The current formula used to calculate </w:t>
      </w:r>
      <w:r w:rsidR="00576BCC">
        <w:t>the Levy</w:t>
      </w:r>
      <w:r>
        <w:t xml:space="preserve"> for an operator is:</w:t>
      </w:r>
    </w:p>
    <w:p w:rsidR="00E61AF9" w:rsidRDefault="00606DE5" w:rsidP="00E61AF9">
      <m:oMathPara>
        <m:oMath>
          <m:f>
            <m:fPr>
              <m:ctrlPr>
                <w:rPr>
                  <w:rFonts w:ascii="Cambria Math" w:hAnsi="Cambria Math"/>
                  <w:i/>
                </w:rPr>
              </m:ctrlPr>
            </m:fPr>
            <m:num>
              <m:r>
                <w:rPr>
                  <w:rFonts w:ascii="Cambria Math" w:hAnsi="Cambria Math"/>
                </w:rPr>
                <m:t>K</m:t>
              </m:r>
            </m:num>
            <m:den>
              <m:r>
                <w:rPr>
                  <w:rFonts w:ascii="Cambria Math" w:hAnsi="Cambria Math"/>
                </w:rPr>
                <m:t>NC</m:t>
              </m:r>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L-K</m:t>
                  </m:r>
                </m:e>
              </m:d>
              <m:r>
                <w:rPr>
                  <w:rFonts w:ascii="Cambria Math" w:hAnsi="Cambria Math"/>
                </w:rPr>
                <m:t>×E</m:t>
              </m:r>
            </m:num>
            <m:den>
              <m:r>
                <w:rPr>
                  <w:rFonts w:ascii="Cambria Math" w:hAnsi="Cambria Math"/>
                </w:rPr>
                <m:t>∑E</m:t>
              </m:r>
            </m:den>
          </m:f>
          <m:r>
            <w:rPr>
              <w:rFonts w:ascii="Cambria Math" w:hAnsi="Cambria Math"/>
            </w:rPr>
            <m:t>+ A</m:t>
          </m:r>
        </m:oMath>
      </m:oMathPara>
    </w:p>
    <w:p w:rsidR="00E61AF9" w:rsidRDefault="00E61AF9" w:rsidP="00510E29">
      <w:pPr>
        <w:jc w:val="both"/>
      </w:pPr>
      <w:r>
        <w:t>The first two elements o</w:t>
      </w:r>
      <w:r w:rsidR="001601F6">
        <w:t>f the sum were dealt with in Sections 3.2 and 4.1</w:t>
      </w:r>
      <w:r>
        <w:t xml:space="preserve">: </w:t>
      </w:r>
      <m:oMath>
        <m:f>
          <m:fPr>
            <m:ctrlPr>
              <w:rPr>
                <w:rFonts w:ascii="Cambria Math" w:hAnsi="Cambria Math"/>
                <w:i/>
              </w:rPr>
            </m:ctrlPr>
          </m:fPr>
          <m:num>
            <m:r>
              <w:rPr>
                <w:rFonts w:ascii="Cambria Math" w:hAnsi="Cambria Math"/>
              </w:rPr>
              <m:t>K</m:t>
            </m:r>
          </m:num>
          <m:den>
            <m:r>
              <w:rPr>
                <w:rFonts w:ascii="Cambria Math" w:hAnsi="Cambria Math"/>
              </w:rPr>
              <m:t>NC</m:t>
            </m:r>
          </m:den>
        </m:f>
      </m:oMath>
      <w:r>
        <w:t xml:space="preserve"> is the fixed component for each operator; </w:t>
      </w:r>
      <m:oMath>
        <m:f>
          <m:fPr>
            <m:ctrlPr>
              <w:rPr>
                <w:rFonts w:ascii="Cambria Math" w:hAnsi="Cambria Math"/>
                <w:i/>
              </w:rPr>
            </m:ctrlPr>
          </m:fPr>
          <m:num>
            <m:d>
              <m:dPr>
                <m:ctrlPr>
                  <w:rPr>
                    <w:rFonts w:ascii="Cambria Math" w:hAnsi="Cambria Math"/>
                    <w:i/>
                  </w:rPr>
                </m:ctrlPr>
              </m:dPr>
              <m:e>
                <m:r>
                  <w:rPr>
                    <w:rFonts w:ascii="Cambria Math" w:hAnsi="Cambria Math"/>
                  </w:rPr>
                  <m:t>L-K</m:t>
                </m:r>
              </m:e>
            </m:d>
            <m:r>
              <w:rPr>
                <w:rFonts w:ascii="Cambria Math" w:hAnsi="Cambria Math"/>
              </w:rPr>
              <m:t>×E</m:t>
            </m:r>
          </m:num>
          <m:den>
            <m:r>
              <w:rPr>
                <w:rFonts w:ascii="Cambria Math" w:hAnsi="Cambria Math"/>
              </w:rPr>
              <m:t>∑E</m:t>
            </m:r>
          </m:den>
        </m:f>
      </m:oMath>
      <w:r>
        <w:t xml:space="preserve"> is the variable component, where the total variable cost </w:t>
      </w:r>
      <m:oMath>
        <m:r>
          <w:rPr>
            <w:rFonts w:ascii="Cambria Math" w:hAnsi="Cambria Math"/>
          </w:rPr>
          <m:t>L-K</m:t>
        </m:r>
      </m:oMath>
      <w:r>
        <w:t xml:space="preserve"> is apportioned according to share of energy supplied</w:t>
      </w:r>
      <w:proofErr w:type="gramStart"/>
      <w:r>
        <w:t xml:space="preserve">, </w:t>
      </w:r>
      <m:oMath>
        <w:proofErr w:type="gramEnd"/>
        <m:f>
          <m:fPr>
            <m:ctrlPr>
              <w:rPr>
                <w:rFonts w:ascii="Cambria Math" w:hAnsi="Cambria Math"/>
                <w:i/>
              </w:rPr>
            </m:ctrlPr>
          </m:fPr>
          <m:num>
            <m:r>
              <w:rPr>
                <w:rFonts w:ascii="Cambria Math" w:hAnsi="Cambria Math"/>
              </w:rPr>
              <m:t>E</m:t>
            </m:r>
          </m:num>
          <m:den>
            <m:r>
              <w:rPr>
                <w:rFonts w:ascii="Cambria Math" w:hAnsi="Cambria Math"/>
              </w:rPr>
              <m:t>∑E</m:t>
            </m:r>
          </m:den>
        </m:f>
      </m:oMath>
      <w:r>
        <w:t>. This section deals with the final element of the sum</w:t>
      </w:r>
      <w:proofErr w:type="gramStart"/>
      <w:r>
        <w:t xml:space="preserve">, </w:t>
      </w:r>
      <m:oMath>
        <w:proofErr w:type="gramEnd"/>
        <m:r>
          <w:rPr>
            <w:rFonts w:ascii="Cambria Math" w:hAnsi="Cambria Math"/>
          </w:rPr>
          <m:t>A</m:t>
        </m:r>
      </m:oMath>
      <w:r>
        <w:t>.</w:t>
      </w:r>
    </w:p>
    <w:p w:rsidR="00E61AF9" w:rsidRDefault="00E61AF9" w:rsidP="00510E29">
      <w:pPr>
        <w:jc w:val="both"/>
      </w:pPr>
      <w:r>
        <w:t xml:space="preserve">The element </w:t>
      </w:r>
      <m:oMath>
        <m:r>
          <w:rPr>
            <w:rFonts w:ascii="Cambria Math" w:hAnsi="Cambria Math"/>
          </w:rPr>
          <m:t>A</m:t>
        </m:r>
      </m:oMath>
      <w:r>
        <w:t xml:space="preserve"> is an adjustment intended to account for the difference between the estimated and actual costs of regulation in </w:t>
      </w:r>
      <w:r w:rsidR="00407215">
        <w:t>the previous</w:t>
      </w:r>
      <w:r>
        <w:t xml:space="preserve"> year. </w:t>
      </w:r>
    </w:p>
    <w:p w:rsidR="00E61AF9" w:rsidRDefault="00E61AF9" w:rsidP="00510E29">
      <w:pPr>
        <w:jc w:val="both"/>
      </w:pPr>
      <w:r>
        <w:t xml:space="preserve">In the formula, </w:t>
      </w:r>
      <m:oMath>
        <m:r>
          <w:rPr>
            <w:rFonts w:ascii="Cambria Math" w:hAnsi="Cambria Math"/>
          </w:rPr>
          <m:t>K, NC, L, E</m:t>
        </m:r>
      </m:oMath>
      <w:r>
        <w:t xml:space="preserve"> and </w:t>
      </w:r>
      <m:oMath>
        <m:r>
          <w:rPr>
            <w:rFonts w:ascii="Cambria Math" w:hAnsi="Cambria Math"/>
          </w:rPr>
          <m:t>∑E</m:t>
        </m:r>
      </m:oMath>
      <w:r>
        <w:t xml:space="preserve"> are </w:t>
      </w:r>
      <w:r>
        <w:rPr>
          <w:i/>
        </w:rPr>
        <w:t>estimates</w:t>
      </w:r>
      <w:r>
        <w:t xml:space="preserve"> of the total fixed costs, number of operators, total regulatory costs, energy supplied by the operator and total energy supplied in the sector, respectively. In the current legislation, the </w:t>
      </w:r>
      <w:r w:rsidR="005F1555">
        <w:t>e</w:t>
      </w:r>
      <w:r w:rsidR="00B26D39">
        <w:t>stimated number of participants</w:t>
      </w:r>
      <w:r w:rsidR="005F1555">
        <w:t xml:space="preserve"> </w:t>
      </w:r>
      <w:r w:rsidR="00B26D39">
        <w:t xml:space="preserve">and </w:t>
      </w:r>
      <w:r w:rsidR="005F1555">
        <w:t xml:space="preserve">the </w:t>
      </w:r>
      <w:r>
        <w:t xml:space="preserve">estimated energy supplied are </w:t>
      </w:r>
      <w:r w:rsidR="005F1555">
        <w:t>defined</w:t>
      </w:r>
      <w:r>
        <w:t xml:space="preserve"> to be</w:t>
      </w:r>
      <w:r w:rsidR="005F1555">
        <w:t xml:space="preserve"> the number of participants before 15 September</w:t>
      </w:r>
      <w:r w:rsidR="00000F10">
        <w:t xml:space="preserve"> </w:t>
      </w:r>
      <w:r w:rsidR="00B925E1">
        <w:t xml:space="preserve">in </w:t>
      </w:r>
      <w:r w:rsidR="00000F10">
        <w:t>that levy year</w:t>
      </w:r>
      <w:r w:rsidR="005F1555">
        <w:t xml:space="preserve"> and </w:t>
      </w:r>
      <w:r>
        <w:t>the energ</w:t>
      </w:r>
      <w:r w:rsidR="005F1555">
        <w:t>y supplied in the previous year, but are subject to correction in the same way</w:t>
      </w:r>
      <w:r w:rsidR="00000F10">
        <w:t xml:space="preserve"> a</w:t>
      </w:r>
      <w:r w:rsidR="005F1555">
        <w:t xml:space="preserve">s the other </w:t>
      </w:r>
      <w:r w:rsidR="00B26D39">
        <w:t xml:space="preserve">estimated </w:t>
      </w:r>
      <w:r w:rsidR="005F1555">
        <w:t>variables.</w:t>
      </w:r>
    </w:p>
    <w:p w:rsidR="00E61AF9" w:rsidRDefault="00E61AF9" w:rsidP="00510E29">
      <w:pPr>
        <w:jc w:val="both"/>
      </w:pPr>
      <w:r>
        <w:t xml:space="preserve">The adjustment </w:t>
      </w:r>
      <m:oMath>
        <m:r>
          <w:rPr>
            <w:rFonts w:ascii="Cambria Math" w:hAnsi="Cambria Math"/>
          </w:rPr>
          <m:t>A</m:t>
        </m:r>
      </m:oMath>
      <w:r>
        <w:t xml:space="preserve"> is the difference between what </w:t>
      </w:r>
      <w:r w:rsidR="00B26D39">
        <w:t>a l</w:t>
      </w:r>
      <w:r w:rsidR="00576BCC">
        <w:t>evy</w:t>
      </w:r>
      <w:r>
        <w:t xml:space="preserve"> </w:t>
      </w:r>
      <w:r w:rsidR="00B26D39">
        <w:t xml:space="preserve">charge </w:t>
      </w:r>
      <w:r>
        <w:t xml:space="preserve">should have been in the previous year, based on actual values, and what the operator in fact paid, based on estimates. </w:t>
      </w:r>
      <w:r w:rsidR="00FE24DB">
        <w:t xml:space="preserve">This adjustment process can be implemented regardless of which option from </w:t>
      </w:r>
      <w:r w:rsidR="001D5571">
        <w:t>Section 4</w:t>
      </w:r>
      <w:r w:rsidR="00B925E1">
        <w:t xml:space="preserve"> is adopted by the ACT </w:t>
      </w:r>
      <w:r w:rsidR="00FE24DB">
        <w:t xml:space="preserve">Government. In general, </w:t>
      </w:r>
      <w:r w:rsidR="00576BCC">
        <w:t>the Levy</w:t>
      </w:r>
      <w:r>
        <w:t xml:space="preserve"> for</w:t>
      </w:r>
      <w:r w:rsidR="00000F10">
        <w:t xml:space="preserve"> an</w:t>
      </w:r>
      <w:r>
        <w:t xml:space="preserve"> operator </w:t>
      </w:r>
      <w:r w:rsidR="006C3FF0">
        <w:t>is</w:t>
      </w:r>
      <w:r>
        <w:t>:</w:t>
      </w:r>
    </w:p>
    <w:p w:rsidR="006C3FF0" w:rsidRPr="006C3FF0" w:rsidRDefault="006C3FF0" w:rsidP="006C3FF0">
      <w:pPr>
        <w:jc w:val="center"/>
        <w:rPr>
          <w:i/>
        </w:rPr>
      </w:pPr>
      <w:r w:rsidRPr="006C3FF0">
        <w:rPr>
          <w:i/>
        </w:rPr>
        <w:t>Estimated levy for the current year + [intended levy from the previous year – total levy paid in the previous year]</w:t>
      </w:r>
    </w:p>
    <w:p w:rsidR="006C3FF0" w:rsidRDefault="006C3FF0" w:rsidP="00510E29">
      <w:pPr>
        <w:jc w:val="both"/>
      </w:pPr>
      <w:r>
        <w:t xml:space="preserve">The estimated levy is </w:t>
      </w:r>
      <w:r w:rsidR="00576BCC">
        <w:t>the Levy</w:t>
      </w:r>
      <w:r>
        <w:t>, without adjustment, calculated from estimated value</w:t>
      </w:r>
      <w:r w:rsidR="0068266A">
        <w:t>s</w:t>
      </w:r>
      <w:r>
        <w:t xml:space="preserve">. The intended levy is </w:t>
      </w:r>
      <w:r w:rsidR="00903267">
        <w:t>the L</w:t>
      </w:r>
      <w:r w:rsidR="00576BCC">
        <w:t>evy</w:t>
      </w:r>
      <w:r>
        <w:t xml:space="preserve"> for the previous year, without adjustment, calculated from actual values. The total levy (</w:t>
      </w:r>
      <m:oMath>
        <m:r>
          <w:rPr>
            <w:rFonts w:ascii="Cambria Math" w:hAnsi="Cambria Math"/>
          </w:rPr>
          <m:t>T</m:t>
        </m:r>
      </m:oMath>
      <w:r>
        <w:t xml:space="preserve"> in the current formula</w:t>
      </w:r>
      <w:r w:rsidR="00AF301E">
        <w:t xml:space="preserve"> in the Act, see s54C</w:t>
      </w:r>
      <w:r>
        <w:t>) is the amount of levy paid, including adjustments, in the previous year.</w:t>
      </w:r>
    </w:p>
    <w:p w:rsidR="00E61AF9" w:rsidRDefault="00E61AF9" w:rsidP="00510E29">
      <w:pPr>
        <w:jc w:val="both"/>
      </w:pPr>
      <w:r>
        <w:t xml:space="preserve">At the expense of complexity, adjusting </w:t>
      </w:r>
      <w:r w:rsidR="00576BCC">
        <w:t>the Levy</w:t>
      </w:r>
      <w:r>
        <w:t xml:space="preserve"> ensures that, in the long run, cost are neither over- </w:t>
      </w:r>
      <w:r w:rsidR="005F1555">
        <w:t>n</w:t>
      </w:r>
      <w:r>
        <w:t xml:space="preserve">or under-recovered and, in the short term, regulators have sufficient funds to carry out their work. Unfortunately, the current method for adjusting </w:t>
      </w:r>
      <w:r w:rsidR="00576BCC">
        <w:t>the Levy</w:t>
      </w:r>
      <w:r>
        <w:t xml:space="preserve"> does not achieve these goals. </w:t>
      </w:r>
      <w:r w:rsidR="005F1555">
        <w:t>I</w:t>
      </w:r>
      <w:r>
        <w:t>f the total cost of regulation is underestimated, the reg</w:t>
      </w:r>
      <w:r w:rsidR="005F1555">
        <w:t>ulators may under-recover costs</w:t>
      </w:r>
      <w:r>
        <w:t xml:space="preserve"> in the long run. The cause of this is the current formalisation of the adjustment. </w:t>
      </w:r>
      <w:r w:rsidR="005F1555">
        <w:t>Submissions to the investigation suggest two ways of improving the adjustment</w:t>
      </w:r>
      <w:r>
        <w:t>.</w:t>
      </w:r>
    </w:p>
    <w:p w:rsidR="00E61AF9" w:rsidRDefault="00E61AF9" w:rsidP="00D85385">
      <w:pPr>
        <w:pStyle w:val="Heading3"/>
      </w:pPr>
      <w:bookmarkStart w:id="87" w:name="_Toc443051405"/>
      <w:bookmarkStart w:id="88" w:name="_Toc443901132"/>
      <w:bookmarkStart w:id="89" w:name="_Toc444861400"/>
      <w:bookmarkStart w:id="90" w:name="_Toc449438557"/>
      <w:bookmarkStart w:id="91" w:name="_Toc454982019"/>
      <w:r>
        <w:t>Fixing the adjustment formula:</w:t>
      </w:r>
      <w:bookmarkEnd w:id="87"/>
      <w:bookmarkEnd w:id="88"/>
      <w:bookmarkEnd w:id="89"/>
      <w:bookmarkEnd w:id="90"/>
      <w:bookmarkEnd w:id="91"/>
    </w:p>
    <w:p w:rsidR="00E61AF9" w:rsidRDefault="00E61AF9" w:rsidP="00510E29">
      <w:pPr>
        <w:jc w:val="both"/>
      </w:pPr>
      <w:r>
        <w:t>The problem with the adjust</w:t>
      </w:r>
      <w:r w:rsidR="003A0914">
        <w:t xml:space="preserve">ment is that it uses the </w:t>
      </w:r>
      <w:r w:rsidR="003A0914">
        <w:rPr>
          <w:i/>
        </w:rPr>
        <w:t>total levy paid in the previous year</w:t>
      </w:r>
      <w:r w:rsidRPr="005F1555">
        <w:t>,</w:t>
      </w:r>
      <w:r>
        <w:t xml:space="preserve"> rather than the</w:t>
      </w:r>
      <w:r w:rsidR="005F1555">
        <w:t xml:space="preserve"> </w:t>
      </w:r>
      <w:r w:rsidR="005F1555" w:rsidRPr="003A0914">
        <w:rPr>
          <w:i/>
        </w:rPr>
        <w:t xml:space="preserve">estimated levy for </w:t>
      </w:r>
      <w:r w:rsidR="003A0914" w:rsidRPr="003A0914">
        <w:rPr>
          <w:i/>
        </w:rPr>
        <w:t>the previous</w:t>
      </w:r>
      <w:r w:rsidR="005F1555" w:rsidRPr="003A0914">
        <w:rPr>
          <w:i/>
        </w:rPr>
        <w:t xml:space="preserve"> year</w:t>
      </w:r>
      <w:r>
        <w:t xml:space="preserve">. </w:t>
      </w:r>
      <w:r w:rsidR="003A0914">
        <w:t xml:space="preserve">These values are different when </w:t>
      </w:r>
      <w:r w:rsidR="00152978">
        <w:t>there wa</w:t>
      </w:r>
      <w:r w:rsidR="00FE24DB">
        <w:t>s an adjustment</w:t>
      </w:r>
      <w:r w:rsidR="003A0914">
        <w:t xml:space="preserve"> in </w:t>
      </w:r>
      <w:r w:rsidR="00276D75">
        <w:t>the previous</w:t>
      </w:r>
      <w:r w:rsidR="003A0914">
        <w:t xml:space="preserve"> year</w:t>
      </w:r>
      <w:r w:rsidR="00FE24DB">
        <w:t xml:space="preserve">. </w:t>
      </w:r>
      <w:r>
        <w:t>Th</w:t>
      </w:r>
      <w:r w:rsidR="00F17B4A">
        <w:t xml:space="preserve">e previous </w:t>
      </w:r>
      <w:r>
        <w:t xml:space="preserve">adjustment is irrelevant to adjustments that need to be made in </w:t>
      </w:r>
      <w:r w:rsidR="00961C1E">
        <w:t>the current year</w:t>
      </w:r>
      <w:r>
        <w:t xml:space="preserve"> and including it interferes with simple, accurate cost recovery. This can be corrected by changing </w:t>
      </w:r>
      <w:r w:rsidR="00576BCC">
        <w:t>the Levy</w:t>
      </w:r>
      <w:r>
        <w:t xml:space="preserve"> for </w:t>
      </w:r>
      <w:r w:rsidR="003A0914">
        <w:t xml:space="preserve">an </w:t>
      </w:r>
      <w:r>
        <w:t>operator</w:t>
      </w:r>
      <w:r w:rsidR="003A0914">
        <w:t xml:space="preserve"> to:</w:t>
      </w:r>
    </w:p>
    <w:p w:rsidR="003A0914" w:rsidRPr="006C3FF0" w:rsidRDefault="003A0914" w:rsidP="003A0914">
      <w:pPr>
        <w:jc w:val="center"/>
        <w:rPr>
          <w:i/>
        </w:rPr>
      </w:pPr>
      <w:r w:rsidRPr="006C3FF0">
        <w:rPr>
          <w:i/>
        </w:rPr>
        <w:t xml:space="preserve">Estimated levy for the current year + [intended levy from the previous year – </w:t>
      </w:r>
      <w:r>
        <w:rPr>
          <w:i/>
        </w:rPr>
        <w:t xml:space="preserve">estimated levy for the </w:t>
      </w:r>
      <w:r w:rsidRPr="006C3FF0">
        <w:rPr>
          <w:i/>
        </w:rPr>
        <w:t>previous year]</w:t>
      </w:r>
    </w:p>
    <w:p w:rsidR="00E61AF9" w:rsidRDefault="00493F55" w:rsidP="00510E29">
      <w:pPr>
        <w:jc w:val="both"/>
      </w:pPr>
      <w:proofErr w:type="gramStart"/>
      <w:r>
        <w:t>w</w:t>
      </w:r>
      <w:r w:rsidR="003A0914">
        <w:t>here</w:t>
      </w:r>
      <w:proofErr w:type="gramEnd"/>
      <w:r w:rsidR="003A0914">
        <w:t xml:space="preserve"> the estimated levy for the previous year was </w:t>
      </w:r>
      <w:r w:rsidR="0068266A">
        <w:t>the l</w:t>
      </w:r>
      <w:r w:rsidR="00576BCC">
        <w:t>evy</w:t>
      </w:r>
      <w:r w:rsidR="003A0914">
        <w:t xml:space="preserve">, </w:t>
      </w:r>
      <w:r w:rsidR="003A0914" w:rsidRPr="007355FC">
        <w:rPr>
          <w:i/>
        </w:rPr>
        <w:t>without adjustment</w:t>
      </w:r>
      <w:r w:rsidR="003A0914">
        <w:t xml:space="preserve">, calculated from estimated values. </w:t>
      </w:r>
    </w:p>
    <w:p w:rsidR="00E61AF9" w:rsidRDefault="00E61AF9" w:rsidP="00D85385">
      <w:pPr>
        <w:pStyle w:val="Heading3"/>
      </w:pPr>
      <w:bookmarkStart w:id="92" w:name="_Toc443051406"/>
      <w:bookmarkStart w:id="93" w:name="_Toc443901133"/>
      <w:bookmarkStart w:id="94" w:name="_Toc444861401"/>
      <w:bookmarkStart w:id="95" w:name="_Toc449438558"/>
      <w:bookmarkStart w:id="96" w:name="_Toc454982020"/>
      <w:r>
        <w:t xml:space="preserve">Removing </w:t>
      </w:r>
      <w:r w:rsidR="000759E2">
        <w:t xml:space="preserve">the </w:t>
      </w:r>
      <w:r>
        <w:t>adjustment</w:t>
      </w:r>
      <w:bookmarkEnd w:id="92"/>
      <w:bookmarkEnd w:id="93"/>
      <w:bookmarkEnd w:id="94"/>
      <w:bookmarkEnd w:id="95"/>
      <w:bookmarkEnd w:id="96"/>
    </w:p>
    <w:p w:rsidR="00E61AF9" w:rsidRDefault="00E61AF9" w:rsidP="00510E29">
      <w:pPr>
        <w:jc w:val="both"/>
      </w:pPr>
      <w:r>
        <w:t xml:space="preserve">Yearly adjustment increases the complexity of the levy structure. Another method, which also ensures cost recovery, is to charge operators for the preceding year. This approach does not require estimated variables and will not over- or under-recover regulatory costs. </w:t>
      </w:r>
    </w:p>
    <w:p w:rsidR="003A0914" w:rsidRDefault="00FD0408" w:rsidP="00510E29">
      <w:pPr>
        <w:jc w:val="both"/>
      </w:pPr>
      <w:r>
        <w:t>How to best r</w:t>
      </w:r>
      <w:r w:rsidR="00F17B4A">
        <w:t>emov</w:t>
      </w:r>
      <w:r>
        <w:t>e</w:t>
      </w:r>
      <w:r w:rsidR="003A0914">
        <w:t xml:space="preserve"> the adjustment depends on which method of distribution the ACT </w:t>
      </w:r>
      <w:r w:rsidR="00F17B4A">
        <w:t xml:space="preserve">Government </w:t>
      </w:r>
      <w:r w:rsidR="003A0914">
        <w:t xml:space="preserve">proceeds with. For example, Option 4 allows </w:t>
      </w:r>
      <w:r w:rsidR="00F17B4A">
        <w:t xml:space="preserve">(but does not require) </w:t>
      </w:r>
      <w:r w:rsidR="003A0914">
        <w:t>the fixed fee to be recovered prospectively, leaving the remaining variable component to be collected retrospectively.</w:t>
      </w:r>
    </w:p>
    <w:p w:rsidR="00C52D82" w:rsidRPr="00C52D82" w:rsidRDefault="00C52D82" w:rsidP="00C52D82">
      <w:pPr>
        <w:spacing w:before="240"/>
      </w:pPr>
      <w:r>
        <w:t xml:space="preserve">The investigation’s </w:t>
      </w:r>
      <w:r w:rsidR="00A733B6">
        <w:t>recommended</w:t>
      </w:r>
      <w:r>
        <w:t xml:space="preserve"> </w:t>
      </w:r>
      <w:r w:rsidR="00F736EC">
        <w:t>approach is</w:t>
      </w:r>
      <w:r w:rsidR="00A733B6">
        <w:t xml:space="preserve"> to:</w:t>
      </w:r>
    </w:p>
    <w:p w:rsidR="00C61A24" w:rsidRPr="00493EEE" w:rsidRDefault="00C61A24" w:rsidP="00C61A24">
      <w:pPr>
        <w:pStyle w:val="Recommendationnonlist"/>
        <w:rPr>
          <w:b/>
        </w:rPr>
      </w:pPr>
      <w:r>
        <w:rPr>
          <w:b/>
        </w:rPr>
        <w:t>Recommendation 6</w:t>
      </w:r>
      <w:r w:rsidRPr="00493EEE">
        <w:rPr>
          <w:b/>
        </w:rPr>
        <w:t xml:space="preserve">: </w:t>
      </w:r>
      <w:r w:rsidR="00731D74" w:rsidRPr="00731D74">
        <w:t>Amend the adjustment for estimation to be the difference between the estimated and actual cost of regulation in the previous year (from the second year of the new levy system onwards, see Recommendation </w:t>
      </w:r>
      <w:r w:rsidR="00731D74">
        <w:t>12</w:t>
      </w:r>
      <w:r w:rsidR="00731D74" w:rsidRPr="00731D74">
        <w:t>).</w:t>
      </w:r>
    </w:p>
    <w:p w:rsidR="002B3857" w:rsidRDefault="0067782F" w:rsidP="006358B7">
      <w:pPr>
        <w:pStyle w:val="Heading2"/>
      </w:pPr>
      <w:bookmarkStart w:id="97" w:name="_Toc454982021"/>
      <w:r>
        <w:t xml:space="preserve">5.2 </w:t>
      </w:r>
      <w:r w:rsidR="00F318AC">
        <w:t>T</w:t>
      </w:r>
      <w:r w:rsidR="002B3857">
        <w:t>ransparency</w:t>
      </w:r>
      <w:bookmarkEnd w:id="97"/>
      <w:r w:rsidR="000A3ECD">
        <w:t xml:space="preserve"> </w:t>
      </w:r>
    </w:p>
    <w:p w:rsidR="00E61AF9" w:rsidRDefault="00E61AF9" w:rsidP="00E61AF9">
      <w:pPr>
        <w:jc w:val="both"/>
      </w:pPr>
      <w:r>
        <w:t xml:space="preserve">Submissions to the EIL Discussion Paper suggest that there is insufficient transparency in the EIL. Submissions speculated about what caused increases in </w:t>
      </w:r>
      <w:r w:rsidR="00576BCC">
        <w:t>the Levy</w:t>
      </w:r>
      <w:r>
        <w:t xml:space="preserve"> (</w:t>
      </w:r>
      <w:r w:rsidR="003A7CAE">
        <w:t xml:space="preserve">for example, </w:t>
      </w:r>
      <w:proofErr w:type="spellStart"/>
      <w:r>
        <w:t>ActewAGL</w:t>
      </w:r>
      <w:proofErr w:type="spellEnd"/>
      <w:r>
        <w:t xml:space="preserve"> Distribution suspected increases in the number of staff in the Technical Regulator) and differences in cost to other jurisdictions</w:t>
      </w:r>
      <w:r w:rsidR="009D0B7D">
        <w:t xml:space="preserve">. </w:t>
      </w:r>
      <w:r w:rsidR="0066315D">
        <w:t>The general view was th</w:t>
      </w:r>
      <w:r>
        <w:t xml:space="preserve">ere is insufficient transparency in what costs the EIL recovers and the factors that drive these costs. In a cost recovery process, it is important </w:t>
      </w:r>
      <w:r w:rsidR="00977E54">
        <w:t xml:space="preserve">to </w:t>
      </w:r>
      <w:r>
        <w:t>ensure the method for distributing the cost of regulation line up with the factors that increase the total cost to be recovered.</w:t>
      </w:r>
    </w:p>
    <w:p w:rsidR="00E61AF9" w:rsidRDefault="00E61AF9" w:rsidP="00D85385">
      <w:pPr>
        <w:pStyle w:val="Heading3"/>
      </w:pPr>
      <w:bookmarkStart w:id="98" w:name="_Toc443051408"/>
      <w:bookmarkStart w:id="99" w:name="_Toc443901135"/>
      <w:bookmarkStart w:id="100" w:name="_Toc444861403"/>
      <w:bookmarkStart w:id="101" w:name="_Toc449438560"/>
      <w:bookmarkStart w:id="102" w:name="_Toc454982022"/>
      <w:r>
        <w:t>Division between industry sectors</w:t>
      </w:r>
      <w:bookmarkEnd w:id="98"/>
      <w:bookmarkEnd w:id="99"/>
      <w:bookmarkEnd w:id="100"/>
      <w:bookmarkEnd w:id="101"/>
      <w:bookmarkEnd w:id="102"/>
    </w:p>
    <w:p w:rsidR="00E61AF9" w:rsidRDefault="00E61AF9" w:rsidP="00E61AF9">
      <w:pPr>
        <w:jc w:val="both"/>
      </w:pPr>
      <w:r>
        <w:t>The EIL for the four industry sectors are calculated and charged independently; however, it is not always easy to determine which sectors are responsible for which regulatory costs. For example:</w:t>
      </w:r>
    </w:p>
    <w:p w:rsidR="00E61AF9" w:rsidRDefault="00E61AF9" w:rsidP="00353E23">
      <w:pPr>
        <w:pStyle w:val="ListParagraph"/>
        <w:numPr>
          <w:ilvl w:val="0"/>
          <w:numId w:val="7"/>
        </w:numPr>
        <w:jc w:val="both"/>
      </w:pPr>
      <w:r>
        <w:t xml:space="preserve">it is reasonably easy to </w:t>
      </w:r>
      <w:r w:rsidR="0066315D">
        <w:t>determine that the significant n</w:t>
      </w:r>
      <w:r>
        <w:t xml:space="preserve">ational cost is for </w:t>
      </w:r>
      <w:r w:rsidR="0066315D">
        <w:t>funding</w:t>
      </w:r>
      <w:r>
        <w:t xml:space="preserve"> AEMC, </w:t>
      </w:r>
      <w:r w:rsidR="0066315D">
        <w:t>shared between NEM states</w:t>
      </w:r>
      <w:r>
        <w:t xml:space="preserve"> on a per capita basis, but it is not eas</w:t>
      </w:r>
      <w:r w:rsidR="005B6D20">
        <w:t>y</w:t>
      </w:r>
      <w:r>
        <w:t xml:space="preserve"> </w:t>
      </w:r>
      <w:r w:rsidR="005B6D20">
        <w:t>to determine</w:t>
      </w:r>
      <w:r>
        <w:t xml:space="preserve"> how this is spread across the four industry sectors</w:t>
      </w:r>
      <w:r w:rsidR="0066315D">
        <w:t xml:space="preserve"> in the EIL</w:t>
      </w:r>
      <w:r>
        <w:t xml:space="preserve">; and </w:t>
      </w:r>
    </w:p>
    <w:p w:rsidR="00E61AF9" w:rsidRDefault="00E61AF9" w:rsidP="00353E23">
      <w:pPr>
        <w:pStyle w:val="ListParagraph"/>
        <w:numPr>
          <w:ilvl w:val="0"/>
          <w:numId w:val="7"/>
        </w:numPr>
        <w:jc w:val="both"/>
      </w:pPr>
      <w:proofErr w:type="gramStart"/>
      <w:r>
        <w:t>it</w:t>
      </w:r>
      <w:proofErr w:type="gramEnd"/>
      <w:r>
        <w:t xml:space="preserve"> is reasonably easy to determine that Technical Regulator costs are recovered through the local costs, but it is not clear how this is distributed across the sectors</w:t>
      </w:r>
      <w:r w:rsidR="00456D51">
        <w:t>.</w:t>
      </w:r>
      <w:r w:rsidR="00456D51">
        <w:rPr>
          <w:rStyle w:val="FootnoteReference"/>
        </w:rPr>
        <w:footnoteReference w:id="18"/>
      </w:r>
      <w:r w:rsidR="00456D51">
        <w:t xml:space="preserve"> </w:t>
      </w:r>
    </w:p>
    <w:p w:rsidR="00E61AF9" w:rsidRDefault="00E61AF9" w:rsidP="00D85385">
      <w:pPr>
        <w:pStyle w:val="Heading3"/>
      </w:pPr>
      <w:bookmarkStart w:id="103" w:name="_Toc443051409"/>
      <w:bookmarkStart w:id="104" w:name="_Toc443901136"/>
      <w:bookmarkStart w:id="105" w:name="_Toc444861404"/>
      <w:bookmarkStart w:id="106" w:name="_Toc449438561"/>
      <w:bookmarkStart w:id="107" w:name="_Toc454982023"/>
      <w:r>
        <w:t>Division between fixed, variable, and local agencies</w:t>
      </w:r>
      <w:bookmarkEnd w:id="103"/>
      <w:bookmarkEnd w:id="104"/>
      <w:bookmarkEnd w:id="105"/>
      <w:bookmarkEnd w:id="106"/>
      <w:bookmarkEnd w:id="107"/>
    </w:p>
    <w:p w:rsidR="00E61AF9" w:rsidRDefault="00E61AF9" w:rsidP="00510E29">
      <w:pPr>
        <w:jc w:val="both"/>
      </w:pPr>
      <w:r>
        <w:t xml:space="preserve">The Act is explicit in what costs are </w:t>
      </w:r>
      <w:r w:rsidR="00687F86">
        <w:t>considered</w:t>
      </w:r>
      <w:r>
        <w:t xml:space="preserve"> national costs: cost-sharin</w:t>
      </w:r>
      <w:r w:rsidR="00117D8A">
        <w:t>g arrangements for funding AEMC;</w:t>
      </w:r>
      <w:r>
        <w:t xml:space="preserve"> and the </w:t>
      </w:r>
      <w:r w:rsidR="005B6D20">
        <w:t xml:space="preserve">COAG Energy Council’s </w:t>
      </w:r>
      <w:r>
        <w:t>responsibilities.</w:t>
      </w:r>
      <w:r w:rsidR="005B6D20">
        <w:rPr>
          <w:rStyle w:val="FootnoteReference"/>
        </w:rPr>
        <w:footnoteReference w:id="19"/>
      </w:r>
      <w:r>
        <w:t xml:space="preserve"> There is less information on the local costs. Explanatory statements to </w:t>
      </w:r>
      <w:r w:rsidR="00576BCC">
        <w:t>the Levy</w:t>
      </w:r>
      <w:r w:rsidR="002A4967">
        <w:t xml:space="preserve"> A</w:t>
      </w:r>
      <w:r w:rsidR="00D57DFA">
        <w:t>dministrator’s</w:t>
      </w:r>
      <w:r>
        <w:t xml:space="preserve"> determinations, the ICRC annual report, and other sources specify that the local regulatory costs are for the ICRC, the Technical Regulator, and the ACAT. However it is less clear what the individual costs for these agencies </w:t>
      </w:r>
      <w:r w:rsidR="001B1BC7">
        <w:t>are</w:t>
      </w:r>
      <w:r>
        <w:t>.</w:t>
      </w:r>
    </w:p>
    <w:p w:rsidR="00E61AF9" w:rsidRDefault="00E61AF9" w:rsidP="00510E29">
      <w:pPr>
        <w:pStyle w:val="Quote1"/>
      </w:pPr>
      <w:r w:rsidRPr="00256772">
        <w:t xml:space="preserve">While the annual EIL determination notices do provide a summary of what is included in the costs, there is no cost breakdown by function or agency and no explanation as to how the costs have been allocated across sectors and fixed and variable costs. </w:t>
      </w:r>
      <w:proofErr w:type="spellStart"/>
      <w:r w:rsidRPr="00256772">
        <w:t>ActewAGL</w:t>
      </w:r>
      <w:proofErr w:type="spellEnd"/>
      <w:r w:rsidRPr="00256772">
        <w:t xml:space="preserve"> Retail also notes that the information is not provided in a form easy for consumers to access an</w:t>
      </w:r>
      <w:r>
        <w:t>d</w:t>
      </w:r>
      <w:r w:rsidRPr="00256772">
        <w:t xml:space="preserve"> understand.</w:t>
      </w:r>
      <w:r>
        <w:t xml:space="preserve"> </w:t>
      </w:r>
      <w:r w:rsidRPr="00A56CC1">
        <w:rPr>
          <w:i w:val="0"/>
        </w:rPr>
        <w:t>(</w:t>
      </w:r>
      <w:proofErr w:type="spellStart"/>
      <w:r w:rsidRPr="00A56CC1">
        <w:rPr>
          <w:i w:val="0"/>
        </w:rPr>
        <w:t>ActewAGL</w:t>
      </w:r>
      <w:proofErr w:type="spellEnd"/>
      <w:r w:rsidRPr="00A56CC1">
        <w:rPr>
          <w:i w:val="0"/>
        </w:rPr>
        <w:t> Retail)</w:t>
      </w:r>
    </w:p>
    <w:p w:rsidR="00E61AF9" w:rsidRDefault="00E61AF9" w:rsidP="00510E29">
      <w:pPr>
        <w:jc w:val="both"/>
      </w:pPr>
      <w:r>
        <w:t>The regulatory costs recovered through the EIL are restricted to the regulat</w:t>
      </w:r>
      <w:r w:rsidR="001B1BC7">
        <w:t xml:space="preserve">ory costs specified by the Act, </w:t>
      </w:r>
      <w:r>
        <w:t>but in the case of local costs it is not simple to determine what these are. This is particularly true for the Technical Regulator, which has gone through significant change</w:t>
      </w:r>
      <w:r w:rsidR="00EE7925">
        <w:t>s</w:t>
      </w:r>
      <w:r>
        <w:t xml:space="preserve"> in recent years (with substantial increases in legislation through </w:t>
      </w:r>
      <w:r w:rsidRPr="009060C6">
        <w:t>the</w:t>
      </w:r>
      <w:r>
        <w:t xml:space="preserve"> </w:t>
      </w:r>
      <w:r w:rsidRPr="006D6DDE">
        <w:rPr>
          <w:i/>
        </w:rPr>
        <w:t>Utilities (Technical Regulation) Act 2014</w:t>
      </w:r>
      <w:r>
        <w:t xml:space="preserve">, and operational matters moving into Access Canberra). </w:t>
      </w:r>
      <w:proofErr w:type="spellStart"/>
      <w:r>
        <w:t>ActewAGL</w:t>
      </w:r>
      <w:proofErr w:type="spellEnd"/>
      <w:r>
        <w:t xml:space="preserve"> Retail </w:t>
      </w:r>
      <w:r w:rsidR="00D91C6B">
        <w:t>receives</w:t>
      </w:r>
      <w:r>
        <w:t xml:space="preserve"> an additional user charge, for the ICRC’s retail electricity price determination for small franchise customers. Prior to 2013-14, the ICRC recovered this cost through the EIL. In its submission to this investigation, </w:t>
      </w:r>
      <w:proofErr w:type="spellStart"/>
      <w:r>
        <w:t>ActewAGL</w:t>
      </w:r>
      <w:proofErr w:type="spellEnd"/>
      <w:r>
        <w:t xml:space="preserve"> Retail said:</w:t>
      </w:r>
    </w:p>
    <w:p w:rsidR="00E61AF9" w:rsidRPr="005F2E2F" w:rsidRDefault="00E61AF9" w:rsidP="00510E29">
      <w:pPr>
        <w:pStyle w:val="Quote1"/>
      </w:pPr>
      <w:proofErr w:type="spellStart"/>
      <w:r>
        <w:t>ActewAGL</w:t>
      </w:r>
      <w:proofErr w:type="spellEnd"/>
      <w:r>
        <w:t xml:space="preserve"> Retail is also separately charged by the Independent Competition and Regulatory Commission (ICRC) </w:t>
      </w:r>
      <w:r w:rsidR="00D91C6B">
        <w:t>f</w:t>
      </w:r>
      <w:r>
        <w:t xml:space="preserve">or conduct of specific regulatory price reviews. Reconciliation of these separate ‘fee for service’ amounts is also necessary as part of a review of the EIL to ensure appropriate treatment of, and accountability for these additional regulatory costs. </w:t>
      </w:r>
      <w:proofErr w:type="spellStart"/>
      <w:r>
        <w:t>ActewAGL</w:t>
      </w:r>
      <w:proofErr w:type="spellEnd"/>
      <w:r>
        <w:t xml:space="preserve"> Retail would appreciate being provided an advance estimate of likely costs, </w:t>
      </w:r>
      <w:proofErr w:type="gramStart"/>
      <w:r>
        <w:t>full details of what is</w:t>
      </w:r>
      <w:proofErr w:type="gramEnd"/>
      <w:r>
        <w:t xml:space="preserve"> actually being charged in the invoice and clear explanation as to why these costs are not better recovered in the EIL. </w:t>
      </w:r>
    </w:p>
    <w:p w:rsidR="00E61AF9" w:rsidRDefault="00E61AF9" w:rsidP="00510E29">
      <w:pPr>
        <w:jc w:val="both"/>
      </w:pPr>
      <w:r>
        <w:t xml:space="preserve">While the treatment of charges for additional costs is beyond the terms of this </w:t>
      </w:r>
      <w:r w:rsidR="00CA6C40">
        <w:t>investigation</w:t>
      </w:r>
      <w:r>
        <w:t xml:space="preserve">, it is clear from </w:t>
      </w:r>
      <w:proofErr w:type="spellStart"/>
      <w:r>
        <w:t>ActewAGL</w:t>
      </w:r>
      <w:proofErr w:type="spellEnd"/>
      <w:r>
        <w:t xml:space="preserve"> Retail’s submission that </w:t>
      </w:r>
      <w:r w:rsidR="001B1BC7">
        <w:t>increased transparency in the</w:t>
      </w:r>
      <w:r>
        <w:t xml:space="preserve"> EIL would also</w:t>
      </w:r>
      <w:r w:rsidR="001B1BC7">
        <w:t xml:space="preserve"> improve </w:t>
      </w:r>
      <w:r>
        <w:t xml:space="preserve">understanding </w:t>
      </w:r>
      <w:r w:rsidR="001B1BC7">
        <w:t xml:space="preserve">of </w:t>
      </w:r>
      <w:r>
        <w:t>other charges.</w:t>
      </w:r>
    </w:p>
    <w:p w:rsidR="00E61AF9" w:rsidRDefault="00E61AF9" w:rsidP="00D85385">
      <w:pPr>
        <w:pStyle w:val="Heading3"/>
      </w:pPr>
      <w:bookmarkStart w:id="108" w:name="_Toc443051412"/>
      <w:bookmarkStart w:id="109" w:name="_Toc443901137"/>
      <w:bookmarkStart w:id="110" w:name="_Toc444861405"/>
      <w:bookmarkStart w:id="111" w:name="_Toc449438562"/>
      <w:bookmarkStart w:id="112" w:name="_Toc454982024"/>
      <w:r>
        <w:t>Commonwealth best practice</w:t>
      </w:r>
      <w:bookmarkEnd w:id="108"/>
      <w:bookmarkEnd w:id="109"/>
      <w:bookmarkEnd w:id="110"/>
      <w:bookmarkEnd w:id="111"/>
      <w:bookmarkEnd w:id="112"/>
    </w:p>
    <w:p w:rsidR="00E61AF9" w:rsidRDefault="00E61AF9" w:rsidP="00CB3974">
      <w:pPr>
        <w:pStyle w:val="Quote1"/>
        <w:spacing w:before="240"/>
      </w:pPr>
      <w:r w:rsidRPr="00110FA6">
        <w:t>Transparency is about ope</w:t>
      </w:r>
      <w:r w:rsidR="00103CDB">
        <w:t>n</w:t>
      </w:r>
      <w:r w:rsidRPr="00110FA6">
        <w:t>, two-way communication and a willingness to explain activities and actions. It allows appropriate scrutiny of government activities, decisions and processes by providing access to information.</w:t>
      </w:r>
      <w:r w:rsidR="00EF6E60">
        <w:rPr>
          <w:rStyle w:val="FootnoteReference"/>
          <w:i w:val="0"/>
        </w:rPr>
        <w:footnoteReference w:id="20"/>
      </w:r>
    </w:p>
    <w:p w:rsidR="00E61AF9" w:rsidRDefault="00E61AF9" w:rsidP="00E61AF9">
      <w:pPr>
        <w:jc w:val="both"/>
      </w:pPr>
      <w:r>
        <w:t xml:space="preserve">The </w:t>
      </w:r>
      <w:r w:rsidRPr="00980820">
        <w:t>CRGs</w:t>
      </w:r>
      <w:r w:rsidR="002200B8">
        <w:t xml:space="preserve"> have</w:t>
      </w:r>
      <w:r>
        <w:t xml:space="preserve"> three cost recovery principles:</w:t>
      </w:r>
    </w:p>
    <w:p w:rsidR="00E61AF9" w:rsidRDefault="00E61AF9" w:rsidP="00353E23">
      <w:pPr>
        <w:pStyle w:val="ListParagraph"/>
        <w:numPr>
          <w:ilvl w:val="0"/>
          <w:numId w:val="14"/>
        </w:numPr>
        <w:jc w:val="both"/>
      </w:pPr>
      <w:r>
        <w:t>Efficiency and effectiveness;</w:t>
      </w:r>
    </w:p>
    <w:p w:rsidR="00E61AF9" w:rsidRDefault="00E61AF9" w:rsidP="00353E23">
      <w:pPr>
        <w:pStyle w:val="ListParagraph"/>
        <w:numPr>
          <w:ilvl w:val="0"/>
          <w:numId w:val="14"/>
        </w:numPr>
        <w:jc w:val="both"/>
      </w:pPr>
      <w:r>
        <w:t>Transparency and accountability; and</w:t>
      </w:r>
    </w:p>
    <w:p w:rsidR="00E61AF9" w:rsidRDefault="00E61AF9" w:rsidP="00353E23">
      <w:pPr>
        <w:pStyle w:val="ListParagraph"/>
        <w:numPr>
          <w:ilvl w:val="0"/>
          <w:numId w:val="14"/>
        </w:numPr>
        <w:jc w:val="both"/>
      </w:pPr>
      <w:r>
        <w:t>Stakeholder engagement.</w:t>
      </w:r>
    </w:p>
    <w:p w:rsidR="00E61AF9" w:rsidRDefault="00E61AF9" w:rsidP="00E61AF9">
      <w:pPr>
        <w:spacing w:before="240"/>
        <w:jc w:val="both"/>
      </w:pPr>
      <w:r>
        <w:t xml:space="preserve">The submissions </w:t>
      </w:r>
      <w:r w:rsidR="000C4A1A">
        <w:t>quoted</w:t>
      </w:r>
      <w:r>
        <w:t xml:space="preserve"> above suggest that the EIL can be improved in regard to (2) and (3).</w:t>
      </w:r>
    </w:p>
    <w:p w:rsidR="00E61AF9" w:rsidRDefault="00980820" w:rsidP="00E61AF9">
      <w:pPr>
        <w:jc w:val="both"/>
      </w:pPr>
      <w:r>
        <w:t xml:space="preserve">The </w:t>
      </w:r>
      <w:r w:rsidR="005063E9">
        <w:t>CRG</w:t>
      </w:r>
      <w:r>
        <w:t>s require</w:t>
      </w:r>
      <w:r w:rsidR="00E61AF9">
        <w:t xml:space="preserve"> that Commonwealth agencies have a well-documented costing model for the sake of accountability and transparency. Detailed documentation is required for specific cost recovery so that the Commonwealth parliament, those that pay the </w:t>
      </w:r>
      <w:proofErr w:type="gramStart"/>
      <w:r w:rsidR="00E61AF9">
        <w:t>charges,</w:t>
      </w:r>
      <w:proofErr w:type="gramEnd"/>
      <w:r w:rsidR="00E61AF9">
        <w:t xml:space="preserve"> and other stakeholders can analyse the activity. Agencies are required to report on cost recovery at an aggregate level in annual financial statements and at t</w:t>
      </w:r>
      <w:r w:rsidR="00103CDB">
        <w:t>he activity level on their</w:t>
      </w:r>
      <w:r w:rsidR="00E61AF9">
        <w:t xml:space="preserve"> website. This reporting must include information on outcome, output, and input mea</w:t>
      </w:r>
      <w:r w:rsidR="002200B8">
        <w:t>sures, possibl</w:t>
      </w:r>
      <w:r w:rsidR="00E61AF9">
        <w:t xml:space="preserve">y against benchmarks. </w:t>
      </w:r>
    </w:p>
    <w:p w:rsidR="00E61AF9" w:rsidRDefault="00E61AF9" w:rsidP="00980820">
      <w:pPr>
        <w:jc w:val="both"/>
      </w:pPr>
      <w:r>
        <w:t>In the EIL context, these requirement</w:t>
      </w:r>
      <w:r w:rsidR="00F14D91">
        <w:t>s c</w:t>
      </w:r>
      <w:r>
        <w:t>ould</w:t>
      </w:r>
      <w:r w:rsidR="00980820">
        <w:t xml:space="preserve"> </w:t>
      </w:r>
      <w:r>
        <w:t xml:space="preserve">encourage the regulators to be </w:t>
      </w:r>
      <w:r w:rsidR="00980820">
        <w:t xml:space="preserve">efficient and </w:t>
      </w:r>
      <w:r w:rsidR="00F14D91">
        <w:t xml:space="preserve">would </w:t>
      </w:r>
      <w:r>
        <w:t xml:space="preserve">increase awareness of the regulatory </w:t>
      </w:r>
      <w:r w:rsidR="00980820">
        <w:t>costs in the ACT energy sectors. I</w:t>
      </w:r>
      <w:r>
        <w:t xml:space="preserve">ncreased awareness may lead to greater acceptance </w:t>
      </w:r>
      <w:r w:rsidR="00980820">
        <w:t xml:space="preserve">of </w:t>
      </w:r>
      <w:r w:rsidR="00576BCC">
        <w:t>the Levy</w:t>
      </w:r>
      <w:r w:rsidR="00980820">
        <w:t xml:space="preserve">, compliance, and </w:t>
      </w:r>
      <w:r>
        <w:t>reductions in regulation costs</w:t>
      </w:r>
      <w:r w:rsidR="00980820">
        <w:t>.</w:t>
      </w:r>
    </w:p>
    <w:p w:rsidR="00E61AF9" w:rsidRDefault="00416AE0" w:rsidP="00D85385">
      <w:pPr>
        <w:pStyle w:val="Heading3"/>
      </w:pPr>
      <w:bookmarkStart w:id="113" w:name="_Toc443901138"/>
      <w:bookmarkStart w:id="114" w:name="_Toc444861406"/>
      <w:bookmarkStart w:id="115" w:name="_Toc449438563"/>
      <w:bookmarkStart w:id="116" w:name="_Toc454982025"/>
      <w:r w:rsidRPr="00CF6FA9">
        <w:t>Current reporting relating to the EIL</w:t>
      </w:r>
      <w:bookmarkEnd w:id="113"/>
      <w:bookmarkEnd w:id="114"/>
      <w:bookmarkEnd w:id="115"/>
      <w:bookmarkEnd w:id="116"/>
    </w:p>
    <w:p w:rsidR="00E61AF9" w:rsidRDefault="00E61AF9" w:rsidP="00E61AF9">
      <w:pPr>
        <w:jc w:val="both"/>
      </w:pPr>
      <w:r>
        <w:t xml:space="preserve">The regulatory costs </w:t>
      </w:r>
      <w:r w:rsidR="00CF6FA9">
        <w:t>recovered through the EIL</w:t>
      </w:r>
      <w:r>
        <w:t xml:space="preserve"> </w:t>
      </w:r>
      <w:r w:rsidR="0082192E">
        <w:t>are</w:t>
      </w:r>
      <w:r>
        <w:t xml:space="preserve"> outlined in </w:t>
      </w:r>
      <w:r w:rsidR="0082192E">
        <w:t xml:space="preserve">Section 3 and </w:t>
      </w:r>
      <w:r w:rsidR="00931B60">
        <w:t>Appendix C</w:t>
      </w:r>
      <w:r>
        <w:t xml:space="preserve">. This section </w:t>
      </w:r>
      <w:r w:rsidR="00CF6FA9">
        <w:t xml:space="preserve">provides additional details on the reporting of these costs, and </w:t>
      </w:r>
      <w:r w:rsidR="00E52083">
        <w:t>provides comments</w:t>
      </w:r>
      <w:r w:rsidR="00CF6FA9">
        <w:t xml:space="preserve"> in light of submission</w:t>
      </w:r>
      <w:r w:rsidR="00E52083">
        <w:t>s</w:t>
      </w:r>
      <w:r w:rsidR="00CF6FA9">
        <w:t xml:space="preserve"> to the investigation and the </w:t>
      </w:r>
      <w:r w:rsidR="005063E9">
        <w:t>CRG</w:t>
      </w:r>
      <w:r w:rsidR="00CF6FA9">
        <w:t>s</w:t>
      </w:r>
      <w:r>
        <w:t>.</w:t>
      </w:r>
    </w:p>
    <w:p w:rsidR="00E61AF9" w:rsidRDefault="00576BCC" w:rsidP="00CF6FA9">
      <w:pPr>
        <w:jc w:val="both"/>
      </w:pPr>
      <w:r>
        <w:t>The Levy</w:t>
      </w:r>
      <w:r w:rsidR="00CF6FA9">
        <w:t xml:space="preserve"> </w:t>
      </w:r>
      <w:r w:rsidR="002A4967">
        <w:t>A</w:t>
      </w:r>
      <w:r w:rsidR="00E61AF9">
        <w:t>dministrator is required to determine a range of values</w:t>
      </w:r>
      <w:r w:rsidR="007107E1">
        <w:t>,</w:t>
      </w:r>
      <w:r w:rsidR="00E61AF9">
        <w:t xml:space="preserve"> used in calculating the EIL. These values are available on the ACT</w:t>
      </w:r>
      <w:r w:rsidR="00493F55">
        <w:t xml:space="preserve"> Legislation website, as </w:t>
      </w:r>
      <w:proofErr w:type="spellStart"/>
      <w:r w:rsidR="00493F55">
        <w:t>notifi</w:t>
      </w:r>
      <w:r w:rsidR="00E61AF9">
        <w:t>able</w:t>
      </w:r>
      <w:proofErr w:type="spellEnd"/>
      <w:r w:rsidR="00E61AF9">
        <w:t xml:space="preserve"> instruments. In recent years, the instruments have included expla</w:t>
      </w:r>
      <w:r w:rsidR="0082192E">
        <w:t>natory statements</w:t>
      </w:r>
      <w:r w:rsidR="0019162B">
        <w:t xml:space="preserve"> that specify</w:t>
      </w:r>
      <w:r w:rsidR="0082192E">
        <w:t xml:space="preserve"> the </w:t>
      </w:r>
      <w:r w:rsidR="00E61AF9">
        <w:t xml:space="preserve">organisations </w:t>
      </w:r>
      <w:r w:rsidR="0082192E">
        <w:t>whose costs were recovered</w:t>
      </w:r>
      <w:r w:rsidR="00B51D05">
        <w:t>,</w:t>
      </w:r>
      <w:r w:rsidR="00E61AF9">
        <w:t xml:space="preserve"> at national and local levels.  The explanatory statement</w:t>
      </w:r>
      <w:r w:rsidR="00804F3C">
        <w:t>s</w:t>
      </w:r>
      <w:r w:rsidR="00E61AF9">
        <w:t xml:space="preserve"> for the local re</w:t>
      </w:r>
      <w:r w:rsidR="00E52083">
        <w:t>gulatory cost determinations have</w:t>
      </w:r>
      <w:r w:rsidR="00E61AF9">
        <w:t xml:space="preserve"> included</w:t>
      </w:r>
      <w:r w:rsidR="007107E1" w:rsidRPr="007107E1">
        <w:t xml:space="preserve"> </w:t>
      </w:r>
      <w:r w:rsidR="007107E1">
        <w:t>further explanation on</w:t>
      </w:r>
      <w:r w:rsidR="00E61AF9">
        <w:t>:</w:t>
      </w:r>
    </w:p>
    <w:p w:rsidR="00E61AF9" w:rsidRDefault="00E61AF9" w:rsidP="00353E23">
      <w:pPr>
        <w:pStyle w:val="ListParagraph"/>
        <w:numPr>
          <w:ilvl w:val="0"/>
          <w:numId w:val="13"/>
        </w:numPr>
        <w:jc w:val="both"/>
      </w:pPr>
      <w:r>
        <w:t>increases from previous years;</w:t>
      </w:r>
    </w:p>
    <w:p w:rsidR="00E61AF9" w:rsidRDefault="00E61AF9" w:rsidP="00353E23">
      <w:pPr>
        <w:pStyle w:val="ListParagraph"/>
        <w:numPr>
          <w:ilvl w:val="0"/>
          <w:numId w:val="13"/>
        </w:numPr>
        <w:jc w:val="both"/>
      </w:pPr>
      <w:r>
        <w:t>changes to the Technical Regulator; and</w:t>
      </w:r>
    </w:p>
    <w:p w:rsidR="00E61AF9" w:rsidRDefault="00E61AF9" w:rsidP="00353E23">
      <w:pPr>
        <w:pStyle w:val="ListParagraph"/>
        <w:numPr>
          <w:ilvl w:val="0"/>
          <w:numId w:val="13"/>
        </w:numPr>
        <w:jc w:val="both"/>
      </w:pPr>
      <w:proofErr w:type="gramStart"/>
      <w:r>
        <w:t>increased</w:t>
      </w:r>
      <w:proofErr w:type="gramEnd"/>
      <w:r>
        <w:t xml:space="preserve"> costs to the Technical Regulator for greater number of audits.</w:t>
      </w:r>
    </w:p>
    <w:p w:rsidR="00E61AF9" w:rsidRDefault="00E52083" w:rsidP="00E52083">
      <w:pPr>
        <w:spacing w:before="240"/>
        <w:jc w:val="both"/>
      </w:pPr>
      <w:r>
        <w:t>I</w:t>
      </w:r>
      <w:r w:rsidR="00263CFF" w:rsidRPr="00263CFF">
        <w:t>nformation on the ICRC</w:t>
      </w:r>
      <w:r w:rsidR="00263CFF">
        <w:t xml:space="preserve">’s activities as </w:t>
      </w:r>
      <w:r w:rsidR="00576BCC">
        <w:t>the Levy</w:t>
      </w:r>
      <w:r w:rsidR="00263CFF">
        <w:t xml:space="preserve"> Administrator is available in its annual report.</w:t>
      </w:r>
    </w:p>
    <w:p w:rsidR="00E61AF9" w:rsidRDefault="00E61AF9" w:rsidP="00CF6FA9">
      <w:pPr>
        <w:jc w:val="both"/>
      </w:pPr>
      <w:r>
        <w:t>The ACAT provides detailed reports on complaints and resulting investigations in its annual report. This includes a breakdown of the types of complaint applications, the s</w:t>
      </w:r>
      <w:r w:rsidR="00263CFF">
        <w:t>tages of complaints, and utilities</w:t>
      </w:r>
      <w:r>
        <w:t xml:space="preserve"> involved. The annual report offers both quantitative and qualitative accounts of the applications. For example, the 2014-15 </w:t>
      </w:r>
      <w:r w:rsidR="00E52083">
        <w:t xml:space="preserve">ACAT </w:t>
      </w:r>
      <w:r>
        <w:t>annual report said “the number of new applications was down slightly as Retail in-house hardship programs improve. However, the tribunal has noted that new applications are more complex and often require greater long-term case management.”</w:t>
      </w:r>
      <w:r w:rsidR="00E52083">
        <w:rPr>
          <w:rStyle w:val="FootnoteReference"/>
        </w:rPr>
        <w:footnoteReference w:id="21"/>
      </w:r>
      <w:r>
        <w:t xml:space="preserve"> </w:t>
      </w:r>
    </w:p>
    <w:p w:rsidR="00E61AF9" w:rsidRDefault="00263CFF" w:rsidP="00CF6FA9">
      <w:pPr>
        <w:jc w:val="both"/>
      </w:pPr>
      <w:r>
        <w:t xml:space="preserve">Information on the </w:t>
      </w:r>
      <w:r w:rsidR="002A4967">
        <w:t>T</w:t>
      </w:r>
      <w:r w:rsidR="00321FD1">
        <w:t xml:space="preserve">echnical </w:t>
      </w:r>
      <w:r w:rsidR="002A4967">
        <w:t>R</w:t>
      </w:r>
      <w:r w:rsidR="00E61AF9">
        <w:t>egulator</w:t>
      </w:r>
      <w:r>
        <w:t>’s activities has been available in annual reports. The a</w:t>
      </w:r>
      <w:r w:rsidR="00E61AF9">
        <w:t xml:space="preserve">nnual reports for </w:t>
      </w:r>
      <w:r>
        <w:t xml:space="preserve">the </w:t>
      </w:r>
      <w:r w:rsidR="00E61AF9" w:rsidRPr="00263CFF">
        <w:t>E</w:t>
      </w:r>
      <w:r w:rsidRPr="00263CFF">
        <w:t xml:space="preserve">nvironment and </w:t>
      </w:r>
      <w:r w:rsidR="00E61AF9" w:rsidRPr="00263CFF">
        <w:t>S</w:t>
      </w:r>
      <w:r w:rsidRPr="00263CFF">
        <w:t xml:space="preserve">ustainable </w:t>
      </w:r>
      <w:r w:rsidR="00E61AF9" w:rsidRPr="00263CFF">
        <w:t>D</w:t>
      </w:r>
      <w:r w:rsidRPr="00263CFF">
        <w:t xml:space="preserve">evelopment </w:t>
      </w:r>
      <w:r w:rsidR="00E61AF9" w:rsidRPr="00263CFF">
        <w:t>D</w:t>
      </w:r>
      <w:r>
        <w:t>irectorate</w:t>
      </w:r>
      <w:r w:rsidR="00E61AF9">
        <w:t xml:space="preserve"> </w:t>
      </w:r>
      <w:r w:rsidR="00A252D1">
        <w:t xml:space="preserve">(ESDD) </w:t>
      </w:r>
      <w:r w:rsidR="00E61AF9">
        <w:t>(2012-13) and</w:t>
      </w:r>
      <w:r>
        <w:t xml:space="preserve"> the Environment and Planning Directorate (</w:t>
      </w:r>
      <w:r w:rsidR="00E61AF9" w:rsidRPr="00263CFF">
        <w:t>EPD</w:t>
      </w:r>
      <w:r>
        <w:t>)</w:t>
      </w:r>
      <w:r w:rsidR="00E61AF9">
        <w:t xml:space="preserve"> (2013-14) contain a descripti</w:t>
      </w:r>
      <w:r w:rsidR="00321FD1">
        <w:t xml:space="preserve">on of the role and work of the </w:t>
      </w:r>
      <w:r w:rsidR="002A4967">
        <w:t>T</w:t>
      </w:r>
      <w:r w:rsidR="00321FD1">
        <w:t xml:space="preserve">echnical </w:t>
      </w:r>
      <w:r w:rsidR="002A4967">
        <w:t>R</w:t>
      </w:r>
      <w:r w:rsidR="00E61AF9">
        <w:t>egulator. These descriptions include audits t</w:t>
      </w:r>
      <w:r w:rsidR="0082192E">
        <w:t>he team conducted. The EPD 2014</w:t>
      </w:r>
      <w:r w:rsidR="0082192E">
        <w:noBreakHyphen/>
      </w:r>
      <w:r w:rsidR="00E61AF9">
        <w:t>15 annual report does not contain information on audits, noting t</w:t>
      </w:r>
      <w:r w:rsidR="002A4967">
        <w:t>hat utilities technical r</w:t>
      </w:r>
      <w:r w:rsidR="00E61AF9">
        <w:t xml:space="preserve">egulation is now coordinated by Access Canberra, </w:t>
      </w:r>
      <w:r>
        <w:t>the Chief Minister, Treasury and Economic Development Directorate (CMTEDD)</w:t>
      </w:r>
      <w:r w:rsidR="00E61AF9">
        <w:t>. The annual report for CMTEDD has no detailed information on</w:t>
      </w:r>
      <w:r w:rsidR="002A4967">
        <w:t xml:space="preserve"> regulation carried out by the Technical R</w:t>
      </w:r>
      <w:r w:rsidR="00E61AF9">
        <w:t>egulator in that year.</w:t>
      </w:r>
      <w:r w:rsidR="00243757">
        <w:t xml:space="preserve"> Detailed annual reports are e</w:t>
      </w:r>
      <w:r w:rsidR="002A4967">
        <w:t>xpected to be published by the Technical R</w:t>
      </w:r>
      <w:r w:rsidR="00243757">
        <w:t xml:space="preserve">egulator outlining work done in 2013-14 and 2014-15 in the near future. This is expected to be </w:t>
      </w:r>
      <w:r w:rsidR="00A437EB">
        <w:t xml:space="preserve">an </w:t>
      </w:r>
      <w:r w:rsidR="00243757">
        <w:t>ongoing</w:t>
      </w:r>
      <w:r w:rsidR="00A437EB">
        <w:t xml:space="preserve"> approach</w:t>
      </w:r>
      <w:r w:rsidR="00243757">
        <w:t>, with annual reports for later years to be published (possibly o</w:t>
      </w:r>
      <w:r w:rsidR="002A4967">
        <w:t>n the Technical R</w:t>
      </w:r>
      <w:r w:rsidR="00243757">
        <w:t>egulator’s website).</w:t>
      </w:r>
    </w:p>
    <w:p w:rsidR="00E61AF9" w:rsidRDefault="00E61AF9" w:rsidP="00E61AF9">
      <w:pPr>
        <w:spacing w:before="240"/>
        <w:jc w:val="both"/>
      </w:pPr>
      <w:r>
        <w:t xml:space="preserve">The available information </w:t>
      </w:r>
      <w:r w:rsidR="007C4395">
        <w:t xml:space="preserve">on the EIL </w:t>
      </w:r>
      <w:r>
        <w:t>is more extensive than industry comments sugge</w:t>
      </w:r>
      <w:r w:rsidR="00795CEE">
        <w:t>st; this is partially because the information</w:t>
      </w:r>
      <w:r>
        <w:t xml:space="preserve"> is distributed across a number of annual reports, explanatory statements, and government websites. A consolidated report on what costs the EIL has recovered, each year, would improve transpa</w:t>
      </w:r>
      <w:r w:rsidR="0081156A">
        <w:t xml:space="preserve">rency. Further investigation is required to determine the best means of implementing this consolidated report. It may be best included in explanatory statements to </w:t>
      </w:r>
      <w:proofErr w:type="spellStart"/>
      <w:r w:rsidR="0081156A">
        <w:t>notifiable</w:t>
      </w:r>
      <w:proofErr w:type="spellEnd"/>
      <w:r w:rsidR="0081156A">
        <w:t xml:space="preserve"> instruments</w:t>
      </w:r>
      <w:r w:rsidR="00E84CFC">
        <w:t>,</w:t>
      </w:r>
      <w:r w:rsidR="0081156A">
        <w:t xml:space="preserve"> in a separate document</w:t>
      </w:r>
      <w:r w:rsidR="002A4967">
        <w:t xml:space="preserve">, or on </w:t>
      </w:r>
      <w:r w:rsidR="00576BCC">
        <w:t>the Levy</w:t>
      </w:r>
      <w:r w:rsidR="002A4967">
        <w:t xml:space="preserve"> A</w:t>
      </w:r>
      <w:r w:rsidR="00E84CFC">
        <w:t>dministrator’s website</w:t>
      </w:r>
      <w:r w:rsidR="0081156A">
        <w:t>.</w:t>
      </w:r>
    </w:p>
    <w:p w:rsidR="00E61AF9" w:rsidRDefault="009D3DA7" w:rsidP="00E61AF9">
      <w:pPr>
        <w:spacing w:before="240"/>
        <w:jc w:val="both"/>
      </w:pPr>
      <w:r>
        <w:t>The information</w:t>
      </w:r>
      <w:r w:rsidR="00E61AF9">
        <w:t xml:space="preserve"> industry submissions highlighted </w:t>
      </w:r>
      <w:r w:rsidR="00725074">
        <w:t>which</w:t>
      </w:r>
      <w:r w:rsidR="00E61AF9">
        <w:t xml:space="preserve"> is not readily available is:</w:t>
      </w:r>
    </w:p>
    <w:p w:rsidR="00E61AF9" w:rsidRDefault="00795CEE" w:rsidP="00353E23">
      <w:pPr>
        <w:pStyle w:val="ListParagraph"/>
        <w:numPr>
          <w:ilvl w:val="0"/>
          <w:numId w:val="15"/>
        </w:numPr>
        <w:spacing w:before="240"/>
        <w:jc w:val="both"/>
      </w:pPr>
      <w:r>
        <w:t xml:space="preserve">how </w:t>
      </w:r>
      <w:r w:rsidR="00E61AF9">
        <w:t xml:space="preserve">national, ACAT, </w:t>
      </w:r>
      <w:r w:rsidR="002A4967">
        <w:t>Levy A</w:t>
      </w:r>
      <w:r w:rsidR="007F4A78">
        <w:t>dministrator</w:t>
      </w:r>
      <w:r w:rsidR="002A4967">
        <w:t>, and Technical R</w:t>
      </w:r>
      <w:r w:rsidR="00E61AF9">
        <w:t xml:space="preserve">egulator costs </w:t>
      </w:r>
      <w:r>
        <w:t xml:space="preserve">are distributed </w:t>
      </w:r>
      <w:r w:rsidR="00E61AF9">
        <w:t>bet</w:t>
      </w:r>
      <w:r>
        <w:t xml:space="preserve">ween the four industry sectors </w:t>
      </w:r>
      <w:r w:rsidR="00E61AF9">
        <w:t xml:space="preserve">and between </w:t>
      </w:r>
      <w:r>
        <w:t xml:space="preserve">the </w:t>
      </w:r>
      <w:r w:rsidR="00E61AF9">
        <w:t xml:space="preserve">fixed and variable </w:t>
      </w:r>
      <w:r>
        <w:t>components of the EIL</w:t>
      </w:r>
      <w:r w:rsidR="00E61AF9">
        <w:t xml:space="preserve">; </w:t>
      </w:r>
    </w:p>
    <w:p w:rsidR="00E61AF9" w:rsidRDefault="00795CEE" w:rsidP="00353E23">
      <w:pPr>
        <w:pStyle w:val="ListParagraph"/>
        <w:numPr>
          <w:ilvl w:val="0"/>
          <w:numId w:val="15"/>
        </w:numPr>
        <w:spacing w:before="240"/>
        <w:jc w:val="both"/>
      </w:pPr>
      <w:r>
        <w:t xml:space="preserve">what </w:t>
      </w:r>
      <w:r w:rsidR="007A52AB">
        <w:t>cost</w:t>
      </w:r>
      <w:r>
        <w:t xml:space="preserve"> i</w:t>
      </w:r>
      <w:r w:rsidR="007A52AB">
        <w:t>s recovered</w:t>
      </w:r>
      <w:r>
        <w:t xml:space="preserve"> by the </w:t>
      </w:r>
      <w:r w:rsidR="00E61AF9">
        <w:t xml:space="preserve">EIL </w:t>
      </w:r>
      <w:r>
        <w:t xml:space="preserve">for each </w:t>
      </w:r>
      <w:r w:rsidR="007A52AB">
        <w:t>local agency</w:t>
      </w:r>
      <w:r w:rsidR="00E61AF9">
        <w:t>; and</w:t>
      </w:r>
    </w:p>
    <w:p w:rsidR="00E61AF9" w:rsidRDefault="00E61AF9" w:rsidP="00353E23">
      <w:pPr>
        <w:pStyle w:val="ListParagraph"/>
        <w:numPr>
          <w:ilvl w:val="0"/>
          <w:numId w:val="15"/>
        </w:numPr>
        <w:spacing w:before="240"/>
        <w:jc w:val="both"/>
      </w:pPr>
      <w:proofErr w:type="gramStart"/>
      <w:r>
        <w:t>detail</w:t>
      </w:r>
      <w:r w:rsidR="002A4967">
        <w:t>s</w:t>
      </w:r>
      <w:proofErr w:type="gramEnd"/>
      <w:r w:rsidR="002A4967">
        <w:t xml:space="preserve"> on the expenses of the Technical R</w:t>
      </w:r>
      <w:r>
        <w:t>egulator</w:t>
      </w:r>
      <w:r w:rsidR="00795CEE">
        <w:t xml:space="preserve"> recovered through the EIL</w:t>
      </w:r>
      <w:r>
        <w:t>.</w:t>
      </w:r>
    </w:p>
    <w:p w:rsidR="00E61AF9" w:rsidRDefault="00E61AF9" w:rsidP="0081156A">
      <w:pPr>
        <w:spacing w:before="240"/>
        <w:jc w:val="both"/>
      </w:pPr>
      <w:r>
        <w:t>The calculations and methodology behind these determinations are not as straightforward as the Act suggests. For example, the national costs are charged t</w:t>
      </w:r>
      <w:r w:rsidR="0082192E">
        <w:t>o the ACT Government as a</w:t>
      </w:r>
      <w:r w:rsidR="00EA755E">
        <w:t xml:space="preserve"> single</w:t>
      </w:r>
      <w:r w:rsidR="0082192E">
        <w:t xml:space="preserve"> total</w:t>
      </w:r>
      <w:r>
        <w:t>.</w:t>
      </w:r>
      <w:r w:rsidR="002A4967">
        <w:t xml:space="preserve"> Under the current system, the A</w:t>
      </w:r>
      <w:r>
        <w:t>dministrator must determine how to distribute these costs between industry sectors and between the fixed and variable components. Given the national syste</w:t>
      </w:r>
      <w:r w:rsidR="009A1044">
        <w:t>m is unlikely to change to suit</w:t>
      </w:r>
      <w:r>
        <w:t xml:space="preserve"> the Territory’s needs and a simple uniform division of national costs across the industry sectors will unfairly distribute regulatory costs, these calculations will continue to re</w:t>
      </w:r>
      <w:r w:rsidR="002A4967">
        <w:t>quire subtle management by the A</w:t>
      </w:r>
      <w:r>
        <w:t>dministrator. In the absence of clear and simple approaches to distributing regulatory costs, it is unclear how satisfied industry</w:t>
      </w:r>
      <w:r w:rsidR="002A4967">
        <w:t xml:space="preserve"> would be with the details the A</w:t>
      </w:r>
      <w:r>
        <w:t xml:space="preserve">dministrator could provide. </w:t>
      </w:r>
    </w:p>
    <w:p w:rsidR="00E61AF9" w:rsidRDefault="00E61AF9" w:rsidP="00E61AF9">
      <w:pPr>
        <w:jc w:val="both"/>
      </w:pPr>
      <w:r>
        <w:t xml:space="preserve">Providing a report that compiled the costs to local regulators and explained the method for distributing </w:t>
      </w:r>
      <w:r w:rsidR="00576BCC">
        <w:t>the Levy</w:t>
      </w:r>
      <w:r>
        <w:t xml:space="preserve"> across and within sectors would lead to greater transparency and accountability. On the other hand, this would increase administration costs, increase the EIL, and increase energy costs to the public. Given the strength of opinion in industry submissions on this issue, </w:t>
      </w:r>
      <w:r w:rsidR="001E7675">
        <w:t>best</w:t>
      </w:r>
      <w:r>
        <w:t xml:space="preserve"> practice</w:t>
      </w:r>
      <w:r w:rsidR="001E7675">
        <w:t xml:space="preserve"> guidelines</w:t>
      </w:r>
      <w:r>
        <w:t>, and the relatively small size of the additional cost to consumers</w:t>
      </w:r>
      <w:r w:rsidR="001E7675">
        <w:t>,</w:t>
      </w:r>
      <w:r>
        <w:t xml:space="preserve"> this trade-off seems </w:t>
      </w:r>
      <w:r w:rsidR="001E7675">
        <w:t>acceptable</w:t>
      </w:r>
      <w:r>
        <w:t>.</w:t>
      </w:r>
    </w:p>
    <w:p w:rsidR="00C61A24" w:rsidRPr="00493EEE" w:rsidRDefault="00C61A24" w:rsidP="00C61A24">
      <w:pPr>
        <w:pStyle w:val="Recommendationnonlist"/>
      </w:pPr>
      <w:r>
        <w:rPr>
          <w:b/>
        </w:rPr>
        <w:t>Recommendation 7</w:t>
      </w:r>
      <w:r w:rsidRPr="00493EEE">
        <w:rPr>
          <w:b/>
        </w:rPr>
        <w:t>:</w:t>
      </w:r>
      <w:r w:rsidRPr="00493EEE">
        <w:t xml:space="preserve"> </w:t>
      </w:r>
      <w:r>
        <w:t xml:space="preserve">The Levy Administrator should publish </w:t>
      </w:r>
      <w:r w:rsidRPr="00493EEE">
        <w:t xml:space="preserve">information on regulatory costs </w:t>
      </w:r>
      <w:r>
        <w:t xml:space="preserve">annually, including </w:t>
      </w:r>
      <w:r w:rsidRPr="00493EEE">
        <w:t>an account and explanation of how these costs have been assigned to the categories in the EIL structure.</w:t>
      </w:r>
    </w:p>
    <w:p w:rsidR="002B3857" w:rsidRDefault="0067782F" w:rsidP="006358B7">
      <w:pPr>
        <w:pStyle w:val="Heading2"/>
      </w:pPr>
      <w:bookmarkStart w:id="117" w:name="_Toc454982026"/>
      <w:r>
        <w:t xml:space="preserve">5.3 </w:t>
      </w:r>
      <w:r w:rsidR="001A722B" w:rsidRPr="001A722B">
        <w:t>O</w:t>
      </w:r>
      <w:r w:rsidR="002B3857" w:rsidRPr="001A722B">
        <w:t>ther</w:t>
      </w:r>
      <w:r w:rsidR="001A722B">
        <w:t xml:space="preserve"> issues</w:t>
      </w:r>
      <w:bookmarkEnd w:id="117"/>
    </w:p>
    <w:p w:rsidR="001A722B" w:rsidRDefault="002F0BEE" w:rsidP="00D85385">
      <w:pPr>
        <w:pStyle w:val="Heading3"/>
      </w:pPr>
      <w:bookmarkStart w:id="118" w:name="_Toc443051410"/>
      <w:bookmarkStart w:id="119" w:name="_Toc443901140"/>
      <w:bookmarkStart w:id="120" w:name="_Toc444861408"/>
      <w:bookmarkStart w:id="121" w:name="_Toc449438565"/>
      <w:bookmarkStart w:id="122" w:name="_Toc454982027"/>
      <w:bookmarkStart w:id="123" w:name="_Toc443051411"/>
      <w:r>
        <w:t xml:space="preserve">ACT </w:t>
      </w:r>
      <w:r w:rsidR="001A722B">
        <w:t>Revenue</w:t>
      </w:r>
      <w:r>
        <w:t xml:space="preserve"> Office</w:t>
      </w:r>
      <w:r w:rsidR="001A722B">
        <w:t xml:space="preserve"> and ICRC</w:t>
      </w:r>
      <w:bookmarkEnd w:id="118"/>
      <w:bookmarkEnd w:id="119"/>
      <w:bookmarkEnd w:id="120"/>
      <w:bookmarkEnd w:id="121"/>
      <w:bookmarkEnd w:id="122"/>
    </w:p>
    <w:p w:rsidR="001A722B" w:rsidRDefault="001A722B" w:rsidP="00510E29">
      <w:pPr>
        <w:jc w:val="both"/>
      </w:pPr>
      <w:r>
        <w:t xml:space="preserve">As a tax, the EIL is partially in the domain of the ACT Revenue Office. This is in accord with the </w:t>
      </w:r>
      <w:r w:rsidR="005063E9">
        <w:t>CRG</w:t>
      </w:r>
      <w:r>
        <w:t>s, where a levy is considered a hypothecated tax. While this is best practice at the Commonwealth level, there are concerns with how it works at the Territory level.</w:t>
      </w:r>
    </w:p>
    <w:p w:rsidR="001A722B" w:rsidRDefault="00C81FC1" w:rsidP="00510E29">
      <w:pPr>
        <w:pStyle w:val="ListParagraph"/>
        <w:numPr>
          <w:ilvl w:val="0"/>
          <w:numId w:val="12"/>
        </w:numPr>
        <w:jc w:val="both"/>
      </w:pPr>
      <w:r>
        <w:t xml:space="preserve">Some submissions to the investigation </w:t>
      </w:r>
      <w:r w:rsidR="001A722B">
        <w:t xml:space="preserve">considered the need to submit a return to </w:t>
      </w:r>
      <w:r w:rsidR="00EA755E">
        <w:t>the Revenue Office</w:t>
      </w:r>
      <w:r w:rsidR="001A722B">
        <w:t xml:space="preserve"> </w:t>
      </w:r>
      <w:r w:rsidR="00EA755E">
        <w:t xml:space="preserve">to be </w:t>
      </w:r>
      <w:r w:rsidR="001A722B">
        <w:t xml:space="preserve">unnecessary red tape and would prefer an annual invoice, which happens in other jurisdictions where </w:t>
      </w:r>
      <w:r w:rsidR="003743B3">
        <w:t>it</w:t>
      </w:r>
      <w:r w:rsidR="001A722B">
        <w:t xml:space="preserve"> operate</w:t>
      </w:r>
      <w:r w:rsidR="003743B3">
        <w:t>s</w:t>
      </w:r>
      <w:r w:rsidR="001A722B">
        <w:t>.</w:t>
      </w:r>
    </w:p>
    <w:p w:rsidR="001A722B" w:rsidRDefault="001A722B" w:rsidP="00510E29">
      <w:pPr>
        <w:pStyle w:val="ListParagraph"/>
        <w:numPr>
          <w:ilvl w:val="0"/>
          <w:numId w:val="12"/>
        </w:numPr>
        <w:jc w:val="both"/>
      </w:pPr>
      <w:r>
        <w:t xml:space="preserve">Operators submit energy provision numbers to both </w:t>
      </w:r>
      <w:r w:rsidR="00EA755E">
        <w:t>the Revenue Office</w:t>
      </w:r>
      <w:r w:rsidR="003D0343">
        <w:t xml:space="preserve"> and the ICRC. W</w:t>
      </w:r>
      <w:r>
        <w:t xml:space="preserve">ithout transparent enforcement </w:t>
      </w:r>
      <w:r w:rsidR="003D0343">
        <w:t xml:space="preserve">of compliance, </w:t>
      </w:r>
      <w:r>
        <w:t xml:space="preserve">there is </w:t>
      </w:r>
      <w:r w:rsidR="002200B8">
        <w:t>the potential</w:t>
      </w:r>
      <w:r>
        <w:t xml:space="preserve"> for operators to provide different figures. </w:t>
      </w:r>
    </w:p>
    <w:p w:rsidR="001A722B" w:rsidRDefault="001056AC" w:rsidP="001056AC">
      <w:pPr>
        <w:spacing w:before="240"/>
        <w:jc w:val="both"/>
      </w:pPr>
      <w:r>
        <w:t xml:space="preserve">The ACT Government could </w:t>
      </w:r>
      <w:r w:rsidR="001A722B">
        <w:t>reduc</w:t>
      </w:r>
      <w:r>
        <w:t>e</w:t>
      </w:r>
      <w:r w:rsidR="001A722B">
        <w:t xml:space="preserve"> red tape for utilities and the incentives for noncompliance. However, </w:t>
      </w:r>
      <w:r w:rsidR="009D3DA7">
        <w:t>there are no simple options where</w:t>
      </w:r>
      <w:r w:rsidR="001A722B">
        <w:t xml:space="preserve"> the interests of all stakeholders and the practicality of implementation are taken into account. </w:t>
      </w:r>
    </w:p>
    <w:p w:rsidR="001A722B" w:rsidRDefault="001A722B" w:rsidP="00510E29">
      <w:pPr>
        <w:jc w:val="both"/>
      </w:pPr>
      <w:r>
        <w:t>This is not a minor issue with a straightforward solution and is beyond the terms of the current investigation. Nonetheless</w:t>
      </w:r>
      <w:r w:rsidR="003743B3">
        <w:t>,</w:t>
      </w:r>
      <w:r w:rsidR="001056AC">
        <w:t xml:space="preserve"> the</w:t>
      </w:r>
      <w:r>
        <w:t xml:space="preserve"> governance structure of the EIL is important and it should be addressed in the future.</w:t>
      </w:r>
    </w:p>
    <w:p w:rsidR="00903C45" w:rsidRDefault="00903C45" w:rsidP="00903C45">
      <w:pPr>
        <w:pStyle w:val="Recommendationnonlist"/>
      </w:pPr>
      <w:bookmarkStart w:id="124" w:name="_Toc443901141"/>
      <w:bookmarkStart w:id="125" w:name="_Toc444861409"/>
      <w:r w:rsidRPr="005F0BB1">
        <w:rPr>
          <w:b/>
        </w:rPr>
        <w:t>Recommendation</w:t>
      </w:r>
      <w:r>
        <w:rPr>
          <w:b/>
        </w:rPr>
        <w:t xml:space="preserve"> 8</w:t>
      </w:r>
      <w:r w:rsidRPr="00493EEE">
        <w:rPr>
          <w:b/>
        </w:rPr>
        <w:t>:</w:t>
      </w:r>
      <w:r w:rsidRPr="00493EEE">
        <w:t xml:space="preserve"> </w:t>
      </w:r>
      <w:r>
        <w:t xml:space="preserve">Re-examination of </w:t>
      </w:r>
      <w:r w:rsidRPr="00493EEE">
        <w:t xml:space="preserve">the administrative structure of the EIL to </w:t>
      </w:r>
      <w:r>
        <w:t xml:space="preserve">reduce red tape and other burdens of </w:t>
      </w:r>
      <w:r w:rsidRPr="00493EEE">
        <w:t>compliance</w:t>
      </w:r>
      <w:r>
        <w:t xml:space="preserve"> may be warranted in the future. </w:t>
      </w:r>
    </w:p>
    <w:p w:rsidR="00903C45" w:rsidRDefault="00903C45" w:rsidP="00903C45">
      <w:pPr>
        <w:pStyle w:val="Recommendationnonlist"/>
        <w:spacing w:after="0"/>
      </w:pPr>
      <w:r w:rsidRPr="005F0BB1">
        <w:rPr>
          <w:b/>
        </w:rPr>
        <w:t>Recommendation</w:t>
      </w:r>
      <w:r>
        <w:rPr>
          <w:b/>
        </w:rPr>
        <w:t xml:space="preserve"> 9</w:t>
      </w:r>
      <w:r w:rsidRPr="00493EEE">
        <w:rPr>
          <w:b/>
        </w:rPr>
        <w:t>:</w:t>
      </w:r>
      <w:r>
        <w:rPr>
          <w:b/>
        </w:rPr>
        <w:t xml:space="preserve"> </w:t>
      </w:r>
      <w:r w:rsidRPr="00DF3CBA">
        <w:t>Re-examination of</w:t>
      </w:r>
      <w:r>
        <w:rPr>
          <w:b/>
        </w:rPr>
        <w:t xml:space="preserve"> </w:t>
      </w:r>
      <w:r w:rsidRPr="00493EEE">
        <w:t xml:space="preserve">the </w:t>
      </w:r>
      <w:r>
        <w:t xml:space="preserve">roles of the ACT Revenue Office and the ICRC in the </w:t>
      </w:r>
      <w:r w:rsidRPr="00493EEE">
        <w:t>governance structure of the EIL</w:t>
      </w:r>
      <w:r>
        <w:t xml:space="preserve"> may be warranted in the future. These joint roles can allow for </w:t>
      </w:r>
      <w:r w:rsidRPr="00493EEE">
        <w:t>non</w:t>
      </w:r>
      <w:r w:rsidRPr="00493EEE">
        <w:noBreakHyphen/>
        <w:t>compliance</w:t>
      </w:r>
      <w:r>
        <w:t xml:space="preserve"> by firms and inflexibility in administering the Levy</w:t>
      </w:r>
      <w:r w:rsidRPr="00493EEE">
        <w:t>.</w:t>
      </w:r>
      <w:r>
        <w:t xml:space="preserve"> </w:t>
      </w:r>
    </w:p>
    <w:p w:rsidR="00903C45" w:rsidRPr="009F604A" w:rsidRDefault="00903C45" w:rsidP="00903C45">
      <w:pPr>
        <w:pStyle w:val="Recommendationnonlist"/>
      </w:pPr>
      <w:r w:rsidRPr="009F604A">
        <w:rPr>
          <w:b/>
        </w:rPr>
        <w:tab/>
      </w:r>
      <w:r w:rsidRPr="009F604A">
        <w:rPr>
          <w:b/>
        </w:rPr>
        <w:tab/>
      </w:r>
      <w:r w:rsidRPr="002F3D58">
        <w:t>W</w:t>
      </w:r>
      <w:r>
        <w:t>hen</w:t>
      </w:r>
      <w:r w:rsidRPr="009F604A">
        <w:t xml:space="preserve"> amending the Act in light of the recommendations of this report</w:t>
      </w:r>
      <w:r>
        <w:t>, i</w:t>
      </w:r>
      <w:r w:rsidRPr="009F604A">
        <w:t xml:space="preserve">nclude any minor changes </w:t>
      </w:r>
      <w:r>
        <w:t>that</w:t>
      </w:r>
      <w:r w:rsidRPr="009F604A">
        <w:t xml:space="preserve"> enhance the governance of the Levy. </w:t>
      </w:r>
    </w:p>
    <w:p w:rsidR="00781E10" w:rsidRPr="00781E10" w:rsidRDefault="00781E10" w:rsidP="00781E10">
      <w:pPr>
        <w:pStyle w:val="Recommendationnonlist"/>
        <w:spacing w:after="0"/>
      </w:pPr>
    </w:p>
    <w:p w:rsidR="001A722B" w:rsidRDefault="001A722B" w:rsidP="00D85385">
      <w:pPr>
        <w:pStyle w:val="Heading3"/>
      </w:pPr>
      <w:bookmarkStart w:id="126" w:name="_Toc449438566"/>
      <w:bookmarkStart w:id="127" w:name="_Toc454982028"/>
      <w:r w:rsidRPr="00B52102">
        <w:t xml:space="preserve">Visibility of </w:t>
      </w:r>
      <w:r w:rsidR="00576BCC">
        <w:t>the Levy</w:t>
      </w:r>
      <w:bookmarkEnd w:id="123"/>
      <w:bookmarkEnd w:id="124"/>
      <w:bookmarkEnd w:id="125"/>
      <w:bookmarkEnd w:id="126"/>
      <w:bookmarkEnd w:id="127"/>
    </w:p>
    <w:p w:rsidR="001A722B" w:rsidRDefault="001A722B" w:rsidP="001A722B">
      <w:pPr>
        <w:jc w:val="both"/>
      </w:pPr>
      <w:r>
        <w:t xml:space="preserve">Utilities have entered the ACT market without being aware of the EIL, or of the extent of the regulatory costs. </w:t>
      </w:r>
    </w:p>
    <w:p w:rsidR="00B52102" w:rsidRDefault="001A722B" w:rsidP="001A722B">
      <w:pPr>
        <w:jc w:val="both"/>
      </w:pPr>
      <w:r>
        <w:t xml:space="preserve">Utilities are required to register with the </w:t>
      </w:r>
      <w:r w:rsidR="00EA755E">
        <w:t>Revenue Office</w:t>
      </w:r>
      <w:r>
        <w:t xml:space="preserve"> and distributors are licensed by the ICRC. In practice,</w:t>
      </w:r>
      <w:r w:rsidR="00C858E7">
        <w:t xml:space="preserve"> however,</w:t>
      </w:r>
      <w:r>
        <w:t xml:space="preserve"> it is easy for retail utilities not to be aware of their obligations and may only become aware of them when contacted by the ICRC, which receives information about </w:t>
      </w:r>
      <w:r w:rsidR="00B52102">
        <w:t>retailers</w:t>
      </w:r>
      <w:r>
        <w:t xml:space="preserve"> from the AER. At this time, an ICRC representative may provide the new utility with information about operating in the ACT, although the ICRC is under no obligation to do so.</w:t>
      </w:r>
      <w:r w:rsidR="00B52102">
        <w:t xml:space="preserve"> </w:t>
      </w:r>
    </w:p>
    <w:p w:rsidR="00C61A24" w:rsidRPr="00493EEE" w:rsidRDefault="000A08CC" w:rsidP="00C61A24">
      <w:pPr>
        <w:pStyle w:val="Recommendationnonlist"/>
      </w:pPr>
      <w:r>
        <w:rPr>
          <w:b/>
        </w:rPr>
        <w:t>Recommendation 10</w:t>
      </w:r>
      <w:r w:rsidR="00C61A24" w:rsidRPr="00493EEE">
        <w:rPr>
          <w:b/>
        </w:rPr>
        <w:t xml:space="preserve">: </w:t>
      </w:r>
      <w:r w:rsidR="00C61A24" w:rsidRPr="00493EEE">
        <w:t xml:space="preserve">Guidelines for best practice of the Levy Administrator (see Recommendation 3) should </w:t>
      </w:r>
      <w:r w:rsidR="00C61A24">
        <w:t>also</w:t>
      </w:r>
      <w:r w:rsidR="00C61A24" w:rsidRPr="00493EEE">
        <w:t xml:space="preserve"> provide </w:t>
      </w:r>
      <w:r w:rsidR="00C61A24">
        <w:t xml:space="preserve">market entrants </w:t>
      </w:r>
      <w:r w:rsidR="00C61A24" w:rsidRPr="00493EEE">
        <w:t>with information regarding their obligations in the</w:t>
      </w:r>
      <w:r w:rsidR="00C61A24">
        <w:t xml:space="preserve"> ACT</w:t>
      </w:r>
      <w:r w:rsidR="00C61A24" w:rsidRPr="00493EEE">
        <w:t xml:space="preserve"> energy sector.</w:t>
      </w:r>
    </w:p>
    <w:p w:rsidR="00BE3FBC" w:rsidRDefault="00BE3FBC" w:rsidP="00EA755E">
      <w:pPr>
        <w:jc w:val="both"/>
      </w:pPr>
      <w:r>
        <w:t>This recommendation is not intended to requi</w:t>
      </w:r>
      <w:r w:rsidR="002A4967">
        <w:t xml:space="preserve">re any further action from </w:t>
      </w:r>
      <w:r w:rsidR="00576BCC">
        <w:t>the Levy</w:t>
      </w:r>
      <w:r w:rsidR="002A4967">
        <w:t xml:space="preserve"> A</w:t>
      </w:r>
      <w:r>
        <w:t>dministrator than what</w:t>
      </w:r>
      <w:r w:rsidR="00EA755E">
        <w:t xml:space="preserve"> is currently done;</w:t>
      </w:r>
      <w:r>
        <w:t xml:space="preserve"> rather</w:t>
      </w:r>
      <w:r w:rsidR="00EA755E">
        <w:t>,</w:t>
      </w:r>
      <w:r>
        <w:t xml:space="preserve"> the recommendation acknowledges </w:t>
      </w:r>
      <w:r w:rsidR="007F0D6D">
        <w:t>the current</w:t>
      </w:r>
      <w:r>
        <w:t xml:space="preserve"> approach and aims to ensure the practice is retained in the future.</w:t>
      </w:r>
    </w:p>
    <w:p w:rsidR="006358B7" w:rsidRDefault="006358B7">
      <w:pPr>
        <w:spacing w:after="0" w:line="240" w:lineRule="auto"/>
      </w:pPr>
      <w:r>
        <w:br w:type="page"/>
      </w:r>
    </w:p>
    <w:p w:rsidR="00DD5CC7" w:rsidRDefault="0067782F" w:rsidP="006358B7">
      <w:pPr>
        <w:pStyle w:val="Heading1"/>
      </w:pPr>
      <w:bookmarkStart w:id="128" w:name="_Toc454982029"/>
      <w:r>
        <w:t>Section 6: Term of reference 5 —</w:t>
      </w:r>
      <w:r w:rsidR="00DD5CC7">
        <w:t xml:space="preserve"> Retrospective adjustment</w:t>
      </w:r>
      <w:bookmarkEnd w:id="128"/>
    </w:p>
    <w:p w:rsidR="00B20D9F" w:rsidRPr="00FA2C2F" w:rsidRDefault="00B20D9F" w:rsidP="00510E29">
      <w:pPr>
        <w:jc w:val="both"/>
        <w:rPr>
          <w:rFonts w:asciiTheme="minorHAnsi" w:eastAsia="Times New Roman" w:hAnsiTheme="minorHAnsi"/>
          <w:lang w:eastAsia="en-AU"/>
        </w:rPr>
      </w:pPr>
      <w:r>
        <w:t xml:space="preserve">There are two </w:t>
      </w:r>
      <w:r w:rsidR="00E960A2">
        <w:t xml:space="preserve">ways of </w:t>
      </w:r>
      <w:r w:rsidR="00FA2C2F">
        <w:t>adjust</w:t>
      </w:r>
      <w:r w:rsidR="00E960A2">
        <w:t>ing the EIL</w:t>
      </w:r>
      <w:r w:rsidR="00FA2C2F">
        <w:t xml:space="preserve"> in the first year of the new </w:t>
      </w:r>
      <w:r w:rsidR="00E960A2">
        <w:t>l</w:t>
      </w:r>
      <w:r w:rsidR="00FA2C2F">
        <w:t>evy</w:t>
      </w:r>
      <w:r w:rsidR="00E960A2">
        <w:t xml:space="preserve"> system</w:t>
      </w:r>
      <w:r w:rsidR="004A6148">
        <w:t>:</w:t>
      </w:r>
    </w:p>
    <w:p w:rsidR="004A6148" w:rsidRDefault="00E960A2" w:rsidP="0001275B">
      <w:pPr>
        <w:pStyle w:val="ListParagraph"/>
        <w:numPr>
          <w:ilvl w:val="0"/>
          <w:numId w:val="31"/>
        </w:numPr>
        <w:jc w:val="both"/>
      </w:pPr>
      <w:r>
        <w:t>a</w:t>
      </w:r>
      <w:r w:rsidR="004A6148">
        <w:t xml:space="preserve"> retrospective adjust </w:t>
      </w:r>
      <w:r w:rsidR="00CE6A3D">
        <w:t>to</w:t>
      </w:r>
      <w:r w:rsidR="004A6148">
        <w:t xml:space="preserve"> effectively </w:t>
      </w:r>
      <w:r w:rsidR="00CE6A3D">
        <w:t>bring the previous year under the new levy system</w:t>
      </w:r>
      <w:r w:rsidR="00097BDA">
        <w:t xml:space="preserve"> (call this an additional adjustment)</w:t>
      </w:r>
      <w:r w:rsidR="004A6148">
        <w:t>; and</w:t>
      </w:r>
    </w:p>
    <w:p w:rsidR="004A6148" w:rsidRDefault="00E960A2" w:rsidP="0001275B">
      <w:pPr>
        <w:pStyle w:val="ListParagraph"/>
        <w:numPr>
          <w:ilvl w:val="0"/>
          <w:numId w:val="31"/>
        </w:numPr>
        <w:spacing w:before="240" w:after="240"/>
        <w:jc w:val="both"/>
      </w:pPr>
      <w:proofErr w:type="gramStart"/>
      <w:r>
        <w:t>an</w:t>
      </w:r>
      <w:proofErr w:type="gramEnd"/>
      <w:r>
        <w:t xml:space="preserve"> adjustment to correct for estimation in the previous year</w:t>
      </w:r>
      <w:r w:rsidR="00097BDA">
        <w:t xml:space="preserve"> (call this a corrective adjustment)</w:t>
      </w:r>
      <w:r w:rsidR="004A6148">
        <w:t>.</w:t>
      </w:r>
    </w:p>
    <w:p w:rsidR="002B3857" w:rsidRDefault="00CC4B7A" w:rsidP="00510E29">
      <w:pPr>
        <w:jc w:val="both"/>
      </w:pPr>
      <w:r>
        <w:t>While an additional adjustment for the 2015-16 EIL paid to effectively bring the 2015-16 EIL under the new system was raised by the discussion paper, n</w:t>
      </w:r>
      <w:r w:rsidR="00D34609">
        <w:t>o submissions to this investigation commen</w:t>
      </w:r>
      <w:r w:rsidR="008573C5">
        <w:t xml:space="preserve">ted on </w:t>
      </w:r>
      <w:r>
        <w:t xml:space="preserve">its </w:t>
      </w:r>
      <w:r w:rsidR="008573C5">
        <w:t>appropriateness</w:t>
      </w:r>
      <w:r w:rsidR="00D34609">
        <w:t xml:space="preserve">. </w:t>
      </w:r>
      <w:r w:rsidR="006E563A">
        <w:t xml:space="preserve">Given that this retrospective adjustment adds complexity </w:t>
      </w:r>
      <w:r w:rsidR="00D34609">
        <w:t xml:space="preserve">to any changes to </w:t>
      </w:r>
      <w:r w:rsidR="00576BCC">
        <w:t>the Levy</w:t>
      </w:r>
      <w:r w:rsidR="00D34609">
        <w:t xml:space="preserve"> and </w:t>
      </w:r>
      <w:r w:rsidR="006E563A">
        <w:t xml:space="preserve">resulting legislative amendments, this </w:t>
      </w:r>
      <w:r w:rsidR="00CA6C40">
        <w:t>investigation</w:t>
      </w:r>
      <w:r w:rsidR="00087356">
        <w:t xml:space="preserve"> recommends that</w:t>
      </w:r>
    </w:p>
    <w:p w:rsidR="00C61A24" w:rsidRPr="00493EEE" w:rsidRDefault="00C61A24" w:rsidP="00C61A24">
      <w:pPr>
        <w:pStyle w:val="Recommendationnonlist"/>
      </w:pPr>
      <w:r w:rsidRPr="00493EEE">
        <w:rPr>
          <w:b/>
        </w:rPr>
        <w:t>Recommendation</w:t>
      </w:r>
      <w:r>
        <w:rPr>
          <w:b/>
        </w:rPr>
        <w:t xml:space="preserve"> 1</w:t>
      </w:r>
      <w:r w:rsidR="00084F0D">
        <w:rPr>
          <w:b/>
        </w:rPr>
        <w:t>1</w:t>
      </w:r>
      <w:r w:rsidRPr="00493EEE">
        <w:rPr>
          <w:b/>
        </w:rPr>
        <w:t>:</w:t>
      </w:r>
      <w:r w:rsidRPr="00493EEE">
        <w:t xml:space="preserve"> </w:t>
      </w:r>
      <w:r w:rsidR="00084F0D" w:rsidRPr="00084F0D">
        <w:t>There should be no retrospective adjustment in the first year of the new system.</w:t>
      </w:r>
    </w:p>
    <w:p w:rsidR="00474689" w:rsidRDefault="00C44C8A" w:rsidP="003A4496">
      <w:pPr>
        <w:jc w:val="both"/>
      </w:pPr>
      <w:r>
        <w:t xml:space="preserve">The </w:t>
      </w:r>
      <w:r w:rsidR="001A290D">
        <w:t>first year of the new system</w:t>
      </w:r>
      <w:r w:rsidR="00C33A21">
        <w:t xml:space="preserve"> should contain an</w:t>
      </w:r>
      <w:r>
        <w:t xml:space="preserve"> adjustment for a</w:t>
      </w:r>
      <w:r w:rsidR="00097BDA" w:rsidRPr="00097BDA">
        <w:t>ny differences</w:t>
      </w:r>
      <w:r w:rsidR="00097BDA">
        <w:t xml:space="preserve"> between the intended and estimated</w:t>
      </w:r>
      <w:r w:rsidR="005B01AB">
        <w:t xml:space="preserve"> Levy</w:t>
      </w:r>
      <w:r w:rsidR="00097BDA">
        <w:t xml:space="preserve"> </w:t>
      </w:r>
      <w:r w:rsidR="001A290D">
        <w:t>in the previous year</w:t>
      </w:r>
      <w:r w:rsidR="00097BDA">
        <w:t xml:space="preserve">. </w:t>
      </w:r>
      <w:r w:rsidR="00474689">
        <w:t xml:space="preserve">As a cost recovery mechanism, the differences in total regulatory cost and levy recovered up until the new system is implemented should be corrected. For this reason, the investigation recommends including a corrective adjustment in </w:t>
      </w:r>
      <w:r w:rsidR="00D34609">
        <w:t>the</w:t>
      </w:r>
      <w:r w:rsidR="00AA3D4C">
        <w:t xml:space="preserve"> </w:t>
      </w:r>
      <w:r w:rsidR="00910DB1">
        <w:t>first year of the new system</w:t>
      </w:r>
      <w:r w:rsidR="00474689">
        <w:t xml:space="preserve">. </w:t>
      </w:r>
    </w:p>
    <w:p w:rsidR="00474689" w:rsidRDefault="00474689" w:rsidP="00097BDA">
      <w:r>
        <w:t>The corrective adjustment can be calculated in many ways. The two obvious ways are:</w:t>
      </w:r>
    </w:p>
    <w:p w:rsidR="00097BDA" w:rsidRDefault="00474689" w:rsidP="0001275B">
      <w:pPr>
        <w:pStyle w:val="ListParagraph"/>
        <w:numPr>
          <w:ilvl w:val="0"/>
          <w:numId w:val="32"/>
        </w:numPr>
      </w:pPr>
      <w:r>
        <w:t>using the current formula for adjustment in the Act; or</w:t>
      </w:r>
    </w:p>
    <w:p w:rsidR="00474689" w:rsidRDefault="00474689" w:rsidP="0001275B">
      <w:pPr>
        <w:pStyle w:val="ListParagraph"/>
        <w:numPr>
          <w:ilvl w:val="0"/>
          <w:numId w:val="32"/>
        </w:numPr>
      </w:pPr>
      <w:proofErr w:type="gramStart"/>
      <w:r>
        <w:t>using</w:t>
      </w:r>
      <w:proofErr w:type="gramEnd"/>
      <w:r>
        <w:t xml:space="preserve"> a formula that corrects the adjustment method (as discussed in Section 5.1)</w:t>
      </w:r>
      <w:r w:rsidR="008573C5">
        <w:t>.</w:t>
      </w:r>
    </w:p>
    <w:p w:rsidR="00474689" w:rsidRDefault="009E57BB" w:rsidP="003A4496">
      <w:pPr>
        <w:spacing w:before="240"/>
        <w:jc w:val="both"/>
      </w:pPr>
      <w:r>
        <w:t>T</w:t>
      </w:r>
      <w:r w:rsidR="00474689">
        <w:t xml:space="preserve">he first approach is what industry and regulators have been expecting. However, as discussed in Section 5.1, the current method of adjustment is flawed and should be corrected. This investigation recommends using the current method for the corrective adjustment in </w:t>
      </w:r>
      <w:r w:rsidR="00910DB1">
        <w:t xml:space="preserve">the first year of the new system </w:t>
      </w:r>
      <w:r w:rsidR="00474689">
        <w:t xml:space="preserve">and a new method thereafter. While the </w:t>
      </w:r>
      <w:r w:rsidR="00D34609">
        <w:t>current</w:t>
      </w:r>
      <w:r w:rsidR="00474689">
        <w:t xml:space="preserve"> method is flawed, it is </w:t>
      </w:r>
      <w:r w:rsidR="007871DD">
        <w:t xml:space="preserve">the approach currently </w:t>
      </w:r>
      <w:r w:rsidR="00D34609">
        <w:t>expected</w:t>
      </w:r>
      <w:r w:rsidR="00474689">
        <w:t xml:space="preserve"> </w:t>
      </w:r>
      <w:r w:rsidR="007871DD">
        <w:t xml:space="preserve">by industry </w:t>
      </w:r>
      <w:r w:rsidR="00474689">
        <w:t xml:space="preserve">and it would be difficult to correct the impact </w:t>
      </w:r>
      <w:r w:rsidR="00D34609">
        <w:t>of the</w:t>
      </w:r>
      <w:r w:rsidR="00474689">
        <w:t xml:space="preserve"> flaw in a single year.</w:t>
      </w:r>
    </w:p>
    <w:p w:rsidR="00C61A24" w:rsidRDefault="0014731F" w:rsidP="00C61A24">
      <w:pPr>
        <w:pStyle w:val="Recommendationnonlist"/>
      </w:pPr>
      <w:r>
        <w:rPr>
          <w:b/>
        </w:rPr>
        <w:t>Recommendation 12</w:t>
      </w:r>
      <w:r w:rsidR="00C61A24" w:rsidRPr="00474689">
        <w:rPr>
          <w:b/>
        </w:rPr>
        <w:t>:</w:t>
      </w:r>
      <w:r w:rsidR="00C61A24">
        <w:t xml:space="preserve"> </w:t>
      </w:r>
      <w:r w:rsidRPr="0014731F">
        <w:t xml:space="preserve">To ensure consistency, the adjustment in the first levy year of the new system should use the current approach to adjustment (the difference between the estimated cost of regulation and the actual levy paid in the previous year). The new adjustment system should be used from the second year </w:t>
      </w:r>
      <w:r w:rsidR="00745992">
        <w:t>onwards under</w:t>
      </w:r>
      <w:r w:rsidRPr="0014731F">
        <w:t xml:space="preserve"> the new system.</w:t>
      </w:r>
    </w:p>
    <w:p w:rsidR="00E03029" w:rsidRDefault="006358B7" w:rsidP="00E03029">
      <w:pPr>
        <w:pStyle w:val="Heading1"/>
      </w:pPr>
      <w:r>
        <w:br w:type="page"/>
      </w:r>
      <w:bookmarkStart w:id="129" w:name="_Toc454982030"/>
      <w:r w:rsidR="0067782F">
        <w:t>Section 7: Term of reference 4 —</w:t>
      </w:r>
      <w:r w:rsidR="00E03029">
        <w:t xml:space="preserve"> Legislative amendments</w:t>
      </w:r>
      <w:bookmarkEnd w:id="129"/>
    </w:p>
    <w:p w:rsidR="00E03029" w:rsidRDefault="00F02F15" w:rsidP="00510E29">
      <w:pPr>
        <w:jc w:val="both"/>
      </w:pPr>
      <w:r>
        <w:t xml:space="preserve">The final section of the report on the investigation of the EIL outlines </w:t>
      </w:r>
      <w:r w:rsidR="002526EF">
        <w:t xml:space="preserve">the </w:t>
      </w:r>
      <w:r>
        <w:t xml:space="preserve">legislative amendments that are consequences of the </w:t>
      </w:r>
      <w:r w:rsidR="00322830">
        <w:t>investigation’s</w:t>
      </w:r>
      <w:r w:rsidR="002526EF">
        <w:t xml:space="preserve"> </w:t>
      </w:r>
      <w:r>
        <w:t>recommendations.</w:t>
      </w:r>
    </w:p>
    <w:p w:rsidR="00C57267" w:rsidRDefault="00C57267" w:rsidP="00D85385">
      <w:pPr>
        <w:pStyle w:val="Heading3"/>
      </w:pPr>
      <w:bookmarkStart w:id="130" w:name="_Toc443901144"/>
      <w:bookmarkStart w:id="131" w:name="_Toc444861412"/>
      <w:bookmarkStart w:id="132" w:name="_Toc449438569"/>
      <w:bookmarkStart w:id="133" w:name="_Toc454982031"/>
      <w:r>
        <w:t>Levy structure and distribution</w:t>
      </w:r>
      <w:bookmarkEnd w:id="130"/>
      <w:bookmarkEnd w:id="131"/>
      <w:bookmarkEnd w:id="132"/>
      <w:bookmarkEnd w:id="133"/>
    </w:p>
    <w:p w:rsidR="00C57267" w:rsidRDefault="00181454" w:rsidP="00510E29">
      <w:pPr>
        <w:jc w:val="both"/>
      </w:pPr>
      <w:r>
        <w:t>The i</w:t>
      </w:r>
      <w:r w:rsidR="00C57267">
        <w:t>nvestigation recommends that the current approach</w:t>
      </w:r>
      <w:r w:rsidR="00B641DE">
        <w:t xml:space="preserve"> is</w:t>
      </w:r>
      <w:r w:rsidR="00C57267">
        <w:t xml:space="preserve"> replaced by another structure</w:t>
      </w:r>
      <w:r w:rsidR="00EA7DA5">
        <w:t xml:space="preserve"> and method of distribution (Recommendations 1 and 2)</w:t>
      </w:r>
      <w:r w:rsidR="00C57267">
        <w:t xml:space="preserve">. </w:t>
      </w:r>
    </w:p>
    <w:p w:rsidR="00C57267" w:rsidRDefault="00C57267" w:rsidP="00510E29">
      <w:pPr>
        <w:jc w:val="both"/>
      </w:pPr>
      <w:r>
        <w:t xml:space="preserve">If the current approach is retained, the EIL should be improved either by clarifying the categories of </w:t>
      </w:r>
      <w:r w:rsidR="00576BCC">
        <w:t>the Levy</w:t>
      </w:r>
      <w:r>
        <w:t xml:space="preserve"> (particularly</w:t>
      </w:r>
      <w:r w:rsidR="00F941E7">
        <w:t xml:space="preserve">, the </w:t>
      </w:r>
      <w:r>
        <w:t>classifi</w:t>
      </w:r>
      <w:r w:rsidR="00F941E7">
        <w:t>cation</w:t>
      </w:r>
      <w:r>
        <w:t xml:space="preserve"> </w:t>
      </w:r>
      <w:r w:rsidR="00F941E7">
        <w:t>of</w:t>
      </w:r>
      <w:r>
        <w:t xml:space="preserve"> fixed regulatory costs) in the legislation, or throu</w:t>
      </w:r>
      <w:r w:rsidR="002A4967">
        <w:t>gh adequate guidelines for the A</w:t>
      </w:r>
      <w:r>
        <w:t>dministrator to follow. If the guideline option is adopted, legislation may still need to be amended to provide these guidelines with sufficient force.</w:t>
      </w:r>
    </w:p>
    <w:p w:rsidR="00C57267" w:rsidRDefault="00C57267" w:rsidP="00510E29">
      <w:pPr>
        <w:jc w:val="both"/>
      </w:pPr>
      <w:r>
        <w:t>If the EIL structure and method of distribution is revised, legislative amendments will be necessary to accommodate this. In this case, this report recommends additional legislative changes outlining requirement</w:t>
      </w:r>
      <w:r w:rsidR="002A4967">
        <w:t xml:space="preserve">s of </w:t>
      </w:r>
      <w:r w:rsidR="00576BCC">
        <w:t>the Levy</w:t>
      </w:r>
      <w:r w:rsidR="002A4967">
        <w:t xml:space="preserve"> A</w:t>
      </w:r>
      <w:r>
        <w:t xml:space="preserve">dministrator to publish adequate guidelines and </w:t>
      </w:r>
      <w:r w:rsidR="00A5309F">
        <w:t>explanations of the EIL.</w:t>
      </w:r>
      <w:r w:rsidR="00EA7DA5">
        <w:t xml:space="preserve"> A suggested approach for legislating Option 4 is below.</w:t>
      </w:r>
    </w:p>
    <w:p w:rsidR="00C57267" w:rsidRDefault="00C57267" w:rsidP="00D85385">
      <w:pPr>
        <w:pStyle w:val="Heading3"/>
      </w:pPr>
      <w:bookmarkStart w:id="134" w:name="_Toc443901146"/>
      <w:bookmarkStart w:id="135" w:name="_Toc444861413"/>
      <w:bookmarkStart w:id="136" w:name="_Toc449438570"/>
      <w:bookmarkStart w:id="137" w:name="_Toc454982032"/>
      <w:r>
        <w:t>Adjustment</w:t>
      </w:r>
      <w:r w:rsidR="00A5309F">
        <w:t xml:space="preserve"> due to estimation</w:t>
      </w:r>
      <w:bookmarkEnd w:id="134"/>
      <w:bookmarkEnd w:id="135"/>
      <w:bookmarkEnd w:id="136"/>
      <w:bookmarkEnd w:id="137"/>
    </w:p>
    <w:p w:rsidR="00A5309F" w:rsidRDefault="00A5309F" w:rsidP="00510E29">
      <w:pPr>
        <w:jc w:val="both"/>
      </w:pPr>
      <w:r>
        <w:t>Legislative amendments are required to correct the current method of adjustment</w:t>
      </w:r>
      <w:r w:rsidR="00EA7DA5">
        <w:t xml:space="preserve"> (Recommendation </w:t>
      </w:r>
      <w:r w:rsidR="00A00FC9">
        <w:t>6</w:t>
      </w:r>
      <w:r w:rsidR="00EA7DA5">
        <w:t>)</w:t>
      </w:r>
      <w:r>
        <w:t>. If the adjustment formula is corrected, the legislative amendment will be minor. If the adjustment is replaced by a retrospective levy, based on actual values, the amendments will be more significant.</w:t>
      </w:r>
    </w:p>
    <w:p w:rsidR="003740B0" w:rsidRDefault="003740B0" w:rsidP="00D85385">
      <w:pPr>
        <w:pStyle w:val="Heading3"/>
      </w:pPr>
      <w:bookmarkStart w:id="138" w:name="_Toc449438571"/>
      <w:bookmarkStart w:id="139" w:name="_Toc454982033"/>
      <w:r>
        <w:t>Suggested levy charge formula</w:t>
      </w:r>
      <w:bookmarkEnd w:id="138"/>
      <w:bookmarkEnd w:id="139"/>
    </w:p>
    <w:p w:rsidR="00D867DF" w:rsidRDefault="00EA7DA5" w:rsidP="00377237">
      <w:pPr>
        <w:jc w:val="both"/>
      </w:pPr>
      <w:r>
        <w:t>The following formula is a suggested approach for follo</w:t>
      </w:r>
      <w:r w:rsidR="00A00FC9">
        <w:t>wing Recommendations 1, 2, and 6</w:t>
      </w:r>
      <w:r>
        <w:t xml:space="preserve">. </w:t>
      </w:r>
    </w:p>
    <w:p w:rsidR="00377237" w:rsidRDefault="00EA7DA5" w:rsidP="00377237">
      <w:pPr>
        <w:jc w:val="both"/>
      </w:pPr>
      <w:r>
        <w:t>T</w:t>
      </w:r>
      <w:r w:rsidR="003E2E91">
        <w:t xml:space="preserve">he EIL for an operator in </w:t>
      </w:r>
      <w:r w:rsidR="00893ECA">
        <w:t>year</w:t>
      </w:r>
      <w:r w:rsidR="003E2E91">
        <w:t xml:space="preserve"> </w:t>
      </w:r>
      <m:oMath>
        <m:r>
          <w:rPr>
            <w:rFonts w:ascii="Cambria Math" w:hAnsi="Cambria Math"/>
          </w:rPr>
          <m:t>t</m:t>
        </m:r>
      </m:oMath>
      <w:r w:rsidR="00C7335F">
        <w:t xml:space="preserve"> is</w:t>
      </w:r>
      <w:r w:rsidR="00D867DF">
        <w:t xml:space="preserve"> the sum of the operator’s fixed fee (</w:t>
      </w:r>
      <m:oMath>
        <m:sSub>
          <m:sSubPr>
            <m:ctrlPr>
              <w:rPr>
                <w:rFonts w:ascii="Cambria Math" w:hAnsi="Cambria Math"/>
                <w:i/>
              </w:rPr>
            </m:ctrlPr>
          </m:sSubPr>
          <m:e>
            <m:r>
              <w:rPr>
                <w:rFonts w:ascii="Cambria Math" w:hAnsi="Cambria Math"/>
              </w:rPr>
              <m:t>F</m:t>
            </m:r>
          </m:e>
          <m:sub>
            <m:r>
              <w:rPr>
                <w:rFonts w:ascii="Cambria Math" w:hAnsi="Cambria Math"/>
              </w:rPr>
              <m:t>t</m:t>
            </m:r>
          </m:sub>
        </m:sSub>
      </m:oMath>
      <w:r w:rsidR="00D867DF">
        <w:t>), estimated variable charge (</w:t>
      </w:r>
      <m:oMath>
        <m:sSubSup>
          <m:sSubSupPr>
            <m:ctrlPr>
              <w:rPr>
                <w:rFonts w:ascii="Cambria Math" w:hAnsi="Cambria Math"/>
                <w:i/>
              </w:rPr>
            </m:ctrlPr>
          </m:sSubSupPr>
          <m:e>
            <m:r>
              <w:rPr>
                <w:rFonts w:ascii="Cambria Math" w:hAnsi="Cambria Math"/>
              </w:rPr>
              <m:t>V</m:t>
            </m:r>
          </m:e>
          <m:sub>
            <m:r>
              <w:rPr>
                <w:rFonts w:ascii="Cambria Math" w:hAnsi="Cambria Math"/>
              </w:rPr>
              <m:t>t</m:t>
            </m:r>
          </m:sub>
          <m:sup>
            <m:r>
              <w:rPr>
                <w:rFonts w:ascii="Cambria Math" w:hAnsi="Cambria Math"/>
              </w:rPr>
              <m:t>e</m:t>
            </m:r>
          </m:sup>
        </m:sSubSup>
      </m:oMath>
      <w:r w:rsidR="00D867DF">
        <w:t>), and an adjustment for the operator’s variable charge in the previous year (</w:t>
      </w:r>
      <m:oMath>
        <m:sSubSup>
          <m:sSubSupPr>
            <m:ctrlPr>
              <w:rPr>
                <w:rFonts w:ascii="Cambria Math" w:hAnsi="Cambria Math"/>
                <w:i/>
              </w:rPr>
            </m:ctrlPr>
          </m:sSubSupPr>
          <m:e>
            <m:r>
              <w:rPr>
                <w:rFonts w:ascii="Cambria Math" w:hAnsi="Cambria Math"/>
              </w:rPr>
              <m:t>V</m:t>
            </m:r>
          </m:e>
          <m:sub>
            <m:r>
              <w:rPr>
                <w:rFonts w:ascii="Cambria Math" w:hAnsi="Cambria Math"/>
              </w:rPr>
              <m:t>t-1</m:t>
            </m:r>
          </m:sub>
          <m:sup>
            <m:r>
              <w:rPr>
                <w:rFonts w:ascii="Cambria Math" w:hAnsi="Cambria Math"/>
              </w:rPr>
              <m:t>a</m:t>
            </m:r>
          </m:sup>
        </m:sSubSup>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t-1</m:t>
            </m:r>
          </m:sub>
          <m:sup>
            <m:r>
              <w:rPr>
                <w:rFonts w:ascii="Cambria Math" w:hAnsi="Cambria Math"/>
              </w:rPr>
              <m:t>e</m:t>
            </m:r>
          </m:sup>
        </m:sSubSup>
      </m:oMath>
      <w:r w:rsidR="00D867DF">
        <w:t>), that is:</w:t>
      </w:r>
    </w:p>
    <w:p w:rsidR="00A44F5C" w:rsidRPr="00A44F5C" w:rsidRDefault="00606DE5" w:rsidP="00A44F5C">
      <w:pPr>
        <w:jc w:val="both"/>
      </w:pPr>
      <m:oMathPara>
        <m:oMathParaPr>
          <m:jc m:val="center"/>
        </m:oMathParaPr>
        <m:oMath>
          <m:sSubSup>
            <m:sSubSupPr>
              <m:ctrlPr>
                <w:rPr>
                  <w:rFonts w:ascii="Cambria Math" w:hAnsi="Cambria Math"/>
                  <w:i/>
                </w:rPr>
              </m:ctrlPr>
            </m:sSubSupPr>
            <m:e>
              <m:r>
                <w:rPr>
                  <w:rFonts w:ascii="Cambria Math" w:hAnsi="Cambria Math"/>
                </w:rPr>
                <m:t>F</m:t>
              </m:r>
            </m:e>
            <m:sub>
              <m:r>
                <w:rPr>
                  <w:rFonts w:ascii="Cambria Math" w:hAnsi="Cambria Math"/>
                </w:rPr>
                <m:t>t</m:t>
              </m:r>
            </m:sub>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t</m:t>
              </m:r>
            </m:sub>
            <m:sup>
              <m:r>
                <w:rPr>
                  <w:rFonts w:ascii="Cambria Math" w:hAnsi="Cambria Math"/>
                </w:rPr>
                <m:t>e</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t-1</m:t>
              </m:r>
            </m:sub>
            <m:sup>
              <m:r>
                <w:rPr>
                  <w:rFonts w:ascii="Cambria Math" w:hAnsi="Cambria Math"/>
                </w:rPr>
                <m:t>a</m:t>
              </m:r>
            </m:sup>
          </m:sSubSup>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t-1</m:t>
              </m:r>
            </m:sub>
            <m:sup>
              <m:r>
                <w:rPr>
                  <w:rFonts w:ascii="Cambria Math" w:hAnsi="Cambria Math"/>
                </w:rPr>
                <m:t>e</m:t>
              </m:r>
            </m:sup>
          </m:sSubSup>
          <m:r>
            <w:rPr>
              <w:rFonts w:ascii="Cambria Math" w:hAnsi="Cambria Math"/>
            </w:rPr>
            <m:t>)</m:t>
          </m:r>
        </m:oMath>
      </m:oMathPara>
    </w:p>
    <w:p w:rsidR="00A44F5C" w:rsidRDefault="00D867DF" w:rsidP="00A44F5C">
      <w:pPr>
        <w:jc w:val="both"/>
      </w:pPr>
      <w:proofErr w:type="gramStart"/>
      <w:r>
        <w:t>where</w:t>
      </w:r>
      <w:proofErr w:type="gramEnd"/>
    </w:p>
    <w:p w:rsidR="00A44F5C" w:rsidRPr="00A44F5C" w:rsidRDefault="00606DE5" w:rsidP="00A44F5C">
      <w:pPr>
        <w:jc w:val="both"/>
      </w:pPr>
      <m:oMath>
        <m:sSubSup>
          <m:sSubSupPr>
            <m:ctrlPr>
              <w:rPr>
                <w:rFonts w:ascii="Cambria Math" w:hAnsi="Cambria Math"/>
                <w:i/>
              </w:rPr>
            </m:ctrlPr>
          </m:sSubSupPr>
          <m:e>
            <m:r>
              <w:rPr>
                <w:rFonts w:ascii="Cambria Math" w:hAnsi="Cambria Math"/>
              </w:rPr>
              <m:t>V</m:t>
            </m:r>
          </m:e>
          <m:sub>
            <m:r>
              <w:rPr>
                <w:rFonts w:ascii="Cambria Math" w:hAnsi="Cambria Math"/>
              </w:rPr>
              <m:t>s</m:t>
            </m:r>
          </m:sub>
          <m:sup>
            <m:r>
              <w:rPr>
                <w:rFonts w:ascii="Cambria Math" w:hAnsi="Cambria Math"/>
              </w:rPr>
              <m:t>x</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L</m:t>
                </m:r>
              </m:e>
              <m:sub>
                <m:r>
                  <w:rPr>
                    <w:rFonts w:ascii="Cambria Math" w:hAnsi="Cambria Math"/>
                  </w:rPr>
                  <m:t>s</m:t>
                </m:r>
              </m:sub>
              <m:sup>
                <m:r>
                  <w:rPr>
                    <w:rFonts w:ascii="Cambria Math" w:hAnsi="Cambria Math"/>
                  </w:rPr>
                  <m:t>x</m:t>
                </m:r>
              </m:sup>
            </m:sSubSup>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F</m:t>
                    </m:r>
                  </m:e>
                  <m:sub>
                    <m:r>
                      <w:rPr>
                        <w:rFonts w:ascii="Cambria Math" w:hAnsi="Cambria Math"/>
                      </w:rPr>
                      <m:t>s</m:t>
                    </m:r>
                  </m:sub>
                  <m:sup/>
                </m:sSubSup>
                <m:r>
                  <w:rPr>
                    <w:rFonts w:ascii="Cambria Math" w:hAnsi="Cambria Math"/>
                  </w:rPr>
                  <m:t>×N</m:t>
                </m:r>
                <m:sSubSup>
                  <m:sSubSupPr>
                    <m:ctrlPr>
                      <w:rPr>
                        <w:rFonts w:ascii="Cambria Math" w:hAnsi="Cambria Math"/>
                        <w:i/>
                      </w:rPr>
                    </m:ctrlPr>
                  </m:sSubSupPr>
                  <m:e>
                    <m:r>
                      <w:rPr>
                        <w:rFonts w:ascii="Cambria Math" w:hAnsi="Cambria Math"/>
                      </w:rPr>
                      <m:t>C</m:t>
                    </m:r>
                  </m:e>
                  <m:sub>
                    <m:r>
                      <w:rPr>
                        <w:rFonts w:ascii="Cambria Math" w:hAnsi="Cambria Math"/>
                      </w:rPr>
                      <m:t>s</m:t>
                    </m:r>
                  </m:sub>
                  <m:sup>
                    <m:r>
                      <w:rPr>
                        <w:rFonts w:ascii="Cambria Math" w:hAnsi="Cambria Math"/>
                      </w:rPr>
                      <m:t>x</m:t>
                    </m:r>
                  </m:sup>
                </m:sSubSup>
              </m:e>
            </m:d>
          </m:e>
        </m:d>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x</m:t>
            </m:r>
          </m:sup>
        </m:sSubSup>
      </m:oMath>
      <w:r w:rsidR="00A44F5C">
        <w:t xml:space="preserve">, with </w:t>
      </w:r>
      <m:oMath>
        <m:r>
          <w:rPr>
            <w:rFonts w:ascii="Cambria Math" w:hAnsi="Cambria Math"/>
          </w:rPr>
          <m:t>x</m:t>
        </m:r>
      </m:oMath>
      <w:r w:rsidR="00A44F5C">
        <w:t xml:space="preserve"> either </w:t>
      </w:r>
      <m:oMath>
        <m:r>
          <w:rPr>
            <w:rFonts w:ascii="Cambria Math" w:hAnsi="Cambria Math"/>
          </w:rPr>
          <m:t>e</m:t>
        </m:r>
      </m:oMath>
      <w:r w:rsidR="00A44F5C">
        <w:t xml:space="preserve"> or </w:t>
      </w:r>
      <m:oMath>
        <m:r>
          <w:rPr>
            <w:rFonts w:ascii="Cambria Math" w:hAnsi="Cambria Math"/>
          </w:rPr>
          <m:t>a</m:t>
        </m:r>
      </m:oMath>
      <w:r w:rsidR="00A44F5C">
        <w:t xml:space="preserve"> and </w:t>
      </w:r>
      <m:oMath>
        <m:r>
          <w:rPr>
            <w:rFonts w:ascii="Cambria Math" w:hAnsi="Cambria Math"/>
          </w:rPr>
          <m:t>s</m:t>
        </m:r>
      </m:oMath>
      <w:r w:rsidR="00A44F5C">
        <w:t xml:space="preserve"> either </w:t>
      </w:r>
      <m:oMath>
        <m:r>
          <w:rPr>
            <w:rFonts w:ascii="Cambria Math" w:hAnsi="Cambria Math"/>
          </w:rPr>
          <m:t>t</m:t>
        </m:r>
      </m:oMath>
      <w:r w:rsidR="00A44F5C">
        <w:t xml:space="preserve"> or </w:t>
      </w:r>
      <m:oMath>
        <m:r>
          <w:rPr>
            <w:rFonts w:ascii="Cambria Math" w:hAnsi="Cambria Math"/>
          </w:rPr>
          <m:t>t-1</m:t>
        </m:r>
      </m:oMath>
      <w:r w:rsidR="00D867DF">
        <w:t xml:space="preserve"> as appropriate</w:t>
      </w:r>
      <w:r w:rsidR="00A44F5C">
        <w:t xml:space="preserve">; </w:t>
      </w:r>
    </w:p>
    <w:p w:rsidR="00377237" w:rsidRPr="00377237" w:rsidRDefault="00A44F5C" w:rsidP="00377237">
      <w:pPr>
        <w:jc w:val="both"/>
      </w:pPr>
      <w:proofErr w:type="gramStart"/>
      <w:r>
        <w:t>and</w:t>
      </w:r>
      <w:proofErr w:type="gramEnd"/>
      <w:r>
        <w:t xml:space="preserve"> </w:t>
      </w:r>
    </w:p>
    <w:p w:rsidR="00307425" w:rsidRDefault="00606DE5" w:rsidP="0001275B">
      <w:pPr>
        <w:pStyle w:val="ListParagraph"/>
        <w:numPr>
          <w:ilvl w:val="0"/>
          <w:numId w:val="29"/>
        </w:numPr>
        <w:jc w:val="both"/>
      </w:pPr>
      <m:oMath>
        <m:sSubSup>
          <m:sSubSupPr>
            <m:ctrlPr>
              <w:rPr>
                <w:rFonts w:ascii="Cambria Math" w:hAnsi="Cambria Math"/>
                <w:i/>
              </w:rPr>
            </m:ctrlPr>
          </m:sSubSupPr>
          <m:e>
            <m:r>
              <w:rPr>
                <w:rFonts w:ascii="Cambria Math" w:hAnsi="Cambria Math"/>
              </w:rPr>
              <m:t>F</m:t>
            </m:r>
          </m:e>
          <m:sub>
            <m:r>
              <w:rPr>
                <w:rFonts w:ascii="Cambria Math" w:hAnsi="Cambria Math"/>
              </w:rPr>
              <m:t>t</m:t>
            </m:r>
          </m:sub>
          <m:sup/>
        </m:sSubSup>
      </m:oMath>
      <w:r w:rsidR="00307425">
        <w:t xml:space="preserve"> </w:t>
      </w:r>
      <w:r w:rsidR="003E2E91">
        <w:t xml:space="preserve">and </w:t>
      </w:r>
      <m:oMath>
        <m:sSub>
          <m:sSubPr>
            <m:ctrlPr>
              <w:rPr>
                <w:rFonts w:ascii="Cambria Math" w:hAnsi="Cambria Math"/>
                <w:i/>
              </w:rPr>
            </m:ctrlPr>
          </m:sSubPr>
          <m:e>
            <m:r>
              <w:rPr>
                <w:rFonts w:ascii="Cambria Math" w:hAnsi="Cambria Math"/>
              </w:rPr>
              <m:t>F</m:t>
            </m:r>
          </m:e>
          <m:sub>
            <m:r>
              <w:rPr>
                <w:rFonts w:ascii="Cambria Math" w:hAnsi="Cambria Math"/>
              </w:rPr>
              <m:t>t-1</m:t>
            </m:r>
          </m:sub>
        </m:sSub>
      </m:oMath>
      <w:r w:rsidR="003E2E91">
        <w:t xml:space="preserve"> </w:t>
      </w:r>
      <w:r w:rsidR="00A44F5C">
        <w:t>are</w:t>
      </w:r>
      <w:r w:rsidR="003E2E91">
        <w:t xml:space="preserve"> the </w:t>
      </w:r>
      <w:r w:rsidR="00307425">
        <w:t>fixed fee</w:t>
      </w:r>
      <w:r w:rsidR="003E2E91">
        <w:t>s</w:t>
      </w:r>
      <w:r w:rsidR="00307425">
        <w:t xml:space="preserve"> for the </w:t>
      </w:r>
      <w:r w:rsidR="00285800">
        <w:t xml:space="preserve">sector for year </w:t>
      </w:r>
      <m:oMath>
        <m:r>
          <w:rPr>
            <w:rFonts w:ascii="Cambria Math" w:hAnsi="Cambria Math"/>
          </w:rPr>
          <m:t>t</m:t>
        </m:r>
      </m:oMath>
      <w:r w:rsidR="003E2E91">
        <w:t xml:space="preserve"> and </w:t>
      </w:r>
      <m:oMath>
        <m:r>
          <w:rPr>
            <w:rFonts w:ascii="Cambria Math" w:hAnsi="Cambria Math"/>
          </w:rPr>
          <m:t>t-1</m:t>
        </m:r>
      </m:oMath>
      <w:r w:rsidR="003E2E91">
        <w:t>, respectively</w:t>
      </w:r>
      <w:r w:rsidR="00285800">
        <w:t>;</w:t>
      </w:r>
    </w:p>
    <w:p w:rsidR="00285800" w:rsidRDefault="00606DE5" w:rsidP="0001275B">
      <w:pPr>
        <w:pStyle w:val="ListParagraph"/>
        <w:numPr>
          <w:ilvl w:val="0"/>
          <w:numId w:val="29"/>
        </w:numPr>
        <w:jc w:val="both"/>
      </w:pPr>
      <m:oMath>
        <m:sSubSup>
          <m:sSubSupPr>
            <m:ctrlPr>
              <w:rPr>
                <w:rFonts w:ascii="Cambria Math" w:hAnsi="Cambria Math"/>
                <w:i/>
              </w:rPr>
            </m:ctrlPr>
          </m:sSubSupPr>
          <m:e>
            <m:r>
              <w:rPr>
                <w:rFonts w:ascii="Cambria Math" w:hAnsi="Cambria Math"/>
              </w:rPr>
              <m:t>L</m:t>
            </m:r>
          </m:e>
          <m:sub>
            <m:r>
              <w:rPr>
                <w:rFonts w:ascii="Cambria Math" w:hAnsi="Cambria Math"/>
              </w:rPr>
              <m:t>t</m:t>
            </m:r>
          </m:sub>
          <m:sup>
            <m:r>
              <w:rPr>
                <w:rFonts w:ascii="Cambria Math" w:hAnsi="Cambria Math"/>
              </w:rPr>
              <m:t>e</m:t>
            </m:r>
          </m:sup>
        </m:sSubSup>
      </m:oMath>
      <w:r w:rsidR="003E2E91">
        <w:t xml:space="preserve">, </w:t>
      </w:r>
      <m:oMath>
        <m:sSubSup>
          <m:sSubSupPr>
            <m:ctrlPr>
              <w:rPr>
                <w:rFonts w:ascii="Cambria Math" w:hAnsi="Cambria Math"/>
                <w:i/>
              </w:rPr>
            </m:ctrlPr>
          </m:sSubSupPr>
          <m:e>
            <m:r>
              <w:rPr>
                <w:rFonts w:ascii="Cambria Math" w:hAnsi="Cambria Math"/>
              </w:rPr>
              <m:t>L</m:t>
            </m:r>
          </m:e>
          <m:sub>
            <m:r>
              <w:rPr>
                <w:rFonts w:ascii="Cambria Math" w:hAnsi="Cambria Math"/>
              </w:rPr>
              <m:t>t-1</m:t>
            </m:r>
          </m:sub>
          <m:sup>
            <m:r>
              <w:rPr>
                <w:rFonts w:ascii="Cambria Math" w:hAnsi="Cambria Math"/>
              </w:rPr>
              <m:t>a</m:t>
            </m:r>
          </m:sup>
        </m:sSubSup>
      </m:oMath>
      <w:r w:rsidR="003E2E91">
        <w:t xml:space="preserve">, and </w:t>
      </w:r>
      <m:oMath>
        <m:sSubSup>
          <m:sSubSupPr>
            <m:ctrlPr>
              <w:rPr>
                <w:rFonts w:ascii="Cambria Math" w:hAnsi="Cambria Math"/>
                <w:i/>
              </w:rPr>
            </m:ctrlPr>
          </m:sSubSupPr>
          <m:e>
            <m:r>
              <w:rPr>
                <w:rFonts w:ascii="Cambria Math" w:hAnsi="Cambria Math"/>
              </w:rPr>
              <m:t>L</m:t>
            </m:r>
          </m:e>
          <m:sub>
            <m:r>
              <w:rPr>
                <w:rFonts w:ascii="Cambria Math" w:hAnsi="Cambria Math"/>
              </w:rPr>
              <m:t>t-1</m:t>
            </m:r>
          </m:sub>
          <m:sup>
            <m:r>
              <w:rPr>
                <w:rFonts w:ascii="Cambria Math" w:hAnsi="Cambria Math"/>
              </w:rPr>
              <m:t>e</m:t>
            </m:r>
          </m:sup>
        </m:sSubSup>
      </m:oMath>
      <w:r w:rsidR="003E2E91">
        <w:t xml:space="preserve"> </w:t>
      </w:r>
      <w:r w:rsidR="00A44F5C">
        <w:t>are</w:t>
      </w:r>
      <w:r w:rsidR="003E2E91">
        <w:t xml:space="preserve"> the estimated net regulatory cost for the year </w:t>
      </w:r>
      <m:oMath>
        <m:r>
          <w:rPr>
            <w:rFonts w:ascii="Cambria Math" w:hAnsi="Cambria Math"/>
          </w:rPr>
          <m:t>t</m:t>
        </m:r>
      </m:oMath>
      <w:r w:rsidR="003E2E91">
        <w:t xml:space="preserve">, the actual net regulatory cost for the year </w:t>
      </w:r>
      <m:oMath>
        <m:r>
          <w:rPr>
            <w:rFonts w:ascii="Cambria Math" w:hAnsi="Cambria Math"/>
          </w:rPr>
          <m:t>t-1</m:t>
        </m:r>
      </m:oMath>
      <w:r w:rsidR="003E2E91">
        <w:t xml:space="preserve">, and the estimated net regulatory cost for year </w:t>
      </w:r>
      <m:oMath>
        <m:r>
          <w:rPr>
            <w:rFonts w:ascii="Cambria Math" w:hAnsi="Cambria Math"/>
          </w:rPr>
          <m:t>t-1</m:t>
        </m:r>
      </m:oMath>
      <w:r w:rsidR="003E2E91">
        <w:t>, respectively</w:t>
      </w:r>
      <w:r w:rsidR="00893ECA">
        <w:t>;</w:t>
      </w:r>
    </w:p>
    <w:p w:rsidR="00285800" w:rsidRDefault="00285800" w:rsidP="0001275B">
      <w:pPr>
        <w:pStyle w:val="ListParagraph"/>
        <w:numPr>
          <w:ilvl w:val="0"/>
          <w:numId w:val="29"/>
        </w:numPr>
        <w:jc w:val="both"/>
      </w:pPr>
      <m:oMath>
        <m:r>
          <w:rPr>
            <w:rFonts w:ascii="Cambria Math" w:hAnsi="Cambria Math"/>
          </w:rPr>
          <m:t>N</m:t>
        </m:r>
        <m:sSubSup>
          <m:sSubSupPr>
            <m:ctrlPr>
              <w:rPr>
                <w:rFonts w:ascii="Cambria Math" w:hAnsi="Cambria Math"/>
                <w:i/>
              </w:rPr>
            </m:ctrlPr>
          </m:sSubSupPr>
          <m:e>
            <m:r>
              <w:rPr>
                <w:rFonts w:ascii="Cambria Math" w:hAnsi="Cambria Math"/>
              </w:rPr>
              <m:t>C</m:t>
            </m:r>
          </m:e>
          <m:sub>
            <m:r>
              <w:rPr>
                <w:rFonts w:ascii="Cambria Math" w:hAnsi="Cambria Math"/>
              </w:rPr>
              <m:t>t</m:t>
            </m:r>
          </m:sub>
          <m:sup>
            <m:r>
              <w:rPr>
                <w:rFonts w:ascii="Cambria Math" w:hAnsi="Cambria Math"/>
              </w:rPr>
              <m:t>e</m:t>
            </m:r>
          </m:sup>
        </m:sSubSup>
      </m:oMath>
      <w:r w:rsidR="00893ECA">
        <w:t xml:space="preserve">, </w:t>
      </w:r>
      <m:oMath>
        <m:r>
          <w:rPr>
            <w:rFonts w:ascii="Cambria Math" w:hAnsi="Cambria Math"/>
          </w:rPr>
          <m:t>N</m:t>
        </m:r>
        <m:sSubSup>
          <m:sSubSupPr>
            <m:ctrlPr>
              <w:rPr>
                <w:rFonts w:ascii="Cambria Math" w:hAnsi="Cambria Math"/>
                <w:i/>
              </w:rPr>
            </m:ctrlPr>
          </m:sSubSupPr>
          <m:e>
            <m:r>
              <w:rPr>
                <w:rFonts w:ascii="Cambria Math" w:hAnsi="Cambria Math"/>
              </w:rPr>
              <m:t>C</m:t>
            </m:r>
          </m:e>
          <m:sub>
            <m:r>
              <w:rPr>
                <w:rFonts w:ascii="Cambria Math" w:hAnsi="Cambria Math"/>
              </w:rPr>
              <m:t>t-1</m:t>
            </m:r>
          </m:sub>
          <m:sup>
            <m:r>
              <w:rPr>
                <w:rFonts w:ascii="Cambria Math" w:hAnsi="Cambria Math"/>
              </w:rPr>
              <m:t>a</m:t>
            </m:r>
          </m:sup>
        </m:sSubSup>
      </m:oMath>
      <w:r w:rsidR="00893ECA">
        <w:t xml:space="preserve">, and </w:t>
      </w:r>
      <m:oMath>
        <m:r>
          <w:rPr>
            <w:rFonts w:ascii="Cambria Math" w:hAnsi="Cambria Math"/>
          </w:rPr>
          <m:t>N</m:t>
        </m:r>
        <m:sSubSup>
          <m:sSubSupPr>
            <m:ctrlPr>
              <w:rPr>
                <w:rFonts w:ascii="Cambria Math" w:hAnsi="Cambria Math"/>
                <w:i/>
              </w:rPr>
            </m:ctrlPr>
          </m:sSubSupPr>
          <m:e>
            <m:r>
              <w:rPr>
                <w:rFonts w:ascii="Cambria Math" w:hAnsi="Cambria Math"/>
              </w:rPr>
              <m:t>C</m:t>
            </m:r>
          </m:e>
          <m:sub>
            <m:r>
              <w:rPr>
                <w:rFonts w:ascii="Cambria Math" w:hAnsi="Cambria Math"/>
              </w:rPr>
              <m:t>t-1</m:t>
            </m:r>
          </m:sub>
          <m:sup>
            <m:r>
              <w:rPr>
                <w:rFonts w:ascii="Cambria Math" w:hAnsi="Cambria Math"/>
              </w:rPr>
              <m:t>e</m:t>
            </m:r>
          </m:sup>
        </m:sSubSup>
      </m:oMath>
      <w:r>
        <w:t xml:space="preserve"> </w:t>
      </w:r>
      <w:r w:rsidR="00A44F5C">
        <w:t>are</w:t>
      </w:r>
      <w:r>
        <w:t xml:space="preserve"> the determined number of utilities in the sector that provided energy utility services in the sector at any time b</w:t>
      </w:r>
      <w:r w:rsidR="003E2E91">
        <w:t xml:space="preserve">efore 15 September for the </w:t>
      </w:r>
      <w:r>
        <w:t>year</w:t>
      </w:r>
      <w:r w:rsidR="003E2E91">
        <w:t xml:space="preserve"> </w:t>
      </w:r>
      <m:oMath>
        <m:r>
          <w:rPr>
            <w:rFonts w:ascii="Cambria Math" w:hAnsi="Cambria Math"/>
          </w:rPr>
          <m:t>t</m:t>
        </m:r>
      </m:oMath>
      <w:r w:rsidR="00893ECA">
        <w:t xml:space="preserve">, the determined number of energy utilities that provided energy utility services in the sector at any time during year </w:t>
      </w:r>
      <m:oMath>
        <m:r>
          <w:rPr>
            <w:rFonts w:ascii="Cambria Math" w:hAnsi="Cambria Math"/>
          </w:rPr>
          <m:t>t-1</m:t>
        </m:r>
      </m:oMath>
      <w:r w:rsidR="00893ECA">
        <w:t xml:space="preserve">, and the determined number of utilities in the sector that provided energy utility services in the sector at any time before 15 September for the year </w:t>
      </w:r>
      <m:oMath>
        <m:r>
          <w:rPr>
            <w:rFonts w:ascii="Cambria Math" w:hAnsi="Cambria Math"/>
          </w:rPr>
          <m:t>t-1</m:t>
        </m:r>
      </m:oMath>
      <w:r w:rsidR="00893ECA">
        <w:t>, respectively</w:t>
      </w:r>
      <w:r>
        <w:t>; and</w:t>
      </w:r>
    </w:p>
    <w:p w:rsidR="00893ECA" w:rsidRDefault="00606DE5" w:rsidP="0001275B">
      <w:pPr>
        <w:pStyle w:val="ListParagraph"/>
        <w:numPr>
          <w:ilvl w:val="0"/>
          <w:numId w:val="29"/>
        </w:numPr>
        <w:jc w:val="both"/>
      </w:pPr>
      <m:oMath>
        <m:sSubSup>
          <m:sSubSupPr>
            <m:ctrlPr>
              <w:rPr>
                <w:rFonts w:ascii="Cambria Math" w:hAnsi="Cambria Math"/>
                <w:i/>
              </w:rPr>
            </m:ctrlPr>
          </m:sSubSupPr>
          <m:e>
            <m:r>
              <w:rPr>
                <w:rFonts w:ascii="Cambria Math" w:hAnsi="Cambria Math"/>
              </w:rPr>
              <m:t>M</m:t>
            </m:r>
          </m:e>
          <m:sub>
            <m:r>
              <w:rPr>
                <w:rFonts w:ascii="Cambria Math" w:hAnsi="Cambria Math"/>
              </w:rPr>
              <m:t>t</m:t>
            </m:r>
          </m:sub>
          <m:sup>
            <m:r>
              <w:rPr>
                <w:rFonts w:ascii="Cambria Math" w:hAnsi="Cambria Math"/>
              </w:rPr>
              <m:t>e</m:t>
            </m:r>
          </m:sup>
        </m:sSubSup>
      </m:oMath>
      <w:r w:rsidR="00893ECA">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t-1</m:t>
            </m:r>
          </m:sub>
          <m:sup>
            <m:r>
              <w:rPr>
                <w:rFonts w:ascii="Cambria Math" w:hAnsi="Cambria Math"/>
              </w:rPr>
              <m:t>a</m:t>
            </m:r>
          </m:sup>
        </m:sSubSup>
      </m:oMath>
      <w:r w:rsidR="00893ECA">
        <w:t xml:space="preserve">, and </w:t>
      </w:r>
      <m:oMath>
        <m:sSubSup>
          <m:sSubSupPr>
            <m:ctrlPr>
              <w:rPr>
                <w:rFonts w:ascii="Cambria Math" w:hAnsi="Cambria Math"/>
                <w:i/>
              </w:rPr>
            </m:ctrlPr>
          </m:sSubSupPr>
          <m:e>
            <m:r>
              <w:rPr>
                <w:rFonts w:ascii="Cambria Math" w:hAnsi="Cambria Math"/>
              </w:rPr>
              <m:t>M</m:t>
            </m:r>
          </m:e>
          <m:sub>
            <m:r>
              <w:rPr>
                <w:rFonts w:ascii="Cambria Math" w:hAnsi="Cambria Math"/>
              </w:rPr>
              <m:t>t-1</m:t>
            </m:r>
          </m:sub>
          <m:sup>
            <m:r>
              <w:rPr>
                <w:rFonts w:ascii="Cambria Math" w:hAnsi="Cambria Math"/>
              </w:rPr>
              <m:t>e</m:t>
            </m:r>
          </m:sup>
        </m:sSubSup>
      </m:oMath>
      <w:r w:rsidR="00893ECA">
        <w:t xml:space="preserve"> mean</w:t>
      </w:r>
      <w:r w:rsidR="00285800">
        <w:t xml:space="preserve"> the market share of </w:t>
      </w:r>
      <w:r w:rsidR="00A230F3">
        <w:t xml:space="preserve">the </w:t>
      </w:r>
      <w:r w:rsidR="00285800">
        <w:t>operator</w:t>
      </w:r>
      <w:r w:rsidR="00893ECA">
        <w:t xml:space="preserve"> in year </w:t>
      </w:r>
      <m:oMath>
        <m:r>
          <w:rPr>
            <w:rFonts w:ascii="Cambria Math" w:hAnsi="Cambria Math"/>
          </w:rPr>
          <m:t>t-1</m:t>
        </m:r>
      </m:oMath>
      <w:r w:rsidR="00893ECA">
        <w:t xml:space="preserve">, the market share of the operator in year </w:t>
      </w:r>
      <m:oMath>
        <m:r>
          <w:rPr>
            <w:rFonts w:ascii="Cambria Math" w:hAnsi="Cambria Math"/>
          </w:rPr>
          <m:t>t-1</m:t>
        </m:r>
      </m:oMath>
      <w:r w:rsidR="00893ECA">
        <w:t xml:space="preserve">, and the market share of the operator in year </w:t>
      </w:r>
      <m:oMath>
        <m:r>
          <w:rPr>
            <w:rFonts w:ascii="Cambria Math" w:hAnsi="Cambria Math"/>
          </w:rPr>
          <m:t>t-2</m:t>
        </m:r>
      </m:oMath>
      <w:r w:rsidR="00893ECA">
        <w:t>, respectively.</w:t>
      </w:r>
      <w:r w:rsidR="00E00B2D">
        <w:rPr>
          <w:rStyle w:val="FootnoteReference"/>
        </w:rPr>
        <w:footnoteReference w:id="22"/>
      </w:r>
    </w:p>
    <w:p w:rsidR="00A230F3" w:rsidRDefault="00A230F3" w:rsidP="00A230F3">
      <w:pPr>
        <w:spacing w:before="240"/>
        <w:jc w:val="both"/>
      </w:pPr>
      <w:r>
        <w:t xml:space="preserve">The </w:t>
      </w:r>
      <w:r w:rsidR="00BA63B2">
        <w:t>“</w:t>
      </w:r>
      <w:r w:rsidRPr="00BA63B2">
        <w:t>determined fixed fee</w:t>
      </w:r>
      <w:r>
        <w:t xml:space="preserve"> </w:t>
      </w:r>
      <w:r w:rsidR="00C7335F">
        <w:t>for a levy year</w:t>
      </w:r>
      <w:r w:rsidR="00BA63B2">
        <w:t>”</w:t>
      </w:r>
      <w:r w:rsidR="00C7335F">
        <w:t xml:space="preserve"> </w:t>
      </w:r>
      <w:r>
        <w:t xml:space="preserve">should be defined as the </w:t>
      </w:r>
      <w:r w:rsidR="004731AB">
        <w:t xml:space="preserve">estimated </w:t>
      </w:r>
      <w:r w:rsidR="00A41C5D">
        <w:t>lowest</w:t>
      </w:r>
      <w:r>
        <w:t xml:space="preserve"> </w:t>
      </w:r>
      <w:r w:rsidR="00C61058">
        <w:t xml:space="preserve">possible </w:t>
      </w:r>
      <w:r w:rsidR="00E41D97">
        <w:t xml:space="preserve">additional </w:t>
      </w:r>
      <w:r>
        <w:t xml:space="preserve">regulatory cost </w:t>
      </w:r>
      <w:r w:rsidR="00E41D97">
        <w:t>of one more operator</w:t>
      </w:r>
      <w:r w:rsidR="00C61058">
        <w:t xml:space="preserve"> in the sector </w:t>
      </w:r>
      <w:r w:rsidR="004731AB">
        <w:t>for the levy year</w:t>
      </w:r>
      <w:r>
        <w:t xml:space="preserve">. The fixed </w:t>
      </w:r>
      <w:r w:rsidR="00C61058">
        <w:t xml:space="preserve">fee </w:t>
      </w:r>
      <w:r>
        <w:t>should be determine</w:t>
      </w:r>
      <w:r w:rsidR="00BA63B2">
        <w:t>d</w:t>
      </w:r>
      <w:r>
        <w:t xml:space="preserve"> by instrument and set for a number of years at a time, allowing for changes due to unforeseen circumstances.</w:t>
      </w:r>
    </w:p>
    <w:p w:rsidR="00285800" w:rsidRDefault="00F14E2B" w:rsidP="00893ECA">
      <w:pPr>
        <w:jc w:val="both"/>
      </w:pPr>
      <w:r>
        <w:t>For this section of the Act, “m</w:t>
      </w:r>
      <w:r w:rsidR="00893ECA">
        <w:t xml:space="preserve">arket share” should be defined as </w:t>
      </w:r>
      <m:oMath>
        <m:f>
          <m:fPr>
            <m:ctrlPr>
              <w:rPr>
                <w:rFonts w:ascii="Cambria Math" w:hAnsi="Cambria Math"/>
                <w:i/>
              </w:rPr>
            </m:ctrlPr>
          </m:fPr>
          <m:num>
            <m:r>
              <w:rPr>
                <w:rFonts w:ascii="Cambria Math" w:hAnsi="Cambria Math"/>
              </w:rPr>
              <m:t>E</m:t>
            </m:r>
          </m:num>
          <m:den>
            <m:r>
              <w:rPr>
                <w:rFonts w:ascii="Cambria Math" w:hAnsi="Cambria Math"/>
              </w:rPr>
              <m:t>∑E</m:t>
            </m:r>
          </m:den>
        </m:f>
      </m:oMath>
      <w:r w:rsidR="00893ECA">
        <w:t xml:space="preserve"> currently is in the Act, in terms of the energy sold or distributed by the operator.</w:t>
      </w:r>
      <w:r w:rsidR="00C84DE5">
        <w:t xml:space="preserve"> </w:t>
      </w:r>
      <w:r w:rsidR="00294D20">
        <w:t>Thus</w:t>
      </w:r>
      <w:r w:rsidR="00C84DE5">
        <w:t xml:space="preserve">, market share in year </w:t>
      </w:r>
      <m:oMath>
        <m:r>
          <w:rPr>
            <w:rFonts w:ascii="Cambria Math" w:hAnsi="Cambria Math"/>
          </w:rPr>
          <m:t>t</m:t>
        </m:r>
      </m:oMath>
      <w:r w:rsidR="00C84DE5">
        <w:t xml:space="preserve"> should mean —</w:t>
      </w:r>
    </w:p>
    <w:p w:rsidR="00C84DE5" w:rsidRDefault="00C84DE5" w:rsidP="0001275B">
      <w:pPr>
        <w:pStyle w:val="ListParagraph"/>
        <w:numPr>
          <w:ilvl w:val="0"/>
          <w:numId w:val="30"/>
        </w:numPr>
        <w:jc w:val="both"/>
      </w:pPr>
      <w:r>
        <w:t xml:space="preserve">for an electricity distributor, the total number of megawatt hours of electricity distributed by the distributor in the ACT in year </w:t>
      </w:r>
      <m:oMath>
        <m:r>
          <w:rPr>
            <w:rFonts w:ascii="Cambria Math" w:hAnsi="Cambria Math"/>
          </w:rPr>
          <m:t>t</m:t>
        </m:r>
      </m:oMath>
      <w:r>
        <w:t xml:space="preserve"> divided by the total number of megawatt hours of electricity distributed in the ACT in year </w:t>
      </w:r>
      <m:oMath>
        <m:r>
          <w:rPr>
            <w:rFonts w:ascii="Cambria Math" w:hAnsi="Cambria Math"/>
          </w:rPr>
          <m:t>t</m:t>
        </m:r>
      </m:oMath>
      <w:r>
        <w:t>;</w:t>
      </w:r>
    </w:p>
    <w:p w:rsidR="00C84DE5" w:rsidRDefault="00C84DE5" w:rsidP="0001275B">
      <w:pPr>
        <w:pStyle w:val="ListParagraph"/>
        <w:numPr>
          <w:ilvl w:val="0"/>
          <w:numId w:val="30"/>
        </w:numPr>
        <w:jc w:val="both"/>
      </w:pPr>
      <w:r>
        <w:t>for an NERL retailer that supplies electricity, the total number of me</w:t>
      </w:r>
      <w:r w:rsidR="00F14E2B">
        <w:t>gawatt hours of electricity sol</w:t>
      </w:r>
      <w:r>
        <w:t xml:space="preserve">d by the retailer in the ACT in year </w:t>
      </w:r>
      <m:oMath>
        <m:r>
          <w:rPr>
            <w:rFonts w:ascii="Cambria Math" w:hAnsi="Cambria Math"/>
          </w:rPr>
          <m:t>t</m:t>
        </m:r>
      </m:oMath>
      <w:r>
        <w:t xml:space="preserve"> divided by the total number of megawatt hours of electricity </w:t>
      </w:r>
      <w:r w:rsidR="00536C03">
        <w:t>sold</w:t>
      </w:r>
      <w:r>
        <w:t xml:space="preserve"> in the ACT in year </w:t>
      </w:r>
      <m:oMath>
        <m:r>
          <w:rPr>
            <w:rFonts w:ascii="Cambria Math" w:hAnsi="Cambria Math"/>
          </w:rPr>
          <m:t>t</m:t>
        </m:r>
      </m:oMath>
      <w:r>
        <w:t>;</w:t>
      </w:r>
    </w:p>
    <w:p w:rsidR="00536C03" w:rsidRDefault="00536C03" w:rsidP="0001275B">
      <w:pPr>
        <w:pStyle w:val="ListParagraph"/>
        <w:numPr>
          <w:ilvl w:val="0"/>
          <w:numId w:val="30"/>
        </w:numPr>
        <w:jc w:val="both"/>
      </w:pPr>
      <w:r>
        <w:t xml:space="preserve">for a gas distributor, the total number of </w:t>
      </w:r>
      <w:proofErr w:type="spellStart"/>
      <w:r>
        <w:t>megajoules</w:t>
      </w:r>
      <w:proofErr w:type="spellEnd"/>
      <w:r>
        <w:t xml:space="preserve"> of gas distributed by the distributor in the ACT in year </w:t>
      </w:r>
      <m:oMath>
        <m:r>
          <w:rPr>
            <w:rFonts w:ascii="Cambria Math" w:hAnsi="Cambria Math"/>
          </w:rPr>
          <m:t>t</m:t>
        </m:r>
      </m:oMath>
      <w:r>
        <w:t xml:space="preserve"> divided by the total number of megajoules of gas distributed in the ACT in year </w:t>
      </w:r>
      <m:oMath>
        <m:r>
          <w:rPr>
            <w:rFonts w:ascii="Cambria Math" w:hAnsi="Cambria Math"/>
          </w:rPr>
          <m:t>t</m:t>
        </m:r>
      </m:oMath>
      <w:r>
        <w:t>;</w:t>
      </w:r>
      <w:r w:rsidR="003E46F2">
        <w:t xml:space="preserve"> and</w:t>
      </w:r>
    </w:p>
    <w:p w:rsidR="00C84DE5" w:rsidRDefault="00536C03" w:rsidP="0001275B">
      <w:pPr>
        <w:pStyle w:val="ListParagraph"/>
        <w:numPr>
          <w:ilvl w:val="0"/>
          <w:numId w:val="30"/>
        </w:numPr>
        <w:jc w:val="both"/>
      </w:pPr>
      <w:proofErr w:type="gramStart"/>
      <w:r>
        <w:t>for</w:t>
      </w:r>
      <w:proofErr w:type="gramEnd"/>
      <w:r>
        <w:t xml:space="preserve"> an NERL retailer that supplies gas, the total number of </w:t>
      </w:r>
      <w:proofErr w:type="spellStart"/>
      <w:r>
        <w:t>megajoules</w:t>
      </w:r>
      <w:proofErr w:type="spellEnd"/>
      <w:r>
        <w:t xml:space="preserve"> of gas s</w:t>
      </w:r>
      <w:r w:rsidR="00F14E2B">
        <w:t>ol</w:t>
      </w:r>
      <w:r>
        <w:t xml:space="preserve">d by the retailer in the ACT in year </w:t>
      </w:r>
      <m:oMath>
        <m:r>
          <w:rPr>
            <w:rFonts w:ascii="Cambria Math" w:hAnsi="Cambria Math"/>
          </w:rPr>
          <m:t>t</m:t>
        </m:r>
      </m:oMath>
      <w:r>
        <w:t xml:space="preserve"> divided by the total number of megajoules of gas sold in the ACT in year </w:t>
      </w:r>
      <m:oMath>
        <m:r>
          <w:rPr>
            <w:rFonts w:ascii="Cambria Math" w:hAnsi="Cambria Math"/>
          </w:rPr>
          <m:t>t</m:t>
        </m:r>
      </m:oMath>
      <w:r>
        <w:t>.</w:t>
      </w:r>
    </w:p>
    <w:p w:rsidR="003E2E91" w:rsidRDefault="003E2E91" w:rsidP="00D85385">
      <w:pPr>
        <w:pStyle w:val="Heading3"/>
      </w:pPr>
      <w:bookmarkStart w:id="140" w:name="_Toc443901145"/>
      <w:bookmarkStart w:id="141" w:name="_Toc444861414"/>
      <w:bookmarkStart w:id="142" w:name="_Toc449438572"/>
      <w:bookmarkStart w:id="143" w:name="_Toc454982034"/>
      <w:bookmarkStart w:id="144" w:name="_Toc443901147"/>
      <w:r>
        <w:t>Retrospective adjustment</w:t>
      </w:r>
      <w:bookmarkEnd w:id="140"/>
      <w:r w:rsidR="00A0425C">
        <w:t xml:space="preserve">s in </w:t>
      </w:r>
      <w:bookmarkEnd w:id="141"/>
      <w:bookmarkEnd w:id="142"/>
      <w:bookmarkEnd w:id="143"/>
      <w:r w:rsidR="00322830">
        <w:t>the first year of the new system</w:t>
      </w:r>
    </w:p>
    <w:p w:rsidR="00EE3946" w:rsidRDefault="0095342C" w:rsidP="003E2E91">
      <w:pPr>
        <w:jc w:val="both"/>
      </w:pPr>
      <w:r>
        <w:t>T</w:t>
      </w:r>
      <w:r w:rsidR="003E2E91">
        <w:t xml:space="preserve">his report recommends no </w:t>
      </w:r>
      <w:r w:rsidR="00A0425C">
        <w:t xml:space="preserve">additional </w:t>
      </w:r>
      <w:r w:rsidR="003E2E91">
        <w:t>retrospective adjustment</w:t>
      </w:r>
      <w:r w:rsidR="00A0425C">
        <w:t xml:space="preserve"> be made to bring the </w:t>
      </w:r>
      <w:r w:rsidR="00322830">
        <w:t>previous years</w:t>
      </w:r>
      <w:r w:rsidR="00A0425C">
        <w:t xml:space="preserve"> under the new system</w:t>
      </w:r>
      <w:r w:rsidR="003E2E91">
        <w:t xml:space="preserve">, </w:t>
      </w:r>
      <w:r w:rsidR="00A0425C">
        <w:t xml:space="preserve">thus </w:t>
      </w:r>
      <w:r w:rsidR="003E2E91">
        <w:t>no legi</w:t>
      </w:r>
      <w:r w:rsidR="00EA7DA5">
        <w:t>slative amendments are required</w:t>
      </w:r>
      <w:r w:rsidR="00A0425C">
        <w:t xml:space="preserve"> </w:t>
      </w:r>
      <w:r w:rsidR="00FC477A">
        <w:t>(Recommendation 11</w:t>
      </w:r>
      <w:r w:rsidR="00EA7DA5">
        <w:t>).</w:t>
      </w:r>
    </w:p>
    <w:p w:rsidR="003E2E91" w:rsidRDefault="00A0425C" w:rsidP="003E2E91">
      <w:pPr>
        <w:jc w:val="both"/>
      </w:pPr>
      <w:r>
        <w:t>The report does recommend a</w:t>
      </w:r>
      <w:r w:rsidR="002D5DA9">
        <w:t>n</w:t>
      </w:r>
      <w:r>
        <w:t xml:space="preserve"> adjustment in the first year of the </w:t>
      </w:r>
      <w:r w:rsidR="002D5DA9">
        <w:t>new levy</w:t>
      </w:r>
      <w:r w:rsidR="00EE3946">
        <w:t xml:space="preserve"> to correct for estimation in </w:t>
      </w:r>
      <w:r w:rsidR="00322830">
        <w:t>the previous year</w:t>
      </w:r>
      <w:r w:rsidR="00FC477A">
        <w:t xml:space="preserve"> (Recommendation 12</w:t>
      </w:r>
      <w:r w:rsidR="00EA7DA5">
        <w:t>)</w:t>
      </w:r>
      <w:r w:rsidR="002D5DA9">
        <w:t xml:space="preserve">. The formula above should be used for the first time in </w:t>
      </w:r>
      <w:r w:rsidR="00322830">
        <w:t>second year of the new system</w:t>
      </w:r>
      <w:r w:rsidR="002D5DA9">
        <w:t xml:space="preserve">. In the </w:t>
      </w:r>
      <w:r w:rsidR="00076D01">
        <w:t>first year of the new system</w:t>
      </w:r>
      <w:r w:rsidR="00322830">
        <w:t xml:space="preserve">, </w:t>
      </w:r>
      <w:r w:rsidR="00322830">
        <w:rPr>
          <w:i/>
        </w:rPr>
        <w:t>t</w:t>
      </w:r>
      <w:r w:rsidR="00322830">
        <w:t>,</w:t>
      </w:r>
      <w:r w:rsidR="002D5DA9">
        <w:t xml:space="preserve"> a utility should be charged:</w:t>
      </w:r>
    </w:p>
    <w:p w:rsidR="0095342C" w:rsidRDefault="00606DE5" w:rsidP="003E2E91">
      <w:pPr>
        <w:jc w:val="both"/>
      </w:pPr>
      <m:oMathPara>
        <m:oMath>
          <m:sSubSup>
            <m:sSubSupPr>
              <m:ctrlPr>
                <w:rPr>
                  <w:rFonts w:ascii="Cambria Math" w:hAnsi="Cambria Math"/>
                  <w:i/>
                </w:rPr>
              </m:ctrlPr>
            </m:sSubSupPr>
            <m:e>
              <m:r>
                <w:rPr>
                  <w:rFonts w:ascii="Cambria Math" w:hAnsi="Cambria Math"/>
                </w:rPr>
                <m:t>F</m:t>
              </m:r>
            </m:e>
            <m:sub>
              <m:r>
                <w:rPr>
                  <w:rFonts w:ascii="Cambria Math" w:hAnsi="Cambria Math"/>
                </w:rPr>
                <m:t>t</m:t>
              </m:r>
            </m:sub>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t</m:t>
              </m:r>
            </m:sub>
            <m:sup>
              <m:r>
                <w:rPr>
                  <w:rFonts w:ascii="Cambria Math" w:hAnsi="Cambria Math"/>
                </w:rPr>
                <m:t>e</m:t>
              </m:r>
            </m:sup>
          </m:sSubSup>
          <m:r>
            <w:rPr>
              <w:rFonts w:ascii="Cambria Math" w:hAnsi="Cambria Math"/>
            </w:rPr>
            <m:t>+ A</m:t>
          </m:r>
        </m:oMath>
      </m:oMathPara>
    </w:p>
    <w:p w:rsidR="002D5DA9" w:rsidRDefault="002D5DA9" w:rsidP="003E2E91">
      <w:pPr>
        <w:jc w:val="both"/>
      </w:pPr>
      <w:r>
        <w:t>Where:</w:t>
      </w:r>
    </w:p>
    <w:p w:rsidR="002D5DA9" w:rsidRDefault="00606DE5" w:rsidP="0001275B">
      <w:pPr>
        <w:pStyle w:val="ListParagraph"/>
        <w:numPr>
          <w:ilvl w:val="0"/>
          <w:numId w:val="33"/>
        </w:numPr>
        <w:jc w:val="both"/>
      </w:pPr>
      <m:oMath>
        <m:sSub>
          <m:sSubPr>
            <m:ctrlPr>
              <w:rPr>
                <w:rFonts w:ascii="Cambria Math" w:hAnsi="Cambria Math"/>
                <w:i/>
              </w:rPr>
            </m:ctrlPr>
          </m:sSubPr>
          <m:e>
            <m:r>
              <w:rPr>
                <w:rFonts w:ascii="Cambria Math" w:hAnsi="Cambria Math"/>
              </w:rPr>
              <m:t>F</m:t>
            </m:r>
          </m:e>
          <m:sub>
            <m:r>
              <w:rPr>
                <w:rFonts w:ascii="Cambria Math" w:hAnsi="Cambria Math"/>
              </w:rPr>
              <m:t>t</m:t>
            </m:r>
          </m:sub>
        </m:sSub>
      </m:oMath>
      <w:r w:rsidR="002D5DA9">
        <w:t xml:space="preserve">, and </w:t>
      </w:r>
      <m:oMath>
        <m:sSubSup>
          <m:sSubSupPr>
            <m:ctrlPr>
              <w:rPr>
                <w:rFonts w:ascii="Cambria Math" w:hAnsi="Cambria Math"/>
                <w:i/>
              </w:rPr>
            </m:ctrlPr>
          </m:sSubSupPr>
          <m:e>
            <m:r>
              <w:rPr>
                <w:rFonts w:ascii="Cambria Math" w:hAnsi="Cambria Math"/>
              </w:rPr>
              <m:t>V</m:t>
            </m:r>
          </m:e>
          <m:sub>
            <m:r>
              <w:rPr>
                <w:rFonts w:ascii="Cambria Math" w:hAnsi="Cambria Math"/>
              </w:rPr>
              <m:t>t</m:t>
            </m:r>
          </m:sub>
          <m:sup>
            <m:r>
              <w:rPr>
                <w:rFonts w:ascii="Cambria Math" w:hAnsi="Cambria Math"/>
              </w:rPr>
              <m:t>e</m:t>
            </m:r>
          </m:sup>
        </m:sSubSup>
      </m:oMath>
      <w:r w:rsidR="002D5DA9">
        <w:t xml:space="preserve"> are defined as above; and</w:t>
      </w:r>
    </w:p>
    <w:p w:rsidR="002D5DA9" w:rsidRDefault="002D5DA9" w:rsidP="0001275B">
      <w:pPr>
        <w:pStyle w:val="ListParagraph"/>
        <w:numPr>
          <w:ilvl w:val="0"/>
          <w:numId w:val="33"/>
        </w:numPr>
        <w:jc w:val="both"/>
      </w:pPr>
      <m:oMath>
        <m:r>
          <w:rPr>
            <w:rFonts w:ascii="Cambria Math" w:hAnsi="Cambria Math"/>
          </w:rPr>
          <m:t>A</m:t>
        </m:r>
      </m:oMath>
      <w:r>
        <w:t xml:space="preserve"> </w:t>
      </w:r>
      <w:proofErr w:type="gramStart"/>
      <w:r>
        <w:t>is</w:t>
      </w:r>
      <w:proofErr w:type="gramEnd"/>
      <w:r>
        <w:t xml:space="preserve"> defined as in the current Act.</w:t>
      </w:r>
    </w:p>
    <w:p w:rsidR="00C57267" w:rsidRDefault="00356253" w:rsidP="00D85385">
      <w:pPr>
        <w:pStyle w:val="Heading3"/>
      </w:pPr>
      <w:bookmarkStart w:id="145" w:name="_Toc444861415"/>
      <w:bookmarkStart w:id="146" w:name="_Toc449438573"/>
      <w:bookmarkStart w:id="147" w:name="_Toc454982035"/>
      <w:r>
        <w:t>Guidelines and a</w:t>
      </w:r>
      <w:r w:rsidR="00C57267">
        <w:t>nnual account</w:t>
      </w:r>
      <w:bookmarkEnd w:id="144"/>
      <w:bookmarkEnd w:id="145"/>
      <w:bookmarkEnd w:id="146"/>
      <w:bookmarkEnd w:id="147"/>
    </w:p>
    <w:p w:rsidR="00C57267" w:rsidRDefault="00A5309F" w:rsidP="00510E29">
      <w:pPr>
        <w:jc w:val="both"/>
      </w:pPr>
      <w:r>
        <w:t>This report of the investigation into the EIL recommends that guidelines outli</w:t>
      </w:r>
      <w:r w:rsidR="002A4967">
        <w:t>ning the approach taken by the Levy A</w:t>
      </w:r>
      <w:r>
        <w:t xml:space="preserve">dministrator and best practice in administering </w:t>
      </w:r>
      <w:r w:rsidR="00576BCC">
        <w:t>the Levy</w:t>
      </w:r>
      <w:r>
        <w:t xml:space="preserve"> </w:t>
      </w:r>
      <w:r w:rsidR="003E46F2">
        <w:t>are</w:t>
      </w:r>
      <w:r>
        <w:t xml:space="preserve"> produced</w:t>
      </w:r>
      <w:r w:rsidR="00FC477A">
        <w:t xml:space="preserve"> (Recommendations 3, 7, and 10</w:t>
      </w:r>
      <w:r w:rsidR="003E46F2">
        <w:t>)</w:t>
      </w:r>
      <w:r>
        <w:t xml:space="preserve">. The report also recommends that an annual account of </w:t>
      </w:r>
      <w:r w:rsidR="00576BCC">
        <w:t>the Levy</w:t>
      </w:r>
      <w:r>
        <w:t xml:space="preserve"> </w:t>
      </w:r>
      <w:r w:rsidR="003E46F2">
        <w:t>is</w:t>
      </w:r>
      <w:r>
        <w:t xml:space="preserve"> produced. The implementation of these recommendations </w:t>
      </w:r>
      <w:r w:rsidR="004574BA">
        <w:t xml:space="preserve">may </w:t>
      </w:r>
      <w:r>
        <w:t>not re</w:t>
      </w:r>
      <w:r w:rsidR="00A07F55">
        <w:t xml:space="preserve">quire legislation, but the guidelines and </w:t>
      </w:r>
      <w:r w:rsidR="00F03FCB">
        <w:t xml:space="preserve">annual account </w:t>
      </w:r>
      <w:r w:rsidR="004574BA">
        <w:t xml:space="preserve">could </w:t>
      </w:r>
      <w:r w:rsidR="00F03FCB">
        <w:t>be mentioned in the EIL legislation.</w:t>
      </w:r>
    </w:p>
    <w:p w:rsidR="00C149E3" w:rsidRDefault="00C149E3" w:rsidP="00C149E3">
      <w:pPr>
        <w:pStyle w:val="Heading3"/>
      </w:pPr>
      <w:r>
        <w:t>Minor changes as required</w:t>
      </w:r>
    </w:p>
    <w:p w:rsidR="00C149E3" w:rsidRDefault="00C149E3" w:rsidP="00656DB7">
      <w:pPr>
        <w:jc w:val="both"/>
      </w:pPr>
      <w:r>
        <w:t>In drafting amendments to the Act, it is also an appropriate time to include minor amendments to the Act. These amendments may:</w:t>
      </w:r>
    </w:p>
    <w:p w:rsidR="00C149E3" w:rsidRDefault="00C149E3" w:rsidP="00656DB7">
      <w:pPr>
        <w:pStyle w:val="ListParagraph"/>
        <w:numPr>
          <w:ilvl w:val="0"/>
          <w:numId w:val="42"/>
        </w:numPr>
        <w:jc w:val="both"/>
      </w:pPr>
      <w:r>
        <w:t>clarify minor points of</w:t>
      </w:r>
      <w:r w:rsidR="00BD45F1">
        <w:t xml:space="preserve"> the administration of the Levy;</w:t>
      </w:r>
      <w:r>
        <w:t xml:space="preserve"> </w:t>
      </w:r>
    </w:p>
    <w:p w:rsidR="00C149E3" w:rsidRDefault="00C149E3" w:rsidP="00656DB7">
      <w:pPr>
        <w:pStyle w:val="ListParagraph"/>
        <w:numPr>
          <w:ilvl w:val="0"/>
          <w:numId w:val="42"/>
        </w:numPr>
        <w:jc w:val="both"/>
      </w:pPr>
      <w:r>
        <w:t>ensure consistency with other ta</w:t>
      </w:r>
      <w:r w:rsidR="00BD45F1">
        <w:t>x law in uncontroversial ways;</w:t>
      </w:r>
    </w:p>
    <w:p w:rsidR="00C149E3" w:rsidRDefault="00C149E3" w:rsidP="00656DB7">
      <w:pPr>
        <w:pStyle w:val="ListParagraph"/>
        <w:numPr>
          <w:ilvl w:val="0"/>
          <w:numId w:val="42"/>
        </w:numPr>
        <w:jc w:val="both"/>
      </w:pPr>
      <w:r>
        <w:t xml:space="preserve">clarify the </w:t>
      </w:r>
      <w:r w:rsidR="00BD45F1">
        <w:t>joint governance of the Levy between the ACT Revenue Office and the Levy Administrator, where this is uncontroversial;</w:t>
      </w:r>
    </w:p>
    <w:p w:rsidR="00BD45F1" w:rsidRDefault="00BD45F1" w:rsidP="00656DB7">
      <w:pPr>
        <w:pStyle w:val="ListParagraph"/>
        <w:numPr>
          <w:ilvl w:val="0"/>
          <w:numId w:val="42"/>
        </w:numPr>
        <w:jc w:val="both"/>
      </w:pPr>
      <w:r>
        <w:t xml:space="preserve">clarify the Levy Administrator’s powers in regard to utilities that have exited the ACT energy sectors, and may be in receivership; </w:t>
      </w:r>
    </w:p>
    <w:p w:rsidR="00BD45F1" w:rsidRDefault="00BD45F1" w:rsidP="00656DB7">
      <w:pPr>
        <w:pStyle w:val="ListParagraph"/>
        <w:numPr>
          <w:ilvl w:val="0"/>
          <w:numId w:val="42"/>
        </w:numPr>
        <w:jc w:val="both"/>
      </w:pPr>
      <w:r>
        <w:t>ensure appropriate flexibility for the administration of the Levy in the face of insufficient or incorrect information; and</w:t>
      </w:r>
    </w:p>
    <w:p w:rsidR="00BD45F1" w:rsidRPr="00C149E3" w:rsidRDefault="00BD45F1" w:rsidP="00656DB7">
      <w:pPr>
        <w:pStyle w:val="ListParagraph"/>
        <w:numPr>
          <w:ilvl w:val="0"/>
          <w:numId w:val="42"/>
        </w:numPr>
        <w:jc w:val="both"/>
      </w:pPr>
      <w:proofErr w:type="gramStart"/>
      <w:r>
        <w:t>update</w:t>
      </w:r>
      <w:proofErr w:type="gramEnd"/>
      <w:r>
        <w:t xml:space="preserve"> details on national regulatory bodies.</w:t>
      </w:r>
    </w:p>
    <w:p w:rsidR="00E03029" w:rsidRDefault="00E03029" w:rsidP="00E03029">
      <w:pPr>
        <w:spacing w:after="0" w:line="240" w:lineRule="auto"/>
        <w:rPr>
          <w:rFonts w:ascii="Cambria" w:eastAsia="Times New Roman" w:hAnsi="Cambria"/>
          <w:b/>
          <w:bCs/>
          <w:color w:val="365F91"/>
          <w:sz w:val="28"/>
          <w:szCs w:val="28"/>
        </w:rPr>
      </w:pPr>
      <w:r>
        <w:br w:type="page"/>
      </w:r>
    </w:p>
    <w:p w:rsidR="00E61AF9" w:rsidRDefault="00E61AF9" w:rsidP="00E61AF9">
      <w:pPr>
        <w:pStyle w:val="Heading1"/>
      </w:pPr>
      <w:bookmarkStart w:id="148" w:name="_Toc443051416"/>
      <w:bookmarkStart w:id="149" w:name="_Toc454982036"/>
      <w:r>
        <w:t xml:space="preserve">Appendix </w:t>
      </w:r>
      <w:bookmarkEnd w:id="148"/>
      <w:r w:rsidR="00CB558D">
        <w:t>A</w:t>
      </w:r>
      <w:r w:rsidR="00330A33">
        <w:t xml:space="preserve">: </w:t>
      </w:r>
      <w:r w:rsidR="000E777A">
        <w:t>Terms of Reference</w:t>
      </w:r>
      <w:bookmarkEnd w:id="149"/>
    </w:p>
    <w:p w:rsidR="00330A33" w:rsidRDefault="00330A33" w:rsidP="00510E29">
      <w:pPr>
        <w:jc w:val="both"/>
      </w:pPr>
      <w:r>
        <w:t xml:space="preserve">This report on the investigation of the EIL provides comment and recommendations on the following </w:t>
      </w:r>
      <w:r w:rsidR="000E777A">
        <w:t>Terms of Reference</w:t>
      </w:r>
      <w:r>
        <w:t>:</w:t>
      </w:r>
    </w:p>
    <w:p w:rsidR="00330A33" w:rsidRPr="00E61AF9" w:rsidRDefault="00330A33" w:rsidP="0001275B">
      <w:pPr>
        <w:pStyle w:val="ListParagraph"/>
        <w:numPr>
          <w:ilvl w:val="0"/>
          <w:numId w:val="25"/>
        </w:numPr>
        <w:jc w:val="both"/>
      </w:pPr>
      <w:r w:rsidRPr="00E61AF9">
        <w:t>the appropriateness of the current structure of regulatory costs (as per definitions under Section 54A of the Act);</w:t>
      </w:r>
    </w:p>
    <w:p w:rsidR="00330A33" w:rsidRPr="00E61AF9" w:rsidRDefault="00330A33" w:rsidP="00510E29">
      <w:pPr>
        <w:numPr>
          <w:ilvl w:val="0"/>
          <w:numId w:val="1"/>
        </w:numPr>
        <w:spacing w:after="0" w:line="240" w:lineRule="auto"/>
        <w:jc w:val="both"/>
      </w:pPr>
      <w:r w:rsidRPr="00E61AF9">
        <w:t>the appropriateness of the current methodology for distributing regulatory costs across operators (as per Section 54C of the Act);</w:t>
      </w:r>
    </w:p>
    <w:p w:rsidR="00330A33" w:rsidRPr="00E61AF9" w:rsidRDefault="00330A33" w:rsidP="00510E29">
      <w:pPr>
        <w:numPr>
          <w:ilvl w:val="0"/>
          <w:numId w:val="1"/>
        </w:numPr>
        <w:spacing w:after="0" w:line="240" w:lineRule="auto"/>
        <w:jc w:val="both"/>
      </w:pPr>
      <w:r w:rsidRPr="00E61AF9">
        <w:t>whether any improvements can be made to the structure of regulatory costs or current methodology, or whether there are relevant alternative methodologies used in other jurisdictions;</w:t>
      </w:r>
    </w:p>
    <w:p w:rsidR="00330A33" w:rsidRPr="00E61AF9" w:rsidRDefault="00330A33" w:rsidP="00510E29">
      <w:pPr>
        <w:numPr>
          <w:ilvl w:val="0"/>
          <w:numId w:val="1"/>
        </w:numPr>
        <w:spacing w:after="0" w:line="240" w:lineRule="auto"/>
        <w:jc w:val="both"/>
      </w:pPr>
      <w:r w:rsidRPr="00E61AF9">
        <w:t>if improvements are suggested, whether legislative amendments are required;</w:t>
      </w:r>
    </w:p>
    <w:p w:rsidR="00330A33" w:rsidRPr="00E61AF9" w:rsidRDefault="00330A33" w:rsidP="00510E29">
      <w:pPr>
        <w:numPr>
          <w:ilvl w:val="0"/>
          <w:numId w:val="1"/>
        </w:numPr>
        <w:spacing w:after="0" w:line="240" w:lineRule="auto"/>
        <w:jc w:val="both"/>
      </w:pPr>
      <w:r w:rsidRPr="00E61AF9">
        <w:t>if improvements are suggested, whether a retrospective adjustment will apply to the 2016-17 EIL for the 2015-16 EIL paid; and</w:t>
      </w:r>
    </w:p>
    <w:p w:rsidR="00330A33" w:rsidRDefault="00330A33" w:rsidP="00510E29">
      <w:pPr>
        <w:numPr>
          <w:ilvl w:val="0"/>
          <w:numId w:val="1"/>
        </w:numPr>
        <w:spacing w:line="240" w:lineRule="auto"/>
        <w:jc w:val="both"/>
      </w:pPr>
      <w:proofErr w:type="gramStart"/>
      <w:r w:rsidRPr="00E61AF9">
        <w:t>any</w:t>
      </w:r>
      <w:proofErr w:type="gramEnd"/>
      <w:r w:rsidRPr="00E61AF9">
        <w:t xml:space="preserve"> other minor issues identified in the investigation.  </w:t>
      </w:r>
    </w:p>
    <w:p w:rsidR="00E61AF9" w:rsidRDefault="00E61AF9" w:rsidP="00E61AF9">
      <w:pPr>
        <w:jc w:val="both"/>
      </w:pPr>
    </w:p>
    <w:p w:rsidR="00330A33" w:rsidRDefault="00330A33" w:rsidP="00E61AF9">
      <w:pPr>
        <w:jc w:val="both"/>
      </w:pPr>
    </w:p>
    <w:p w:rsidR="00330A33" w:rsidRDefault="00330A33">
      <w:pPr>
        <w:spacing w:after="0" w:line="240" w:lineRule="auto"/>
      </w:pPr>
      <w:r>
        <w:br w:type="page"/>
      </w:r>
    </w:p>
    <w:p w:rsidR="00E61AF9" w:rsidRDefault="00330A33" w:rsidP="00E61AF9">
      <w:pPr>
        <w:pStyle w:val="Heading1"/>
        <w:jc w:val="both"/>
      </w:pPr>
      <w:bookmarkStart w:id="150" w:name="_Toc443051417"/>
      <w:bookmarkStart w:id="151" w:name="_Toc454982037"/>
      <w:r>
        <w:t xml:space="preserve">Appendix </w:t>
      </w:r>
      <w:r w:rsidR="00CB558D">
        <w:t>B</w:t>
      </w:r>
      <w:r>
        <w:t xml:space="preserve">: </w:t>
      </w:r>
      <w:r w:rsidR="00E61AF9">
        <w:t xml:space="preserve">Responses from </w:t>
      </w:r>
      <w:r w:rsidR="00E61AF9" w:rsidRPr="00330A33">
        <w:t>consultation</w:t>
      </w:r>
      <w:bookmarkEnd w:id="150"/>
      <w:bookmarkEnd w:id="151"/>
    </w:p>
    <w:p w:rsidR="00E61AF9" w:rsidRDefault="00C81FC1" w:rsidP="00362FD3">
      <w:pPr>
        <w:jc w:val="both"/>
      </w:pPr>
      <w:r>
        <w:t xml:space="preserve">There were seven submissions </w:t>
      </w:r>
      <w:r w:rsidR="00362FD3">
        <w:t>in response to the investigation discussion paper</w:t>
      </w:r>
      <w:r>
        <w:t>. This includes publically available submissions from:</w:t>
      </w:r>
    </w:p>
    <w:p w:rsidR="00362FD3" w:rsidRDefault="00817E35" w:rsidP="0001275B">
      <w:pPr>
        <w:pStyle w:val="ListParagraph"/>
        <w:numPr>
          <w:ilvl w:val="0"/>
          <w:numId w:val="26"/>
        </w:numPr>
        <w:jc w:val="both"/>
      </w:pPr>
      <w:proofErr w:type="spellStart"/>
      <w:r>
        <w:t>ActewAGL</w:t>
      </w:r>
      <w:proofErr w:type="spellEnd"/>
      <w:r>
        <w:t xml:space="preserve"> Distribution;</w:t>
      </w:r>
    </w:p>
    <w:p w:rsidR="00362FD3" w:rsidRDefault="00362FD3" w:rsidP="0001275B">
      <w:pPr>
        <w:pStyle w:val="ListParagraph"/>
        <w:numPr>
          <w:ilvl w:val="0"/>
          <w:numId w:val="26"/>
        </w:numPr>
        <w:jc w:val="both"/>
      </w:pPr>
      <w:proofErr w:type="spellStart"/>
      <w:r>
        <w:t>ActewAGL</w:t>
      </w:r>
      <w:proofErr w:type="spellEnd"/>
      <w:r>
        <w:t xml:space="preserve"> </w:t>
      </w:r>
      <w:r w:rsidR="00493F55">
        <w:t>Retail</w:t>
      </w:r>
      <w:r w:rsidR="00817E35">
        <w:t>;</w:t>
      </w:r>
    </w:p>
    <w:p w:rsidR="00362FD3" w:rsidRDefault="00817E35" w:rsidP="0001275B">
      <w:pPr>
        <w:pStyle w:val="ListParagraph"/>
        <w:numPr>
          <w:ilvl w:val="0"/>
          <w:numId w:val="26"/>
        </w:numPr>
        <w:jc w:val="both"/>
      </w:pPr>
      <w:r>
        <w:t>Energy Australia;</w:t>
      </w:r>
      <w:r w:rsidR="00362FD3">
        <w:t xml:space="preserve"> </w:t>
      </w:r>
    </w:p>
    <w:p w:rsidR="00362FD3" w:rsidRDefault="00817E35" w:rsidP="0001275B">
      <w:pPr>
        <w:pStyle w:val="ListParagraph"/>
        <w:numPr>
          <w:ilvl w:val="0"/>
          <w:numId w:val="26"/>
        </w:numPr>
        <w:jc w:val="both"/>
      </w:pPr>
      <w:r>
        <w:t>ERM Business Energy;</w:t>
      </w:r>
    </w:p>
    <w:p w:rsidR="00362FD3" w:rsidRDefault="00817E35" w:rsidP="0001275B">
      <w:pPr>
        <w:pStyle w:val="ListParagraph"/>
        <w:numPr>
          <w:ilvl w:val="0"/>
          <w:numId w:val="26"/>
        </w:numPr>
        <w:jc w:val="both"/>
      </w:pPr>
      <w:r>
        <w:t>Origin Energy;</w:t>
      </w:r>
      <w:r w:rsidR="00362FD3">
        <w:t xml:space="preserve"> and </w:t>
      </w:r>
    </w:p>
    <w:p w:rsidR="00362FD3" w:rsidRDefault="00362FD3" w:rsidP="0001275B">
      <w:pPr>
        <w:pStyle w:val="ListParagraph"/>
        <w:numPr>
          <w:ilvl w:val="0"/>
          <w:numId w:val="26"/>
        </w:numPr>
        <w:jc w:val="both"/>
      </w:pPr>
      <w:r>
        <w:t>the Independent Competition and Regulatory Commission</w:t>
      </w:r>
      <w:r w:rsidR="00B925E1">
        <w:t>.</w:t>
      </w:r>
    </w:p>
    <w:p w:rsidR="00362FD3" w:rsidRDefault="00362FD3" w:rsidP="00362FD3">
      <w:pPr>
        <w:jc w:val="both"/>
      </w:pPr>
    </w:p>
    <w:p w:rsidR="00C81FC1" w:rsidRDefault="00C81FC1" w:rsidP="00362FD3">
      <w:pPr>
        <w:jc w:val="both"/>
      </w:pPr>
      <w:r>
        <w:t>The remaining submissions have not been made available at the request of the authors.</w:t>
      </w:r>
    </w:p>
    <w:p w:rsidR="00C81FC1" w:rsidRDefault="00C81FC1" w:rsidP="00362FD3">
      <w:pPr>
        <w:jc w:val="both"/>
      </w:pPr>
    </w:p>
    <w:p w:rsidR="00B1373A" w:rsidRDefault="00B1373A">
      <w:pPr>
        <w:spacing w:after="0" w:line="240" w:lineRule="auto"/>
      </w:pPr>
      <w:r>
        <w:br w:type="page"/>
      </w:r>
    </w:p>
    <w:p w:rsidR="00B1373A" w:rsidRPr="00E61AF9" w:rsidRDefault="00CB558D" w:rsidP="00B1373A">
      <w:pPr>
        <w:pStyle w:val="Heading1"/>
      </w:pPr>
      <w:bookmarkStart w:id="152" w:name="_Toc454982038"/>
      <w:r>
        <w:t>Appendix C</w:t>
      </w:r>
      <w:r w:rsidR="00B1373A">
        <w:t xml:space="preserve">: </w:t>
      </w:r>
      <w:r w:rsidR="00B1373A" w:rsidRPr="00E61AF9">
        <w:t>Regulation costs recovered through the EIL</w:t>
      </w:r>
      <w:bookmarkEnd w:id="152"/>
    </w:p>
    <w:p w:rsidR="00B1373A" w:rsidRPr="00E61AF9" w:rsidRDefault="00B1373A" w:rsidP="00D85385">
      <w:pPr>
        <w:pStyle w:val="Heading3"/>
      </w:pPr>
      <w:bookmarkStart w:id="153" w:name="_Toc443051383"/>
      <w:bookmarkStart w:id="154" w:name="_Toc443901158"/>
      <w:bookmarkStart w:id="155" w:name="_Toc444861419"/>
      <w:bookmarkStart w:id="156" w:name="_Toc449438577"/>
      <w:bookmarkStart w:id="157" w:name="_Toc454982039"/>
      <w:r w:rsidRPr="00E61AF9">
        <w:t>National regulatory costs – AEMC and Ministerial Energy Council</w:t>
      </w:r>
      <w:bookmarkEnd w:id="153"/>
      <w:bookmarkEnd w:id="154"/>
      <w:bookmarkEnd w:id="155"/>
      <w:bookmarkEnd w:id="156"/>
      <w:bookmarkEnd w:id="157"/>
    </w:p>
    <w:p w:rsidR="00B1373A" w:rsidRPr="00E61AF9" w:rsidRDefault="00B1373A" w:rsidP="00510E29">
      <w:pPr>
        <w:jc w:val="both"/>
      </w:pPr>
      <w:r w:rsidRPr="00E61AF9">
        <w:t xml:space="preserve">There are three important </w:t>
      </w:r>
      <w:r w:rsidR="00D31A60">
        <w:t>NEM</w:t>
      </w:r>
      <w:r w:rsidRPr="00E61AF9">
        <w:t xml:space="preserve"> bodies: the </w:t>
      </w:r>
      <w:r w:rsidR="00D31A60">
        <w:t>AEMC</w:t>
      </w:r>
      <w:r w:rsidRPr="00E61AF9">
        <w:t xml:space="preserve">, the Australian Energy Market Operator (AEMO), and the </w:t>
      </w:r>
      <w:r w:rsidR="00D31A60">
        <w:t>AER</w:t>
      </w:r>
      <w:r w:rsidRPr="00E61AF9">
        <w:t>. The AEMO is funded through cost-recovery from the energy industry. At the time of the NEM reforms, it wa</w:t>
      </w:r>
      <w:r w:rsidR="00B86449">
        <w:t>s agreed that the Commonwealth G</w:t>
      </w:r>
      <w:r w:rsidRPr="00E61AF9">
        <w:t>overnment would fund the AER and the AEMC would be jointly funded by participating states and territories on a per capita basis.</w:t>
      </w:r>
    </w:p>
    <w:p w:rsidR="00B1373A" w:rsidRPr="00E61AF9" w:rsidRDefault="00B1373A" w:rsidP="00510E29">
      <w:pPr>
        <w:jc w:val="both"/>
      </w:pPr>
      <w:r w:rsidRPr="00E61AF9">
        <w:t xml:space="preserve">While it remains the case that the ACT’s only national regulatory costs for market bodies are for the AEMC, it is possible that these obligations may change in the future. For example, the </w:t>
      </w:r>
      <w:r w:rsidRPr="00E61AF9">
        <w:rPr>
          <w:i/>
        </w:rPr>
        <w:t>Review of Governance Arrangements for Australian Energy Markets</w:t>
      </w:r>
      <w:r w:rsidRPr="00E61AF9">
        <w:t xml:space="preserve"> recommended that “the AEMC and AER should be jointly funded by all jurisdictions who are members of the COAG Energy Council in a m</w:t>
      </w:r>
      <w:r w:rsidR="003E46F2">
        <w:t>anner determined by the Council</w:t>
      </w:r>
      <w:r w:rsidR="00F07C66">
        <w:t>.</w:t>
      </w:r>
      <w:r w:rsidR="003E46F2">
        <w:t>”</w:t>
      </w:r>
      <w:r w:rsidR="00F07C66">
        <w:rPr>
          <w:rStyle w:val="FootnoteReference"/>
        </w:rPr>
        <w:footnoteReference w:id="23"/>
      </w:r>
      <w:r w:rsidRPr="00E61AF9">
        <w:t xml:space="preserve"> This would require the ACT to amend the EIL legislation to include funding for the AER.</w:t>
      </w:r>
    </w:p>
    <w:p w:rsidR="00B1373A" w:rsidRPr="00E61AF9" w:rsidRDefault="00B1373A" w:rsidP="00D85385">
      <w:pPr>
        <w:pStyle w:val="Heading3"/>
      </w:pPr>
      <w:bookmarkStart w:id="158" w:name="_Toc443051384"/>
      <w:bookmarkStart w:id="159" w:name="_Toc443901159"/>
      <w:bookmarkStart w:id="160" w:name="_Toc444861420"/>
      <w:bookmarkStart w:id="161" w:name="_Toc449438578"/>
      <w:bookmarkStart w:id="162" w:name="_Toc454982040"/>
      <w:r w:rsidRPr="00E61AF9">
        <w:t>The Independent Competition and Regulatory Commission</w:t>
      </w:r>
      <w:bookmarkEnd w:id="158"/>
      <w:bookmarkEnd w:id="159"/>
      <w:bookmarkEnd w:id="160"/>
      <w:bookmarkEnd w:id="161"/>
      <w:bookmarkEnd w:id="162"/>
    </w:p>
    <w:p w:rsidR="00B1373A" w:rsidRPr="00E61AF9" w:rsidRDefault="00B1373A" w:rsidP="00510E29">
      <w:pPr>
        <w:jc w:val="both"/>
      </w:pPr>
      <w:r w:rsidRPr="00E61AF9">
        <w:t>Currently, the ICRC regulatory costs are for the production of the Util</w:t>
      </w:r>
      <w:r w:rsidR="000E777A">
        <w:t>ity Licenc</w:t>
      </w:r>
      <w:r w:rsidRPr="00E61AF9">
        <w:t>es Annual report and the administration of the EIL. This funding is recorded in the ICRC annual reports as Government Payments for Outputs.</w:t>
      </w:r>
    </w:p>
    <w:p w:rsidR="00B1373A" w:rsidRPr="00E61AF9" w:rsidRDefault="00B1373A" w:rsidP="00510E29">
      <w:pPr>
        <w:jc w:val="both"/>
      </w:pPr>
      <w:r w:rsidRPr="00E61AF9">
        <w:t>Prior to 2013-14, the cost associated with the ICRC retail electricity price determination for small franchise customers was recovered through the EIL. This is now directly recovered by the Commission from the energy provider.</w:t>
      </w:r>
    </w:p>
    <w:p w:rsidR="00B1373A" w:rsidRPr="00E61AF9" w:rsidRDefault="002A4967" w:rsidP="00D85385">
      <w:pPr>
        <w:pStyle w:val="Heading3"/>
      </w:pPr>
      <w:bookmarkStart w:id="163" w:name="_Toc443051385"/>
      <w:bookmarkStart w:id="164" w:name="_Toc443901160"/>
      <w:bookmarkStart w:id="165" w:name="_Toc444861421"/>
      <w:bookmarkStart w:id="166" w:name="_Toc449438579"/>
      <w:bookmarkStart w:id="167" w:name="_Toc454982041"/>
      <w:r>
        <w:t>The ACT Technical R</w:t>
      </w:r>
      <w:r w:rsidR="00B1373A" w:rsidRPr="00E61AF9">
        <w:t>egulator – Access Canberra and the Environment and Planning Directorate</w:t>
      </w:r>
      <w:bookmarkEnd w:id="163"/>
      <w:bookmarkEnd w:id="164"/>
      <w:bookmarkEnd w:id="165"/>
      <w:bookmarkEnd w:id="166"/>
      <w:bookmarkEnd w:id="167"/>
    </w:p>
    <w:p w:rsidR="00B1373A" w:rsidRPr="00E61AF9" w:rsidRDefault="00B1373A" w:rsidP="00510E29">
      <w:pPr>
        <w:jc w:val="both"/>
      </w:pPr>
      <w:r w:rsidRPr="00E61AF9">
        <w:t>In th</w:t>
      </w:r>
      <w:r w:rsidR="002A4967">
        <w:t>e ACT the Technical R</w:t>
      </w:r>
      <w:r w:rsidRPr="00E61AF9">
        <w:t>egulator is the Director-General of the Environment and Planning</w:t>
      </w:r>
      <w:r w:rsidR="00A252D1">
        <w:t xml:space="preserve"> Directorate; however, in 2015</w:t>
      </w:r>
      <w:r w:rsidRPr="00E61AF9">
        <w:t xml:space="preserve"> the operational aspects of the technical regulation were transferred to Access Canberra. The </w:t>
      </w:r>
      <w:r w:rsidR="002A4967">
        <w:t>utilities Technical R</w:t>
      </w:r>
      <w:r w:rsidRPr="00E61AF9">
        <w:t xml:space="preserve">egulator undertakes specialised technical regulation of the ACT’s utilities, with the aim to ensure system safety, integrity and quality of supply. </w:t>
      </w:r>
      <w:proofErr w:type="gramStart"/>
      <w:r w:rsidRPr="00E61AF9">
        <w:t xml:space="preserve">In March 2015, the </w:t>
      </w:r>
      <w:r w:rsidRPr="00B86449">
        <w:rPr>
          <w:i/>
        </w:rPr>
        <w:t>Utilities (Technical Regulation) 2014</w:t>
      </w:r>
      <w:r w:rsidRPr="00E61AF9">
        <w:t xml:space="preserve"> came into effect, providing an extensive framework for regulating utilities.</w:t>
      </w:r>
      <w:proofErr w:type="gramEnd"/>
      <w:r w:rsidRPr="00E61AF9">
        <w:t xml:space="preserve"> The costs recovered through the EIL are only in relation to allowable regulatory activities identified in the </w:t>
      </w:r>
      <w:r w:rsidRPr="00B86449">
        <w:rPr>
          <w:i/>
        </w:rPr>
        <w:t>Utilities Act 2000</w:t>
      </w:r>
      <w:r w:rsidRPr="00E61AF9">
        <w:t>.</w:t>
      </w:r>
    </w:p>
    <w:p w:rsidR="00B1373A" w:rsidRPr="00E61AF9" w:rsidRDefault="002A4967" w:rsidP="00510E29">
      <w:pPr>
        <w:jc w:val="both"/>
      </w:pPr>
      <w:r>
        <w:t>The costs recovered for the Technical R</w:t>
      </w:r>
      <w:r w:rsidR="00B1373A" w:rsidRPr="00E61AF9">
        <w:t>egulator include an audit program. Previous audit p</w:t>
      </w:r>
      <w:r w:rsidR="00A252D1">
        <w:t>rograms have been published in a</w:t>
      </w:r>
      <w:r w:rsidR="00B1373A" w:rsidRPr="00E61AF9">
        <w:t>nnual reports</w:t>
      </w:r>
      <w:r w:rsidR="00A252D1">
        <w:t xml:space="preserve"> (for EPD and ESDD)</w:t>
      </w:r>
      <w:r w:rsidR="00B1373A" w:rsidRPr="00E61AF9">
        <w:t>. For example</w:t>
      </w:r>
      <w:r w:rsidR="00363954">
        <w:t xml:space="preserve">, </w:t>
      </w:r>
      <w:r w:rsidR="00B1373A" w:rsidRPr="00E61AF9">
        <w:t xml:space="preserve">for electricity distribution networks: </w:t>
      </w:r>
    </w:p>
    <w:p w:rsidR="00B1373A" w:rsidRPr="00E61AF9" w:rsidRDefault="005256D7" w:rsidP="00510E29">
      <w:pPr>
        <w:numPr>
          <w:ilvl w:val="0"/>
          <w:numId w:val="9"/>
        </w:numPr>
        <w:jc w:val="both"/>
      </w:pPr>
      <w:r>
        <w:t>the EP</w:t>
      </w:r>
      <w:r w:rsidR="00363954">
        <w:t xml:space="preserve">D </w:t>
      </w:r>
      <w:r w:rsidR="00B1373A" w:rsidRPr="00E61AF9">
        <w:t xml:space="preserve">2013-14 </w:t>
      </w:r>
      <w:r w:rsidR="00363954">
        <w:t xml:space="preserve">Annual Report said, </w:t>
      </w:r>
      <w:r w:rsidR="00B1373A" w:rsidRPr="00E61AF9">
        <w:t>“audit conducted on vegetation clearances on 60 sites; supported the Electrical Inspectorate in the auditing of the Royalla Solar Farm particularly with the high voltage transmission (underground) and connection to the Theodore zone substation.”</w:t>
      </w:r>
      <w:r>
        <w:rPr>
          <w:rStyle w:val="FootnoteReference"/>
        </w:rPr>
        <w:footnoteReference w:id="24"/>
      </w:r>
      <w:r w:rsidR="00B1373A" w:rsidRPr="00E61AF9">
        <w:t xml:space="preserve"> </w:t>
      </w:r>
    </w:p>
    <w:p w:rsidR="00B1373A" w:rsidRPr="00E61AF9" w:rsidRDefault="00363954" w:rsidP="00510E29">
      <w:pPr>
        <w:numPr>
          <w:ilvl w:val="0"/>
          <w:numId w:val="9"/>
        </w:numPr>
        <w:jc w:val="both"/>
      </w:pPr>
      <w:proofErr w:type="gramStart"/>
      <w:r>
        <w:t>the</w:t>
      </w:r>
      <w:proofErr w:type="gramEnd"/>
      <w:r>
        <w:t xml:space="preserve"> ESDD </w:t>
      </w:r>
      <w:r w:rsidR="00B1373A" w:rsidRPr="00E61AF9">
        <w:t xml:space="preserve">2012-13 </w:t>
      </w:r>
      <w:r>
        <w:t xml:space="preserve">Annual Report said </w:t>
      </w:r>
      <w:r w:rsidR="00B1373A" w:rsidRPr="00E61AF9">
        <w:t>“audit undertaken on voltage testing of 100-200 dwellings selected from network extremities and/or adjacent to substations</w:t>
      </w:r>
      <w:r w:rsidR="00AB7D9C">
        <w:t>.</w:t>
      </w:r>
      <w:r w:rsidR="00B1373A" w:rsidRPr="00E61AF9">
        <w:t>”</w:t>
      </w:r>
      <w:r w:rsidR="005256D7">
        <w:rPr>
          <w:rStyle w:val="FootnoteReference"/>
        </w:rPr>
        <w:footnoteReference w:id="25"/>
      </w:r>
      <w:r w:rsidR="00B1373A" w:rsidRPr="00E61AF9">
        <w:t xml:space="preserve"> </w:t>
      </w:r>
    </w:p>
    <w:p w:rsidR="00B1373A" w:rsidRPr="00E61AF9" w:rsidRDefault="00B1373A" w:rsidP="00510E29">
      <w:pPr>
        <w:jc w:val="both"/>
      </w:pPr>
      <w:r w:rsidRPr="00E61AF9">
        <w:t>The costs for technical regulation are solely due to the distributor industry sectors.</w:t>
      </w:r>
    </w:p>
    <w:p w:rsidR="00B1373A" w:rsidRPr="00E61AF9" w:rsidRDefault="00B1373A" w:rsidP="00D85385">
      <w:pPr>
        <w:pStyle w:val="Heading3"/>
      </w:pPr>
      <w:bookmarkStart w:id="168" w:name="_Toc443051386"/>
      <w:bookmarkStart w:id="169" w:name="_Toc443901161"/>
      <w:bookmarkStart w:id="170" w:name="_Toc444861422"/>
      <w:bookmarkStart w:id="171" w:name="_Toc449438580"/>
      <w:bookmarkStart w:id="172" w:name="_Toc454982042"/>
      <w:r w:rsidRPr="00E61AF9">
        <w:t>The ACT Civil and Administrative Tribunal</w:t>
      </w:r>
      <w:bookmarkEnd w:id="168"/>
      <w:bookmarkEnd w:id="169"/>
      <w:bookmarkEnd w:id="170"/>
      <w:bookmarkEnd w:id="171"/>
      <w:bookmarkEnd w:id="172"/>
    </w:p>
    <w:p w:rsidR="00E61AF9" w:rsidRDefault="00B1373A" w:rsidP="005256D7">
      <w:pPr>
        <w:jc w:val="both"/>
      </w:pPr>
      <w:r w:rsidRPr="00E61AF9">
        <w:t xml:space="preserve">Among other roles, the ACAT </w:t>
      </w:r>
      <w:r w:rsidR="00867494">
        <w:t>performs the function of an arbiter</w:t>
      </w:r>
      <w:r w:rsidRPr="00E61AF9">
        <w:t xml:space="preserve"> for the energy industry in the ACT. As such, the ACAT considers two types of complaints from consumers: “complaints about hardship caused or likely caused by the electricity, gas or water supply being disconnected and complaints about misconduct or poor service by a utility</w:t>
      </w:r>
      <w:r w:rsidR="00FC0D8F">
        <w:t>.</w:t>
      </w:r>
      <w:r w:rsidRPr="00E61AF9">
        <w:t>”</w:t>
      </w:r>
      <w:r w:rsidR="000618E1">
        <w:rPr>
          <w:rStyle w:val="FootnoteReference"/>
        </w:rPr>
        <w:footnoteReference w:id="26"/>
      </w:r>
      <w:r w:rsidR="000618E1">
        <w:t xml:space="preserve"> </w:t>
      </w:r>
      <w:r w:rsidRPr="00E61AF9">
        <w:t xml:space="preserve">The ACAT reports extensively on these complaints annual reports.  The cost of this role is determined by the number and complexity of complaints brought to the ACAT. </w:t>
      </w:r>
    </w:p>
    <w:p w:rsidR="00CB558D" w:rsidRDefault="00CB558D">
      <w:pPr>
        <w:spacing w:after="0" w:line="240" w:lineRule="auto"/>
        <w:rPr>
          <w:rFonts w:ascii="Cambria" w:eastAsia="Times New Roman" w:hAnsi="Cambria"/>
          <w:b/>
          <w:bCs/>
          <w:color w:val="365F91"/>
          <w:sz w:val="28"/>
          <w:szCs w:val="28"/>
        </w:rPr>
      </w:pPr>
      <w:r>
        <w:br w:type="page"/>
      </w:r>
    </w:p>
    <w:p w:rsidR="00CB558D" w:rsidRDefault="00CB558D" w:rsidP="00CB558D">
      <w:pPr>
        <w:pStyle w:val="Heading1"/>
      </w:pPr>
      <w:bookmarkStart w:id="173" w:name="_Toc454982043"/>
      <w:r w:rsidRPr="008C51ED">
        <w:t>Appendix D: Data</w:t>
      </w:r>
      <w:bookmarkEnd w:id="173"/>
    </w:p>
    <w:p w:rsidR="00CB558D" w:rsidRDefault="006404C9" w:rsidP="006404C9">
      <w:pPr>
        <w:pStyle w:val="Heading4"/>
      </w:pPr>
      <w:r>
        <w:t>Determined values</w:t>
      </w:r>
      <w:r w:rsidR="00A87C69">
        <w:t xml:space="preserve"> in </w:t>
      </w:r>
      <w:proofErr w:type="spellStart"/>
      <w:r w:rsidR="00A87C69">
        <w:t>notifiable</w:t>
      </w:r>
      <w:proofErr w:type="spellEnd"/>
      <w:r w:rsidR="00A87C69">
        <w:t xml:space="preserve"> instruments</w:t>
      </w:r>
    </w:p>
    <w:p w:rsidR="00A87C69" w:rsidRPr="00A87C69" w:rsidRDefault="00A87C69" w:rsidP="00A87C69"/>
    <w:p w:rsidR="00C660F7" w:rsidRDefault="00B63047" w:rsidP="00C660F7">
      <w:r>
        <w:rPr>
          <w:b/>
          <w:bCs/>
          <w:sz w:val="23"/>
          <w:szCs w:val="23"/>
        </w:rPr>
        <w:t>Table 2</w:t>
      </w:r>
      <w:r w:rsidR="00C660F7">
        <w:rPr>
          <w:b/>
          <w:bCs/>
          <w:sz w:val="23"/>
          <w:szCs w:val="23"/>
        </w:rPr>
        <w:t xml:space="preserve"> – </w:t>
      </w:r>
      <w:r>
        <w:rPr>
          <w:b/>
          <w:bCs/>
          <w:sz w:val="23"/>
          <w:szCs w:val="23"/>
        </w:rPr>
        <w:t>Determined variables for the electricity retail sector</w:t>
      </w:r>
    </w:p>
    <w:tbl>
      <w:tblPr>
        <w:tblW w:w="9180" w:type="dxa"/>
        <w:tblBorders>
          <w:top w:val="nil"/>
          <w:left w:val="nil"/>
          <w:bottom w:val="nil"/>
          <w:right w:val="nil"/>
        </w:tblBorders>
        <w:tblLayout w:type="fixed"/>
        <w:tblLook w:val="00A0"/>
      </w:tblPr>
      <w:tblGrid>
        <w:gridCol w:w="1526"/>
        <w:gridCol w:w="1275"/>
        <w:gridCol w:w="1276"/>
        <w:gridCol w:w="1276"/>
        <w:gridCol w:w="1275"/>
        <w:gridCol w:w="1276"/>
        <w:gridCol w:w="1276"/>
      </w:tblGrid>
      <w:tr w:rsidR="00C660F7" w:rsidTr="00094E77">
        <w:trPr>
          <w:trHeight w:val="120"/>
          <w:tblHeader/>
        </w:trPr>
        <w:tc>
          <w:tcPr>
            <w:tcW w:w="1526" w:type="dxa"/>
            <w:tcBorders>
              <w:bottom w:val="single" w:sz="4" w:space="0" w:color="auto"/>
            </w:tcBorders>
          </w:tcPr>
          <w:p w:rsidR="00C660F7" w:rsidRDefault="00C660F7" w:rsidP="00C660F7">
            <w:pPr>
              <w:pStyle w:val="Default"/>
              <w:rPr>
                <w:sz w:val="23"/>
                <w:szCs w:val="23"/>
              </w:rPr>
            </w:pPr>
          </w:p>
        </w:tc>
        <w:tc>
          <w:tcPr>
            <w:tcW w:w="1275" w:type="dxa"/>
            <w:tcBorders>
              <w:bottom w:val="single" w:sz="4" w:space="0" w:color="auto"/>
            </w:tcBorders>
          </w:tcPr>
          <w:p w:rsidR="00C660F7" w:rsidRDefault="00C660F7" w:rsidP="00DA539C">
            <w:pPr>
              <w:pStyle w:val="Default"/>
              <w:jc w:val="right"/>
              <w:rPr>
                <w:sz w:val="23"/>
                <w:szCs w:val="23"/>
              </w:rPr>
            </w:pPr>
            <w:r>
              <w:rPr>
                <w:b/>
                <w:bCs/>
                <w:sz w:val="23"/>
                <w:szCs w:val="23"/>
              </w:rPr>
              <w:t xml:space="preserve">2009-10 </w:t>
            </w:r>
          </w:p>
        </w:tc>
        <w:tc>
          <w:tcPr>
            <w:tcW w:w="1276" w:type="dxa"/>
            <w:tcBorders>
              <w:bottom w:val="single" w:sz="4" w:space="0" w:color="auto"/>
            </w:tcBorders>
          </w:tcPr>
          <w:p w:rsidR="00C660F7" w:rsidRDefault="00C660F7" w:rsidP="00DA539C">
            <w:pPr>
              <w:pStyle w:val="Default"/>
              <w:jc w:val="right"/>
              <w:rPr>
                <w:sz w:val="23"/>
                <w:szCs w:val="23"/>
              </w:rPr>
            </w:pPr>
            <w:r>
              <w:rPr>
                <w:b/>
                <w:bCs/>
                <w:sz w:val="23"/>
                <w:szCs w:val="23"/>
              </w:rPr>
              <w:t xml:space="preserve">2010-11 </w:t>
            </w:r>
          </w:p>
        </w:tc>
        <w:tc>
          <w:tcPr>
            <w:tcW w:w="1276" w:type="dxa"/>
            <w:tcBorders>
              <w:bottom w:val="single" w:sz="4" w:space="0" w:color="auto"/>
            </w:tcBorders>
          </w:tcPr>
          <w:p w:rsidR="00C660F7" w:rsidRDefault="00C660F7" w:rsidP="00DA539C">
            <w:pPr>
              <w:pStyle w:val="Default"/>
              <w:jc w:val="right"/>
              <w:rPr>
                <w:sz w:val="23"/>
                <w:szCs w:val="23"/>
              </w:rPr>
            </w:pPr>
            <w:r>
              <w:rPr>
                <w:b/>
                <w:bCs/>
                <w:sz w:val="23"/>
                <w:szCs w:val="23"/>
              </w:rPr>
              <w:t xml:space="preserve">2011-12 </w:t>
            </w:r>
          </w:p>
        </w:tc>
        <w:tc>
          <w:tcPr>
            <w:tcW w:w="1275" w:type="dxa"/>
            <w:tcBorders>
              <w:bottom w:val="single" w:sz="4" w:space="0" w:color="auto"/>
            </w:tcBorders>
          </w:tcPr>
          <w:p w:rsidR="00C660F7" w:rsidRDefault="00C660F7" w:rsidP="00DA539C">
            <w:pPr>
              <w:pStyle w:val="Default"/>
              <w:jc w:val="right"/>
              <w:rPr>
                <w:sz w:val="23"/>
                <w:szCs w:val="23"/>
              </w:rPr>
            </w:pPr>
            <w:r>
              <w:rPr>
                <w:b/>
                <w:bCs/>
                <w:sz w:val="23"/>
                <w:szCs w:val="23"/>
              </w:rPr>
              <w:t xml:space="preserve">2012-13 </w:t>
            </w:r>
          </w:p>
        </w:tc>
        <w:tc>
          <w:tcPr>
            <w:tcW w:w="1276" w:type="dxa"/>
            <w:tcBorders>
              <w:bottom w:val="single" w:sz="4" w:space="0" w:color="auto"/>
            </w:tcBorders>
          </w:tcPr>
          <w:p w:rsidR="00C660F7" w:rsidRDefault="00C660F7" w:rsidP="00DA539C">
            <w:pPr>
              <w:pStyle w:val="Default"/>
              <w:jc w:val="right"/>
              <w:rPr>
                <w:sz w:val="23"/>
                <w:szCs w:val="23"/>
              </w:rPr>
            </w:pPr>
            <w:r>
              <w:rPr>
                <w:b/>
                <w:bCs/>
                <w:sz w:val="23"/>
                <w:szCs w:val="23"/>
              </w:rPr>
              <w:t xml:space="preserve">2013-14 </w:t>
            </w:r>
          </w:p>
        </w:tc>
        <w:tc>
          <w:tcPr>
            <w:tcW w:w="1276" w:type="dxa"/>
            <w:tcBorders>
              <w:bottom w:val="single" w:sz="4" w:space="0" w:color="auto"/>
            </w:tcBorders>
          </w:tcPr>
          <w:p w:rsidR="00C660F7" w:rsidRDefault="00C660F7" w:rsidP="00DA539C">
            <w:pPr>
              <w:pStyle w:val="Default"/>
              <w:jc w:val="right"/>
              <w:rPr>
                <w:sz w:val="23"/>
                <w:szCs w:val="23"/>
              </w:rPr>
            </w:pPr>
            <w:r>
              <w:rPr>
                <w:b/>
                <w:bCs/>
                <w:sz w:val="23"/>
                <w:szCs w:val="23"/>
              </w:rPr>
              <w:t xml:space="preserve">2014-15 </w:t>
            </w:r>
          </w:p>
        </w:tc>
      </w:tr>
      <w:tr w:rsidR="00B63047" w:rsidTr="00ED2078">
        <w:trPr>
          <w:trHeight w:val="1177"/>
        </w:trPr>
        <w:tc>
          <w:tcPr>
            <w:tcW w:w="1526" w:type="dxa"/>
            <w:tcBorders>
              <w:top w:val="single" w:sz="4" w:space="0" w:color="auto"/>
            </w:tcBorders>
          </w:tcPr>
          <w:p w:rsidR="00B63047" w:rsidRDefault="00B63047" w:rsidP="00C660F7">
            <w:pPr>
              <w:pStyle w:val="Default"/>
              <w:rPr>
                <w:sz w:val="23"/>
                <w:szCs w:val="23"/>
              </w:rPr>
            </w:pPr>
            <w:r>
              <w:rPr>
                <w:b/>
                <w:bCs/>
                <w:sz w:val="23"/>
                <w:szCs w:val="23"/>
              </w:rPr>
              <w:t>Estimated national costs ($)</w:t>
            </w:r>
          </w:p>
        </w:tc>
        <w:tc>
          <w:tcPr>
            <w:tcW w:w="1275" w:type="dxa"/>
            <w:tcBorders>
              <w:top w:val="single" w:sz="4" w:space="0" w:color="auto"/>
            </w:tcBorders>
          </w:tcPr>
          <w:p w:rsidR="00B63047" w:rsidRDefault="00B63047" w:rsidP="00361A0A">
            <w:pPr>
              <w:jc w:val="right"/>
              <w:rPr>
                <w:color w:val="000000"/>
              </w:rPr>
            </w:pPr>
            <w:r>
              <w:rPr>
                <w:color w:val="000000"/>
              </w:rPr>
              <w:t>0</w:t>
            </w:r>
          </w:p>
        </w:tc>
        <w:tc>
          <w:tcPr>
            <w:tcW w:w="1276" w:type="dxa"/>
            <w:tcBorders>
              <w:top w:val="single" w:sz="4" w:space="0" w:color="auto"/>
            </w:tcBorders>
          </w:tcPr>
          <w:p w:rsidR="00B63047" w:rsidRDefault="00B63047" w:rsidP="00361A0A">
            <w:pPr>
              <w:jc w:val="right"/>
              <w:rPr>
                <w:color w:val="000000"/>
              </w:rPr>
            </w:pPr>
            <w:r>
              <w:rPr>
                <w:color w:val="000000"/>
              </w:rPr>
              <w:t>0</w:t>
            </w:r>
          </w:p>
        </w:tc>
        <w:tc>
          <w:tcPr>
            <w:tcW w:w="1276" w:type="dxa"/>
            <w:tcBorders>
              <w:top w:val="single" w:sz="4" w:space="0" w:color="auto"/>
            </w:tcBorders>
          </w:tcPr>
          <w:p w:rsidR="00B63047" w:rsidRDefault="00B63047" w:rsidP="00361A0A">
            <w:pPr>
              <w:jc w:val="right"/>
              <w:rPr>
                <w:color w:val="000000"/>
              </w:rPr>
            </w:pPr>
            <w:r>
              <w:rPr>
                <w:color w:val="000000"/>
              </w:rPr>
              <w:t>0</w:t>
            </w:r>
          </w:p>
        </w:tc>
        <w:tc>
          <w:tcPr>
            <w:tcW w:w="1275" w:type="dxa"/>
            <w:tcBorders>
              <w:top w:val="single" w:sz="4" w:space="0" w:color="auto"/>
            </w:tcBorders>
          </w:tcPr>
          <w:p w:rsidR="00B63047" w:rsidRDefault="00B63047" w:rsidP="00361A0A">
            <w:pPr>
              <w:jc w:val="right"/>
              <w:rPr>
                <w:color w:val="000000"/>
              </w:rPr>
            </w:pPr>
            <w:r>
              <w:rPr>
                <w:color w:val="000000"/>
              </w:rPr>
              <w:t>0</w:t>
            </w:r>
          </w:p>
        </w:tc>
        <w:tc>
          <w:tcPr>
            <w:tcW w:w="1276" w:type="dxa"/>
            <w:tcBorders>
              <w:top w:val="single" w:sz="4" w:space="0" w:color="auto"/>
            </w:tcBorders>
          </w:tcPr>
          <w:p w:rsidR="00B63047" w:rsidRDefault="00B63047" w:rsidP="00361A0A">
            <w:pPr>
              <w:jc w:val="right"/>
              <w:rPr>
                <w:color w:val="000000"/>
              </w:rPr>
            </w:pPr>
            <w:r>
              <w:rPr>
                <w:color w:val="000000"/>
              </w:rPr>
              <w:t>0</w:t>
            </w:r>
          </w:p>
        </w:tc>
        <w:tc>
          <w:tcPr>
            <w:tcW w:w="1276" w:type="dxa"/>
            <w:tcBorders>
              <w:top w:val="single" w:sz="4" w:space="0" w:color="auto"/>
            </w:tcBorders>
          </w:tcPr>
          <w:p w:rsidR="00B63047" w:rsidRDefault="00B63047" w:rsidP="00361A0A">
            <w:pPr>
              <w:jc w:val="right"/>
              <w:rPr>
                <w:color w:val="000000"/>
              </w:rPr>
            </w:pPr>
            <w:r>
              <w:rPr>
                <w:color w:val="000000"/>
              </w:rPr>
              <w:t>8,411</w:t>
            </w:r>
          </w:p>
        </w:tc>
      </w:tr>
      <w:tr w:rsidR="00B63047" w:rsidTr="00ED2078">
        <w:trPr>
          <w:trHeight w:val="1177"/>
        </w:trPr>
        <w:tc>
          <w:tcPr>
            <w:tcW w:w="1526" w:type="dxa"/>
          </w:tcPr>
          <w:p w:rsidR="00B63047" w:rsidRDefault="00B63047" w:rsidP="00C660F7">
            <w:pPr>
              <w:pStyle w:val="Default"/>
              <w:rPr>
                <w:sz w:val="23"/>
                <w:szCs w:val="23"/>
              </w:rPr>
            </w:pPr>
            <w:r>
              <w:rPr>
                <w:b/>
                <w:bCs/>
                <w:sz w:val="23"/>
                <w:szCs w:val="23"/>
              </w:rPr>
              <w:t>Actual national costs ($)</w:t>
            </w:r>
          </w:p>
        </w:tc>
        <w:tc>
          <w:tcPr>
            <w:tcW w:w="1275" w:type="dxa"/>
          </w:tcPr>
          <w:p w:rsidR="00B63047" w:rsidRDefault="00B63047" w:rsidP="00361A0A">
            <w:pPr>
              <w:jc w:val="right"/>
              <w:rPr>
                <w:color w:val="000000"/>
              </w:rPr>
            </w:pPr>
            <w:r>
              <w:rPr>
                <w:color w:val="000000"/>
              </w:rPr>
              <w:t>0</w:t>
            </w:r>
          </w:p>
        </w:tc>
        <w:tc>
          <w:tcPr>
            <w:tcW w:w="1276" w:type="dxa"/>
          </w:tcPr>
          <w:p w:rsidR="00B63047" w:rsidRDefault="00B63047" w:rsidP="00361A0A">
            <w:pPr>
              <w:jc w:val="right"/>
              <w:rPr>
                <w:color w:val="000000"/>
              </w:rPr>
            </w:pPr>
            <w:r>
              <w:rPr>
                <w:color w:val="000000"/>
              </w:rPr>
              <w:t>0</w:t>
            </w:r>
          </w:p>
        </w:tc>
        <w:tc>
          <w:tcPr>
            <w:tcW w:w="1276" w:type="dxa"/>
          </w:tcPr>
          <w:p w:rsidR="00B63047" w:rsidRDefault="00B63047" w:rsidP="00361A0A">
            <w:pPr>
              <w:jc w:val="right"/>
              <w:rPr>
                <w:color w:val="000000"/>
              </w:rPr>
            </w:pPr>
            <w:r>
              <w:rPr>
                <w:color w:val="000000"/>
              </w:rPr>
              <w:t>0</w:t>
            </w:r>
          </w:p>
        </w:tc>
        <w:tc>
          <w:tcPr>
            <w:tcW w:w="1275" w:type="dxa"/>
          </w:tcPr>
          <w:p w:rsidR="00B63047" w:rsidRDefault="00B63047" w:rsidP="00361A0A">
            <w:pPr>
              <w:jc w:val="right"/>
              <w:rPr>
                <w:color w:val="000000"/>
              </w:rPr>
            </w:pPr>
            <w:r>
              <w:rPr>
                <w:color w:val="000000"/>
              </w:rPr>
              <w:t>0</w:t>
            </w:r>
          </w:p>
        </w:tc>
        <w:tc>
          <w:tcPr>
            <w:tcW w:w="1276" w:type="dxa"/>
          </w:tcPr>
          <w:p w:rsidR="00B63047" w:rsidRDefault="00B63047" w:rsidP="00361A0A">
            <w:pPr>
              <w:jc w:val="right"/>
              <w:rPr>
                <w:color w:val="000000"/>
              </w:rPr>
            </w:pPr>
            <w:r>
              <w:rPr>
                <w:color w:val="000000"/>
              </w:rPr>
              <w:t>9,494</w:t>
            </w:r>
          </w:p>
        </w:tc>
        <w:tc>
          <w:tcPr>
            <w:tcW w:w="1276" w:type="dxa"/>
          </w:tcPr>
          <w:p w:rsidR="00B63047" w:rsidRDefault="00B63047" w:rsidP="00361A0A">
            <w:pPr>
              <w:jc w:val="right"/>
              <w:rPr>
                <w:color w:val="000000"/>
              </w:rPr>
            </w:pPr>
            <w:r>
              <w:rPr>
                <w:color w:val="000000"/>
              </w:rPr>
              <w:t>4,266</w:t>
            </w:r>
          </w:p>
        </w:tc>
      </w:tr>
      <w:tr w:rsidR="00B63047" w:rsidTr="00ED2078">
        <w:trPr>
          <w:trHeight w:val="1177"/>
        </w:trPr>
        <w:tc>
          <w:tcPr>
            <w:tcW w:w="1526" w:type="dxa"/>
          </w:tcPr>
          <w:p w:rsidR="00B63047" w:rsidRDefault="00B63047" w:rsidP="00C660F7">
            <w:pPr>
              <w:pStyle w:val="Default"/>
              <w:rPr>
                <w:sz w:val="23"/>
                <w:szCs w:val="23"/>
              </w:rPr>
            </w:pPr>
            <w:r>
              <w:rPr>
                <w:b/>
                <w:bCs/>
                <w:sz w:val="23"/>
                <w:szCs w:val="23"/>
              </w:rPr>
              <w:t>Estimated local cost ($)</w:t>
            </w:r>
          </w:p>
        </w:tc>
        <w:tc>
          <w:tcPr>
            <w:tcW w:w="1275" w:type="dxa"/>
          </w:tcPr>
          <w:p w:rsidR="00B63047" w:rsidRDefault="00B63047" w:rsidP="00361A0A">
            <w:pPr>
              <w:jc w:val="right"/>
              <w:rPr>
                <w:color w:val="000000"/>
              </w:rPr>
            </w:pPr>
            <w:r>
              <w:rPr>
                <w:color w:val="000000"/>
              </w:rPr>
              <w:t>782,777</w:t>
            </w:r>
          </w:p>
        </w:tc>
        <w:tc>
          <w:tcPr>
            <w:tcW w:w="1276" w:type="dxa"/>
          </w:tcPr>
          <w:p w:rsidR="00B63047" w:rsidRDefault="00B63047" w:rsidP="00361A0A">
            <w:pPr>
              <w:jc w:val="right"/>
              <w:rPr>
                <w:color w:val="000000"/>
              </w:rPr>
            </w:pPr>
            <w:r>
              <w:rPr>
                <w:color w:val="000000"/>
              </w:rPr>
              <w:t>853,655</w:t>
            </w:r>
          </w:p>
        </w:tc>
        <w:tc>
          <w:tcPr>
            <w:tcW w:w="1276" w:type="dxa"/>
          </w:tcPr>
          <w:p w:rsidR="00B63047" w:rsidRDefault="00B63047" w:rsidP="00361A0A">
            <w:pPr>
              <w:jc w:val="right"/>
              <w:rPr>
                <w:color w:val="000000"/>
              </w:rPr>
            </w:pPr>
            <w:r>
              <w:rPr>
                <w:color w:val="000000"/>
              </w:rPr>
              <w:t>823,433</w:t>
            </w:r>
          </w:p>
        </w:tc>
        <w:tc>
          <w:tcPr>
            <w:tcW w:w="1275" w:type="dxa"/>
          </w:tcPr>
          <w:p w:rsidR="00B63047" w:rsidRDefault="00B63047" w:rsidP="00361A0A">
            <w:pPr>
              <w:jc w:val="right"/>
              <w:rPr>
                <w:color w:val="000000"/>
              </w:rPr>
            </w:pPr>
            <w:r>
              <w:rPr>
                <w:color w:val="000000"/>
              </w:rPr>
              <w:t>828,412</w:t>
            </w:r>
          </w:p>
        </w:tc>
        <w:tc>
          <w:tcPr>
            <w:tcW w:w="1276" w:type="dxa"/>
          </w:tcPr>
          <w:p w:rsidR="00B63047" w:rsidRDefault="00B63047" w:rsidP="00361A0A">
            <w:pPr>
              <w:jc w:val="right"/>
              <w:rPr>
                <w:color w:val="000000"/>
              </w:rPr>
            </w:pPr>
            <w:r>
              <w:rPr>
                <w:color w:val="000000"/>
              </w:rPr>
              <w:t>920,227</w:t>
            </w:r>
          </w:p>
        </w:tc>
        <w:tc>
          <w:tcPr>
            <w:tcW w:w="1276" w:type="dxa"/>
          </w:tcPr>
          <w:p w:rsidR="00B63047" w:rsidRDefault="00B63047" w:rsidP="00361A0A">
            <w:pPr>
              <w:jc w:val="right"/>
              <w:rPr>
                <w:color w:val="000000"/>
              </w:rPr>
            </w:pPr>
            <w:r>
              <w:rPr>
                <w:color w:val="000000"/>
              </w:rPr>
              <w:t>704,047</w:t>
            </w:r>
          </w:p>
        </w:tc>
      </w:tr>
      <w:tr w:rsidR="00B63047" w:rsidTr="00ED2078">
        <w:trPr>
          <w:trHeight w:val="1177"/>
        </w:trPr>
        <w:tc>
          <w:tcPr>
            <w:tcW w:w="1526" w:type="dxa"/>
            <w:tcBorders>
              <w:bottom w:val="nil"/>
            </w:tcBorders>
          </w:tcPr>
          <w:p w:rsidR="00B63047" w:rsidRDefault="00B63047" w:rsidP="00C660F7">
            <w:pPr>
              <w:pStyle w:val="Default"/>
              <w:rPr>
                <w:sz w:val="23"/>
                <w:szCs w:val="23"/>
              </w:rPr>
            </w:pPr>
            <w:r>
              <w:rPr>
                <w:b/>
                <w:bCs/>
                <w:sz w:val="23"/>
                <w:szCs w:val="23"/>
              </w:rPr>
              <w:t>Actual local costs ($)</w:t>
            </w:r>
          </w:p>
        </w:tc>
        <w:tc>
          <w:tcPr>
            <w:tcW w:w="1275" w:type="dxa"/>
            <w:tcBorders>
              <w:bottom w:val="nil"/>
            </w:tcBorders>
          </w:tcPr>
          <w:p w:rsidR="00B63047" w:rsidRDefault="00B63047" w:rsidP="00361A0A">
            <w:pPr>
              <w:jc w:val="right"/>
              <w:rPr>
                <w:color w:val="000000"/>
              </w:rPr>
            </w:pPr>
            <w:r>
              <w:rPr>
                <w:color w:val="000000"/>
              </w:rPr>
              <w:t>855,967</w:t>
            </w:r>
          </w:p>
        </w:tc>
        <w:tc>
          <w:tcPr>
            <w:tcW w:w="1276" w:type="dxa"/>
            <w:tcBorders>
              <w:bottom w:val="nil"/>
            </w:tcBorders>
          </w:tcPr>
          <w:p w:rsidR="00B63047" w:rsidRDefault="00B63047" w:rsidP="00361A0A">
            <w:pPr>
              <w:jc w:val="right"/>
              <w:rPr>
                <w:color w:val="000000"/>
              </w:rPr>
            </w:pPr>
            <w:r>
              <w:rPr>
                <w:color w:val="000000"/>
              </w:rPr>
              <w:t>728,567</w:t>
            </w:r>
          </w:p>
        </w:tc>
        <w:tc>
          <w:tcPr>
            <w:tcW w:w="1276" w:type="dxa"/>
            <w:tcBorders>
              <w:bottom w:val="nil"/>
            </w:tcBorders>
          </w:tcPr>
          <w:p w:rsidR="00B63047" w:rsidRDefault="00B63047" w:rsidP="00361A0A">
            <w:pPr>
              <w:jc w:val="right"/>
              <w:rPr>
                <w:color w:val="000000"/>
              </w:rPr>
            </w:pPr>
            <w:r>
              <w:rPr>
                <w:color w:val="000000"/>
              </w:rPr>
              <w:t>738,178</w:t>
            </w:r>
          </w:p>
        </w:tc>
        <w:tc>
          <w:tcPr>
            <w:tcW w:w="1275" w:type="dxa"/>
            <w:tcBorders>
              <w:bottom w:val="nil"/>
            </w:tcBorders>
          </w:tcPr>
          <w:p w:rsidR="00B63047" w:rsidRDefault="00B63047" w:rsidP="00361A0A">
            <w:pPr>
              <w:jc w:val="right"/>
              <w:rPr>
                <w:color w:val="000000"/>
              </w:rPr>
            </w:pPr>
            <w:r>
              <w:rPr>
                <w:color w:val="000000"/>
              </w:rPr>
              <w:t>723,457</w:t>
            </w:r>
          </w:p>
        </w:tc>
        <w:tc>
          <w:tcPr>
            <w:tcW w:w="1276" w:type="dxa"/>
            <w:tcBorders>
              <w:bottom w:val="nil"/>
            </w:tcBorders>
          </w:tcPr>
          <w:p w:rsidR="00B63047" w:rsidRDefault="00B63047" w:rsidP="00361A0A">
            <w:pPr>
              <w:jc w:val="right"/>
              <w:rPr>
                <w:color w:val="000000"/>
              </w:rPr>
            </w:pPr>
            <w:r>
              <w:rPr>
                <w:color w:val="000000"/>
              </w:rPr>
              <w:t>760,894</w:t>
            </w:r>
          </w:p>
        </w:tc>
        <w:tc>
          <w:tcPr>
            <w:tcW w:w="1276" w:type="dxa"/>
            <w:tcBorders>
              <w:bottom w:val="nil"/>
            </w:tcBorders>
          </w:tcPr>
          <w:p w:rsidR="00B63047" w:rsidRDefault="00B63047" w:rsidP="00361A0A">
            <w:pPr>
              <w:jc w:val="right"/>
              <w:rPr>
                <w:color w:val="000000"/>
              </w:rPr>
            </w:pPr>
            <w:r>
              <w:rPr>
                <w:color w:val="000000"/>
              </w:rPr>
              <w:t>711,369</w:t>
            </w:r>
          </w:p>
        </w:tc>
      </w:tr>
      <w:tr w:rsidR="00B63047" w:rsidTr="00ED2078">
        <w:trPr>
          <w:trHeight w:val="1177"/>
        </w:trPr>
        <w:tc>
          <w:tcPr>
            <w:tcW w:w="1526" w:type="dxa"/>
            <w:tcBorders>
              <w:top w:val="nil"/>
              <w:left w:val="nil"/>
              <w:bottom w:val="nil"/>
            </w:tcBorders>
          </w:tcPr>
          <w:p w:rsidR="00B63047" w:rsidRDefault="00B63047" w:rsidP="00C660F7">
            <w:pPr>
              <w:pStyle w:val="Default"/>
              <w:rPr>
                <w:b/>
                <w:bCs/>
                <w:sz w:val="23"/>
                <w:szCs w:val="23"/>
              </w:rPr>
            </w:pPr>
            <w:r>
              <w:rPr>
                <w:b/>
                <w:bCs/>
                <w:sz w:val="23"/>
                <w:szCs w:val="23"/>
              </w:rPr>
              <w:t>Estimated fixed cost</w:t>
            </w:r>
          </w:p>
        </w:tc>
        <w:tc>
          <w:tcPr>
            <w:tcW w:w="1275" w:type="dxa"/>
            <w:tcBorders>
              <w:top w:val="nil"/>
              <w:bottom w:val="nil"/>
            </w:tcBorders>
          </w:tcPr>
          <w:p w:rsidR="00B63047" w:rsidRDefault="00B63047" w:rsidP="00361A0A">
            <w:pPr>
              <w:jc w:val="right"/>
              <w:rPr>
                <w:color w:val="000000"/>
              </w:rPr>
            </w:pPr>
            <w:r>
              <w:rPr>
                <w:color w:val="000000"/>
              </w:rPr>
              <w:t>158,028</w:t>
            </w:r>
          </w:p>
        </w:tc>
        <w:tc>
          <w:tcPr>
            <w:tcW w:w="1276" w:type="dxa"/>
            <w:tcBorders>
              <w:top w:val="nil"/>
              <w:bottom w:val="nil"/>
            </w:tcBorders>
          </w:tcPr>
          <w:p w:rsidR="00B63047" w:rsidRDefault="00B63047" w:rsidP="00361A0A">
            <w:pPr>
              <w:jc w:val="right"/>
              <w:rPr>
                <w:color w:val="000000"/>
              </w:rPr>
            </w:pPr>
            <w:r>
              <w:rPr>
                <w:color w:val="000000"/>
              </w:rPr>
              <w:t>123,271</w:t>
            </w:r>
          </w:p>
        </w:tc>
        <w:tc>
          <w:tcPr>
            <w:tcW w:w="1276" w:type="dxa"/>
            <w:tcBorders>
              <w:top w:val="nil"/>
              <w:bottom w:val="nil"/>
            </w:tcBorders>
          </w:tcPr>
          <w:p w:rsidR="00B63047" w:rsidRDefault="00B63047" w:rsidP="00361A0A">
            <w:pPr>
              <w:jc w:val="right"/>
              <w:rPr>
                <w:color w:val="000000"/>
              </w:rPr>
            </w:pPr>
            <w:r>
              <w:rPr>
                <w:color w:val="000000"/>
              </w:rPr>
              <w:t>159,936</w:t>
            </w:r>
          </w:p>
        </w:tc>
        <w:tc>
          <w:tcPr>
            <w:tcW w:w="1275" w:type="dxa"/>
            <w:tcBorders>
              <w:top w:val="nil"/>
              <w:bottom w:val="nil"/>
            </w:tcBorders>
          </w:tcPr>
          <w:p w:rsidR="00B63047" w:rsidRDefault="00B63047" w:rsidP="00361A0A">
            <w:pPr>
              <w:jc w:val="right"/>
              <w:rPr>
                <w:color w:val="000000"/>
              </w:rPr>
            </w:pPr>
            <w:r>
              <w:rPr>
                <w:color w:val="000000"/>
              </w:rPr>
              <w:t>150,023</w:t>
            </w:r>
          </w:p>
        </w:tc>
        <w:tc>
          <w:tcPr>
            <w:tcW w:w="1276" w:type="dxa"/>
            <w:tcBorders>
              <w:top w:val="nil"/>
              <w:bottom w:val="nil"/>
            </w:tcBorders>
          </w:tcPr>
          <w:p w:rsidR="00B63047" w:rsidRDefault="00B63047" w:rsidP="00361A0A">
            <w:pPr>
              <w:jc w:val="right"/>
              <w:rPr>
                <w:color w:val="000000"/>
              </w:rPr>
            </w:pPr>
            <w:r>
              <w:rPr>
                <w:color w:val="000000"/>
              </w:rPr>
              <w:t>150,565</w:t>
            </w:r>
          </w:p>
        </w:tc>
        <w:tc>
          <w:tcPr>
            <w:tcW w:w="1276" w:type="dxa"/>
            <w:tcBorders>
              <w:top w:val="nil"/>
              <w:bottom w:val="nil"/>
              <w:right w:val="nil"/>
            </w:tcBorders>
          </w:tcPr>
          <w:p w:rsidR="00B63047" w:rsidRDefault="00B63047" w:rsidP="00361A0A">
            <w:pPr>
              <w:jc w:val="right"/>
              <w:rPr>
                <w:color w:val="000000"/>
              </w:rPr>
            </w:pPr>
            <w:r>
              <w:rPr>
                <w:color w:val="000000"/>
              </w:rPr>
              <w:t>63,565</w:t>
            </w:r>
          </w:p>
        </w:tc>
      </w:tr>
      <w:tr w:rsidR="00B63047" w:rsidTr="00ED2078">
        <w:trPr>
          <w:trHeight w:val="1177"/>
        </w:trPr>
        <w:tc>
          <w:tcPr>
            <w:tcW w:w="1526" w:type="dxa"/>
            <w:tcBorders>
              <w:top w:val="nil"/>
              <w:left w:val="nil"/>
              <w:bottom w:val="nil"/>
            </w:tcBorders>
          </w:tcPr>
          <w:p w:rsidR="00B63047" w:rsidRDefault="00B63047" w:rsidP="00C660F7">
            <w:pPr>
              <w:pStyle w:val="Default"/>
              <w:rPr>
                <w:b/>
                <w:bCs/>
                <w:sz w:val="23"/>
                <w:szCs w:val="23"/>
              </w:rPr>
            </w:pPr>
            <w:r>
              <w:rPr>
                <w:b/>
                <w:bCs/>
                <w:sz w:val="23"/>
                <w:szCs w:val="23"/>
              </w:rPr>
              <w:t>Actual fixed costs</w:t>
            </w:r>
          </w:p>
        </w:tc>
        <w:tc>
          <w:tcPr>
            <w:tcW w:w="1275" w:type="dxa"/>
            <w:tcBorders>
              <w:top w:val="nil"/>
              <w:bottom w:val="nil"/>
            </w:tcBorders>
          </w:tcPr>
          <w:p w:rsidR="00B63047" w:rsidRDefault="00B63047" w:rsidP="00361A0A">
            <w:pPr>
              <w:jc w:val="right"/>
              <w:rPr>
                <w:color w:val="000000"/>
              </w:rPr>
            </w:pPr>
            <w:r>
              <w:rPr>
                <w:color w:val="000000"/>
              </w:rPr>
              <w:t>183,329</w:t>
            </w:r>
          </w:p>
        </w:tc>
        <w:tc>
          <w:tcPr>
            <w:tcW w:w="1276" w:type="dxa"/>
            <w:tcBorders>
              <w:top w:val="nil"/>
              <w:bottom w:val="nil"/>
            </w:tcBorders>
          </w:tcPr>
          <w:p w:rsidR="00B63047" w:rsidRDefault="00B63047" w:rsidP="00361A0A">
            <w:pPr>
              <w:jc w:val="right"/>
              <w:rPr>
                <w:color w:val="000000"/>
              </w:rPr>
            </w:pPr>
            <w:r>
              <w:rPr>
                <w:color w:val="000000"/>
              </w:rPr>
              <w:t>131,623</w:t>
            </w:r>
          </w:p>
        </w:tc>
        <w:tc>
          <w:tcPr>
            <w:tcW w:w="1276" w:type="dxa"/>
            <w:tcBorders>
              <w:top w:val="nil"/>
              <w:bottom w:val="nil"/>
            </w:tcBorders>
          </w:tcPr>
          <w:p w:rsidR="00B63047" w:rsidRDefault="00B63047" w:rsidP="00361A0A">
            <w:pPr>
              <w:jc w:val="right"/>
              <w:rPr>
                <w:color w:val="000000"/>
              </w:rPr>
            </w:pPr>
            <w:r>
              <w:rPr>
                <w:color w:val="000000"/>
              </w:rPr>
              <w:t>147,206</w:t>
            </w:r>
          </w:p>
        </w:tc>
        <w:tc>
          <w:tcPr>
            <w:tcW w:w="1275" w:type="dxa"/>
            <w:tcBorders>
              <w:top w:val="nil"/>
              <w:bottom w:val="nil"/>
            </w:tcBorders>
          </w:tcPr>
          <w:p w:rsidR="00B63047" w:rsidRDefault="00B63047" w:rsidP="00361A0A">
            <w:pPr>
              <w:jc w:val="right"/>
              <w:rPr>
                <w:color w:val="000000"/>
              </w:rPr>
            </w:pPr>
            <w:r>
              <w:rPr>
                <w:color w:val="000000"/>
              </w:rPr>
              <w:t>89,539</w:t>
            </w:r>
          </w:p>
        </w:tc>
        <w:tc>
          <w:tcPr>
            <w:tcW w:w="1276" w:type="dxa"/>
            <w:tcBorders>
              <w:top w:val="nil"/>
              <w:bottom w:val="nil"/>
            </w:tcBorders>
          </w:tcPr>
          <w:p w:rsidR="00B63047" w:rsidRDefault="00B63047" w:rsidP="00361A0A">
            <w:pPr>
              <w:jc w:val="right"/>
              <w:rPr>
                <w:color w:val="000000"/>
              </w:rPr>
            </w:pPr>
            <w:r>
              <w:rPr>
                <w:color w:val="000000"/>
              </w:rPr>
              <w:t>88,054</w:t>
            </w:r>
          </w:p>
        </w:tc>
        <w:tc>
          <w:tcPr>
            <w:tcW w:w="1276" w:type="dxa"/>
            <w:tcBorders>
              <w:top w:val="nil"/>
              <w:bottom w:val="nil"/>
              <w:right w:val="nil"/>
            </w:tcBorders>
          </w:tcPr>
          <w:p w:rsidR="00B63047" w:rsidRDefault="00B63047" w:rsidP="00361A0A">
            <w:pPr>
              <w:jc w:val="right"/>
              <w:rPr>
                <w:color w:val="000000"/>
              </w:rPr>
            </w:pPr>
            <w:r>
              <w:rPr>
                <w:color w:val="000000"/>
              </w:rPr>
              <w:t>61,443</w:t>
            </w:r>
          </w:p>
        </w:tc>
      </w:tr>
      <w:tr w:rsidR="00B63047" w:rsidTr="00ED2078">
        <w:trPr>
          <w:trHeight w:val="1177"/>
        </w:trPr>
        <w:tc>
          <w:tcPr>
            <w:tcW w:w="1526" w:type="dxa"/>
            <w:tcBorders>
              <w:top w:val="nil"/>
              <w:left w:val="nil"/>
              <w:bottom w:val="nil"/>
            </w:tcBorders>
          </w:tcPr>
          <w:p w:rsidR="00B63047" w:rsidRDefault="00B63047" w:rsidP="00C660F7">
            <w:pPr>
              <w:pStyle w:val="Default"/>
              <w:rPr>
                <w:b/>
                <w:bCs/>
                <w:sz w:val="23"/>
                <w:szCs w:val="23"/>
              </w:rPr>
            </w:pPr>
            <w:r>
              <w:rPr>
                <w:b/>
                <w:bCs/>
                <w:sz w:val="23"/>
                <w:szCs w:val="23"/>
              </w:rPr>
              <w:t>Number of operators before September</w:t>
            </w:r>
          </w:p>
        </w:tc>
        <w:tc>
          <w:tcPr>
            <w:tcW w:w="1275" w:type="dxa"/>
            <w:tcBorders>
              <w:top w:val="nil"/>
              <w:bottom w:val="nil"/>
            </w:tcBorders>
          </w:tcPr>
          <w:p w:rsidR="00B63047" w:rsidRDefault="00B63047" w:rsidP="00361A0A">
            <w:pPr>
              <w:jc w:val="right"/>
              <w:rPr>
                <w:color w:val="000000"/>
              </w:rPr>
            </w:pPr>
            <w:r>
              <w:rPr>
                <w:color w:val="000000"/>
              </w:rPr>
              <w:t>13</w:t>
            </w:r>
          </w:p>
        </w:tc>
        <w:tc>
          <w:tcPr>
            <w:tcW w:w="1276" w:type="dxa"/>
            <w:tcBorders>
              <w:top w:val="nil"/>
              <w:bottom w:val="nil"/>
            </w:tcBorders>
          </w:tcPr>
          <w:p w:rsidR="00B63047" w:rsidRDefault="00B63047" w:rsidP="00361A0A">
            <w:pPr>
              <w:jc w:val="right"/>
              <w:rPr>
                <w:color w:val="000000"/>
              </w:rPr>
            </w:pPr>
            <w:r>
              <w:rPr>
                <w:color w:val="000000"/>
              </w:rPr>
              <w:t>14</w:t>
            </w:r>
          </w:p>
        </w:tc>
        <w:tc>
          <w:tcPr>
            <w:tcW w:w="1276" w:type="dxa"/>
            <w:tcBorders>
              <w:top w:val="nil"/>
              <w:bottom w:val="nil"/>
            </w:tcBorders>
          </w:tcPr>
          <w:p w:rsidR="00B63047" w:rsidRDefault="00B63047" w:rsidP="00361A0A">
            <w:pPr>
              <w:jc w:val="right"/>
              <w:rPr>
                <w:color w:val="000000"/>
              </w:rPr>
            </w:pPr>
            <w:r>
              <w:rPr>
                <w:color w:val="000000"/>
              </w:rPr>
              <w:t>12</w:t>
            </w:r>
          </w:p>
        </w:tc>
        <w:tc>
          <w:tcPr>
            <w:tcW w:w="1275" w:type="dxa"/>
            <w:tcBorders>
              <w:top w:val="nil"/>
              <w:bottom w:val="nil"/>
            </w:tcBorders>
          </w:tcPr>
          <w:p w:rsidR="00B63047" w:rsidRDefault="00B63047" w:rsidP="00361A0A">
            <w:pPr>
              <w:jc w:val="right"/>
              <w:rPr>
                <w:color w:val="000000"/>
              </w:rPr>
            </w:pPr>
            <w:r>
              <w:rPr>
                <w:color w:val="000000"/>
              </w:rPr>
              <w:t>11</w:t>
            </w:r>
          </w:p>
        </w:tc>
        <w:tc>
          <w:tcPr>
            <w:tcW w:w="1276" w:type="dxa"/>
            <w:tcBorders>
              <w:top w:val="nil"/>
              <w:bottom w:val="nil"/>
            </w:tcBorders>
          </w:tcPr>
          <w:p w:rsidR="00B63047" w:rsidRDefault="00B63047" w:rsidP="00361A0A">
            <w:pPr>
              <w:jc w:val="right"/>
              <w:rPr>
                <w:color w:val="000000"/>
              </w:rPr>
            </w:pPr>
            <w:r>
              <w:rPr>
                <w:color w:val="000000"/>
              </w:rPr>
              <w:t>9</w:t>
            </w:r>
          </w:p>
        </w:tc>
        <w:tc>
          <w:tcPr>
            <w:tcW w:w="1276" w:type="dxa"/>
            <w:tcBorders>
              <w:top w:val="nil"/>
              <w:bottom w:val="nil"/>
              <w:right w:val="nil"/>
            </w:tcBorders>
          </w:tcPr>
          <w:p w:rsidR="00B63047" w:rsidRDefault="00B63047" w:rsidP="00361A0A">
            <w:pPr>
              <w:jc w:val="right"/>
              <w:rPr>
                <w:color w:val="000000"/>
              </w:rPr>
            </w:pPr>
            <w:r>
              <w:rPr>
                <w:color w:val="000000"/>
              </w:rPr>
              <w:t>10</w:t>
            </w:r>
          </w:p>
        </w:tc>
      </w:tr>
      <w:tr w:rsidR="00B63047" w:rsidTr="00ED2078">
        <w:trPr>
          <w:trHeight w:val="1177"/>
        </w:trPr>
        <w:tc>
          <w:tcPr>
            <w:tcW w:w="1526" w:type="dxa"/>
            <w:tcBorders>
              <w:top w:val="nil"/>
              <w:left w:val="nil"/>
              <w:bottom w:val="nil"/>
            </w:tcBorders>
          </w:tcPr>
          <w:p w:rsidR="00B63047" w:rsidRDefault="00B63047" w:rsidP="00C660F7">
            <w:pPr>
              <w:pStyle w:val="Default"/>
              <w:rPr>
                <w:b/>
                <w:bCs/>
                <w:sz w:val="23"/>
                <w:szCs w:val="23"/>
              </w:rPr>
            </w:pPr>
            <w:r>
              <w:rPr>
                <w:b/>
                <w:bCs/>
                <w:sz w:val="23"/>
                <w:szCs w:val="23"/>
              </w:rPr>
              <w:t>Number of operators in the previous year</w:t>
            </w:r>
          </w:p>
        </w:tc>
        <w:tc>
          <w:tcPr>
            <w:tcW w:w="1275" w:type="dxa"/>
            <w:tcBorders>
              <w:top w:val="nil"/>
              <w:bottom w:val="nil"/>
            </w:tcBorders>
          </w:tcPr>
          <w:p w:rsidR="00B63047" w:rsidRDefault="00B63047" w:rsidP="00361A0A">
            <w:pPr>
              <w:jc w:val="right"/>
              <w:rPr>
                <w:color w:val="000000"/>
              </w:rPr>
            </w:pPr>
            <w:r>
              <w:rPr>
                <w:color w:val="000000"/>
              </w:rPr>
              <w:t>14</w:t>
            </w:r>
          </w:p>
        </w:tc>
        <w:tc>
          <w:tcPr>
            <w:tcW w:w="1276" w:type="dxa"/>
            <w:tcBorders>
              <w:top w:val="nil"/>
              <w:bottom w:val="nil"/>
            </w:tcBorders>
          </w:tcPr>
          <w:p w:rsidR="00B63047" w:rsidRDefault="00B63047" w:rsidP="00361A0A">
            <w:pPr>
              <w:jc w:val="right"/>
              <w:rPr>
                <w:color w:val="000000"/>
              </w:rPr>
            </w:pPr>
            <w:r>
              <w:rPr>
                <w:color w:val="000000"/>
              </w:rPr>
              <w:t>15</w:t>
            </w:r>
          </w:p>
        </w:tc>
        <w:tc>
          <w:tcPr>
            <w:tcW w:w="1276" w:type="dxa"/>
            <w:tcBorders>
              <w:top w:val="nil"/>
              <w:bottom w:val="nil"/>
            </w:tcBorders>
          </w:tcPr>
          <w:p w:rsidR="00B63047" w:rsidRDefault="00B63047" w:rsidP="00361A0A">
            <w:pPr>
              <w:jc w:val="right"/>
              <w:rPr>
                <w:color w:val="000000"/>
              </w:rPr>
            </w:pPr>
            <w:r>
              <w:rPr>
                <w:color w:val="000000"/>
              </w:rPr>
              <w:t>11</w:t>
            </w:r>
          </w:p>
        </w:tc>
        <w:tc>
          <w:tcPr>
            <w:tcW w:w="1275" w:type="dxa"/>
            <w:tcBorders>
              <w:top w:val="nil"/>
              <w:bottom w:val="nil"/>
            </w:tcBorders>
          </w:tcPr>
          <w:p w:rsidR="00B63047" w:rsidRDefault="00B63047" w:rsidP="00361A0A">
            <w:pPr>
              <w:jc w:val="right"/>
              <w:rPr>
                <w:color w:val="000000"/>
              </w:rPr>
            </w:pPr>
            <w:r>
              <w:rPr>
                <w:color w:val="000000"/>
              </w:rPr>
              <w:t>10</w:t>
            </w:r>
          </w:p>
        </w:tc>
        <w:tc>
          <w:tcPr>
            <w:tcW w:w="1276" w:type="dxa"/>
            <w:tcBorders>
              <w:top w:val="nil"/>
              <w:bottom w:val="nil"/>
            </w:tcBorders>
          </w:tcPr>
          <w:p w:rsidR="00B63047" w:rsidRDefault="00B63047" w:rsidP="00361A0A">
            <w:pPr>
              <w:jc w:val="right"/>
              <w:rPr>
                <w:color w:val="000000"/>
              </w:rPr>
            </w:pPr>
            <w:r>
              <w:rPr>
                <w:color w:val="000000"/>
              </w:rPr>
              <w:t>10</w:t>
            </w:r>
          </w:p>
        </w:tc>
        <w:tc>
          <w:tcPr>
            <w:tcW w:w="1276" w:type="dxa"/>
            <w:tcBorders>
              <w:top w:val="nil"/>
              <w:bottom w:val="nil"/>
              <w:right w:val="nil"/>
            </w:tcBorders>
          </w:tcPr>
          <w:p w:rsidR="00B63047" w:rsidRDefault="00B63047" w:rsidP="00361A0A">
            <w:pPr>
              <w:jc w:val="right"/>
              <w:rPr>
                <w:color w:val="000000"/>
              </w:rPr>
            </w:pPr>
            <w:r>
              <w:rPr>
                <w:color w:val="000000"/>
              </w:rPr>
              <w:t>12</w:t>
            </w:r>
          </w:p>
        </w:tc>
      </w:tr>
    </w:tbl>
    <w:p w:rsidR="00C660F7" w:rsidRDefault="00C660F7" w:rsidP="008D735B">
      <w:pPr>
        <w:pStyle w:val="Default"/>
        <w:ind w:left="709" w:hanging="709"/>
        <w:jc w:val="both"/>
        <w:rPr>
          <w:sz w:val="20"/>
          <w:szCs w:val="20"/>
        </w:rPr>
      </w:pPr>
      <w:r>
        <w:rPr>
          <w:i/>
          <w:iCs/>
          <w:sz w:val="20"/>
          <w:szCs w:val="20"/>
        </w:rPr>
        <w:t xml:space="preserve">Source:   </w:t>
      </w:r>
      <w:proofErr w:type="spellStart"/>
      <w:r>
        <w:rPr>
          <w:i/>
          <w:iCs/>
          <w:sz w:val="20"/>
          <w:szCs w:val="20"/>
        </w:rPr>
        <w:t>Notifiable</w:t>
      </w:r>
      <w:proofErr w:type="spellEnd"/>
      <w:r>
        <w:rPr>
          <w:i/>
          <w:iCs/>
          <w:sz w:val="20"/>
          <w:szCs w:val="20"/>
        </w:rPr>
        <w:t xml:space="preserve"> instruments – Utilities (Energy industry levy – national regulatory obligations and costs) Determination 2009, 2010, 2011, 2012, 2014 and 2015. </w:t>
      </w:r>
    </w:p>
    <w:p w:rsidR="00C660F7" w:rsidRDefault="00C660F7" w:rsidP="008D735B">
      <w:pPr>
        <w:pStyle w:val="Default"/>
        <w:ind w:left="709"/>
        <w:jc w:val="both"/>
        <w:rPr>
          <w:sz w:val="20"/>
          <w:szCs w:val="20"/>
        </w:rPr>
      </w:pPr>
      <w:proofErr w:type="spellStart"/>
      <w:r>
        <w:rPr>
          <w:i/>
          <w:iCs/>
          <w:sz w:val="20"/>
          <w:szCs w:val="20"/>
        </w:rPr>
        <w:t>Notifiable</w:t>
      </w:r>
      <w:proofErr w:type="spellEnd"/>
      <w:r>
        <w:rPr>
          <w:i/>
          <w:iCs/>
          <w:sz w:val="20"/>
          <w:szCs w:val="20"/>
        </w:rPr>
        <w:t xml:space="preserve"> instruments – Utilities (Energy industry levy – local regulatory costs) Determination 2009, 2010, 2011, 2012, 2014 and 2015. </w:t>
      </w:r>
    </w:p>
    <w:p w:rsidR="00361A0A" w:rsidRDefault="00361A0A">
      <w:pPr>
        <w:spacing w:after="0" w:line="240" w:lineRule="auto"/>
      </w:pPr>
      <w:r>
        <w:br w:type="page"/>
      </w:r>
    </w:p>
    <w:p w:rsidR="00C660F7" w:rsidRDefault="00C660F7" w:rsidP="00CB558D">
      <w:pPr>
        <w:jc w:val="both"/>
      </w:pPr>
    </w:p>
    <w:p w:rsidR="00B63047" w:rsidRDefault="00B63047" w:rsidP="00B63047">
      <w:r>
        <w:rPr>
          <w:b/>
          <w:bCs/>
          <w:sz w:val="23"/>
          <w:szCs w:val="23"/>
        </w:rPr>
        <w:t>Table 3 – Determined variables for the electricity distribution sector</w:t>
      </w:r>
    </w:p>
    <w:tbl>
      <w:tblPr>
        <w:tblW w:w="9180" w:type="dxa"/>
        <w:tblBorders>
          <w:top w:val="nil"/>
          <w:left w:val="nil"/>
          <w:bottom w:val="nil"/>
          <w:right w:val="nil"/>
        </w:tblBorders>
        <w:tblLayout w:type="fixed"/>
        <w:tblLook w:val="00A0"/>
      </w:tblPr>
      <w:tblGrid>
        <w:gridCol w:w="1526"/>
        <w:gridCol w:w="1275"/>
        <w:gridCol w:w="1276"/>
        <w:gridCol w:w="1276"/>
        <w:gridCol w:w="1275"/>
        <w:gridCol w:w="1276"/>
        <w:gridCol w:w="1276"/>
      </w:tblGrid>
      <w:tr w:rsidR="00B63047" w:rsidTr="00094E77">
        <w:trPr>
          <w:trHeight w:val="120"/>
          <w:tblHeader/>
        </w:trPr>
        <w:tc>
          <w:tcPr>
            <w:tcW w:w="1526" w:type="dxa"/>
            <w:tcBorders>
              <w:bottom w:val="single" w:sz="4" w:space="0" w:color="auto"/>
            </w:tcBorders>
          </w:tcPr>
          <w:p w:rsidR="00B63047" w:rsidRDefault="00B63047" w:rsidP="00B63047">
            <w:pPr>
              <w:pStyle w:val="Default"/>
              <w:rPr>
                <w:sz w:val="23"/>
                <w:szCs w:val="23"/>
              </w:rPr>
            </w:pPr>
          </w:p>
        </w:tc>
        <w:tc>
          <w:tcPr>
            <w:tcW w:w="1275"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2009-10 </w:t>
            </w:r>
          </w:p>
        </w:tc>
        <w:tc>
          <w:tcPr>
            <w:tcW w:w="1276"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2010-11 </w:t>
            </w:r>
          </w:p>
        </w:tc>
        <w:tc>
          <w:tcPr>
            <w:tcW w:w="1276"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2011-12 </w:t>
            </w:r>
          </w:p>
        </w:tc>
        <w:tc>
          <w:tcPr>
            <w:tcW w:w="1275"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2012-13 </w:t>
            </w:r>
          </w:p>
        </w:tc>
        <w:tc>
          <w:tcPr>
            <w:tcW w:w="1276"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2013-14 </w:t>
            </w:r>
          </w:p>
        </w:tc>
        <w:tc>
          <w:tcPr>
            <w:tcW w:w="1276"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2014-15 </w:t>
            </w:r>
          </w:p>
        </w:tc>
      </w:tr>
      <w:tr w:rsidR="00B63047" w:rsidTr="00ED2078">
        <w:trPr>
          <w:trHeight w:val="1323"/>
        </w:trPr>
        <w:tc>
          <w:tcPr>
            <w:tcW w:w="1526" w:type="dxa"/>
            <w:tcBorders>
              <w:top w:val="single" w:sz="4" w:space="0" w:color="auto"/>
            </w:tcBorders>
          </w:tcPr>
          <w:p w:rsidR="00B63047" w:rsidRDefault="00B63047" w:rsidP="00B63047">
            <w:pPr>
              <w:pStyle w:val="Default"/>
              <w:rPr>
                <w:sz w:val="23"/>
                <w:szCs w:val="23"/>
              </w:rPr>
            </w:pPr>
            <w:r>
              <w:rPr>
                <w:b/>
                <w:bCs/>
                <w:sz w:val="23"/>
                <w:szCs w:val="23"/>
              </w:rPr>
              <w:t>Estimated national costs ($)</w:t>
            </w:r>
          </w:p>
        </w:tc>
        <w:tc>
          <w:tcPr>
            <w:tcW w:w="1275" w:type="dxa"/>
            <w:tcBorders>
              <w:top w:val="single" w:sz="4" w:space="0" w:color="auto"/>
            </w:tcBorders>
          </w:tcPr>
          <w:p w:rsidR="00B63047" w:rsidRDefault="00B63047" w:rsidP="00361A0A">
            <w:pPr>
              <w:jc w:val="right"/>
              <w:rPr>
                <w:color w:val="000000"/>
              </w:rPr>
            </w:pPr>
            <w:r>
              <w:rPr>
                <w:color w:val="000000"/>
              </w:rPr>
              <w:t>298,273</w:t>
            </w:r>
          </w:p>
        </w:tc>
        <w:tc>
          <w:tcPr>
            <w:tcW w:w="1276" w:type="dxa"/>
            <w:tcBorders>
              <w:top w:val="single" w:sz="4" w:space="0" w:color="auto"/>
            </w:tcBorders>
          </w:tcPr>
          <w:p w:rsidR="00B63047" w:rsidRDefault="00B63047" w:rsidP="00361A0A">
            <w:pPr>
              <w:jc w:val="right"/>
              <w:rPr>
                <w:color w:val="000000"/>
              </w:rPr>
            </w:pPr>
            <w:r>
              <w:rPr>
                <w:color w:val="000000"/>
              </w:rPr>
              <w:t>265,835</w:t>
            </w:r>
          </w:p>
        </w:tc>
        <w:tc>
          <w:tcPr>
            <w:tcW w:w="1276" w:type="dxa"/>
            <w:tcBorders>
              <w:top w:val="single" w:sz="4" w:space="0" w:color="auto"/>
            </w:tcBorders>
          </w:tcPr>
          <w:p w:rsidR="00B63047" w:rsidRDefault="00B63047" w:rsidP="00361A0A">
            <w:pPr>
              <w:jc w:val="right"/>
              <w:rPr>
                <w:color w:val="000000"/>
              </w:rPr>
            </w:pPr>
            <w:r>
              <w:rPr>
                <w:color w:val="000000"/>
              </w:rPr>
              <w:t>411,734</w:t>
            </w:r>
          </w:p>
        </w:tc>
        <w:tc>
          <w:tcPr>
            <w:tcW w:w="1275" w:type="dxa"/>
            <w:tcBorders>
              <w:top w:val="single" w:sz="4" w:space="0" w:color="auto"/>
            </w:tcBorders>
          </w:tcPr>
          <w:p w:rsidR="00B63047" w:rsidRDefault="00B63047" w:rsidP="00361A0A">
            <w:pPr>
              <w:jc w:val="right"/>
              <w:rPr>
                <w:color w:val="000000"/>
              </w:rPr>
            </w:pPr>
            <w:r>
              <w:rPr>
                <w:color w:val="000000"/>
              </w:rPr>
              <w:t>324,495</w:t>
            </w:r>
          </w:p>
        </w:tc>
        <w:tc>
          <w:tcPr>
            <w:tcW w:w="1276" w:type="dxa"/>
            <w:tcBorders>
              <w:top w:val="single" w:sz="4" w:space="0" w:color="auto"/>
            </w:tcBorders>
          </w:tcPr>
          <w:p w:rsidR="00B63047" w:rsidRDefault="00B63047" w:rsidP="00361A0A">
            <w:pPr>
              <w:jc w:val="right"/>
              <w:rPr>
                <w:color w:val="000000"/>
              </w:rPr>
            </w:pPr>
            <w:r>
              <w:rPr>
                <w:color w:val="000000"/>
              </w:rPr>
              <w:t>355,937</w:t>
            </w:r>
          </w:p>
        </w:tc>
        <w:tc>
          <w:tcPr>
            <w:tcW w:w="1276" w:type="dxa"/>
            <w:tcBorders>
              <w:top w:val="single" w:sz="4" w:space="0" w:color="auto"/>
            </w:tcBorders>
          </w:tcPr>
          <w:p w:rsidR="00B63047" w:rsidRDefault="00B63047" w:rsidP="00361A0A">
            <w:pPr>
              <w:jc w:val="right"/>
              <w:rPr>
                <w:color w:val="000000"/>
              </w:rPr>
            </w:pPr>
            <w:r>
              <w:rPr>
                <w:color w:val="000000"/>
              </w:rPr>
              <w:t>342,141</w:t>
            </w:r>
          </w:p>
        </w:tc>
      </w:tr>
      <w:tr w:rsidR="00B63047" w:rsidTr="00ED2078">
        <w:trPr>
          <w:trHeight w:val="1323"/>
        </w:trPr>
        <w:tc>
          <w:tcPr>
            <w:tcW w:w="1526" w:type="dxa"/>
          </w:tcPr>
          <w:p w:rsidR="00B63047" w:rsidRDefault="00B63047" w:rsidP="00B63047">
            <w:pPr>
              <w:pStyle w:val="Default"/>
              <w:rPr>
                <w:sz w:val="23"/>
                <w:szCs w:val="23"/>
              </w:rPr>
            </w:pPr>
            <w:r>
              <w:rPr>
                <w:b/>
                <w:bCs/>
                <w:sz w:val="23"/>
                <w:szCs w:val="23"/>
              </w:rPr>
              <w:t>Actual national costs ($)</w:t>
            </w:r>
          </w:p>
        </w:tc>
        <w:tc>
          <w:tcPr>
            <w:tcW w:w="1275" w:type="dxa"/>
          </w:tcPr>
          <w:p w:rsidR="00B63047" w:rsidRDefault="00B63047" w:rsidP="00361A0A">
            <w:pPr>
              <w:jc w:val="right"/>
              <w:rPr>
                <w:color w:val="000000"/>
              </w:rPr>
            </w:pPr>
            <w:r>
              <w:rPr>
                <w:color w:val="000000"/>
              </w:rPr>
              <w:t>294,598</w:t>
            </w:r>
          </w:p>
        </w:tc>
        <w:tc>
          <w:tcPr>
            <w:tcW w:w="1276" w:type="dxa"/>
          </w:tcPr>
          <w:p w:rsidR="00B63047" w:rsidRDefault="00B63047" w:rsidP="00361A0A">
            <w:pPr>
              <w:jc w:val="right"/>
              <w:rPr>
                <w:color w:val="000000"/>
              </w:rPr>
            </w:pPr>
            <w:r>
              <w:rPr>
                <w:color w:val="000000"/>
              </w:rPr>
              <w:t>293,570</w:t>
            </w:r>
          </w:p>
        </w:tc>
        <w:tc>
          <w:tcPr>
            <w:tcW w:w="1276" w:type="dxa"/>
          </w:tcPr>
          <w:p w:rsidR="00B63047" w:rsidRDefault="00B63047" w:rsidP="00361A0A">
            <w:pPr>
              <w:jc w:val="right"/>
              <w:rPr>
                <w:color w:val="000000"/>
              </w:rPr>
            </w:pPr>
            <w:r>
              <w:rPr>
                <w:color w:val="000000"/>
              </w:rPr>
              <w:t>360,825</w:t>
            </w:r>
          </w:p>
        </w:tc>
        <w:tc>
          <w:tcPr>
            <w:tcW w:w="1275" w:type="dxa"/>
          </w:tcPr>
          <w:p w:rsidR="00B63047" w:rsidRDefault="00B63047" w:rsidP="00361A0A">
            <w:pPr>
              <w:jc w:val="right"/>
              <w:rPr>
                <w:color w:val="000000"/>
              </w:rPr>
            </w:pPr>
            <w:r>
              <w:rPr>
                <w:color w:val="000000"/>
              </w:rPr>
              <w:t>319,787</w:t>
            </w:r>
          </w:p>
        </w:tc>
        <w:tc>
          <w:tcPr>
            <w:tcW w:w="1276" w:type="dxa"/>
          </w:tcPr>
          <w:p w:rsidR="00B63047" w:rsidRDefault="00B63047" w:rsidP="00361A0A">
            <w:pPr>
              <w:jc w:val="right"/>
              <w:rPr>
                <w:color w:val="000000"/>
              </w:rPr>
            </w:pPr>
            <w:r>
              <w:rPr>
                <w:color w:val="000000"/>
              </w:rPr>
              <w:t>322,765</w:t>
            </w:r>
          </w:p>
        </w:tc>
        <w:tc>
          <w:tcPr>
            <w:tcW w:w="1276" w:type="dxa"/>
          </w:tcPr>
          <w:p w:rsidR="00B63047" w:rsidRDefault="00B63047" w:rsidP="00361A0A">
            <w:pPr>
              <w:jc w:val="right"/>
              <w:rPr>
                <w:color w:val="000000"/>
              </w:rPr>
            </w:pPr>
            <w:r>
              <w:rPr>
                <w:color w:val="000000"/>
              </w:rPr>
              <w:t>326,704</w:t>
            </w:r>
          </w:p>
        </w:tc>
      </w:tr>
      <w:tr w:rsidR="00B63047" w:rsidTr="00ED2078">
        <w:trPr>
          <w:trHeight w:val="1323"/>
        </w:trPr>
        <w:tc>
          <w:tcPr>
            <w:tcW w:w="1526" w:type="dxa"/>
          </w:tcPr>
          <w:p w:rsidR="00B63047" w:rsidRDefault="00B63047" w:rsidP="00B63047">
            <w:pPr>
              <w:pStyle w:val="Default"/>
              <w:rPr>
                <w:sz w:val="23"/>
                <w:szCs w:val="23"/>
              </w:rPr>
            </w:pPr>
            <w:r>
              <w:rPr>
                <w:b/>
                <w:bCs/>
                <w:sz w:val="23"/>
                <w:szCs w:val="23"/>
              </w:rPr>
              <w:t>Estimated local cost ($)</w:t>
            </w:r>
          </w:p>
        </w:tc>
        <w:tc>
          <w:tcPr>
            <w:tcW w:w="1275" w:type="dxa"/>
          </w:tcPr>
          <w:p w:rsidR="00B63047" w:rsidRDefault="00B63047" w:rsidP="00361A0A">
            <w:pPr>
              <w:jc w:val="right"/>
              <w:rPr>
                <w:color w:val="000000"/>
              </w:rPr>
            </w:pPr>
            <w:r>
              <w:rPr>
                <w:color w:val="000000"/>
              </w:rPr>
              <w:t>431,001</w:t>
            </w:r>
          </w:p>
        </w:tc>
        <w:tc>
          <w:tcPr>
            <w:tcW w:w="1276" w:type="dxa"/>
          </w:tcPr>
          <w:p w:rsidR="00B63047" w:rsidRDefault="00B63047" w:rsidP="00361A0A">
            <w:pPr>
              <w:jc w:val="right"/>
              <w:rPr>
                <w:color w:val="000000"/>
              </w:rPr>
            </w:pPr>
            <w:r>
              <w:rPr>
                <w:color w:val="000000"/>
              </w:rPr>
              <w:t>489,640</w:t>
            </w:r>
          </w:p>
        </w:tc>
        <w:tc>
          <w:tcPr>
            <w:tcW w:w="1276" w:type="dxa"/>
          </w:tcPr>
          <w:p w:rsidR="00B63047" w:rsidRDefault="00B63047" w:rsidP="00361A0A">
            <w:pPr>
              <w:jc w:val="right"/>
              <w:rPr>
                <w:color w:val="000000"/>
              </w:rPr>
            </w:pPr>
            <w:r>
              <w:rPr>
                <w:color w:val="000000"/>
              </w:rPr>
              <w:t>866,658</w:t>
            </w:r>
          </w:p>
        </w:tc>
        <w:tc>
          <w:tcPr>
            <w:tcW w:w="1275" w:type="dxa"/>
          </w:tcPr>
          <w:p w:rsidR="00B63047" w:rsidRDefault="00B63047" w:rsidP="00361A0A">
            <w:pPr>
              <w:jc w:val="right"/>
              <w:rPr>
                <w:color w:val="000000"/>
              </w:rPr>
            </w:pPr>
            <w:r>
              <w:rPr>
                <w:color w:val="000000"/>
              </w:rPr>
              <w:t>654,080</w:t>
            </w:r>
          </w:p>
        </w:tc>
        <w:tc>
          <w:tcPr>
            <w:tcW w:w="1276" w:type="dxa"/>
          </w:tcPr>
          <w:p w:rsidR="00B63047" w:rsidRDefault="00B63047" w:rsidP="00361A0A">
            <w:pPr>
              <w:jc w:val="right"/>
              <w:rPr>
                <w:color w:val="000000"/>
              </w:rPr>
            </w:pPr>
            <w:r>
              <w:rPr>
                <w:color w:val="000000"/>
              </w:rPr>
              <w:t>806,069</w:t>
            </w:r>
          </w:p>
        </w:tc>
        <w:tc>
          <w:tcPr>
            <w:tcW w:w="1276" w:type="dxa"/>
          </w:tcPr>
          <w:p w:rsidR="00B63047" w:rsidRDefault="00B63047" w:rsidP="00361A0A">
            <w:pPr>
              <w:jc w:val="right"/>
              <w:rPr>
                <w:color w:val="000000"/>
              </w:rPr>
            </w:pPr>
            <w:r>
              <w:rPr>
                <w:color w:val="000000"/>
              </w:rPr>
              <w:t>900,598</w:t>
            </w:r>
          </w:p>
        </w:tc>
      </w:tr>
      <w:tr w:rsidR="00B63047" w:rsidTr="00ED2078">
        <w:trPr>
          <w:trHeight w:val="1323"/>
        </w:trPr>
        <w:tc>
          <w:tcPr>
            <w:tcW w:w="1526" w:type="dxa"/>
            <w:tcBorders>
              <w:bottom w:val="nil"/>
            </w:tcBorders>
          </w:tcPr>
          <w:p w:rsidR="00B63047" w:rsidRDefault="00B63047" w:rsidP="00B63047">
            <w:pPr>
              <w:pStyle w:val="Default"/>
              <w:rPr>
                <w:sz w:val="23"/>
                <w:szCs w:val="23"/>
              </w:rPr>
            </w:pPr>
            <w:r>
              <w:rPr>
                <w:b/>
                <w:bCs/>
                <w:sz w:val="23"/>
                <w:szCs w:val="23"/>
              </w:rPr>
              <w:t>Actual local costs ($)</w:t>
            </w:r>
          </w:p>
        </w:tc>
        <w:tc>
          <w:tcPr>
            <w:tcW w:w="1275" w:type="dxa"/>
            <w:tcBorders>
              <w:bottom w:val="nil"/>
            </w:tcBorders>
          </w:tcPr>
          <w:p w:rsidR="00B63047" w:rsidRDefault="00B63047" w:rsidP="00361A0A">
            <w:pPr>
              <w:jc w:val="right"/>
              <w:rPr>
                <w:color w:val="000000"/>
              </w:rPr>
            </w:pPr>
            <w:r>
              <w:rPr>
                <w:color w:val="000000"/>
              </w:rPr>
              <w:t>441</w:t>
            </w:r>
            <w:r w:rsidR="006404C9">
              <w:rPr>
                <w:color w:val="000000"/>
              </w:rPr>
              <w:t>,</w:t>
            </w:r>
            <w:r>
              <w:rPr>
                <w:color w:val="000000"/>
              </w:rPr>
              <w:t>448</w:t>
            </w:r>
          </w:p>
        </w:tc>
        <w:tc>
          <w:tcPr>
            <w:tcW w:w="1276" w:type="dxa"/>
            <w:tcBorders>
              <w:bottom w:val="nil"/>
            </w:tcBorders>
          </w:tcPr>
          <w:p w:rsidR="00B63047" w:rsidRDefault="00B63047" w:rsidP="00361A0A">
            <w:pPr>
              <w:jc w:val="right"/>
              <w:rPr>
                <w:color w:val="000000"/>
              </w:rPr>
            </w:pPr>
            <w:r>
              <w:rPr>
                <w:color w:val="000000"/>
              </w:rPr>
              <w:t>508</w:t>
            </w:r>
            <w:r w:rsidR="006404C9">
              <w:rPr>
                <w:color w:val="000000"/>
              </w:rPr>
              <w:t>,</w:t>
            </w:r>
            <w:r>
              <w:rPr>
                <w:color w:val="000000"/>
              </w:rPr>
              <w:t>137</w:t>
            </w:r>
          </w:p>
        </w:tc>
        <w:tc>
          <w:tcPr>
            <w:tcW w:w="1276" w:type="dxa"/>
            <w:tcBorders>
              <w:bottom w:val="nil"/>
            </w:tcBorders>
          </w:tcPr>
          <w:p w:rsidR="00B63047" w:rsidRDefault="00B63047" w:rsidP="00361A0A">
            <w:pPr>
              <w:jc w:val="right"/>
              <w:rPr>
                <w:color w:val="000000"/>
              </w:rPr>
            </w:pPr>
            <w:r>
              <w:rPr>
                <w:color w:val="000000"/>
              </w:rPr>
              <w:t>641</w:t>
            </w:r>
            <w:r w:rsidR="006404C9">
              <w:rPr>
                <w:color w:val="000000"/>
              </w:rPr>
              <w:t>,</w:t>
            </w:r>
            <w:r>
              <w:rPr>
                <w:color w:val="000000"/>
              </w:rPr>
              <w:t>013</w:t>
            </w:r>
          </w:p>
        </w:tc>
        <w:tc>
          <w:tcPr>
            <w:tcW w:w="1275" w:type="dxa"/>
            <w:tcBorders>
              <w:bottom w:val="nil"/>
            </w:tcBorders>
          </w:tcPr>
          <w:p w:rsidR="00B63047" w:rsidRDefault="00B63047" w:rsidP="00361A0A">
            <w:pPr>
              <w:jc w:val="right"/>
              <w:rPr>
                <w:color w:val="000000"/>
              </w:rPr>
            </w:pPr>
            <w:r>
              <w:rPr>
                <w:color w:val="000000"/>
              </w:rPr>
              <w:t>680</w:t>
            </w:r>
            <w:r w:rsidR="006404C9">
              <w:rPr>
                <w:color w:val="000000"/>
              </w:rPr>
              <w:t>,</w:t>
            </w:r>
            <w:r>
              <w:rPr>
                <w:color w:val="000000"/>
              </w:rPr>
              <w:t>122</w:t>
            </w:r>
          </w:p>
        </w:tc>
        <w:tc>
          <w:tcPr>
            <w:tcW w:w="1276" w:type="dxa"/>
            <w:tcBorders>
              <w:bottom w:val="nil"/>
            </w:tcBorders>
          </w:tcPr>
          <w:p w:rsidR="00B63047" w:rsidRDefault="00B63047" w:rsidP="00361A0A">
            <w:pPr>
              <w:jc w:val="right"/>
              <w:rPr>
                <w:color w:val="000000"/>
              </w:rPr>
            </w:pPr>
            <w:r>
              <w:rPr>
                <w:color w:val="000000"/>
              </w:rPr>
              <w:t>544</w:t>
            </w:r>
            <w:r w:rsidR="006404C9">
              <w:rPr>
                <w:color w:val="000000"/>
              </w:rPr>
              <w:t>,</w:t>
            </w:r>
            <w:r>
              <w:rPr>
                <w:color w:val="000000"/>
              </w:rPr>
              <w:t>791</w:t>
            </w:r>
          </w:p>
        </w:tc>
        <w:tc>
          <w:tcPr>
            <w:tcW w:w="1276" w:type="dxa"/>
            <w:tcBorders>
              <w:bottom w:val="nil"/>
            </w:tcBorders>
          </w:tcPr>
          <w:p w:rsidR="00B63047" w:rsidRDefault="00B63047" w:rsidP="00361A0A">
            <w:pPr>
              <w:jc w:val="right"/>
              <w:rPr>
                <w:color w:val="000000"/>
              </w:rPr>
            </w:pPr>
            <w:r>
              <w:rPr>
                <w:color w:val="000000"/>
              </w:rPr>
              <w:t>459</w:t>
            </w:r>
            <w:r w:rsidR="006404C9">
              <w:rPr>
                <w:color w:val="000000"/>
              </w:rPr>
              <w:t>,</w:t>
            </w:r>
            <w:r>
              <w:rPr>
                <w:color w:val="000000"/>
              </w:rPr>
              <w:t>415</w:t>
            </w:r>
          </w:p>
        </w:tc>
      </w:tr>
      <w:tr w:rsidR="00B63047" w:rsidTr="00ED2078">
        <w:trPr>
          <w:trHeight w:val="1323"/>
        </w:trPr>
        <w:tc>
          <w:tcPr>
            <w:tcW w:w="1526" w:type="dxa"/>
            <w:tcBorders>
              <w:top w:val="nil"/>
              <w:left w:val="nil"/>
              <w:bottom w:val="nil"/>
            </w:tcBorders>
          </w:tcPr>
          <w:p w:rsidR="00B63047" w:rsidRDefault="00B63047" w:rsidP="00B63047">
            <w:pPr>
              <w:pStyle w:val="Default"/>
              <w:rPr>
                <w:b/>
                <w:bCs/>
                <w:sz w:val="23"/>
                <w:szCs w:val="23"/>
              </w:rPr>
            </w:pPr>
            <w:r>
              <w:rPr>
                <w:b/>
                <w:bCs/>
                <w:sz w:val="23"/>
                <w:szCs w:val="23"/>
              </w:rPr>
              <w:t>Estimated fixed cost</w:t>
            </w:r>
            <w:r w:rsidR="006404C9">
              <w:rPr>
                <w:b/>
                <w:bCs/>
                <w:sz w:val="23"/>
                <w:szCs w:val="23"/>
              </w:rPr>
              <w:t xml:space="preserve"> ($)</w:t>
            </w:r>
          </w:p>
        </w:tc>
        <w:tc>
          <w:tcPr>
            <w:tcW w:w="1275" w:type="dxa"/>
            <w:tcBorders>
              <w:top w:val="nil"/>
              <w:bottom w:val="nil"/>
            </w:tcBorders>
          </w:tcPr>
          <w:p w:rsidR="00B63047" w:rsidRDefault="00B63047" w:rsidP="00361A0A">
            <w:pPr>
              <w:jc w:val="right"/>
              <w:rPr>
                <w:color w:val="000000"/>
              </w:rPr>
            </w:pPr>
            <w:r>
              <w:rPr>
                <w:color w:val="000000"/>
              </w:rPr>
              <w:t>379,720</w:t>
            </w:r>
          </w:p>
        </w:tc>
        <w:tc>
          <w:tcPr>
            <w:tcW w:w="1276" w:type="dxa"/>
            <w:tcBorders>
              <w:top w:val="nil"/>
              <w:bottom w:val="nil"/>
            </w:tcBorders>
          </w:tcPr>
          <w:p w:rsidR="00B63047" w:rsidRDefault="00B63047" w:rsidP="00361A0A">
            <w:pPr>
              <w:jc w:val="right"/>
              <w:rPr>
                <w:color w:val="000000"/>
              </w:rPr>
            </w:pPr>
            <w:r>
              <w:rPr>
                <w:color w:val="000000"/>
              </w:rPr>
              <w:t>412,730</w:t>
            </w:r>
          </w:p>
        </w:tc>
        <w:tc>
          <w:tcPr>
            <w:tcW w:w="1276" w:type="dxa"/>
            <w:tcBorders>
              <w:top w:val="nil"/>
              <w:bottom w:val="nil"/>
            </w:tcBorders>
          </w:tcPr>
          <w:p w:rsidR="00B63047" w:rsidRDefault="00B63047" w:rsidP="00361A0A">
            <w:pPr>
              <w:jc w:val="right"/>
              <w:rPr>
                <w:color w:val="000000"/>
              </w:rPr>
            </w:pPr>
            <w:r>
              <w:rPr>
                <w:color w:val="000000"/>
              </w:rPr>
              <w:t>532,505</w:t>
            </w:r>
          </w:p>
        </w:tc>
        <w:tc>
          <w:tcPr>
            <w:tcW w:w="1275" w:type="dxa"/>
            <w:tcBorders>
              <w:top w:val="nil"/>
              <w:bottom w:val="nil"/>
            </w:tcBorders>
          </w:tcPr>
          <w:p w:rsidR="00B63047" w:rsidRDefault="00B63047" w:rsidP="00361A0A">
            <w:pPr>
              <w:jc w:val="right"/>
              <w:rPr>
                <w:color w:val="000000"/>
              </w:rPr>
            </w:pPr>
            <w:r>
              <w:rPr>
                <w:color w:val="000000"/>
              </w:rPr>
              <w:t>424,548</w:t>
            </w:r>
          </w:p>
        </w:tc>
        <w:tc>
          <w:tcPr>
            <w:tcW w:w="1276" w:type="dxa"/>
            <w:tcBorders>
              <w:top w:val="nil"/>
              <w:bottom w:val="nil"/>
            </w:tcBorders>
          </w:tcPr>
          <w:p w:rsidR="00B63047" w:rsidRDefault="00B63047" w:rsidP="00361A0A">
            <w:pPr>
              <w:jc w:val="right"/>
              <w:rPr>
                <w:color w:val="000000"/>
              </w:rPr>
            </w:pPr>
            <w:r>
              <w:rPr>
                <w:color w:val="000000"/>
              </w:rPr>
              <w:t>627,926</w:t>
            </w:r>
          </w:p>
        </w:tc>
        <w:tc>
          <w:tcPr>
            <w:tcW w:w="1276" w:type="dxa"/>
            <w:tcBorders>
              <w:top w:val="nil"/>
              <w:bottom w:val="nil"/>
              <w:right w:val="nil"/>
            </w:tcBorders>
          </w:tcPr>
          <w:p w:rsidR="00B63047" w:rsidRDefault="00B63047" w:rsidP="00361A0A">
            <w:pPr>
              <w:jc w:val="right"/>
              <w:rPr>
                <w:color w:val="000000"/>
              </w:rPr>
            </w:pPr>
            <w:r>
              <w:rPr>
                <w:color w:val="000000"/>
              </w:rPr>
              <w:t>552,571</w:t>
            </w:r>
          </w:p>
        </w:tc>
      </w:tr>
      <w:tr w:rsidR="00B63047" w:rsidTr="00ED2078">
        <w:trPr>
          <w:trHeight w:val="1323"/>
        </w:trPr>
        <w:tc>
          <w:tcPr>
            <w:tcW w:w="1526" w:type="dxa"/>
            <w:tcBorders>
              <w:top w:val="nil"/>
              <w:left w:val="nil"/>
              <w:bottom w:val="nil"/>
            </w:tcBorders>
          </w:tcPr>
          <w:p w:rsidR="00B63047" w:rsidRDefault="00B63047" w:rsidP="00B63047">
            <w:pPr>
              <w:pStyle w:val="Default"/>
              <w:rPr>
                <w:b/>
                <w:bCs/>
                <w:sz w:val="23"/>
                <w:szCs w:val="23"/>
              </w:rPr>
            </w:pPr>
            <w:r>
              <w:rPr>
                <w:b/>
                <w:bCs/>
                <w:sz w:val="23"/>
                <w:szCs w:val="23"/>
              </w:rPr>
              <w:t>Actual fixed costs</w:t>
            </w:r>
            <w:r w:rsidR="006404C9">
              <w:rPr>
                <w:b/>
                <w:bCs/>
                <w:sz w:val="23"/>
                <w:szCs w:val="23"/>
              </w:rPr>
              <w:t xml:space="preserve"> ($)</w:t>
            </w:r>
          </w:p>
        </w:tc>
        <w:tc>
          <w:tcPr>
            <w:tcW w:w="1275" w:type="dxa"/>
            <w:tcBorders>
              <w:top w:val="nil"/>
              <w:bottom w:val="nil"/>
            </w:tcBorders>
          </w:tcPr>
          <w:p w:rsidR="00B63047" w:rsidRDefault="00B63047" w:rsidP="00361A0A">
            <w:pPr>
              <w:jc w:val="right"/>
              <w:rPr>
                <w:color w:val="000000"/>
              </w:rPr>
            </w:pPr>
            <w:r>
              <w:rPr>
                <w:color w:val="000000"/>
              </w:rPr>
              <w:t>343,330</w:t>
            </w:r>
          </w:p>
        </w:tc>
        <w:tc>
          <w:tcPr>
            <w:tcW w:w="1276" w:type="dxa"/>
            <w:tcBorders>
              <w:top w:val="nil"/>
              <w:bottom w:val="nil"/>
            </w:tcBorders>
          </w:tcPr>
          <w:p w:rsidR="00B63047" w:rsidRDefault="00B63047" w:rsidP="00361A0A">
            <w:pPr>
              <w:jc w:val="right"/>
              <w:rPr>
                <w:color w:val="000000"/>
              </w:rPr>
            </w:pPr>
            <w:r>
              <w:rPr>
                <w:color w:val="000000"/>
              </w:rPr>
              <w:t>426,491</w:t>
            </w:r>
          </w:p>
        </w:tc>
        <w:tc>
          <w:tcPr>
            <w:tcW w:w="1276" w:type="dxa"/>
            <w:tcBorders>
              <w:top w:val="nil"/>
              <w:bottom w:val="nil"/>
            </w:tcBorders>
          </w:tcPr>
          <w:p w:rsidR="00B63047" w:rsidRDefault="00B63047" w:rsidP="00361A0A">
            <w:pPr>
              <w:jc w:val="right"/>
              <w:rPr>
                <w:color w:val="000000"/>
              </w:rPr>
            </w:pPr>
            <w:r>
              <w:rPr>
                <w:color w:val="000000"/>
              </w:rPr>
              <w:t>461,672</w:t>
            </w:r>
          </w:p>
        </w:tc>
        <w:tc>
          <w:tcPr>
            <w:tcW w:w="1275" w:type="dxa"/>
            <w:tcBorders>
              <w:top w:val="nil"/>
              <w:bottom w:val="nil"/>
            </w:tcBorders>
          </w:tcPr>
          <w:p w:rsidR="00B63047" w:rsidRDefault="00B63047" w:rsidP="00361A0A">
            <w:pPr>
              <w:jc w:val="right"/>
              <w:rPr>
                <w:color w:val="000000"/>
              </w:rPr>
            </w:pPr>
            <w:r>
              <w:rPr>
                <w:color w:val="000000"/>
              </w:rPr>
              <w:t>512,006</w:t>
            </w:r>
          </w:p>
        </w:tc>
        <w:tc>
          <w:tcPr>
            <w:tcW w:w="1276" w:type="dxa"/>
            <w:tcBorders>
              <w:top w:val="nil"/>
              <w:bottom w:val="nil"/>
            </w:tcBorders>
          </w:tcPr>
          <w:p w:rsidR="00B63047" w:rsidRDefault="00B63047" w:rsidP="00361A0A">
            <w:pPr>
              <w:jc w:val="right"/>
              <w:rPr>
                <w:color w:val="000000"/>
              </w:rPr>
            </w:pPr>
            <w:r>
              <w:rPr>
                <w:color w:val="000000"/>
              </w:rPr>
              <w:t>495,237</w:t>
            </w:r>
          </w:p>
        </w:tc>
        <w:tc>
          <w:tcPr>
            <w:tcW w:w="1276" w:type="dxa"/>
            <w:tcBorders>
              <w:top w:val="nil"/>
              <w:bottom w:val="nil"/>
              <w:right w:val="nil"/>
            </w:tcBorders>
          </w:tcPr>
          <w:p w:rsidR="00B63047" w:rsidRDefault="00B63047" w:rsidP="00361A0A">
            <w:pPr>
              <w:jc w:val="right"/>
              <w:rPr>
                <w:color w:val="000000"/>
              </w:rPr>
            </w:pPr>
            <w:r>
              <w:rPr>
                <w:color w:val="000000"/>
              </w:rPr>
              <w:t>249,651</w:t>
            </w:r>
          </w:p>
        </w:tc>
      </w:tr>
      <w:tr w:rsidR="00B63047" w:rsidTr="00ED2078">
        <w:trPr>
          <w:trHeight w:val="1323"/>
        </w:trPr>
        <w:tc>
          <w:tcPr>
            <w:tcW w:w="1526" w:type="dxa"/>
            <w:tcBorders>
              <w:top w:val="nil"/>
              <w:left w:val="nil"/>
              <w:bottom w:val="nil"/>
            </w:tcBorders>
          </w:tcPr>
          <w:p w:rsidR="00B63047" w:rsidRDefault="00B63047" w:rsidP="00B63047">
            <w:pPr>
              <w:pStyle w:val="Default"/>
              <w:rPr>
                <w:b/>
                <w:bCs/>
                <w:sz w:val="23"/>
                <w:szCs w:val="23"/>
              </w:rPr>
            </w:pPr>
            <w:r>
              <w:rPr>
                <w:b/>
                <w:bCs/>
                <w:sz w:val="23"/>
                <w:szCs w:val="23"/>
              </w:rPr>
              <w:t>Number of operators before September</w:t>
            </w:r>
          </w:p>
        </w:tc>
        <w:tc>
          <w:tcPr>
            <w:tcW w:w="1275" w:type="dxa"/>
            <w:tcBorders>
              <w:top w:val="nil"/>
              <w:bottom w:val="nil"/>
            </w:tcBorders>
          </w:tcPr>
          <w:p w:rsidR="00B63047" w:rsidRDefault="00B63047" w:rsidP="00361A0A">
            <w:pPr>
              <w:jc w:val="right"/>
              <w:rPr>
                <w:color w:val="000000"/>
              </w:rPr>
            </w:pPr>
            <w:r>
              <w:rPr>
                <w:color w:val="000000"/>
              </w:rPr>
              <w:t>1</w:t>
            </w:r>
          </w:p>
        </w:tc>
        <w:tc>
          <w:tcPr>
            <w:tcW w:w="1276" w:type="dxa"/>
            <w:tcBorders>
              <w:top w:val="nil"/>
              <w:bottom w:val="nil"/>
            </w:tcBorders>
          </w:tcPr>
          <w:p w:rsidR="00B63047" w:rsidRDefault="00B63047" w:rsidP="00361A0A">
            <w:pPr>
              <w:jc w:val="right"/>
              <w:rPr>
                <w:color w:val="000000"/>
              </w:rPr>
            </w:pPr>
            <w:r>
              <w:rPr>
                <w:color w:val="000000"/>
              </w:rPr>
              <w:t>1</w:t>
            </w:r>
          </w:p>
        </w:tc>
        <w:tc>
          <w:tcPr>
            <w:tcW w:w="1276" w:type="dxa"/>
            <w:tcBorders>
              <w:top w:val="nil"/>
              <w:bottom w:val="nil"/>
            </w:tcBorders>
          </w:tcPr>
          <w:p w:rsidR="00B63047" w:rsidRDefault="00B63047" w:rsidP="00361A0A">
            <w:pPr>
              <w:jc w:val="right"/>
              <w:rPr>
                <w:color w:val="000000"/>
              </w:rPr>
            </w:pPr>
            <w:r>
              <w:rPr>
                <w:color w:val="000000"/>
              </w:rPr>
              <w:t>1</w:t>
            </w:r>
          </w:p>
        </w:tc>
        <w:tc>
          <w:tcPr>
            <w:tcW w:w="1275" w:type="dxa"/>
            <w:tcBorders>
              <w:top w:val="nil"/>
              <w:bottom w:val="nil"/>
            </w:tcBorders>
          </w:tcPr>
          <w:p w:rsidR="00B63047" w:rsidRDefault="00B63047" w:rsidP="00361A0A">
            <w:pPr>
              <w:jc w:val="right"/>
              <w:rPr>
                <w:color w:val="000000"/>
              </w:rPr>
            </w:pPr>
            <w:r>
              <w:rPr>
                <w:color w:val="000000"/>
              </w:rPr>
              <w:t>1</w:t>
            </w:r>
          </w:p>
        </w:tc>
        <w:tc>
          <w:tcPr>
            <w:tcW w:w="1276" w:type="dxa"/>
            <w:tcBorders>
              <w:top w:val="nil"/>
              <w:bottom w:val="nil"/>
            </w:tcBorders>
          </w:tcPr>
          <w:p w:rsidR="00B63047" w:rsidRDefault="00B63047" w:rsidP="00361A0A">
            <w:pPr>
              <w:jc w:val="right"/>
              <w:rPr>
                <w:color w:val="000000"/>
              </w:rPr>
            </w:pPr>
            <w:r>
              <w:rPr>
                <w:color w:val="000000"/>
              </w:rPr>
              <w:t>1</w:t>
            </w:r>
          </w:p>
        </w:tc>
        <w:tc>
          <w:tcPr>
            <w:tcW w:w="1276" w:type="dxa"/>
            <w:tcBorders>
              <w:top w:val="nil"/>
              <w:bottom w:val="nil"/>
              <w:right w:val="nil"/>
            </w:tcBorders>
          </w:tcPr>
          <w:p w:rsidR="00B63047" w:rsidRDefault="00B63047" w:rsidP="00361A0A">
            <w:pPr>
              <w:jc w:val="right"/>
              <w:rPr>
                <w:color w:val="000000"/>
              </w:rPr>
            </w:pPr>
            <w:r>
              <w:rPr>
                <w:color w:val="000000"/>
              </w:rPr>
              <w:t>1</w:t>
            </w:r>
          </w:p>
        </w:tc>
      </w:tr>
      <w:tr w:rsidR="00B63047" w:rsidTr="00ED2078">
        <w:trPr>
          <w:trHeight w:val="1323"/>
        </w:trPr>
        <w:tc>
          <w:tcPr>
            <w:tcW w:w="1526" w:type="dxa"/>
            <w:tcBorders>
              <w:top w:val="nil"/>
              <w:left w:val="nil"/>
              <w:bottom w:val="nil"/>
            </w:tcBorders>
          </w:tcPr>
          <w:p w:rsidR="00B63047" w:rsidRDefault="00B63047" w:rsidP="00B63047">
            <w:pPr>
              <w:pStyle w:val="Default"/>
              <w:rPr>
                <w:b/>
                <w:bCs/>
                <w:sz w:val="23"/>
                <w:szCs w:val="23"/>
              </w:rPr>
            </w:pPr>
            <w:r>
              <w:rPr>
                <w:b/>
                <w:bCs/>
                <w:sz w:val="23"/>
                <w:szCs w:val="23"/>
              </w:rPr>
              <w:t>Number of operators in the previous year</w:t>
            </w:r>
          </w:p>
        </w:tc>
        <w:tc>
          <w:tcPr>
            <w:tcW w:w="1275" w:type="dxa"/>
            <w:tcBorders>
              <w:top w:val="nil"/>
              <w:bottom w:val="nil"/>
            </w:tcBorders>
          </w:tcPr>
          <w:p w:rsidR="00B63047" w:rsidRDefault="00B63047" w:rsidP="00361A0A">
            <w:pPr>
              <w:jc w:val="right"/>
              <w:rPr>
                <w:color w:val="000000"/>
              </w:rPr>
            </w:pPr>
            <w:r>
              <w:rPr>
                <w:color w:val="000000"/>
              </w:rPr>
              <w:t>1</w:t>
            </w:r>
          </w:p>
        </w:tc>
        <w:tc>
          <w:tcPr>
            <w:tcW w:w="1276" w:type="dxa"/>
            <w:tcBorders>
              <w:top w:val="nil"/>
              <w:bottom w:val="nil"/>
            </w:tcBorders>
          </w:tcPr>
          <w:p w:rsidR="00B63047" w:rsidRDefault="00B63047" w:rsidP="00361A0A">
            <w:pPr>
              <w:jc w:val="right"/>
              <w:rPr>
                <w:color w:val="000000"/>
              </w:rPr>
            </w:pPr>
            <w:r>
              <w:rPr>
                <w:color w:val="000000"/>
              </w:rPr>
              <w:t>1</w:t>
            </w:r>
          </w:p>
        </w:tc>
        <w:tc>
          <w:tcPr>
            <w:tcW w:w="1276" w:type="dxa"/>
            <w:tcBorders>
              <w:top w:val="nil"/>
              <w:bottom w:val="nil"/>
            </w:tcBorders>
          </w:tcPr>
          <w:p w:rsidR="00B63047" w:rsidRDefault="00B63047" w:rsidP="00361A0A">
            <w:pPr>
              <w:jc w:val="right"/>
              <w:rPr>
                <w:color w:val="000000"/>
              </w:rPr>
            </w:pPr>
            <w:r>
              <w:rPr>
                <w:color w:val="000000"/>
              </w:rPr>
              <w:t>1</w:t>
            </w:r>
          </w:p>
        </w:tc>
        <w:tc>
          <w:tcPr>
            <w:tcW w:w="1275" w:type="dxa"/>
            <w:tcBorders>
              <w:top w:val="nil"/>
              <w:bottom w:val="nil"/>
            </w:tcBorders>
          </w:tcPr>
          <w:p w:rsidR="00B63047" w:rsidRDefault="00B63047" w:rsidP="00361A0A">
            <w:pPr>
              <w:jc w:val="right"/>
              <w:rPr>
                <w:color w:val="000000"/>
              </w:rPr>
            </w:pPr>
            <w:r>
              <w:rPr>
                <w:color w:val="000000"/>
              </w:rPr>
              <w:t>1</w:t>
            </w:r>
          </w:p>
        </w:tc>
        <w:tc>
          <w:tcPr>
            <w:tcW w:w="1276" w:type="dxa"/>
            <w:tcBorders>
              <w:top w:val="nil"/>
              <w:bottom w:val="nil"/>
            </w:tcBorders>
          </w:tcPr>
          <w:p w:rsidR="00B63047" w:rsidRDefault="00B63047" w:rsidP="00361A0A">
            <w:pPr>
              <w:jc w:val="right"/>
              <w:rPr>
                <w:color w:val="000000"/>
              </w:rPr>
            </w:pPr>
            <w:r>
              <w:rPr>
                <w:color w:val="000000"/>
              </w:rPr>
              <w:t>1</w:t>
            </w:r>
          </w:p>
        </w:tc>
        <w:tc>
          <w:tcPr>
            <w:tcW w:w="1276" w:type="dxa"/>
            <w:tcBorders>
              <w:top w:val="nil"/>
              <w:bottom w:val="nil"/>
              <w:right w:val="nil"/>
            </w:tcBorders>
          </w:tcPr>
          <w:p w:rsidR="00B63047" w:rsidRDefault="00B63047" w:rsidP="00361A0A">
            <w:pPr>
              <w:jc w:val="right"/>
              <w:rPr>
                <w:color w:val="000000"/>
              </w:rPr>
            </w:pPr>
            <w:r>
              <w:rPr>
                <w:color w:val="000000"/>
              </w:rPr>
              <w:t>1</w:t>
            </w:r>
          </w:p>
        </w:tc>
      </w:tr>
    </w:tbl>
    <w:p w:rsidR="00B63047" w:rsidRDefault="00B63047" w:rsidP="008D735B">
      <w:pPr>
        <w:pStyle w:val="Default"/>
        <w:ind w:left="709" w:hanging="709"/>
        <w:jc w:val="both"/>
        <w:rPr>
          <w:sz w:val="20"/>
          <w:szCs w:val="20"/>
        </w:rPr>
      </w:pPr>
      <w:r>
        <w:rPr>
          <w:i/>
          <w:iCs/>
          <w:sz w:val="20"/>
          <w:szCs w:val="20"/>
        </w:rPr>
        <w:t xml:space="preserve">Source:   </w:t>
      </w:r>
      <w:proofErr w:type="spellStart"/>
      <w:r>
        <w:rPr>
          <w:i/>
          <w:iCs/>
          <w:sz w:val="20"/>
          <w:szCs w:val="20"/>
        </w:rPr>
        <w:t>Notifiable</w:t>
      </w:r>
      <w:proofErr w:type="spellEnd"/>
      <w:r>
        <w:rPr>
          <w:i/>
          <w:iCs/>
          <w:sz w:val="20"/>
          <w:szCs w:val="20"/>
        </w:rPr>
        <w:t xml:space="preserve"> instruments – Utilities (Energy industry levy – national regulatory obligations and costs) Determination 2009, 2010, 2011, 2012, 2014 and 2015. </w:t>
      </w:r>
    </w:p>
    <w:p w:rsidR="00B63047" w:rsidRDefault="00B63047" w:rsidP="008D735B">
      <w:pPr>
        <w:pStyle w:val="Default"/>
        <w:ind w:left="709"/>
        <w:jc w:val="both"/>
        <w:rPr>
          <w:sz w:val="20"/>
          <w:szCs w:val="20"/>
        </w:rPr>
      </w:pPr>
      <w:proofErr w:type="spellStart"/>
      <w:r>
        <w:rPr>
          <w:i/>
          <w:iCs/>
          <w:sz w:val="20"/>
          <w:szCs w:val="20"/>
        </w:rPr>
        <w:t>Notifiable</w:t>
      </w:r>
      <w:proofErr w:type="spellEnd"/>
      <w:r>
        <w:rPr>
          <w:i/>
          <w:iCs/>
          <w:sz w:val="20"/>
          <w:szCs w:val="20"/>
        </w:rPr>
        <w:t xml:space="preserve"> instruments – Utilities (Energy industry levy – local regulatory costs) Determination 2009, 2010, 2011, 2012, 2014 and 2015. </w:t>
      </w:r>
    </w:p>
    <w:p w:rsidR="00361A0A" w:rsidRDefault="00361A0A">
      <w:pPr>
        <w:spacing w:after="0" w:line="240" w:lineRule="auto"/>
      </w:pPr>
      <w:r>
        <w:br w:type="page"/>
      </w:r>
    </w:p>
    <w:p w:rsidR="00B63047" w:rsidRDefault="00B63047" w:rsidP="00B63047">
      <w:r>
        <w:rPr>
          <w:b/>
          <w:bCs/>
          <w:sz w:val="23"/>
          <w:szCs w:val="23"/>
        </w:rPr>
        <w:t>Table 4 – Determined variables for the gas retail sector</w:t>
      </w:r>
    </w:p>
    <w:tbl>
      <w:tblPr>
        <w:tblW w:w="9180" w:type="dxa"/>
        <w:tblBorders>
          <w:top w:val="nil"/>
          <w:left w:val="nil"/>
          <w:bottom w:val="nil"/>
          <w:right w:val="nil"/>
        </w:tblBorders>
        <w:tblLayout w:type="fixed"/>
        <w:tblLook w:val="00A0"/>
      </w:tblPr>
      <w:tblGrid>
        <w:gridCol w:w="1526"/>
        <w:gridCol w:w="1275"/>
        <w:gridCol w:w="1276"/>
        <w:gridCol w:w="1276"/>
        <w:gridCol w:w="1275"/>
        <w:gridCol w:w="1276"/>
        <w:gridCol w:w="1276"/>
      </w:tblGrid>
      <w:tr w:rsidR="00B63047" w:rsidTr="00094E77">
        <w:trPr>
          <w:trHeight w:val="120"/>
          <w:tblHeader/>
        </w:trPr>
        <w:tc>
          <w:tcPr>
            <w:tcW w:w="1526" w:type="dxa"/>
            <w:tcBorders>
              <w:bottom w:val="single" w:sz="4" w:space="0" w:color="auto"/>
            </w:tcBorders>
          </w:tcPr>
          <w:p w:rsidR="00B63047" w:rsidRDefault="00B63047" w:rsidP="00B63047">
            <w:pPr>
              <w:pStyle w:val="Default"/>
              <w:rPr>
                <w:sz w:val="23"/>
                <w:szCs w:val="23"/>
              </w:rPr>
            </w:pPr>
          </w:p>
        </w:tc>
        <w:tc>
          <w:tcPr>
            <w:tcW w:w="1275"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2009-10 </w:t>
            </w:r>
          </w:p>
        </w:tc>
        <w:tc>
          <w:tcPr>
            <w:tcW w:w="1276"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2010-11 </w:t>
            </w:r>
          </w:p>
        </w:tc>
        <w:tc>
          <w:tcPr>
            <w:tcW w:w="1276"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2011-12 </w:t>
            </w:r>
          </w:p>
        </w:tc>
        <w:tc>
          <w:tcPr>
            <w:tcW w:w="1275"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2012-13 </w:t>
            </w:r>
          </w:p>
        </w:tc>
        <w:tc>
          <w:tcPr>
            <w:tcW w:w="1276"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2013-14 </w:t>
            </w:r>
          </w:p>
        </w:tc>
        <w:tc>
          <w:tcPr>
            <w:tcW w:w="1276" w:type="dxa"/>
            <w:tcBorders>
              <w:bottom w:val="single" w:sz="4" w:space="0" w:color="auto"/>
            </w:tcBorders>
          </w:tcPr>
          <w:p w:rsidR="00B63047" w:rsidRDefault="00B63047" w:rsidP="00DA539C">
            <w:pPr>
              <w:pStyle w:val="Default"/>
              <w:jc w:val="right"/>
              <w:rPr>
                <w:sz w:val="23"/>
                <w:szCs w:val="23"/>
              </w:rPr>
            </w:pPr>
            <w:r>
              <w:rPr>
                <w:b/>
                <w:bCs/>
                <w:sz w:val="23"/>
                <w:szCs w:val="23"/>
              </w:rPr>
              <w:t xml:space="preserve">2014-15 </w:t>
            </w:r>
          </w:p>
        </w:tc>
      </w:tr>
      <w:tr w:rsidR="00B63047" w:rsidTr="00ED2078">
        <w:trPr>
          <w:trHeight w:val="1350"/>
        </w:trPr>
        <w:tc>
          <w:tcPr>
            <w:tcW w:w="1526" w:type="dxa"/>
            <w:tcBorders>
              <w:top w:val="single" w:sz="4" w:space="0" w:color="auto"/>
            </w:tcBorders>
          </w:tcPr>
          <w:p w:rsidR="00B63047" w:rsidRDefault="00B63047" w:rsidP="00B63047">
            <w:pPr>
              <w:pStyle w:val="Default"/>
              <w:rPr>
                <w:sz w:val="23"/>
                <w:szCs w:val="23"/>
              </w:rPr>
            </w:pPr>
            <w:r>
              <w:rPr>
                <w:b/>
                <w:bCs/>
                <w:sz w:val="23"/>
                <w:szCs w:val="23"/>
              </w:rPr>
              <w:t>Estimated national costs ($)</w:t>
            </w:r>
          </w:p>
        </w:tc>
        <w:tc>
          <w:tcPr>
            <w:tcW w:w="1275" w:type="dxa"/>
            <w:tcBorders>
              <w:top w:val="single" w:sz="4" w:space="0" w:color="auto"/>
            </w:tcBorders>
          </w:tcPr>
          <w:p w:rsidR="00B63047" w:rsidRDefault="00B63047" w:rsidP="00361A0A">
            <w:pPr>
              <w:jc w:val="right"/>
              <w:rPr>
                <w:color w:val="000000"/>
              </w:rPr>
            </w:pPr>
            <w:r>
              <w:rPr>
                <w:color w:val="000000"/>
              </w:rPr>
              <w:t>4,466</w:t>
            </w:r>
          </w:p>
        </w:tc>
        <w:tc>
          <w:tcPr>
            <w:tcW w:w="1276" w:type="dxa"/>
            <w:tcBorders>
              <w:top w:val="single" w:sz="4" w:space="0" w:color="auto"/>
            </w:tcBorders>
          </w:tcPr>
          <w:p w:rsidR="00B63047" w:rsidRDefault="00B63047" w:rsidP="00361A0A">
            <w:pPr>
              <w:jc w:val="right"/>
              <w:rPr>
                <w:color w:val="000000"/>
              </w:rPr>
            </w:pPr>
            <w:r>
              <w:rPr>
                <w:color w:val="000000"/>
              </w:rPr>
              <w:t>2,786</w:t>
            </w:r>
          </w:p>
        </w:tc>
        <w:tc>
          <w:tcPr>
            <w:tcW w:w="1276" w:type="dxa"/>
            <w:tcBorders>
              <w:top w:val="single" w:sz="4" w:space="0" w:color="auto"/>
            </w:tcBorders>
          </w:tcPr>
          <w:p w:rsidR="00B63047" w:rsidRDefault="00B63047" w:rsidP="00361A0A">
            <w:pPr>
              <w:jc w:val="right"/>
              <w:rPr>
                <w:color w:val="000000"/>
              </w:rPr>
            </w:pPr>
            <w:r>
              <w:rPr>
                <w:color w:val="000000"/>
              </w:rPr>
              <w:t>14,743</w:t>
            </w:r>
          </w:p>
        </w:tc>
        <w:tc>
          <w:tcPr>
            <w:tcW w:w="1275" w:type="dxa"/>
            <w:tcBorders>
              <w:top w:val="single" w:sz="4" w:space="0" w:color="auto"/>
            </w:tcBorders>
          </w:tcPr>
          <w:p w:rsidR="00B63047" w:rsidRDefault="00B63047" w:rsidP="00361A0A">
            <w:pPr>
              <w:jc w:val="right"/>
              <w:rPr>
                <w:color w:val="000000"/>
              </w:rPr>
            </w:pPr>
            <w:r>
              <w:rPr>
                <w:color w:val="000000"/>
              </w:rPr>
              <w:t>13,403</w:t>
            </w:r>
          </w:p>
        </w:tc>
        <w:tc>
          <w:tcPr>
            <w:tcW w:w="1276" w:type="dxa"/>
            <w:tcBorders>
              <w:top w:val="single" w:sz="4" w:space="0" w:color="auto"/>
            </w:tcBorders>
          </w:tcPr>
          <w:p w:rsidR="00B63047" w:rsidRDefault="00B63047" w:rsidP="00361A0A">
            <w:pPr>
              <w:jc w:val="right"/>
              <w:rPr>
                <w:color w:val="000000"/>
              </w:rPr>
            </w:pPr>
            <w:r>
              <w:rPr>
                <w:color w:val="000000"/>
              </w:rPr>
              <w:t>14,702</w:t>
            </w:r>
          </w:p>
        </w:tc>
        <w:tc>
          <w:tcPr>
            <w:tcW w:w="1276" w:type="dxa"/>
            <w:tcBorders>
              <w:top w:val="single" w:sz="4" w:space="0" w:color="auto"/>
            </w:tcBorders>
          </w:tcPr>
          <w:p w:rsidR="00B63047" w:rsidRDefault="00B63047" w:rsidP="00361A0A">
            <w:pPr>
              <w:jc w:val="right"/>
              <w:rPr>
                <w:color w:val="000000"/>
              </w:rPr>
            </w:pPr>
            <w:r>
              <w:rPr>
                <w:color w:val="000000"/>
              </w:rPr>
              <w:t>22,196</w:t>
            </w:r>
          </w:p>
        </w:tc>
      </w:tr>
      <w:tr w:rsidR="00B63047" w:rsidTr="00ED2078">
        <w:trPr>
          <w:trHeight w:val="1350"/>
        </w:trPr>
        <w:tc>
          <w:tcPr>
            <w:tcW w:w="1526" w:type="dxa"/>
          </w:tcPr>
          <w:p w:rsidR="00B63047" w:rsidRDefault="00B63047" w:rsidP="00B63047">
            <w:pPr>
              <w:pStyle w:val="Default"/>
              <w:rPr>
                <w:sz w:val="23"/>
                <w:szCs w:val="23"/>
              </w:rPr>
            </w:pPr>
            <w:r>
              <w:rPr>
                <w:b/>
                <w:bCs/>
                <w:sz w:val="23"/>
                <w:szCs w:val="23"/>
              </w:rPr>
              <w:t>Actual national costs ($)</w:t>
            </w:r>
          </w:p>
        </w:tc>
        <w:tc>
          <w:tcPr>
            <w:tcW w:w="1275" w:type="dxa"/>
          </w:tcPr>
          <w:p w:rsidR="00B63047" w:rsidRDefault="00B63047" w:rsidP="00361A0A">
            <w:pPr>
              <w:jc w:val="right"/>
              <w:rPr>
                <w:color w:val="000000"/>
              </w:rPr>
            </w:pPr>
            <w:r>
              <w:rPr>
                <w:color w:val="000000"/>
              </w:rPr>
              <w:t>4,278</w:t>
            </w:r>
          </w:p>
        </w:tc>
        <w:tc>
          <w:tcPr>
            <w:tcW w:w="1276" w:type="dxa"/>
          </w:tcPr>
          <w:p w:rsidR="00B63047" w:rsidRDefault="00B63047" w:rsidP="00361A0A">
            <w:pPr>
              <w:jc w:val="right"/>
              <w:rPr>
                <w:color w:val="000000"/>
              </w:rPr>
            </w:pPr>
            <w:r>
              <w:rPr>
                <w:color w:val="000000"/>
              </w:rPr>
              <w:t>13,262</w:t>
            </w:r>
          </w:p>
        </w:tc>
        <w:tc>
          <w:tcPr>
            <w:tcW w:w="1276" w:type="dxa"/>
          </w:tcPr>
          <w:p w:rsidR="00B63047" w:rsidRDefault="00B63047" w:rsidP="00361A0A">
            <w:pPr>
              <w:jc w:val="right"/>
              <w:rPr>
                <w:color w:val="000000"/>
              </w:rPr>
            </w:pPr>
            <w:r>
              <w:rPr>
                <w:color w:val="000000"/>
              </w:rPr>
              <w:t>14,732</w:t>
            </w:r>
          </w:p>
        </w:tc>
        <w:tc>
          <w:tcPr>
            <w:tcW w:w="1275" w:type="dxa"/>
          </w:tcPr>
          <w:p w:rsidR="00B63047" w:rsidRDefault="00B63047" w:rsidP="00361A0A">
            <w:pPr>
              <w:jc w:val="right"/>
              <w:rPr>
                <w:color w:val="000000"/>
              </w:rPr>
            </w:pPr>
            <w:r>
              <w:rPr>
                <w:color w:val="000000"/>
              </w:rPr>
              <w:t>13,209</w:t>
            </w:r>
          </w:p>
        </w:tc>
        <w:tc>
          <w:tcPr>
            <w:tcW w:w="1276" w:type="dxa"/>
          </w:tcPr>
          <w:p w:rsidR="00B63047" w:rsidRDefault="00B63047" w:rsidP="00361A0A">
            <w:pPr>
              <w:jc w:val="right"/>
              <w:rPr>
                <w:color w:val="000000"/>
              </w:rPr>
            </w:pPr>
            <w:r>
              <w:rPr>
                <w:color w:val="000000"/>
              </w:rPr>
              <w:t>22,433</w:t>
            </w:r>
          </w:p>
        </w:tc>
        <w:tc>
          <w:tcPr>
            <w:tcW w:w="1276" w:type="dxa"/>
          </w:tcPr>
          <w:p w:rsidR="00B63047" w:rsidRDefault="00B63047" w:rsidP="00361A0A">
            <w:pPr>
              <w:jc w:val="right"/>
              <w:rPr>
                <w:color w:val="000000"/>
              </w:rPr>
            </w:pPr>
            <w:r>
              <w:rPr>
                <w:color w:val="000000"/>
              </w:rPr>
              <w:t>22,179</w:t>
            </w:r>
          </w:p>
        </w:tc>
      </w:tr>
      <w:tr w:rsidR="00B63047" w:rsidTr="00ED2078">
        <w:trPr>
          <w:trHeight w:val="1350"/>
        </w:trPr>
        <w:tc>
          <w:tcPr>
            <w:tcW w:w="1526" w:type="dxa"/>
          </w:tcPr>
          <w:p w:rsidR="00B63047" w:rsidRDefault="00B63047" w:rsidP="00B63047">
            <w:pPr>
              <w:pStyle w:val="Default"/>
              <w:rPr>
                <w:sz w:val="23"/>
                <w:szCs w:val="23"/>
              </w:rPr>
            </w:pPr>
            <w:r>
              <w:rPr>
                <w:b/>
                <w:bCs/>
                <w:sz w:val="23"/>
                <w:szCs w:val="23"/>
              </w:rPr>
              <w:t>Estimated local cost ($)</w:t>
            </w:r>
          </w:p>
        </w:tc>
        <w:tc>
          <w:tcPr>
            <w:tcW w:w="1275" w:type="dxa"/>
          </w:tcPr>
          <w:p w:rsidR="00B63047" w:rsidRDefault="00B63047" w:rsidP="00361A0A">
            <w:pPr>
              <w:jc w:val="right"/>
              <w:rPr>
                <w:color w:val="000000"/>
              </w:rPr>
            </w:pPr>
            <w:r>
              <w:rPr>
                <w:color w:val="000000"/>
              </w:rPr>
              <w:t>384,536</w:t>
            </w:r>
          </w:p>
        </w:tc>
        <w:tc>
          <w:tcPr>
            <w:tcW w:w="1276" w:type="dxa"/>
          </w:tcPr>
          <w:p w:rsidR="00B63047" w:rsidRDefault="00B63047" w:rsidP="00361A0A">
            <w:pPr>
              <w:jc w:val="right"/>
              <w:rPr>
                <w:color w:val="000000"/>
              </w:rPr>
            </w:pPr>
            <w:r>
              <w:rPr>
                <w:color w:val="000000"/>
              </w:rPr>
              <w:t>393,417</w:t>
            </w:r>
          </w:p>
        </w:tc>
        <w:tc>
          <w:tcPr>
            <w:tcW w:w="1276" w:type="dxa"/>
          </w:tcPr>
          <w:p w:rsidR="00B63047" w:rsidRDefault="00B63047" w:rsidP="00361A0A">
            <w:pPr>
              <w:jc w:val="right"/>
              <w:rPr>
                <w:color w:val="000000"/>
              </w:rPr>
            </w:pPr>
            <w:r>
              <w:rPr>
                <w:color w:val="000000"/>
              </w:rPr>
              <w:t>412,841</w:t>
            </w:r>
          </w:p>
        </w:tc>
        <w:tc>
          <w:tcPr>
            <w:tcW w:w="1275" w:type="dxa"/>
          </w:tcPr>
          <w:p w:rsidR="00B63047" w:rsidRDefault="00B63047" w:rsidP="00361A0A">
            <w:pPr>
              <w:jc w:val="right"/>
              <w:rPr>
                <w:color w:val="000000"/>
              </w:rPr>
            </w:pPr>
            <w:r>
              <w:rPr>
                <w:color w:val="000000"/>
              </w:rPr>
              <w:t>417,764</w:t>
            </w:r>
          </w:p>
        </w:tc>
        <w:tc>
          <w:tcPr>
            <w:tcW w:w="1276" w:type="dxa"/>
          </w:tcPr>
          <w:p w:rsidR="00B63047" w:rsidRDefault="00B63047" w:rsidP="00361A0A">
            <w:pPr>
              <w:jc w:val="right"/>
              <w:rPr>
                <w:color w:val="000000"/>
              </w:rPr>
            </w:pPr>
            <w:r>
              <w:rPr>
                <w:color w:val="000000"/>
              </w:rPr>
              <w:t>363,305</w:t>
            </w:r>
          </w:p>
        </w:tc>
        <w:tc>
          <w:tcPr>
            <w:tcW w:w="1276" w:type="dxa"/>
          </w:tcPr>
          <w:p w:rsidR="00B63047" w:rsidRDefault="00B63047" w:rsidP="00361A0A">
            <w:pPr>
              <w:jc w:val="right"/>
              <w:rPr>
                <w:color w:val="000000"/>
              </w:rPr>
            </w:pPr>
            <w:r>
              <w:rPr>
                <w:color w:val="000000"/>
              </w:rPr>
              <w:t>319,675</w:t>
            </w:r>
          </w:p>
        </w:tc>
      </w:tr>
      <w:tr w:rsidR="00B63047" w:rsidTr="00ED2078">
        <w:trPr>
          <w:trHeight w:val="1350"/>
        </w:trPr>
        <w:tc>
          <w:tcPr>
            <w:tcW w:w="1526" w:type="dxa"/>
            <w:tcBorders>
              <w:bottom w:val="nil"/>
            </w:tcBorders>
          </w:tcPr>
          <w:p w:rsidR="00B63047" w:rsidRDefault="00B63047" w:rsidP="00B63047">
            <w:pPr>
              <w:pStyle w:val="Default"/>
              <w:rPr>
                <w:sz w:val="23"/>
                <w:szCs w:val="23"/>
              </w:rPr>
            </w:pPr>
            <w:r>
              <w:rPr>
                <w:b/>
                <w:bCs/>
                <w:sz w:val="23"/>
                <w:szCs w:val="23"/>
              </w:rPr>
              <w:t>Actual local costs ($)</w:t>
            </w:r>
          </w:p>
        </w:tc>
        <w:tc>
          <w:tcPr>
            <w:tcW w:w="1275" w:type="dxa"/>
            <w:tcBorders>
              <w:bottom w:val="nil"/>
            </w:tcBorders>
          </w:tcPr>
          <w:p w:rsidR="00B63047" w:rsidRDefault="00B63047" w:rsidP="00361A0A">
            <w:pPr>
              <w:jc w:val="right"/>
              <w:rPr>
                <w:color w:val="000000"/>
              </w:rPr>
            </w:pPr>
            <w:r>
              <w:rPr>
                <w:color w:val="000000"/>
              </w:rPr>
              <w:t>335</w:t>
            </w:r>
            <w:r w:rsidR="006404C9">
              <w:rPr>
                <w:color w:val="000000"/>
              </w:rPr>
              <w:t>,</w:t>
            </w:r>
            <w:r>
              <w:rPr>
                <w:color w:val="000000"/>
              </w:rPr>
              <w:t>814</w:t>
            </w:r>
          </w:p>
        </w:tc>
        <w:tc>
          <w:tcPr>
            <w:tcW w:w="1276" w:type="dxa"/>
            <w:tcBorders>
              <w:bottom w:val="nil"/>
            </w:tcBorders>
          </w:tcPr>
          <w:p w:rsidR="00B63047" w:rsidRDefault="00B63047" w:rsidP="00361A0A">
            <w:pPr>
              <w:jc w:val="right"/>
              <w:rPr>
                <w:color w:val="000000"/>
              </w:rPr>
            </w:pPr>
            <w:r>
              <w:rPr>
                <w:color w:val="000000"/>
              </w:rPr>
              <w:t>428</w:t>
            </w:r>
            <w:r w:rsidR="006404C9">
              <w:rPr>
                <w:color w:val="000000"/>
              </w:rPr>
              <w:t>,</w:t>
            </w:r>
            <w:r>
              <w:rPr>
                <w:color w:val="000000"/>
              </w:rPr>
              <w:t>210</w:t>
            </w:r>
          </w:p>
        </w:tc>
        <w:tc>
          <w:tcPr>
            <w:tcW w:w="1276" w:type="dxa"/>
            <w:tcBorders>
              <w:bottom w:val="nil"/>
            </w:tcBorders>
          </w:tcPr>
          <w:p w:rsidR="00B63047" w:rsidRDefault="00B63047" w:rsidP="00361A0A">
            <w:pPr>
              <w:jc w:val="right"/>
              <w:rPr>
                <w:color w:val="000000"/>
              </w:rPr>
            </w:pPr>
            <w:r>
              <w:rPr>
                <w:color w:val="000000"/>
              </w:rPr>
              <w:t>457</w:t>
            </w:r>
            <w:r w:rsidR="006404C9">
              <w:rPr>
                <w:color w:val="000000"/>
              </w:rPr>
              <w:t>,</w:t>
            </w:r>
            <w:r>
              <w:rPr>
                <w:color w:val="000000"/>
              </w:rPr>
              <w:t>836</w:t>
            </w:r>
          </w:p>
        </w:tc>
        <w:tc>
          <w:tcPr>
            <w:tcW w:w="1275" w:type="dxa"/>
            <w:tcBorders>
              <w:bottom w:val="nil"/>
            </w:tcBorders>
          </w:tcPr>
          <w:p w:rsidR="00B63047" w:rsidRDefault="00B63047" w:rsidP="00361A0A">
            <w:pPr>
              <w:jc w:val="right"/>
              <w:rPr>
                <w:color w:val="000000"/>
              </w:rPr>
            </w:pPr>
            <w:r>
              <w:rPr>
                <w:color w:val="000000"/>
              </w:rPr>
              <w:t>342</w:t>
            </w:r>
            <w:r w:rsidR="006404C9">
              <w:rPr>
                <w:color w:val="000000"/>
              </w:rPr>
              <w:t>,</w:t>
            </w:r>
            <w:r>
              <w:rPr>
                <w:color w:val="000000"/>
              </w:rPr>
              <w:t>906</w:t>
            </w:r>
          </w:p>
        </w:tc>
        <w:tc>
          <w:tcPr>
            <w:tcW w:w="1276" w:type="dxa"/>
            <w:tcBorders>
              <w:bottom w:val="nil"/>
            </w:tcBorders>
          </w:tcPr>
          <w:p w:rsidR="00B63047" w:rsidRDefault="00B63047" w:rsidP="00361A0A">
            <w:pPr>
              <w:jc w:val="right"/>
              <w:rPr>
                <w:color w:val="000000"/>
              </w:rPr>
            </w:pPr>
            <w:r>
              <w:rPr>
                <w:color w:val="000000"/>
              </w:rPr>
              <w:t>270</w:t>
            </w:r>
            <w:r w:rsidR="006404C9">
              <w:rPr>
                <w:color w:val="000000"/>
              </w:rPr>
              <w:t>,</w:t>
            </w:r>
            <w:r>
              <w:rPr>
                <w:color w:val="000000"/>
              </w:rPr>
              <w:t>032</w:t>
            </w:r>
          </w:p>
        </w:tc>
        <w:tc>
          <w:tcPr>
            <w:tcW w:w="1276" w:type="dxa"/>
            <w:tcBorders>
              <w:bottom w:val="nil"/>
            </w:tcBorders>
          </w:tcPr>
          <w:p w:rsidR="00B63047" w:rsidRDefault="00B63047" w:rsidP="00361A0A">
            <w:pPr>
              <w:jc w:val="right"/>
              <w:rPr>
                <w:color w:val="000000"/>
              </w:rPr>
            </w:pPr>
            <w:r>
              <w:rPr>
                <w:color w:val="000000"/>
              </w:rPr>
              <w:t>283</w:t>
            </w:r>
            <w:r w:rsidR="006404C9">
              <w:rPr>
                <w:color w:val="000000"/>
              </w:rPr>
              <w:t>,</w:t>
            </w:r>
            <w:r>
              <w:rPr>
                <w:color w:val="000000"/>
              </w:rPr>
              <w:t>658</w:t>
            </w:r>
          </w:p>
        </w:tc>
      </w:tr>
      <w:tr w:rsidR="006404C9" w:rsidTr="00ED2078">
        <w:trPr>
          <w:trHeight w:val="1350"/>
        </w:trPr>
        <w:tc>
          <w:tcPr>
            <w:tcW w:w="1526" w:type="dxa"/>
            <w:tcBorders>
              <w:top w:val="nil"/>
              <w:left w:val="nil"/>
              <w:bottom w:val="nil"/>
            </w:tcBorders>
          </w:tcPr>
          <w:p w:rsidR="006404C9" w:rsidRDefault="006404C9" w:rsidP="00B63047">
            <w:pPr>
              <w:pStyle w:val="Default"/>
              <w:rPr>
                <w:b/>
                <w:bCs/>
                <w:sz w:val="23"/>
                <w:szCs w:val="23"/>
              </w:rPr>
            </w:pPr>
            <w:r>
              <w:rPr>
                <w:b/>
                <w:bCs/>
                <w:sz w:val="23"/>
                <w:szCs w:val="23"/>
              </w:rPr>
              <w:t>Estimated fixed cost ($)</w:t>
            </w:r>
          </w:p>
        </w:tc>
        <w:tc>
          <w:tcPr>
            <w:tcW w:w="1275" w:type="dxa"/>
            <w:tcBorders>
              <w:top w:val="nil"/>
              <w:bottom w:val="nil"/>
            </w:tcBorders>
          </w:tcPr>
          <w:p w:rsidR="006404C9" w:rsidRDefault="006404C9" w:rsidP="00361A0A">
            <w:pPr>
              <w:jc w:val="right"/>
              <w:rPr>
                <w:color w:val="000000"/>
              </w:rPr>
            </w:pPr>
            <w:r>
              <w:rPr>
                <w:color w:val="000000"/>
              </w:rPr>
              <w:t>97,628</w:t>
            </w:r>
          </w:p>
        </w:tc>
        <w:tc>
          <w:tcPr>
            <w:tcW w:w="1276" w:type="dxa"/>
            <w:tcBorders>
              <w:top w:val="nil"/>
              <w:bottom w:val="nil"/>
            </w:tcBorders>
          </w:tcPr>
          <w:p w:rsidR="006404C9" w:rsidRDefault="006404C9" w:rsidP="00361A0A">
            <w:pPr>
              <w:jc w:val="right"/>
              <w:rPr>
                <w:color w:val="000000"/>
              </w:rPr>
            </w:pPr>
            <w:r>
              <w:rPr>
                <w:color w:val="000000"/>
              </w:rPr>
              <w:t>74,631</w:t>
            </w:r>
          </w:p>
        </w:tc>
        <w:tc>
          <w:tcPr>
            <w:tcW w:w="1276" w:type="dxa"/>
            <w:tcBorders>
              <w:top w:val="nil"/>
              <w:bottom w:val="nil"/>
            </w:tcBorders>
          </w:tcPr>
          <w:p w:rsidR="006404C9" w:rsidRDefault="006404C9" w:rsidP="00361A0A">
            <w:pPr>
              <w:jc w:val="right"/>
              <w:rPr>
                <w:color w:val="000000"/>
              </w:rPr>
            </w:pPr>
            <w:r>
              <w:rPr>
                <w:color w:val="000000"/>
              </w:rPr>
              <w:t>92,767</w:t>
            </w:r>
          </w:p>
        </w:tc>
        <w:tc>
          <w:tcPr>
            <w:tcW w:w="1275" w:type="dxa"/>
            <w:tcBorders>
              <w:top w:val="nil"/>
              <w:bottom w:val="nil"/>
            </w:tcBorders>
          </w:tcPr>
          <w:p w:rsidR="006404C9" w:rsidRDefault="006404C9" w:rsidP="00361A0A">
            <w:pPr>
              <w:jc w:val="right"/>
              <w:rPr>
                <w:color w:val="000000"/>
              </w:rPr>
            </w:pPr>
            <w:r>
              <w:rPr>
                <w:color w:val="000000"/>
              </w:rPr>
              <w:t>93,580</w:t>
            </w:r>
          </w:p>
        </w:tc>
        <w:tc>
          <w:tcPr>
            <w:tcW w:w="1276" w:type="dxa"/>
            <w:tcBorders>
              <w:top w:val="nil"/>
              <w:bottom w:val="nil"/>
            </w:tcBorders>
          </w:tcPr>
          <w:p w:rsidR="006404C9" w:rsidRDefault="006404C9" w:rsidP="00361A0A">
            <w:pPr>
              <w:jc w:val="right"/>
              <w:rPr>
                <w:color w:val="000000"/>
              </w:rPr>
            </w:pPr>
            <w:r>
              <w:rPr>
                <w:color w:val="000000"/>
              </w:rPr>
              <w:t>47,613</w:t>
            </w:r>
          </w:p>
        </w:tc>
        <w:tc>
          <w:tcPr>
            <w:tcW w:w="1276" w:type="dxa"/>
            <w:tcBorders>
              <w:top w:val="nil"/>
              <w:bottom w:val="nil"/>
              <w:right w:val="nil"/>
            </w:tcBorders>
          </w:tcPr>
          <w:p w:rsidR="006404C9" w:rsidRDefault="006404C9" w:rsidP="00361A0A">
            <w:pPr>
              <w:jc w:val="right"/>
              <w:rPr>
                <w:color w:val="000000"/>
              </w:rPr>
            </w:pPr>
            <w:r>
              <w:rPr>
                <w:color w:val="000000"/>
              </w:rPr>
              <w:t>27,015</w:t>
            </w:r>
          </w:p>
        </w:tc>
      </w:tr>
      <w:tr w:rsidR="006404C9" w:rsidTr="00ED2078">
        <w:trPr>
          <w:trHeight w:val="1350"/>
        </w:trPr>
        <w:tc>
          <w:tcPr>
            <w:tcW w:w="1526" w:type="dxa"/>
            <w:tcBorders>
              <w:top w:val="nil"/>
              <w:left w:val="nil"/>
              <w:bottom w:val="nil"/>
            </w:tcBorders>
          </w:tcPr>
          <w:p w:rsidR="006404C9" w:rsidRDefault="006404C9" w:rsidP="00B63047">
            <w:pPr>
              <w:pStyle w:val="Default"/>
              <w:rPr>
                <w:b/>
                <w:bCs/>
                <w:sz w:val="23"/>
                <w:szCs w:val="23"/>
              </w:rPr>
            </w:pPr>
            <w:r>
              <w:rPr>
                <w:b/>
                <w:bCs/>
                <w:sz w:val="23"/>
                <w:szCs w:val="23"/>
              </w:rPr>
              <w:t>Actual fixed costs ($)</w:t>
            </w:r>
          </w:p>
        </w:tc>
        <w:tc>
          <w:tcPr>
            <w:tcW w:w="1275" w:type="dxa"/>
            <w:tcBorders>
              <w:top w:val="nil"/>
              <w:bottom w:val="nil"/>
            </w:tcBorders>
          </w:tcPr>
          <w:p w:rsidR="006404C9" w:rsidRDefault="006404C9" w:rsidP="00361A0A">
            <w:pPr>
              <w:jc w:val="right"/>
              <w:rPr>
                <w:color w:val="000000"/>
              </w:rPr>
            </w:pPr>
            <w:r>
              <w:rPr>
                <w:color w:val="000000"/>
              </w:rPr>
              <w:t>71,737</w:t>
            </w:r>
          </w:p>
        </w:tc>
        <w:tc>
          <w:tcPr>
            <w:tcW w:w="1276" w:type="dxa"/>
            <w:tcBorders>
              <w:top w:val="nil"/>
              <w:bottom w:val="nil"/>
            </w:tcBorders>
          </w:tcPr>
          <w:p w:rsidR="006404C9" w:rsidRDefault="006404C9" w:rsidP="00361A0A">
            <w:pPr>
              <w:jc w:val="right"/>
              <w:rPr>
                <w:color w:val="000000"/>
              </w:rPr>
            </w:pPr>
            <w:r>
              <w:rPr>
                <w:color w:val="000000"/>
              </w:rPr>
              <w:t>80,632</w:t>
            </w:r>
          </w:p>
        </w:tc>
        <w:tc>
          <w:tcPr>
            <w:tcW w:w="1276" w:type="dxa"/>
            <w:tcBorders>
              <w:top w:val="nil"/>
              <w:bottom w:val="nil"/>
            </w:tcBorders>
          </w:tcPr>
          <w:p w:rsidR="006404C9" w:rsidRDefault="006404C9" w:rsidP="00361A0A">
            <w:pPr>
              <w:jc w:val="right"/>
              <w:rPr>
                <w:color w:val="000000"/>
              </w:rPr>
            </w:pPr>
            <w:r>
              <w:rPr>
                <w:color w:val="000000"/>
              </w:rPr>
              <w:t>94,316</w:t>
            </w:r>
          </w:p>
        </w:tc>
        <w:tc>
          <w:tcPr>
            <w:tcW w:w="1275" w:type="dxa"/>
            <w:tcBorders>
              <w:top w:val="nil"/>
              <w:bottom w:val="nil"/>
            </w:tcBorders>
          </w:tcPr>
          <w:p w:rsidR="006404C9" w:rsidRDefault="006404C9" w:rsidP="00361A0A">
            <w:pPr>
              <w:jc w:val="right"/>
              <w:rPr>
                <w:color w:val="000000"/>
              </w:rPr>
            </w:pPr>
            <w:r>
              <w:rPr>
                <w:color w:val="000000"/>
              </w:rPr>
              <w:t>48,593</w:t>
            </w:r>
          </w:p>
        </w:tc>
        <w:tc>
          <w:tcPr>
            <w:tcW w:w="1276" w:type="dxa"/>
            <w:tcBorders>
              <w:top w:val="nil"/>
              <w:bottom w:val="nil"/>
            </w:tcBorders>
          </w:tcPr>
          <w:p w:rsidR="006404C9" w:rsidRDefault="006404C9" w:rsidP="00361A0A">
            <w:pPr>
              <w:jc w:val="right"/>
              <w:rPr>
                <w:color w:val="000000"/>
              </w:rPr>
            </w:pPr>
            <w:r>
              <w:rPr>
                <w:color w:val="000000"/>
              </w:rPr>
              <w:t>30,148</w:t>
            </w:r>
          </w:p>
        </w:tc>
        <w:tc>
          <w:tcPr>
            <w:tcW w:w="1276" w:type="dxa"/>
            <w:tcBorders>
              <w:top w:val="nil"/>
              <w:bottom w:val="nil"/>
              <w:right w:val="nil"/>
            </w:tcBorders>
          </w:tcPr>
          <w:p w:rsidR="006404C9" w:rsidRDefault="006404C9" w:rsidP="00361A0A">
            <w:pPr>
              <w:jc w:val="right"/>
              <w:rPr>
                <w:color w:val="000000"/>
              </w:rPr>
            </w:pPr>
            <w:r>
              <w:rPr>
                <w:color w:val="000000"/>
              </w:rPr>
              <w:t>26,025</w:t>
            </w:r>
          </w:p>
        </w:tc>
      </w:tr>
      <w:tr w:rsidR="006404C9" w:rsidTr="00ED2078">
        <w:trPr>
          <w:trHeight w:val="1350"/>
        </w:trPr>
        <w:tc>
          <w:tcPr>
            <w:tcW w:w="1526" w:type="dxa"/>
            <w:tcBorders>
              <w:top w:val="nil"/>
              <w:left w:val="nil"/>
              <w:bottom w:val="nil"/>
            </w:tcBorders>
          </w:tcPr>
          <w:p w:rsidR="006404C9" w:rsidRDefault="006404C9" w:rsidP="00B63047">
            <w:pPr>
              <w:pStyle w:val="Default"/>
              <w:rPr>
                <w:b/>
                <w:bCs/>
                <w:sz w:val="23"/>
                <w:szCs w:val="23"/>
              </w:rPr>
            </w:pPr>
            <w:r>
              <w:rPr>
                <w:b/>
                <w:bCs/>
                <w:sz w:val="23"/>
                <w:szCs w:val="23"/>
              </w:rPr>
              <w:t>Number of operators before September</w:t>
            </w:r>
          </w:p>
        </w:tc>
        <w:tc>
          <w:tcPr>
            <w:tcW w:w="1275" w:type="dxa"/>
            <w:tcBorders>
              <w:top w:val="nil"/>
              <w:bottom w:val="nil"/>
            </w:tcBorders>
          </w:tcPr>
          <w:p w:rsidR="006404C9" w:rsidRDefault="006404C9" w:rsidP="00361A0A">
            <w:pPr>
              <w:jc w:val="right"/>
              <w:rPr>
                <w:color w:val="000000"/>
              </w:rPr>
            </w:pPr>
            <w:r>
              <w:rPr>
                <w:color w:val="000000"/>
              </w:rPr>
              <w:t>4</w:t>
            </w:r>
          </w:p>
        </w:tc>
        <w:tc>
          <w:tcPr>
            <w:tcW w:w="1276" w:type="dxa"/>
            <w:tcBorders>
              <w:top w:val="nil"/>
              <w:bottom w:val="nil"/>
            </w:tcBorders>
          </w:tcPr>
          <w:p w:rsidR="006404C9" w:rsidRDefault="006404C9" w:rsidP="00361A0A">
            <w:pPr>
              <w:jc w:val="right"/>
              <w:rPr>
                <w:color w:val="000000"/>
              </w:rPr>
            </w:pPr>
            <w:r>
              <w:rPr>
                <w:color w:val="000000"/>
              </w:rPr>
              <w:t>4</w:t>
            </w:r>
          </w:p>
        </w:tc>
        <w:tc>
          <w:tcPr>
            <w:tcW w:w="1276" w:type="dxa"/>
            <w:tcBorders>
              <w:top w:val="nil"/>
              <w:bottom w:val="nil"/>
            </w:tcBorders>
          </w:tcPr>
          <w:p w:rsidR="006404C9" w:rsidRDefault="006404C9" w:rsidP="00361A0A">
            <w:pPr>
              <w:jc w:val="right"/>
              <w:rPr>
                <w:color w:val="000000"/>
              </w:rPr>
            </w:pPr>
            <w:r>
              <w:rPr>
                <w:color w:val="000000"/>
              </w:rPr>
              <w:t>4</w:t>
            </w:r>
          </w:p>
        </w:tc>
        <w:tc>
          <w:tcPr>
            <w:tcW w:w="1275" w:type="dxa"/>
            <w:tcBorders>
              <w:top w:val="nil"/>
              <w:bottom w:val="nil"/>
            </w:tcBorders>
          </w:tcPr>
          <w:p w:rsidR="006404C9" w:rsidRDefault="006404C9" w:rsidP="00361A0A">
            <w:pPr>
              <w:jc w:val="right"/>
              <w:rPr>
                <w:color w:val="000000"/>
              </w:rPr>
            </w:pPr>
            <w:r>
              <w:rPr>
                <w:color w:val="000000"/>
              </w:rPr>
              <w:t>3</w:t>
            </w:r>
          </w:p>
        </w:tc>
        <w:tc>
          <w:tcPr>
            <w:tcW w:w="1276" w:type="dxa"/>
            <w:tcBorders>
              <w:top w:val="nil"/>
              <w:bottom w:val="nil"/>
            </w:tcBorders>
          </w:tcPr>
          <w:p w:rsidR="006404C9" w:rsidRDefault="006404C9" w:rsidP="00361A0A">
            <w:pPr>
              <w:jc w:val="right"/>
              <w:rPr>
                <w:color w:val="000000"/>
              </w:rPr>
            </w:pPr>
            <w:r>
              <w:rPr>
                <w:color w:val="000000"/>
              </w:rPr>
              <w:t>3</w:t>
            </w:r>
          </w:p>
        </w:tc>
        <w:tc>
          <w:tcPr>
            <w:tcW w:w="1276" w:type="dxa"/>
            <w:tcBorders>
              <w:top w:val="nil"/>
              <w:bottom w:val="nil"/>
              <w:right w:val="nil"/>
            </w:tcBorders>
          </w:tcPr>
          <w:p w:rsidR="006404C9" w:rsidRDefault="006404C9" w:rsidP="00361A0A">
            <w:pPr>
              <w:jc w:val="right"/>
              <w:rPr>
                <w:color w:val="000000"/>
              </w:rPr>
            </w:pPr>
            <w:r>
              <w:rPr>
                <w:color w:val="000000"/>
              </w:rPr>
              <w:t>3</w:t>
            </w:r>
          </w:p>
        </w:tc>
      </w:tr>
      <w:tr w:rsidR="006404C9" w:rsidTr="00ED2078">
        <w:trPr>
          <w:trHeight w:val="1350"/>
        </w:trPr>
        <w:tc>
          <w:tcPr>
            <w:tcW w:w="1526" w:type="dxa"/>
            <w:tcBorders>
              <w:top w:val="nil"/>
              <w:left w:val="nil"/>
              <w:bottom w:val="nil"/>
            </w:tcBorders>
          </w:tcPr>
          <w:p w:rsidR="006404C9" w:rsidRDefault="006404C9" w:rsidP="00B63047">
            <w:pPr>
              <w:pStyle w:val="Default"/>
              <w:rPr>
                <w:b/>
                <w:bCs/>
                <w:sz w:val="23"/>
                <w:szCs w:val="23"/>
              </w:rPr>
            </w:pPr>
            <w:r>
              <w:rPr>
                <w:b/>
                <w:bCs/>
                <w:sz w:val="23"/>
                <w:szCs w:val="23"/>
              </w:rPr>
              <w:t>Number of operators in the previous year</w:t>
            </w:r>
          </w:p>
        </w:tc>
        <w:tc>
          <w:tcPr>
            <w:tcW w:w="1275" w:type="dxa"/>
            <w:tcBorders>
              <w:top w:val="nil"/>
              <w:bottom w:val="nil"/>
            </w:tcBorders>
          </w:tcPr>
          <w:p w:rsidR="006404C9" w:rsidRDefault="006404C9" w:rsidP="00361A0A">
            <w:pPr>
              <w:jc w:val="right"/>
              <w:rPr>
                <w:color w:val="000000"/>
              </w:rPr>
            </w:pPr>
            <w:r>
              <w:rPr>
                <w:color w:val="000000"/>
              </w:rPr>
              <w:t>4</w:t>
            </w:r>
          </w:p>
        </w:tc>
        <w:tc>
          <w:tcPr>
            <w:tcW w:w="1276" w:type="dxa"/>
            <w:tcBorders>
              <w:top w:val="nil"/>
              <w:bottom w:val="nil"/>
            </w:tcBorders>
          </w:tcPr>
          <w:p w:rsidR="006404C9" w:rsidRDefault="006404C9" w:rsidP="00361A0A">
            <w:pPr>
              <w:jc w:val="right"/>
              <w:rPr>
                <w:color w:val="000000"/>
              </w:rPr>
            </w:pPr>
            <w:r>
              <w:rPr>
                <w:color w:val="000000"/>
              </w:rPr>
              <w:t>4</w:t>
            </w:r>
          </w:p>
        </w:tc>
        <w:tc>
          <w:tcPr>
            <w:tcW w:w="1276" w:type="dxa"/>
            <w:tcBorders>
              <w:top w:val="nil"/>
              <w:bottom w:val="nil"/>
            </w:tcBorders>
          </w:tcPr>
          <w:p w:rsidR="006404C9" w:rsidRDefault="006404C9" w:rsidP="00361A0A">
            <w:pPr>
              <w:jc w:val="right"/>
              <w:rPr>
                <w:color w:val="000000"/>
              </w:rPr>
            </w:pPr>
            <w:r>
              <w:rPr>
                <w:color w:val="000000"/>
              </w:rPr>
              <w:t>4</w:t>
            </w:r>
          </w:p>
        </w:tc>
        <w:tc>
          <w:tcPr>
            <w:tcW w:w="1275" w:type="dxa"/>
            <w:tcBorders>
              <w:top w:val="nil"/>
              <w:bottom w:val="nil"/>
            </w:tcBorders>
          </w:tcPr>
          <w:p w:rsidR="006404C9" w:rsidRDefault="006404C9" w:rsidP="00361A0A">
            <w:pPr>
              <w:jc w:val="right"/>
              <w:rPr>
                <w:color w:val="000000"/>
              </w:rPr>
            </w:pPr>
            <w:r>
              <w:rPr>
                <w:color w:val="000000"/>
              </w:rPr>
              <w:t>3</w:t>
            </w:r>
          </w:p>
        </w:tc>
        <w:tc>
          <w:tcPr>
            <w:tcW w:w="1276" w:type="dxa"/>
            <w:tcBorders>
              <w:top w:val="nil"/>
              <w:bottom w:val="nil"/>
            </w:tcBorders>
          </w:tcPr>
          <w:p w:rsidR="006404C9" w:rsidRDefault="006404C9" w:rsidP="00361A0A">
            <w:pPr>
              <w:jc w:val="right"/>
              <w:rPr>
                <w:color w:val="000000"/>
              </w:rPr>
            </w:pPr>
            <w:r>
              <w:rPr>
                <w:color w:val="000000"/>
              </w:rPr>
              <w:t>3</w:t>
            </w:r>
          </w:p>
        </w:tc>
        <w:tc>
          <w:tcPr>
            <w:tcW w:w="1276" w:type="dxa"/>
            <w:tcBorders>
              <w:top w:val="nil"/>
              <w:bottom w:val="nil"/>
              <w:right w:val="nil"/>
            </w:tcBorders>
          </w:tcPr>
          <w:p w:rsidR="006404C9" w:rsidRDefault="006404C9" w:rsidP="00361A0A">
            <w:pPr>
              <w:jc w:val="right"/>
              <w:rPr>
                <w:color w:val="000000"/>
              </w:rPr>
            </w:pPr>
            <w:r>
              <w:rPr>
                <w:color w:val="000000"/>
              </w:rPr>
              <w:t>3</w:t>
            </w:r>
          </w:p>
        </w:tc>
      </w:tr>
    </w:tbl>
    <w:p w:rsidR="00B63047" w:rsidRDefault="00B63047" w:rsidP="008D735B">
      <w:pPr>
        <w:pStyle w:val="Default"/>
        <w:ind w:left="709" w:hanging="709"/>
        <w:jc w:val="both"/>
        <w:rPr>
          <w:sz w:val="20"/>
          <w:szCs w:val="20"/>
        </w:rPr>
      </w:pPr>
      <w:r>
        <w:rPr>
          <w:i/>
          <w:iCs/>
          <w:sz w:val="20"/>
          <w:szCs w:val="20"/>
        </w:rPr>
        <w:t xml:space="preserve">Source:   </w:t>
      </w:r>
      <w:proofErr w:type="spellStart"/>
      <w:r>
        <w:rPr>
          <w:i/>
          <w:iCs/>
          <w:sz w:val="20"/>
          <w:szCs w:val="20"/>
        </w:rPr>
        <w:t>Notifiable</w:t>
      </w:r>
      <w:proofErr w:type="spellEnd"/>
      <w:r>
        <w:rPr>
          <w:i/>
          <w:iCs/>
          <w:sz w:val="20"/>
          <w:szCs w:val="20"/>
        </w:rPr>
        <w:t xml:space="preserve"> instruments – Utilities (Energy industry levy – national regulatory obligations and costs) Determination 2009, 2010, 2011, 2012, 2014 and 2015. </w:t>
      </w:r>
    </w:p>
    <w:p w:rsidR="00B63047" w:rsidRDefault="00B63047" w:rsidP="008D735B">
      <w:pPr>
        <w:pStyle w:val="Default"/>
        <w:ind w:left="709"/>
        <w:jc w:val="both"/>
        <w:rPr>
          <w:sz w:val="20"/>
          <w:szCs w:val="20"/>
        </w:rPr>
      </w:pPr>
      <w:proofErr w:type="spellStart"/>
      <w:r>
        <w:rPr>
          <w:i/>
          <w:iCs/>
          <w:sz w:val="20"/>
          <w:szCs w:val="20"/>
        </w:rPr>
        <w:t>Notifiable</w:t>
      </w:r>
      <w:proofErr w:type="spellEnd"/>
      <w:r>
        <w:rPr>
          <w:i/>
          <w:iCs/>
          <w:sz w:val="20"/>
          <w:szCs w:val="20"/>
        </w:rPr>
        <w:t xml:space="preserve"> instruments – Utilities (Energy industry levy – local regulatory costs) Determination 2009, 2010, 2011, 2012, 2014 and 2015. </w:t>
      </w:r>
    </w:p>
    <w:p w:rsidR="006404C9" w:rsidRDefault="006404C9" w:rsidP="00B63047">
      <w:pPr>
        <w:jc w:val="both"/>
      </w:pPr>
    </w:p>
    <w:p w:rsidR="00361A0A" w:rsidRDefault="00361A0A">
      <w:pPr>
        <w:spacing w:after="0" w:line="240" w:lineRule="auto"/>
        <w:rPr>
          <w:b/>
          <w:bCs/>
          <w:sz w:val="23"/>
          <w:szCs w:val="23"/>
        </w:rPr>
      </w:pPr>
      <w:r>
        <w:rPr>
          <w:b/>
          <w:bCs/>
          <w:sz w:val="23"/>
          <w:szCs w:val="23"/>
        </w:rPr>
        <w:br w:type="page"/>
      </w:r>
    </w:p>
    <w:p w:rsidR="006404C9" w:rsidRDefault="006404C9" w:rsidP="006404C9">
      <w:r>
        <w:rPr>
          <w:b/>
          <w:bCs/>
          <w:sz w:val="23"/>
          <w:szCs w:val="23"/>
        </w:rPr>
        <w:t>Table 5 – Determined variables for the gas distribution sector</w:t>
      </w:r>
    </w:p>
    <w:tbl>
      <w:tblPr>
        <w:tblW w:w="9180" w:type="dxa"/>
        <w:tblBorders>
          <w:top w:val="nil"/>
          <w:left w:val="nil"/>
          <w:bottom w:val="nil"/>
          <w:right w:val="nil"/>
        </w:tblBorders>
        <w:tblLayout w:type="fixed"/>
        <w:tblLook w:val="00A0"/>
      </w:tblPr>
      <w:tblGrid>
        <w:gridCol w:w="1526"/>
        <w:gridCol w:w="1275"/>
        <w:gridCol w:w="1276"/>
        <w:gridCol w:w="1276"/>
        <w:gridCol w:w="1275"/>
        <w:gridCol w:w="1276"/>
        <w:gridCol w:w="1276"/>
      </w:tblGrid>
      <w:tr w:rsidR="006404C9" w:rsidTr="00094E77">
        <w:trPr>
          <w:trHeight w:val="120"/>
          <w:tblHeader/>
        </w:trPr>
        <w:tc>
          <w:tcPr>
            <w:tcW w:w="1526" w:type="dxa"/>
            <w:tcBorders>
              <w:bottom w:val="single" w:sz="4" w:space="0" w:color="auto"/>
            </w:tcBorders>
          </w:tcPr>
          <w:p w:rsidR="006404C9" w:rsidRDefault="006404C9" w:rsidP="006404C9">
            <w:pPr>
              <w:pStyle w:val="Default"/>
              <w:rPr>
                <w:sz w:val="23"/>
                <w:szCs w:val="23"/>
              </w:rPr>
            </w:pPr>
          </w:p>
        </w:tc>
        <w:tc>
          <w:tcPr>
            <w:tcW w:w="1275" w:type="dxa"/>
            <w:tcBorders>
              <w:bottom w:val="single" w:sz="4" w:space="0" w:color="auto"/>
            </w:tcBorders>
          </w:tcPr>
          <w:p w:rsidR="006404C9" w:rsidRDefault="006404C9" w:rsidP="00DA539C">
            <w:pPr>
              <w:pStyle w:val="Default"/>
              <w:jc w:val="right"/>
              <w:rPr>
                <w:sz w:val="23"/>
                <w:szCs w:val="23"/>
              </w:rPr>
            </w:pPr>
            <w:r>
              <w:rPr>
                <w:b/>
                <w:bCs/>
                <w:sz w:val="23"/>
                <w:szCs w:val="23"/>
              </w:rPr>
              <w:t xml:space="preserve">2009-10 </w:t>
            </w:r>
          </w:p>
        </w:tc>
        <w:tc>
          <w:tcPr>
            <w:tcW w:w="1276" w:type="dxa"/>
            <w:tcBorders>
              <w:bottom w:val="single" w:sz="4" w:space="0" w:color="auto"/>
            </w:tcBorders>
          </w:tcPr>
          <w:p w:rsidR="006404C9" w:rsidRDefault="006404C9" w:rsidP="00DA539C">
            <w:pPr>
              <w:pStyle w:val="Default"/>
              <w:jc w:val="right"/>
              <w:rPr>
                <w:sz w:val="23"/>
                <w:szCs w:val="23"/>
              </w:rPr>
            </w:pPr>
            <w:r>
              <w:rPr>
                <w:b/>
                <w:bCs/>
                <w:sz w:val="23"/>
                <w:szCs w:val="23"/>
              </w:rPr>
              <w:t xml:space="preserve">2010-11 </w:t>
            </w:r>
          </w:p>
        </w:tc>
        <w:tc>
          <w:tcPr>
            <w:tcW w:w="1276" w:type="dxa"/>
            <w:tcBorders>
              <w:bottom w:val="single" w:sz="4" w:space="0" w:color="auto"/>
            </w:tcBorders>
          </w:tcPr>
          <w:p w:rsidR="006404C9" w:rsidRDefault="006404C9" w:rsidP="00DA539C">
            <w:pPr>
              <w:pStyle w:val="Default"/>
              <w:jc w:val="right"/>
              <w:rPr>
                <w:sz w:val="23"/>
                <w:szCs w:val="23"/>
              </w:rPr>
            </w:pPr>
            <w:r>
              <w:rPr>
                <w:b/>
                <w:bCs/>
                <w:sz w:val="23"/>
                <w:szCs w:val="23"/>
              </w:rPr>
              <w:t xml:space="preserve">2011-12 </w:t>
            </w:r>
          </w:p>
        </w:tc>
        <w:tc>
          <w:tcPr>
            <w:tcW w:w="1275" w:type="dxa"/>
            <w:tcBorders>
              <w:bottom w:val="single" w:sz="4" w:space="0" w:color="auto"/>
            </w:tcBorders>
          </w:tcPr>
          <w:p w:rsidR="006404C9" w:rsidRDefault="006404C9" w:rsidP="00DA539C">
            <w:pPr>
              <w:pStyle w:val="Default"/>
              <w:jc w:val="right"/>
              <w:rPr>
                <w:sz w:val="23"/>
                <w:szCs w:val="23"/>
              </w:rPr>
            </w:pPr>
            <w:r>
              <w:rPr>
                <w:b/>
                <w:bCs/>
                <w:sz w:val="23"/>
                <w:szCs w:val="23"/>
              </w:rPr>
              <w:t xml:space="preserve">2012-13 </w:t>
            </w:r>
          </w:p>
        </w:tc>
        <w:tc>
          <w:tcPr>
            <w:tcW w:w="1276" w:type="dxa"/>
            <w:tcBorders>
              <w:bottom w:val="single" w:sz="4" w:space="0" w:color="auto"/>
            </w:tcBorders>
          </w:tcPr>
          <w:p w:rsidR="006404C9" w:rsidRDefault="006404C9" w:rsidP="00DA539C">
            <w:pPr>
              <w:pStyle w:val="Default"/>
              <w:jc w:val="right"/>
              <w:rPr>
                <w:sz w:val="23"/>
                <w:szCs w:val="23"/>
              </w:rPr>
            </w:pPr>
            <w:r>
              <w:rPr>
                <w:b/>
                <w:bCs/>
                <w:sz w:val="23"/>
                <w:szCs w:val="23"/>
              </w:rPr>
              <w:t xml:space="preserve">2013-14 </w:t>
            </w:r>
          </w:p>
        </w:tc>
        <w:tc>
          <w:tcPr>
            <w:tcW w:w="1276" w:type="dxa"/>
            <w:tcBorders>
              <w:bottom w:val="single" w:sz="4" w:space="0" w:color="auto"/>
            </w:tcBorders>
          </w:tcPr>
          <w:p w:rsidR="006404C9" w:rsidRDefault="006404C9" w:rsidP="00DA539C">
            <w:pPr>
              <w:pStyle w:val="Default"/>
              <w:jc w:val="right"/>
              <w:rPr>
                <w:sz w:val="23"/>
                <w:szCs w:val="23"/>
              </w:rPr>
            </w:pPr>
            <w:r>
              <w:rPr>
                <w:b/>
                <w:bCs/>
                <w:sz w:val="23"/>
                <w:szCs w:val="23"/>
              </w:rPr>
              <w:t xml:space="preserve">2014-15 </w:t>
            </w:r>
          </w:p>
        </w:tc>
      </w:tr>
      <w:tr w:rsidR="006404C9" w:rsidTr="00ED2078">
        <w:trPr>
          <w:trHeight w:val="1280"/>
        </w:trPr>
        <w:tc>
          <w:tcPr>
            <w:tcW w:w="1526" w:type="dxa"/>
            <w:tcBorders>
              <w:top w:val="single" w:sz="4" w:space="0" w:color="auto"/>
            </w:tcBorders>
          </w:tcPr>
          <w:p w:rsidR="006404C9" w:rsidRDefault="006404C9" w:rsidP="006404C9">
            <w:pPr>
              <w:pStyle w:val="Default"/>
              <w:rPr>
                <w:sz w:val="23"/>
                <w:szCs w:val="23"/>
              </w:rPr>
            </w:pPr>
            <w:r>
              <w:rPr>
                <w:b/>
                <w:bCs/>
                <w:sz w:val="23"/>
                <w:szCs w:val="23"/>
              </w:rPr>
              <w:t>Estimated national costs ($)</w:t>
            </w:r>
          </w:p>
        </w:tc>
        <w:tc>
          <w:tcPr>
            <w:tcW w:w="1275" w:type="dxa"/>
            <w:tcBorders>
              <w:top w:val="single" w:sz="4" w:space="0" w:color="auto"/>
            </w:tcBorders>
          </w:tcPr>
          <w:p w:rsidR="006404C9" w:rsidRDefault="006404C9" w:rsidP="00361A0A">
            <w:pPr>
              <w:jc w:val="right"/>
              <w:rPr>
                <w:color w:val="000000"/>
              </w:rPr>
            </w:pPr>
            <w:r>
              <w:rPr>
                <w:color w:val="000000"/>
              </w:rPr>
              <w:t>39,871</w:t>
            </w:r>
          </w:p>
        </w:tc>
        <w:tc>
          <w:tcPr>
            <w:tcW w:w="1276" w:type="dxa"/>
            <w:tcBorders>
              <w:top w:val="single" w:sz="4" w:space="0" w:color="auto"/>
            </w:tcBorders>
          </w:tcPr>
          <w:p w:rsidR="006404C9" w:rsidRDefault="006404C9" w:rsidP="00361A0A">
            <w:pPr>
              <w:jc w:val="right"/>
              <w:rPr>
                <w:color w:val="000000"/>
              </w:rPr>
            </w:pPr>
            <w:r>
              <w:rPr>
                <w:color w:val="000000"/>
              </w:rPr>
              <w:t>38,231</w:t>
            </w:r>
          </w:p>
        </w:tc>
        <w:tc>
          <w:tcPr>
            <w:tcW w:w="1276" w:type="dxa"/>
            <w:tcBorders>
              <w:top w:val="single" w:sz="4" w:space="0" w:color="auto"/>
            </w:tcBorders>
          </w:tcPr>
          <w:p w:rsidR="006404C9" w:rsidRDefault="006404C9" w:rsidP="00361A0A">
            <w:pPr>
              <w:jc w:val="right"/>
              <w:rPr>
                <w:color w:val="000000"/>
              </w:rPr>
            </w:pPr>
            <w:r>
              <w:rPr>
                <w:color w:val="000000"/>
              </w:rPr>
              <w:t>16,295</w:t>
            </w:r>
          </w:p>
        </w:tc>
        <w:tc>
          <w:tcPr>
            <w:tcW w:w="1275" w:type="dxa"/>
            <w:tcBorders>
              <w:top w:val="single" w:sz="4" w:space="0" w:color="auto"/>
            </w:tcBorders>
          </w:tcPr>
          <w:p w:rsidR="006404C9" w:rsidRDefault="006404C9" w:rsidP="00361A0A">
            <w:pPr>
              <w:jc w:val="right"/>
              <w:rPr>
                <w:color w:val="000000"/>
              </w:rPr>
            </w:pPr>
            <w:r>
              <w:rPr>
                <w:color w:val="000000"/>
              </w:rPr>
              <w:t>14,814</w:t>
            </w:r>
          </w:p>
        </w:tc>
        <w:tc>
          <w:tcPr>
            <w:tcW w:w="1276" w:type="dxa"/>
            <w:tcBorders>
              <w:top w:val="single" w:sz="4" w:space="0" w:color="auto"/>
            </w:tcBorders>
          </w:tcPr>
          <w:p w:rsidR="006404C9" w:rsidRDefault="006404C9" w:rsidP="00361A0A">
            <w:pPr>
              <w:jc w:val="right"/>
              <w:rPr>
                <w:color w:val="000000"/>
              </w:rPr>
            </w:pPr>
            <w:r>
              <w:rPr>
                <w:color w:val="000000"/>
              </w:rPr>
              <w:t>16,249</w:t>
            </w:r>
          </w:p>
        </w:tc>
        <w:tc>
          <w:tcPr>
            <w:tcW w:w="1276" w:type="dxa"/>
            <w:tcBorders>
              <w:top w:val="single" w:sz="4" w:space="0" w:color="auto"/>
            </w:tcBorders>
          </w:tcPr>
          <w:p w:rsidR="006404C9" w:rsidRDefault="006404C9" w:rsidP="00361A0A">
            <w:pPr>
              <w:jc w:val="right"/>
              <w:rPr>
                <w:color w:val="000000"/>
              </w:rPr>
            </w:pPr>
            <w:r>
              <w:rPr>
                <w:color w:val="000000"/>
              </w:rPr>
              <w:t>23,647</w:t>
            </w:r>
          </w:p>
        </w:tc>
      </w:tr>
      <w:tr w:rsidR="006404C9" w:rsidTr="00ED2078">
        <w:trPr>
          <w:trHeight w:val="1280"/>
        </w:trPr>
        <w:tc>
          <w:tcPr>
            <w:tcW w:w="1526" w:type="dxa"/>
          </w:tcPr>
          <w:p w:rsidR="006404C9" w:rsidRDefault="006404C9" w:rsidP="006404C9">
            <w:pPr>
              <w:pStyle w:val="Default"/>
              <w:rPr>
                <w:sz w:val="23"/>
                <w:szCs w:val="23"/>
              </w:rPr>
            </w:pPr>
            <w:r>
              <w:rPr>
                <w:b/>
                <w:bCs/>
                <w:sz w:val="23"/>
                <w:szCs w:val="23"/>
              </w:rPr>
              <w:t>Actual national costs ($)</w:t>
            </w:r>
          </w:p>
        </w:tc>
        <w:tc>
          <w:tcPr>
            <w:tcW w:w="1275" w:type="dxa"/>
          </w:tcPr>
          <w:p w:rsidR="006404C9" w:rsidRDefault="006404C9" w:rsidP="00361A0A">
            <w:pPr>
              <w:jc w:val="right"/>
              <w:rPr>
                <w:color w:val="000000"/>
              </w:rPr>
            </w:pPr>
            <w:r>
              <w:rPr>
                <w:color w:val="000000"/>
              </w:rPr>
              <w:t>39,639</w:t>
            </w:r>
          </w:p>
        </w:tc>
        <w:tc>
          <w:tcPr>
            <w:tcW w:w="1276" w:type="dxa"/>
          </w:tcPr>
          <w:p w:rsidR="006404C9" w:rsidRDefault="006404C9" w:rsidP="00361A0A">
            <w:pPr>
              <w:jc w:val="right"/>
              <w:rPr>
                <w:color w:val="000000"/>
              </w:rPr>
            </w:pPr>
            <w:r>
              <w:rPr>
                <w:color w:val="000000"/>
              </w:rPr>
              <w:t>14,588</w:t>
            </w:r>
          </w:p>
        </w:tc>
        <w:tc>
          <w:tcPr>
            <w:tcW w:w="1276" w:type="dxa"/>
          </w:tcPr>
          <w:p w:rsidR="006404C9" w:rsidRDefault="006404C9" w:rsidP="00361A0A">
            <w:pPr>
              <w:jc w:val="right"/>
              <w:rPr>
                <w:color w:val="000000"/>
              </w:rPr>
            </w:pPr>
            <w:r>
              <w:rPr>
                <w:color w:val="000000"/>
              </w:rPr>
              <w:t>16,261</w:t>
            </w:r>
          </w:p>
        </w:tc>
        <w:tc>
          <w:tcPr>
            <w:tcW w:w="1275" w:type="dxa"/>
          </w:tcPr>
          <w:p w:rsidR="006404C9" w:rsidRDefault="006404C9" w:rsidP="00361A0A">
            <w:pPr>
              <w:jc w:val="right"/>
              <w:rPr>
                <w:color w:val="000000"/>
              </w:rPr>
            </w:pPr>
            <w:r>
              <w:rPr>
                <w:color w:val="000000"/>
              </w:rPr>
              <w:t>14,599</w:t>
            </w:r>
          </w:p>
        </w:tc>
        <w:tc>
          <w:tcPr>
            <w:tcW w:w="1276" w:type="dxa"/>
          </w:tcPr>
          <w:p w:rsidR="006404C9" w:rsidRDefault="006404C9" w:rsidP="00361A0A">
            <w:pPr>
              <w:jc w:val="right"/>
              <w:rPr>
                <w:color w:val="000000"/>
              </w:rPr>
            </w:pPr>
            <w:r>
              <w:rPr>
                <w:color w:val="000000"/>
              </w:rPr>
              <w:t>23,796</w:t>
            </w:r>
          </w:p>
        </w:tc>
        <w:tc>
          <w:tcPr>
            <w:tcW w:w="1276" w:type="dxa"/>
          </w:tcPr>
          <w:p w:rsidR="006404C9" w:rsidRDefault="006404C9" w:rsidP="00361A0A">
            <w:pPr>
              <w:jc w:val="right"/>
              <w:rPr>
                <w:color w:val="000000"/>
              </w:rPr>
            </w:pPr>
            <w:r>
              <w:rPr>
                <w:color w:val="000000"/>
              </w:rPr>
              <w:t>22,179</w:t>
            </w:r>
          </w:p>
        </w:tc>
      </w:tr>
      <w:tr w:rsidR="006404C9" w:rsidTr="00ED2078">
        <w:trPr>
          <w:trHeight w:val="1280"/>
        </w:trPr>
        <w:tc>
          <w:tcPr>
            <w:tcW w:w="1526" w:type="dxa"/>
          </w:tcPr>
          <w:p w:rsidR="006404C9" w:rsidRDefault="006404C9" w:rsidP="006404C9">
            <w:pPr>
              <w:pStyle w:val="Default"/>
              <w:rPr>
                <w:sz w:val="23"/>
                <w:szCs w:val="23"/>
              </w:rPr>
            </w:pPr>
            <w:r>
              <w:rPr>
                <w:b/>
                <w:bCs/>
                <w:sz w:val="23"/>
                <w:szCs w:val="23"/>
              </w:rPr>
              <w:t>Estimated local cost ($)</w:t>
            </w:r>
          </w:p>
        </w:tc>
        <w:tc>
          <w:tcPr>
            <w:tcW w:w="1275" w:type="dxa"/>
          </w:tcPr>
          <w:p w:rsidR="006404C9" w:rsidRDefault="006404C9" w:rsidP="00361A0A">
            <w:pPr>
              <w:jc w:val="right"/>
              <w:rPr>
                <w:color w:val="000000"/>
              </w:rPr>
            </w:pPr>
            <w:r>
              <w:rPr>
                <w:color w:val="000000"/>
              </w:rPr>
              <w:t>413,038</w:t>
            </w:r>
          </w:p>
        </w:tc>
        <w:tc>
          <w:tcPr>
            <w:tcW w:w="1276" w:type="dxa"/>
          </w:tcPr>
          <w:p w:rsidR="006404C9" w:rsidRDefault="006404C9" w:rsidP="00361A0A">
            <w:pPr>
              <w:jc w:val="right"/>
              <w:rPr>
                <w:color w:val="000000"/>
              </w:rPr>
            </w:pPr>
            <w:r>
              <w:rPr>
                <w:color w:val="000000"/>
              </w:rPr>
              <w:t>527,960</w:t>
            </w:r>
          </w:p>
        </w:tc>
        <w:tc>
          <w:tcPr>
            <w:tcW w:w="1276" w:type="dxa"/>
          </w:tcPr>
          <w:p w:rsidR="006404C9" w:rsidRDefault="006404C9" w:rsidP="00361A0A">
            <w:pPr>
              <w:jc w:val="right"/>
              <w:rPr>
                <w:color w:val="000000"/>
              </w:rPr>
            </w:pPr>
            <w:r>
              <w:rPr>
                <w:color w:val="000000"/>
              </w:rPr>
              <w:t>816,471</w:t>
            </w:r>
          </w:p>
        </w:tc>
        <w:tc>
          <w:tcPr>
            <w:tcW w:w="1275" w:type="dxa"/>
          </w:tcPr>
          <w:p w:rsidR="006404C9" w:rsidRDefault="006404C9" w:rsidP="00361A0A">
            <w:pPr>
              <w:jc w:val="right"/>
              <w:rPr>
                <w:color w:val="000000"/>
              </w:rPr>
            </w:pPr>
            <w:r>
              <w:rPr>
                <w:color w:val="000000"/>
              </w:rPr>
              <w:t>577,975</w:t>
            </w:r>
          </w:p>
        </w:tc>
        <w:tc>
          <w:tcPr>
            <w:tcW w:w="1276" w:type="dxa"/>
          </w:tcPr>
          <w:p w:rsidR="006404C9" w:rsidRDefault="006404C9" w:rsidP="00361A0A">
            <w:pPr>
              <w:jc w:val="right"/>
              <w:rPr>
                <w:color w:val="000000"/>
              </w:rPr>
            </w:pPr>
            <w:r>
              <w:rPr>
                <w:color w:val="000000"/>
              </w:rPr>
              <w:t>497,724</w:t>
            </w:r>
          </w:p>
        </w:tc>
        <w:tc>
          <w:tcPr>
            <w:tcW w:w="1276" w:type="dxa"/>
          </w:tcPr>
          <w:p w:rsidR="006404C9" w:rsidRDefault="006404C9" w:rsidP="00361A0A">
            <w:pPr>
              <w:jc w:val="right"/>
              <w:rPr>
                <w:color w:val="000000"/>
              </w:rPr>
            </w:pPr>
            <w:r>
              <w:rPr>
                <w:color w:val="000000"/>
              </w:rPr>
              <w:t>522,254</w:t>
            </w:r>
          </w:p>
        </w:tc>
      </w:tr>
      <w:tr w:rsidR="006404C9" w:rsidTr="00ED2078">
        <w:trPr>
          <w:trHeight w:val="1280"/>
        </w:trPr>
        <w:tc>
          <w:tcPr>
            <w:tcW w:w="1526" w:type="dxa"/>
            <w:tcBorders>
              <w:bottom w:val="nil"/>
            </w:tcBorders>
          </w:tcPr>
          <w:p w:rsidR="006404C9" w:rsidRDefault="006404C9" w:rsidP="006404C9">
            <w:pPr>
              <w:pStyle w:val="Default"/>
              <w:rPr>
                <w:sz w:val="23"/>
                <w:szCs w:val="23"/>
              </w:rPr>
            </w:pPr>
            <w:r>
              <w:rPr>
                <w:b/>
                <w:bCs/>
                <w:sz w:val="23"/>
                <w:szCs w:val="23"/>
              </w:rPr>
              <w:t>Actual local costs ($)</w:t>
            </w:r>
          </w:p>
        </w:tc>
        <w:tc>
          <w:tcPr>
            <w:tcW w:w="1275" w:type="dxa"/>
            <w:tcBorders>
              <w:bottom w:val="nil"/>
            </w:tcBorders>
          </w:tcPr>
          <w:p w:rsidR="006404C9" w:rsidRDefault="006404C9" w:rsidP="00361A0A">
            <w:pPr>
              <w:jc w:val="right"/>
              <w:rPr>
                <w:color w:val="000000"/>
              </w:rPr>
            </w:pPr>
            <w:r>
              <w:rPr>
                <w:color w:val="000000"/>
              </w:rPr>
              <w:t>276,565</w:t>
            </w:r>
          </w:p>
        </w:tc>
        <w:tc>
          <w:tcPr>
            <w:tcW w:w="1276" w:type="dxa"/>
            <w:tcBorders>
              <w:bottom w:val="nil"/>
            </w:tcBorders>
          </w:tcPr>
          <w:p w:rsidR="006404C9" w:rsidRDefault="006404C9" w:rsidP="00361A0A">
            <w:pPr>
              <w:jc w:val="right"/>
              <w:rPr>
                <w:color w:val="000000"/>
              </w:rPr>
            </w:pPr>
            <w:r>
              <w:rPr>
                <w:color w:val="000000"/>
              </w:rPr>
              <w:t>560,147</w:t>
            </w:r>
          </w:p>
        </w:tc>
        <w:tc>
          <w:tcPr>
            <w:tcW w:w="1276" w:type="dxa"/>
            <w:tcBorders>
              <w:bottom w:val="nil"/>
            </w:tcBorders>
          </w:tcPr>
          <w:p w:rsidR="006404C9" w:rsidRDefault="006404C9" w:rsidP="00361A0A">
            <w:pPr>
              <w:jc w:val="right"/>
              <w:rPr>
                <w:color w:val="000000"/>
              </w:rPr>
            </w:pPr>
            <w:r>
              <w:rPr>
                <w:color w:val="000000"/>
              </w:rPr>
              <w:t>568,368</w:t>
            </w:r>
          </w:p>
        </w:tc>
        <w:tc>
          <w:tcPr>
            <w:tcW w:w="1275" w:type="dxa"/>
            <w:tcBorders>
              <w:bottom w:val="nil"/>
            </w:tcBorders>
          </w:tcPr>
          <w:p w:rsidR="006404C9" w:rsidRDefault="006404C9" w:rsidP="00361A0A">
            <w:pPr>
              <w:jc w:val="right"/>
              <w:rPr>
                <w:color w:val="000000"/>
              </w:rPr>
            </w:pPr>
            <w:r>
              <w:rPr>
                <w:color w:val="000000"/>
              </w:rPr>
              <w:t>446,093</w:t>
            </w:r>
          </w:p>
        </w:tc>
        <w:tc>
          <w:tcPr>
            <w:tcW w:w="1276" w:type="dxa"/>
            <w:tcBorders>
              <w:bottom w:val="nil"/>
            </w:tcBorders>
          </w:tcPr>
          <w:p w:rsidR="006404C9" w:rsidRDefault="006404C9" w:rsidP="00361A0A">
            <w:pPr>
              <w:jc w:val="right"/>
              <w:rPr>
                <w:color w:val="000000"/>
              </w:rPr>
            </w:pPr>
            <w:r>
              <w:rPr>
                <w:color w:val="000000"/>
              </w:rPr>
              <w:t>382,442</w:t>
            </w:r>
          </w:p>
        </w:tc>
        <w:tc>
          <w:tcPr>
            <w:tcW w:w="1276" w:type="dxa"/>
            <w:tcBorders>
              <w:bottom w:val="nil"/>
            </w:tcBorders>
          </w:tcPr>
          <w:p w:rsidR="006404C9" w:rsidRDefault="006404C9" w:rsidP="00361A0A">
            <w:pPr>
              <w:jc w:val="right"/>
              <w:rPr>
                <w:color w:val="000000"/>
              </w:rPr>
            </w:pPr>
            <w:r>
              <w:rPr>
                <w:color w:val="000000"/>
              </w:rPr>
              <w:t>428,882</w:t>
            </w:r>
          </w:p>
        </w:tc>
      </w:tr>
      <w:tr w:rsidR="006404C9" w:rsidTr="00ED2078">
        <w:trPr>
          <w:trHeight w:val="1280"/>
        </w:trPr>
        <w:tc>
          <w:tcPr>
            <w:tcW w:w="1526" w:type="dxa"/>
            <w:tcBorders>
              <w:top w:val="nil"/>
              <w:left w:val="nil"/>
              <w:bottom w:val="nil"/>
            </w:tcBorders>
          </w:tcPr>
          <w:p w:rsidR="006404C9" w:rsidRDefault="006404C9" w:rsidP="006404C9">
            <w:pPr>
              <w:pStyle w:val="Default"/>
              <w:rPr>
                <w:b/>
                <w:bCs/>
                <w:sz w:val="23"/>
                <w:szCs w:val="23"/>
              </w:rPr>
            </w:pPr>
            <w:r>
              <w:rPr>
                <w:b/>
                <w:bCs/>
                <w:sz w:val="23"/>
                <w:szCs w:val="23"/>
              </w:rPr>
              <w:t>Estimated fixed cost ($)</w:t>
            </w:r>
          </w:p>
        </w:tc>
        <w:tc>
          <w:tcPr>
            <w:tcW w:w="1275" w:type="dxa"/>
            <w:tcBorders>
              <w:top w:val="nil"/>
              <w:bottom w:val="nil"/>
            </w:tcBorders>
          </w:tcPr>
          <w:p w:rsidR="006404C9" w:rsidRDefault="006404C9" w:rsidP="00361A0A">
            <w:pPr>
              <w:jc w:val="right"/>
              <w:rPr>
                <w:color w:val="000000"/>
              </w:rPr>
            </w:pPr>
            <w:r>
              <w:rPr>
                <w:color w:val="000000"/>
              </w:rPr>
              <w:t>275,797</w:t>
            </w:r>
          </w:p>
        </w:tc>
        <w:tc>
          <w:tcPr>
            <w:tcW w:w="1276" w:type="dxa"/>
            <w:tcBorders>
              <w:top w:val="nil"/>
              <w:bottom w:val="nil"/>
            </w:tcBorders>
          </w:tcPr>
          <w:p w:rsidR="006404C9" w:rsidRDefault="006404C9" w:rsidP="00361A0A">
            <w:pPr>
              <w:jc w:val="right"/>
              <w:rPr>
                <w:color w:val="000000"/>
              </w:rPr>
            </w:pPr>
            <w:r>
              <w:rPr>
                <w:color w:val="000000"/>
              </w:rPr>
              <w:t>405,615</w:t>
            </w:r>
          </w:p>
        </w:tc>
        <w:tc>
          <w:tcPr>
            <w:tcW w:w="1276" w:type="dxa"/>
            <w:tcBorders>
              <w:top w:val="nil"/>
              <w:bottom w:val="nil"/>
            </w:tcBorders>
          </w:tcPr>
          <w:p w:rsidR="006404C9" w:rsidRDefault="006404C9" w:rsidP="00361A0A">
            <w:pPr>
              <w:jc w:val="right"/>
              <w:rPr>
                <w:color w:val="000000"/>
              </w:rPr>
            </w:pPr>
            <w:r>
              <w:rPr>
                <w:color w:val="000000"/>
              </w:rPr>
              <w:t>520,514</w:t>
            </w:r>
          </w:p>
        </w:tc>
        <w:tc>
          <w:tcPr>
            <w:tcW w:w="1275" w:type="dxa"/>
            <w:tcBorders>
              <w:top w:val="nil"/>
              <w:bottom w:val="nil"/>
            </w:tcBorders>
          </w:tcPr>
          <w:p w:rsidR="006404C9" w:rsidRDefault="006404C9" w:rsidP="00361A0A">
            <w:pPr>
              <w:jc w:val="right"/>
              <w:rPr>
                <w:color w:val="000000"/>
              </w:rPr>
            </w:pPr>
            <w:r>
              <w:rPr>
                <w:color w:val="000000"/>
              </w:rPr>
              <w:t>403,070</w:t>
            </w:r>
          </w:p>
        </w:tc>
        <w:tc>
          <w:tcPr>
            <w:tcW w:w="1276" w:type="dxa"/>
            <w:tcBorders>
              <w:top w:val="nil"/>
              <w:bottom w:val="nil"/>
            </w:tcBorders>
          </w:tcPr>
          <w:p w:rsidR="006404C9" w:rsidRDefault="006404C9" w:rsidP="00361A0A">
            <w:pPr>
              <w:jc w:val="right"/>
              <w:rPr>
                <w:color w:val="000000"/>
              </w:rPr>
            </w:pPr>
            <w:r>
              <w:rPr>
                <w:color w:val="000000"/>
              </w:rPr>
              <w:t>335,051</w:t>
            </w:r>
          </w:p>
        </w:tc>
        <w:tc>
          <w:tcPr>
            <w:tcW w:w="1276" w:type="dxa"/>
            <w:tcBorders>
              <w:top w:val="nil"/>
              <w:bottom w:val="nil"/>
              <w:right w:val="nil"/>
            </w:tcBorders>
          </w:tcPr>
          <w:p w:rsidR="006404C9" w:rsidRDefault="006404C9" w:rsidP="00361A0A">
            <w:pPr>
              <w:jc w:val="right"/>
              <w:rPr>
                <w:color w:val="000000"/>
              </w:rPr>
            </w:pPr>
            <w:r>
              <w:rPr>
                <w:color w:val="000000"/>
              </w:rPr>
              <w:t>289,967</w:t>
            </w:r>
          </w:p>
        </w:tc>
      </w:tr>
      <w:tr w:rsidR="006404C9" w:rsidTr="00ED2078">
        <w:trPr>
          <w:trHeight w:val="1280"/>
        </w:trPr>
        <w:tc>
          <w:tcPr>
            <w:tcW w:w="1526" w:type="dxa"/>
            <w:tcBorders>
              <w:top w:val="nil"/>
              <w:left w:val="nil"/>
              <w:bottom w:val="nil"/>
            </w:tcBorders>
          </w:tcPr>
          <w:p w:rsidR="006404C9" w:rsidRDefault="006404C9" w:rsidP="006404C9">
            <w:pPr>
              <w:pStyle w:val="Default"/>
              <w:rPr>
                <w:b/>
                <w:bCs/>
                <w:sz w:val="23"/>
                <w:szCs w:val="23"/>
              </w:rPr>
            </w:pPr>
            <w:r>
              <w:rPr>
                <w:b/>
                <w:bCs/>
                <w:sz w:val="23"/>
                <w:szCs w:val="23"/>
              </w:rPr>
              <w:t>Actual fixed costs ($)</w:t>
            </w:r>
          </w:p>
        </w:tc>
        <w:tc>
          <w:tcPr>
            <w:tcW w:w="1275" w:type="dxa"/>
            <w:tcBorders>
              <w:top w:val="nil"/>
              <w:bottom w:val="nil"/>
            </w:tcBorders>
          </w:tcPr>
          <w:p w:rsidR="006404C9" w:rsidRDefault="006404C9" w:rsidP="00361A0A">
            <w:pPr>
              <w:jc w:val="right"/>
              <w:rPr>
                <w:color w:val="000000"/>
              </w:rPr>
            </w:pPr>
            <w:r>
              <w:rPr>
                <w:color w:val="000000"/>
              </w:rPr>
              <w:t>221,109</w:t>
            </w:r>
          </w:p>
        </w:tc>
        <w:tc>
          <w:tcPr>
            <w:tcW w:w="1276" w:type="dxa"/>
            <w:tcBorders>
              <w:top w:val="nil"/>
              <w:bottom w:val="nil"/>
            </w:tcBorders>
          </w:tcPr>
          <w:p w:rsidR="006404C9" w:rsidRDefault="006404C9" w:rsidP="00361A0A">
            <w:pPr>
              <w:jc w:val="right"/>
              <w:rPr>
                <w:color w:val="000000"/>
              </w:rPr>
            </w:pPr>
            <w:r>
              <w:rPr>
                <w:color w:val="000000"/>
              </w:rPr>
              <w:t>415,105</w:t>
            </w:r>
          </w:p>
        </w:tc>
        <w:tc>
          <w:tcPr>
            <w:tcW w:w="1276" w:type="dxa"/>
            <w:tcBorders>
              <w:top w:val="nil"/>
              <w:bottom w:val="nil"/>
            </w:tcBorders>
          </w:tcPr>
          <w:p w:rsidR="006404C9" w:rsidRDefault="006404C9" w:rsidP="00361A0A">
            <w:pPr>
              <w:jc w:val="right"/>
              <w:rPr>
                <w:color w:val="000000"/>
              </w:rPr>
            </w:pPr>
            <w:r>
              <w:rPr>
                <w:color w:val="000000"/>
              </w:rPr>
              <w:t>397,156</w:t>
            </w:r>
          </w:p>
        </w:tc>
        <w:tc>
          <w:tcPr>
            <w:tcW w:w="1275" w:type="dxa"/>
            <w:tcBorders>
              <w:top w:val="nil"/>
              <w:bottom w:val="nil"/>
            </w:tcBorders>
          </w:tcPr>
          <w:p w:rsidR="006404C9" w:rsidRDefault="006404C9" w:rsidP="00361A0A">
            <w:pPr>
              <w:jc w:val="right"/>
              <w:rPr>
                <w:color w:val="000000"/>
              </w:rPr>
            </w:pPr>
            <w:r>
              <w:rPr>
                <w:color w:val="000000"/>
              </w:rPr>
              <w:t>381,522</w:t>
            </w:r>
          </w:p>
        </w:tc>
        <w:tc>
          <w:tcPr>
            <w:tcW w:w="1276" w:type="dxa"/>
            <w:tcBorders>
              <w:top w:val="nil"/>
              <w:bottom w:val="nil"/>
            </w:tcBorders>
          </w:tcPr>
          <w:p w:rsidR="006404C9" w:rsidRDefault="006404C9" w:rsidP="00361A0A">
            <w:pPr>
              <w:jc w:val="right"/>
              <w:rPr>
                <w:color w:val="000000"/>
              </w:rPr>
            </w:pPr>
            <w:r>
              <w:rPr>
                <w:color w:val="000000"/>
              </w:rPr>
              <w:t>283,157</w:t>
            </w:r>
          </w:p>
        </w:tc>
        <w:tc>
          <w:tcPr>
            <w:tcW w:w="1276" w:type="dxa"/>
            <w:tcBorders>
              <w:top w:val="nil"/>
              <w:bottom w:val="nil"/>
              <w:right w:val="nil"/>
            </w:tcBorders>
          </w:tcPr>
          <w:p w:rsidR="006404C9" w:rsidRDefault="006404C9" w:rsidP="00361A0A">
            <w:pPr>
              <w:jc w:val="right"/>
              <w:rPr>
                <w:color w:val="000000"/>
              </w:rPr>
            </w:pPr>
            <w:r>
              <w:rPr>
                <w:color w:val="000000"/>
              </w:rPr>
              <w:t>262,113</w:t>
            </w:r>
          </w:p>
        </w:tc>
      </w:tr>
      <w:tr w:rsidR="006404C9" w:rsidTr="00ED2078">
        <w:trPr>
          <w:trHeight w:val="1280"/>
        </w:trPr>
        <w:tc>
          <w:tcPr>
            <w:tcW w:w="1526" w:type="dxa"/>
            <w:tcBorders>
              <w:top w:val="nil"/>
              <w:left w:val="nil"/>
              <w:bottom w:val="nil"/>
            </w:tcBorders>
          </w:tcPr>
          <w:p w:rsidR="006404C9" w:rsidRDefault="006404C9" w:rsidP="006404C9">
            <w:pPr>
              <w:pStyle w:val="Default"/>
              <w:rPr>
                <w:b/>
                <w:bCs/>
                <w:sz w:val="23"/>
                <w:szCs w:val="23"/>
              </w:rPr>
            </w:pPr>
            <w:r>
              <w:rPr>
                <w:b/>
                <w:bCs/>
                <w:sz w:val="23"/>
                <w:szCs w:val="23"/>
              </w:rPr>
              <w:t>Number of operators before September</w:t>
            </w:r>
          </w:p>
        </w:tc>
        <w:tc>
          <w:tcPr>
            <w:tcW w:w="1275" w:type="dxa"/>
            <w:tcBorders>
              <w:top w:val="nil"/>
              <w:bottom w:val="nil"/>
            </w:tcBorders>
          </w:tcPr>
          <w:p w:rsidR="006404C9" w:rsidRDefault="006404C9" w:rsidP="00361A0A">
            <w:pPr>
              <w:jc w:val="right"/>
              <w:rPr>
                <w:color w:val="000000"/>
              </w:rPr>
            </w:pPr>
            <w:r>
              <w:rPr>
                <w:color w:val="000000"/>
              </w:rPr>
              <w:t>1</w:t>
            </w:r>
          </w:p>
        </w:tc>
        <w:tc>
          <w:tcPr>
            <w:tcW w:w="1276" w:type="dxa"/>
            <w:tcBorders>
              <w:top w:val="nil"/>
              <w:bottom w:val="nil"/>
            </w:tcBorders>
          </w:tcPr>
          <w:p w:rsidR="006404C9" w:rsidRDefault="006404C9" w:rsidP="00361A0A">
            <w:pPr>
              <w:jc w:val="right"/>
              <w:rPr>
                <w:color w:val="000000"/>
              </w:rPr>
            </w:pPr>
            <w:r>
              <w:rPr>
                <w:color w:val="000000"/>
              </w:rPr>
              <w:t>1</w:t>
            </w:r>
          </w:p>
        </w:tc>
        <w:tc>
          <w:tcPr>
            <w:tcW w:w="1276" w:type="dxa"/>
            <w:tcBorders>
              <w:top w:val="nil"/>
              <w:bottom w:val="nil"/>
            </w:tcBorders>
          </w:tcPr>
          <w:p w:rsidR="006404C9" w:rsidRDefault="006404C9" w:rsidP="00361A0A">
            <w:pPr>
              <w:jc w:val="right"/>
              <w:rPr>
                <w:color w:val="000000"/>
              </w:rPr>
            </w:pPr>
            <w:r>
              <w:rPr>
                <w:color w:val="000000"/>
              </w:rPr>
              <w:t>1</w:t>
            </w:r>
          </w:p>
        </w:tc>
        <w:tc>
          <w:tcPr>
            <w:tcW w:w="1275" w:type="dxa"/>
            <w:tcBorders>
              <w:top w:val="nil"/>
              <w:bottom w:val="nil"/>
            </w:tcBorders>
          </w:tcPr>
          <w:p w:rsidR="006404C9" w:rsidRDefault="006404C9" w:rsidP="00361A0A">
            <w:pPr>
              <w:jc w:val="right"/>
              <w:rPr>
                <w:color w:val="000000"/>
              </w:rPr>
            </w:pPr>
            <w:r>
              <w:rPr>
                <w:color w:val="000000"/>
              </w:rPr>
              <w:t>1</w:t>
            </w:r>
          </w:p>
        </w:tc>
        <w:tc>
          <w:tcPr>
            <w:tcW w:w="1276" w:type="dxa"/>
            <w:tcBorders>
              <w:top w:val="nil"/>
              <w:bottom w:val="nil"/>
            </w:tcBorders>
          </w:tcPr>
          <w:p w:rsidR="006404C9" w:rsidRDefault="006404C9" w:rsidP="00361A0A">
            <w:pPr>
              <w:jc w:val="right"/>
              <w:rPr>
                <w:color w:val="000000"/>
              </w:rPr>
            </w:pPr>
            <w:r>
              <w:rPr>
                <w:color w:val="000000"/>
              </w:rPr>
              <w:t>1</w:t>
            </w:r>
          </w:p>
        </w:tc>
        <w:tc>
          <w:tcPr>
            <w:tcW w:w="1276" w:type="dxa"/>
            <w:tcBorders>
              <w:top w:val="nil"/>
              <w:bottom w:val="nil"/>
              <w:right w:val="nil"/>
            </w:tcBorders>
          </w:tcPr>
          <w:p w:rsidR="006404C9" w:rsidRDefault="006404C9" w:rsidP="00361A0A">
            <w:pPr>
              <w:jc w:val="right"/>
              <w:rPr>
                <w:color w:val="000000"/>
              </w:rPr>
            </w:pPr>
            <w:r>
              <w:rPr>
                <w:color w:val="000000"/>
              </w:rPr>
              <w:t>1</w:t>
            </w:r>
          </w:p>
        </w:tc>
      </w:tr>
      <w:tr w:rsidR="006404C9" w:rsidTr="00ED2078">
        <w:trPr>
          <w:trHeight w:val="1280"/>
        </w:trPr>
        <w:tc>
          <w:tcPr>
            <w:tcW w:w="1526" w:type="dxa"/>
            <w:tcBorders>
              <w:top w:val="nil"/>
              <w:left w:val="nil"/>
              <w:bottom w:val="nil"/>
            </w:tcBorders>
          </w:tcPr>
          <w:p w:rsidR="006404C9" w:rsidRDefault="006404C9" w:rsidP="006404C9">
            <w:pPr>
              <w:pStyle w:val="Default"/>
              <w:rPr>
                <w:b/>
                <w:bCs/>
                <w:sz w:val="23"/>
                <w:szCs w:val="23"/>
              </w:rPr>
            </w:pPr>
            <w:r>
              <w:rPr>
                <w:b/>
                <w:bCs/>
                <w:sz w:val="23"/>
                <w:szCs w:val="23"/>
              </w:rPr>
              <w:t>Number of operators in the previous year</w:t>
            </w:r>
          </w:p>
        </w:tc>
        <w:tc>
          <w:tcPr>
            <w:tcW w:w="1275" w:type="dxa"/>
            <w:tcBorders>
              <w:top w:val="nil"/>
              <w:bottom w:val="nil"/>
            </w:tcBorders>
          </w:tcPr>
          <w:p w:rsidR="006404C9" w:rsidRDefault="006404C9" w:rsidP="00361A0A">
            <w:pPr>
              <w:jc w:val="right"/>
              <w:rPr>
                <w:color w:val="000000"/>
              </w:rPr>
            </w:pPr>
            <w:r>
              <w:rPr>
                <w:color w:val="000000"/>
              </w:rPr>
              <w:t>1</w:t>
            </w:r>
          </w:p>
        </w:tc>
        <w:tc>
          <w:tcPr>
            <w:tcW w:w="1276" w:type="dxa"/>
            <w:tcBorders>
              <w:top w:val="nil"/>
              <w:bottom w:val="nil"/>
            </w:tcBorders>
          </w:tcPr>
          <w:p w:rsidR="006404C9" w:rsidRDefault="006404C9" w:rsidP="00361A0A">
            <w:pPr>
              <w:jc w:val="right"/>
              <w:rPr>
                <w:color w:val="000000"/>
              </w:rPr>
            </w:pPr>
            <w:r>
              <w:rPr>
                <w:color w:val="000000"/>
              </w:rPr>
              <w:t>1</w:t>
            </w:r>
          </w:p>
        </w:tc>
        <w:tc>
          <w:tcPr>
            <w:tcW w:w="1276" w:type="dxa"/>
            <w:tcBorders>
              <w:top w:val="nil"/>
              <w:bottom w:val="nil"/>
            </w:tcBorders>
          </w:tcPr>
          <w:p w:rsidR="006404C9" w:rsidRDefault="006404C9" w:rsidP="00361A0A">
            <w:pPr>
              <w:jc w:val="right"/>
              <w:rPr>
                <w:color w:val="000000"/>
              </w:rPr>
            </w:pPr>
            <w:r>
              <w:rPr>
                <w:color w:val="000000"/>
              </w:rPr>
              <w:t>1</w:t>
            </w:r>
          </w:p>
        </w:tc>
        <w:tc>
          <w:tcPr>
            <w:tcW w:w="1275" w:type="dxa"/>
            <w:tcBorders>
              <w:top w:val="nil"/>
              <w:bottom w:val="nil"/>
            </w:tcBorders>
          </w:tcPr>
          <w:p w:rsidR="006404C9" w:rsidRDefault="006404C9" w:rsidP="00361A0A">
            <w:pPr>
              <w:jc w:val="right"/>
              <w:rPr>
                <w:color w:val="000000"/>
              </w:rPr>
            </w:pPr>
            <w:r>
              <w:rPr>
                <w:color w:val="000000"/>
              </w:rPr>
              <w:t>1</w:t>
            </w:r>
          </w:p>
        </w:tc>
        <w:tc>
          <w:tcPr>
            <w:tcW w:w="1276" w:type="dxa"/>
            <w:tcBorders>
              <w:top w:val="nil"/>
              <w:bottom w:val="nil"/>
            </w:tcBorders>
          </w:tcPr>
          <w:p w:rsidR="006404C9" w:rsidRDefault="006404C9" w:rsidP="00361A0A">
            <w:pPr>
              <w:jc w:val="right"/>
              <w:rPr>
                <w:color w:val="000000"/>
              </w:rPr>
            </w:pPr>
            <w:r>
              <w:rPr>
                <w:color w:val="000000"/>
              </w:rPr>
              <w:t>1</w:t>
            </w:r>
          </w:p>
        </w:tc>
        <w:tc>
          <w:tcPr>
            <w:tcW w:w="1276" w:type="dxa"/>
            <w:tcBorders>
              <w:top w:val="nil"/>
              <w:bottom w:val="nil"/>
              <w:right w:val="nil"/>
            </w:tcBorders>
          </w:tcPr>
          <w:p w:rsidR="006404C9" w:rsidRDefault="006404C9" w:rsidP="00361A0A">
            <w:pPr>
              <w:jc w:val="right"/>
              <w:rPr>
                <w:color w:val="000000"/>
              </w:rPr>
            </w:pPr>
            <w:r>
              <w:rPr>
                <w:color w:val="000000"/>
              </w:rPr>
              <w:t>1</w:t>
            </w:r>
          </w:p>
        </w:tc>
      </w:tr>
    </w:tbl>
    <w:p w:rsidR="006404C9" w:rsidRDefault="006404C9" w:rsidP="008D735B">
      <w:pPr>
        <w:pStyle w:val="Default"/>
        <w:ind w:left="709" w:hanging="709"/>
        <w:jc w:val="both"/>
        <w:rPr>
          <w:sz w:val="20"/>
          <w:szCs w:val="20"/>
        </w:rPr>
      </w:pPr>
      <w:r>
        <w:rPr>
          <w:i/>
          <w:iCs/>
          <w:sz w:val="20"/>
          <w:szCs w:val="20"/>
        </w:rPr>
        <w:t xml:space="preserve">Source:   </w:t>
      </w:r>
      <w:proofErr w:type="spellStart"/>
      <w:r>
        <w:rPr>
          <w:i/>
          <w:iCs/>
          <w:sz w:val="20"/>
          <w:szCs w:val="20"/>
        </w:rPr>
        <w:t>Notifiable</w:t>
      </w:r>
      <w:proofErr w:type="spellEnd"/>
      <w:r>
        <w:rPr>
          <w:i/>
          <w:iCs/>
          <w:sz w:val="20"/>
          <w:szCs w:val="20"/>
        </w:rPr>
        <w:t xml:space="preserve"> instruments – Utilities (Energy industry levy – national regulatory obligations and costs) Determination 2009, 2010, 2011, 2012, 2014 and 2015. </w:t>
      </w:r>
    </w:p>
    <w:p w:rsidR="006404C9" w:rsidRDefault="006404C9" w:rsidP="008D735B">
      <w:pPr>
        <w:pStyle w:val="Default"/>
        <w:ind w:left="709"/>
        <w:jc w:val="both"/>
        <w:rPr>
          <w:sz w:val="20"/>
          <w:szCs w:val="20"/>
        </w:rPr>
      </w:pPr>
      <w:proofErr w:type="spellStart"/>
      <w:r>
        <w:rPr>
          <w:i/>
          <w:iCs/>
          <w:sz w:val="20"/>
          <w:szCs w:val="20"/>
        </w:rPr>
        <w:t>Notifiable</w:t>
      </w:r>
      <w:proofErr w:type="spellEnd"/>
      <w:r>
        <w:rPr>
          <w:i/>
          <w:iCs/>
          <w:sz w:val="20"/>
          <w:szCs w:val="20"/>
        </w:rPr>
        <w:t xml:space="preserve"> instruments – Utilities (Energy industry levy – local regulatory costs) Determination 2009, 2010, 2011, 2012, 2014 and 2015. </w:t>
      </w:r>
    </w:p>
    <w:p w:rsidR="00C660F7" w:rsidRDefault="00C660F7" w:rsidP="00CB558D">
      <w:pPr>
        <w:jc w:val="both"/>
      </w:pPr>
    </w:p>
    <w:p w:rsidR="00361A0A" w:rsidRDefault="00361A0A">
      <w:pPr>
        <w:spacing w:after="0" w:line="240" w:lineRule="auto"/>
        <w:rPr>
          <w:rFonts w:asciiTheme="majorHAnsi" w:eastAsiaTheme="majorEastAsia" w:hAnsiTheme="majorHAnsi" w:cstheme="majorBidi"/>
          <w:b/>
          <w:bCs/>
          <w:i/>
          <w:iCs/>
          <w:color w:val="4F81BD" w:themeColor="accent1"/>
        </w:rPr>
      </w:pPr>
      <w:r>
        <w:br w:type="page"/>
      </w:r>
    </w:p>
    <w:p w:rsidR="00B63047" w:rsidRDefault="006404C9" w:rsidP="006404C9">
      <w:pPr>
        <w:pStyle w:val="Heading4"/>
      </w:pPr>
      <w:r>
        <w:t xml:space="preserve">Indicative </w:t>
      </w:r>
      <w:r w:rsidR="00943012">
        <w:t xml:space="preserve">electricity </w:t>
      </w:r>
      <w:r>
        <w:t>retail example</w:t>
      </w:r>
    </w:p>
    <w:p w:rsidR="00943012" w:rsidRDefault="00943012" w:rsidP="00943012">
      <w:pPr>
        <w:jc w:val="both"/>
      </w:pPr>
      <w:r>
        <w:t>This example presents indicative calculations of</w:t>
      </w:r>
      <w:r w:rsidR="006404C9">
        <w:t xml:space="preserve"> the EIL for electricity </w:t>
      </w:r>
      <w:r w:rsidR="001C3E95">
        <w:t xml:space="preserve">retail </w:t>
      </w:r>
      <w:r w:rsidR="006404C9">
        <w:t xml:space="preserve">firms with market shares of </w:t>
      </w:r>
      <w:r w:rsidR="00F21926">
        <w:t>65 per cent, 4 per cent and 0.16</w:t>
      </w:r>
      <w:r w:rsidR="006404C9">
        <w:t> per cent</w:t>
      </w:r>
      <w:r>
        <w:t>.</w:t>
      </w:r>
    </w:p>
    <w:p w:rsidR="00943012" w:rsidRDefault="00943012" w:rsidP="00943012">
      <w:pPr>
        <w:jc w:val="both"/>
      </w:pPr>
      <w:r>
        <w:t>These are not the values for particular firms in the</w:t>
      </w:r>
      <w:r w:rsidR="001C3E95">
        <w:t xml:space="preserve"> current</w:t>
      </w:r>
      <w:r>
        <w:t xml:space="preserve"> ACT </w:t>
      </w:r>
      <w:r w:rsidR="001C3E95">
        <w:t xml:space="preserve">market, </w:t>
      </w:r>
      <w:r>
        <w:t>but are sufficiently close to firms with high, low and very low market shares to be informative.</w:t>
      </w:r>
    </w:p>
    <w:p w:rsidR="00943012" w:rsidRDefault="00943012" w:rsidP="00943012">
      <w:pPr>
        <w:jc w:val="both"/>
      </w:pPr>
      <w:r>
        <w:t>The example use</w:t>
      </w:r>
      <w:r w:rsidR="00627623">
        <w:t>s</w:t>
      </w:r>
      <w:r>
        <w:t xml:space="preserve"> the following fictitious determinations</w:t>
      </w:r>
      <w:r w:rsidR="008B0D95">
        <w:t xml:space="preserve"> (however, note the similarity to the </w:t>
      </w:r>
      <w:r w:rsidR="005A3BFF">
        <w:t xml:space="preserve">values for the </w:t>
      </w:r>
      <w:r w:rsidR="008B0D95">
        <w:t>2014-15 levy year</w:t>
      </w:r>
      <w:r w:rsidR="005A3BFF">
        <w:t xml:space="preserve"> provided above).</w:t>
      </w:r>
    </w:p>
    <w:p w:rsidR="00943012" w:rsidRDefault="00561742" w:rsidP="0001275B">
      <w:pPr>
        <w:pStyle w:val="ListParagraph"/>
        <w:numPr>
          <w:ilvl w:val="0"/>
          <w:numId w:val="27"/>
        </w:numPr>
        <w:jc w:val="both"/>
      </w:pPr>
      <w:r>
        <w:t>T</w:t>
      </w:r>
      <w:r w:rsidR="00943012">
        <w:t>otal regulatory cost: $700,000</w:t>
      </w:r>
      <w:r w:rsidR="001C3E95">
        <w:t>.</w:t>
      </w:r>
    </w:p>
    <w:p w:rsidR="00943012" w:rsidRDefault="001C3E95" w:rsidP="0001275B">
      <w:pPr>
        <w:pStyle w:val="ListParagraph"/>
        <w:numPr>
          <w:ilvl w:val="0"/>
          <w:numId w:val="27"/>
        </w:numPr>
        <w:jc w:val="both"/>
      </w:pPr>
      <w:r>
        <w:t>F</w:t>
      </w:r>
      <w:r w:rsidR="00943012">
        <w:t>ixed regulatory cost: $60,000</w:t>
      </w:r>
      <w:r>
        <w:t>.</w:t>
      </w:r>
    </w:p>
    <w:p w:rsidR="00943012" w:rsidRDefault="00561742" w:rsidP="0001275B">
      <w:pPr>
        <w:pStyle w:val="ListParagraph"/>
        <w:numPr>
          <w:ilvl w:val="0"/>
          <w:numId w:val="27"/>
        </w:numPr>
        <w:jc w:val="both"/>
      </w:pPr>
      <w:r>
        <w:t>T</w:t>
      </w:r>
      <w:r w:rsidR="00943012">
        <w:t>he number of firms: 10</w:t>
      </w:r>
      <w:r w:rsidR="001C3E95">
        <w:t>.</w:t>
      </w:r>
    </w:p>
    <w:p w:rsidR="00943012" w:rsidRDefault="001C3E95" w:rsidP="00943012">
      <w:pPr>
        <w:spacing w:before="240"/>
        <w:jc w:val="both"/>
        <w:rPr>
          <w:sz w:val="23"/>
          <w:szCs w:val="23"/>
        </w:rPr>
      </w:pPr>
      <w:r>
        <w:rPr>
          <w:sz w:val="23"/>
          <w:szCs w:val="23"/>
        </w:rPr>
        <w:t>The example does not include adjustments for estimation</w:t>
      </w:r>
      <w:r w:rsidR="00943012">
        <w:rPr>
          <w:sz w:val="23"/>
          <w:szCs w:val="23"/>
        </w:rPr>
        <w:t>.</w:t>
      </w:r>
    </w:p>
    <w:p w:rsidR="006404C9" w:rsidRDefault="006404C9" w:rsidP="007C3436">
      <w:pPr>
        <w:keepNext/>
      </w:pPr>
      <w:r>
        <w:rPr>
          <w:b/>
          <w:bCs/>
          <w:sz w:val="23"/>
          <w:szCs w:val="23"/>
        </w:rPr>
        <w:t xml:space="preserve">Table 6 – Indicative </w:t>
      </w:r>
      <w:r w:rsidR="00943012">
        <w:rPr>
          <w:b/>
          <w:bCs/>
          <w:sz w:val="23"/>
          <w:szCs w:val="23"/>
        </w:rPr>
        <w:t>EIL under current structure and method of distribution</w:t>
      </w:r>
    </w:p>
    <w:tbl>
      <w:tblPr>
        <w:tblW w:w="8505" w:type="dxa"/>
        <w:tblInd w:w="108" w:type="dxa"/>
        <w:tblLayout w:type="fixed"/>
        <w:tblLook w:val="04A0"/>
      </w:tblPr>
      <w:tblGrid>
        <w:gridCol w:w="1843"/>
        <w:gridCol w:w="1332"/>
        <w:gridCol w:w="1332"/>
        <w:gridCol w:w="1333"/>
        <w:gridCol w:w="1332"/>
        <w:gridCol w:w="1333"/>
      </w:tblGrid>
      <w:tr w:rsidR="007C3436" w:rsidRPr="007C3436" w:rsidTr="00094E77">
        <w:trPr>
          <w:trHeight w:val="735"/>
          <w:tblHeader/>
        </w:trPr>
        <w:tc>
          <w:tcPr>
            <w:tcW w:w="1843" w:type="dxa"/>
            <w:tcBorders>
              <w:top w:val="nil"/>
              <w:left w:val="nil"/>
              <w:bottom w:val="single" w:sz="4" w:space="0" w:color="auto"/>
              <w:right w:val="nil"/>
            </w:tcBorders>
            <w:shd w:val="clear" w:color="auto" w:fill="auto"/>
            <w:noWrap/>
            <w:vAlign w:val="bottom"/>
            <w:hideMark/>
          </w:tcPr>
          <w:p w:rsidR="007C3436" w:rsidRPr="007C3436" w:rsidRDefault="007C3436" w:rsidP="007C3436">
            <w:pPr>
              <w:spacing w:after="0" w:line="240" w:lineRule="auto"/>
              <w:rPr>
                <w:rFonts w:eastAsia="Times New Roman"/>
                <w:color w:val="000000"/>
                <w:lang w:eastAsia="en-AU"/>
              </w:rPr>
            </w:pPr>
          </w:p>
        </w:tc>
        <w:tc>
          <w:tcPr>
            <w:tcW w:w="1332" w:type="dxa"/>
            <w:tcBorders>
              <w:top w:val="nil"/>
              <w:left w:val="nil"/>
              <w:bottom w:val="single" w:sz="4" w:space="0" w:color="auto"/>
              <w:right w:val="single" w:sz="4" w:space="0" w:color="auto"/>
            </w:tcBorders>
            <w:shd w:val="clear" w:color="auto" w:fill="auto"/>
            <w:noWrap/>
            <w:hideMark/>
          </w:tcPr>
          <w:p w:rsidR="007C3436" w:rsidRPr="007C3436" w:rsidRDefault="007C3436" w:rsidP="007C3436">
            <w:pPr>
              <w:spacing w:after="0" w:line="240" w:lineRule="auto"/>
              <w:jc w:val="center"/>
              <w:rPr>
                <w:rFonts w:eastAsia="Times New Roman"/>
                <w:color w:val="000000"/>
                <w:lang w:eastAsia="en-AU"/>
              </w:rPr>
            </w:pPr>
            <w:r>
              <w:rPr>
                <w:rFonts w:eastAsia="Times New Roman"/>
                <w:color w:val="000000"/>
                <w:lang w:eastAsia="en-AU"/>
              </w:rPr>
              <w:t>M</w:t>
            </w:r>
            <w:r w:rsidRPr="007C3436">
              <w:rPr>
                <w:rFonts w:eastAsia="Times New Roman"/>
                <w:color w:val="000000"/>
                <w:lang w:eastAsia="en-AU"/>
              </w:rPr>
              <w:t>arket share</w:t>
            </w:r>
          </w:p>
        </w:tc>
        <w:tc>
          <w:tcPr>
            <w:tcW w:w="1332" w:type="dxa"/>
            <w:tcBorders>
              <w:top w:val="nil"/>
              <w:left w:val="single" w:sz="4" w:space="0" w:color="auto"/>
              <w:bottom w:val="single" w:sz="4" w:space="0" w:color="auto"/>
              <w:right w:val="nil"/>
            </w:tcBorders>
            <w:shd w:val="clear" w:color="auto" w:fill="auto"/>
            <w:noWrap/>
            <w:hideMark/>
          </w:tcPr>
          <w:p w:rsidR="007C3436" w:rsidRPr="007C3436" w:rsidRDefault="007C3436" w:rsidP="007C3436">
            <w:pPr>
              <w:spacing w:after="0" w:line="240" w:lineRule="auto"/>
              <w:jc w:val="center"/>
              <w:rPr>
                <w:rFonts w:eastAsia="Times New Roman"/>
                <w:color w:val="000000"/>
                <w:lang w:eastAsia="en-AU"/>
              </w:rPr>
            </w:pPr>
            <w:r w:rsidRPr="007C3436">
              <w:rPr>
                <w:rFonts w:eastAsia="Times New Roman"/>
                <w:color w:val="000000"/>
                <w:lang w:eastAsia="en-AU"/>
              </w:rPr>
              <w:t>Fixed component</w:t>
            </w:r>
          </w:p>
        </w:tc>
        <w:tc>
          <w:tcPr>
            <w:tcW w:w="1333" w:type="dxa"/>
            <w:tcBorders>
              <w:top w:val="nil"/>
              <w:left w:val="nil"/>
              <w:bottom w:val="single" w:sz="4" w:space="0" w:color="auto"/>
              <w:right w:val="nil"/>
            </w:tcBorders>
            <w:shd w:val="clear" w:color="auto" w:fill="auto"/>
            <w:noWrap/>
            <w:hideMark/>
          </w:tcPr>
          <w:p w:rsidR="007C3436" w:rsidRPr="007C3436" w:rsidRDefault="007C3436" w:rsidP="007C3436">
            <w:pPr>
              <w:spacing w:after="0" w:line="240" w:lineRule="auto"/>
              <w:jc w:val="center"/>
              <w:rPr>
                <w:rFonts w:eastAsia="Times New Roman"/>
                <w:color w:val="000000"/>
                <w:lang w:eastAsia="en-AU"/>
              </w:rPr>
            </w:pPr>
            <w:r>
              <w:rPr>
                <w:rFonts w:eastAsia="Times New Roman"/>
                <w:color w:val="000000"/>
                <w:lang w:eastAsia="en-AU"/>
              </w:rPr>
              <w:t>V</w:t>
            </w:r>
            <w:r w:rsidRPr="007C3436">
              <w:rPr>
                <w:rFonts w:eastAsia="Times New Roman"/>
                <w:color w:val="000000"/>
                <w:lang w:eastAsia="en-AU"/>
              </w:rPr>
              <w:t>ariable component</w:t>
            </w:r>
          </w:p>
        </w:tc>
        <w:tc>
          <w:tcPr>
            <w:tcW w:w="1332" w:type="dxa"/>
            <w:tcBorders>
              <w:top w:val="nil"/>
              <w:left w:val="nil"/>
              <w:bottom w:val="single" w:sz="4" w:space="0" w:color="auto"/>
              <w:right w:val="nil"/>
            </w:tcBorders>
            <w:shd w:val="clear" w:color="auto" w:fill="auto"/>
            <w:noWrap/>
            <w:hideMark/>
          </w:tcPr>
          <w:p w:rsidR="007C3436" w:rsidRPr="007C3436" w:rsidRDefault="007C3436" w:rsidP="007C3436">
            <w:pPr>
              <w:spacing w:after="0" w:line="240" w:lineRule="auto"/>
              <w:jc w:val="center"/>
              <w:rPr>
                <w:rFonts w:eastAsia="Times New Roman"/>
                <w:color w:val="000000"/>
                <w:lang w:eastAsia="en-AU"/>
              </w:rPr>
            </w:pPr>
            <w:r>
              <w:rPr>
                <w:rFonts w:eastAsia="Times New Roman"/>
                <w:color w:val="000000"/>
                <w:lang w:eastAsia="en-AU"/>
              </w:rPr>
              <w:t>T</w:t>
            </w:r>
            <w:r w:rsidRPr="007C3436">
              <w:rPr>
                <w:rFonts w:eastAsia="Times New Roman"/>
                <w:color w:val="000000"/>
                <w:lang w:eastAsia="en-AU"/>
              </w:rPr>
              <w:t>otal</w:t>
            </w:r>
          </w:p>
        </w:tc>
        <w:tc>
          <w:tcPr>
            <w:tcW w:w="1333" w:type="dxa"/>
            <w:tcBorders>
              <w:top w:val="nil"/>
              <w:left w:val="nil"/>
              <w:bottom w:val="single" w:sz="4" w:space="0" w:color="auto"/>
              <w:right w:val="nil"/>
            </w:tcBorders>
            <w:shd w:val="clear" w:color="auto" w:fill="auto"/>
            <w:noWrap/>
            <w:hideMark/>
          </w:tcPr>
          <w:p w:rsidR="007C3436" w:rsidRPr="007C3436" w:rsidRDefault="007C3436" w:rsidP="007C3436">
            <w:pPr>
              <w:spacing w:after="0" w:line="240" w:lineRule="auto"/>
              <w:jc w:val="center"/>
              <w:rPr>
                <w:rFonts w:eastAsia="Times New Roman"/>
                <w:color w:val="000000"/>
                <w:lang w:eastAsia="en-AU"/>
              </w:rPr>
            </w:pPr>
            <w:r>
              <w:rPr>
                <w:rFonts w:eastAsia="Times New Roman"/>
                <w:color w:val="000000"/>
                <w:lang w:eastAsia="en-AU"/>
              </w:rPr>
              <w:t xml:space="preserve">Fixed to </w:t>
            </w:r>
            <w:r w:rsidRPr="007C3436">
              <w:rPr>
                <w:rFonts w:eastAsia="Times New Roman"/>
                <w:color w:val="000000"/>
                <w:lang w:eastAsia="en-AU"/>
              </w:rPr>
              <w:t>total</w:t>
            </w:r>
            <w:r>
              <w:rPr>
                <w:rFonts w:eastAsia="Times New Roman"/>
                <w:color w:val="000000"/>
                <w:lang w:eastAsia="en-AU"/>
              </w:rPr>
              <w:t xml:space="preserve"> ratio</w:t>
            </w:r>
          </w:p>
        </w:tc>
      </w:tr>
      <w:tr w:rsidR="007C3436" w:rsidRPr="007C3436" w:rsidTr="00F215C0">
        <w:trPr>
          <w:trHeight w:val="733"/>
        </w:trPr>
        <w:tc>
          <w:tcPr>
            <w:tcW w:w="1843" w:type="dxa"/>
            <w:tcBorders>
              <w:top w:val="single" w:sz="4" w:space="0" w:color="auto"/>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High market share firm</w:t>
            </w:r>
          </w:p>
        </w:tc>
        <w:tc>
          <w:tcPr>
            <w:tcW w:w="1332" w:type="dxa"/>
            <w:tcBorders>
              <w:top w:val="single" w:sz="4" w:space="0" w:color="auto"/>
              <w:left w:val="nil"/>
              <w:bottom w:val="nil"/>
              <w:right w:val="single" w:sz="4" w:space="0" w:color="auto"/>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65%</w:t>
            </w:r>
          </w:p>
        </w:tc>
        <w:tc>
          <w:tcPr>
            <w:tcW w:w="1332" w:type="dxa"/>
            <w:tcBorders>
              <w:top w:val="single" w:sz="4" w:space="0" w:color="auto"/>
              <w:left w:val="single" w:sz="4" w:space="0" w:color="auto"/>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$6,000</w:t>
            </w:r>
          </w:p>
        </w:tc>
        <w:tc>
          <w:tcPr>
            <w:tcW w:w="1333" w:type="dxa"/>
            <w:tcBorders>
              <w:top w:val="single" w:sz="4" w:space="0" w:color="auto"/>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$416,000</w:t>
            </w:r>
          </w:p>
        </w:tc>
        <w:tc>
          <w:tcPr>
            <w:tcW w:w="1332" w:type="dxa"/>
            <w:tcBorders>
              <w:top w:val="single" w:sz="4" w:space="0" w:color="auto"/>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$422,000</w:t>
            </w:r>
          </w:p>
        </w:tc>
        <w:tc>
          <w:tcPr>
            <w:tcW w:w="1333" w:type="dxa"/>
            <w:tcBorders>
              <w:top w:val="single" w:sz="4" w:space="0" w:color="auto"/>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1%</w:t>
            </w:r>
          </w:p>
        </w:tc>
      </w:tr>
      <w:tr w:rsidR="007C3436" w:rsidRPr="007C3436" w:rsidTr="00F215C0">
        <w:trPr>
          <w:trHeight w:val="733"/>
        </w:trPr>
        <w:tc>
          <w:tcPr>
            <w:tcW w:w="1843" w:type="dxa"/>
            <w:tcBorders>
              <w:top w:val="nil"/>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Low market share firm</w:t>
            </w:r>
          </w:p>
        </w:tc>
        <w:tc>
          <w:tcPr>
            <w:tcW w:w="1332" w:type="dxa"/>
            <w:tcBorders>
              <w:top w:val="nil"/>
              <w:left w:val="nil"/>
              <w:bottom w:val="nil"/>
              <w:right w:val="single" w:sz="4" w:space="0" w:color="auto"/>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4%</w:t>
            </w:r>
          </w:p>
        </w:tc>
        <w:tc>
          <w:tcPr>
            <w:tcW w:w="1332" w:type="dxa"/>
            <w:tcBorders>
              <w:top w:val="nil"/>
              <w:left w:val="single" w:sz="4" w:space="0" w:color="auto"/>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$6,000</w:t>
            </w:r>
          </w:p>
        </w:tc>
        <w:tc>
          <w:tcPr>
            <w:tcW w:w="1333" w:type="dxa"/>
            <w:tcBorders>
              <w:top w:val="nil"/>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$25,600</w:t>
            </w:r>
          </w:p>
        </w:tc>
        <w:tc>
          <w:tcPr>
            <w:tcW w:w="1332" w:type="dxa"/>
            <w:tcBorders>
              <w:top w:val="nil"/>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$31,600</w:t>
            </w:r>
          </w:p>
        </w:tc>
        <w:tc>
          <w:tcPr>
            <w:tcW w:w="1333" w:type="dxa"/>
            <w:tcBorders>
              <w:top w:val="nil"/>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19%</w:t>
            </w:r>
          </w:p>
        </w:tc>
      </w:tr>
      <w:tr w:rsidR="007C3436" w:rsidRPr="007C3436" w:rsidTr="00F215C0">
        <w:trPr>
          <w:trHeight w:val="733"/>
        </w:trPr>
        <w:tc>
          <w:tcPr>
            <w:tcW w:w="1843" w:type="dxa"/>
            <w:tcBorders>
              <w:top w:val="nil"/>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Very low market share</w:t>
            </w:r>
          </w:p>
        </w:tc>
        <w:tc>
          <w:tcPr>
            <w:tcW w:w="1332" w:type="dxa"/>
            <w:tcBorders>
              <w:top w:val="nil"/>
              <w:left w:val="nil"/>
              <w:bottom w:val="nil"/>
              <w:right w:val="single" w:sz="4" w:space="0" w:color="auto"/>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0.16%</w:t>
            </w:r>
          </w:p>
        </w:tc>
        <w:tc>
          <w:tcPr>
            <w:tcW w:w="1332" w:type="dxa"/>
            <w:tcBorders>
              <w:top w:val="nil"/>
              <w:left w:val="single" w:sz="4" w:space="0" w:color="auto"/>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$6,000</w:t>
            </w:r>
          </w:p>
        </w:tc>
        <w:tc>
          <w:tcPr>
            <w:tcW w:w="1333" w:type="dxa"/>
            <w:tcBorders>
              <w:top w:val="nil"/>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$1,024</w:t>
            </w:r>
          </w:p>
        </w:tc>
        <w:tc>
          <w:tcPr>
            <w:tcW w:w="1332" w:type="dxa"/>
            <w:tcBorders>
              <w:top w:val="nil"/>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$7,024</w:t>
            </w:r>
          </w:p>
        </w:tc>
        <w:tc>
          <w:tcPr>
            <w:tcW w:w="1333" w:type="dxa"/>
            <w:tcBorders>
              <w:top w:val="nil"/>
              <w:left w:val="nil"/>
              <w:bottom w:val="nil"/>
              <w:right w:val="nil"/>
            </w:tcBorders>
            <w:shd w:val="clear" w:color="auto" w:fill="auto"/>
            <w:noWrap/>
            <w:vAlign w:val="center"/>
            <w:hideMark/>
          </w:tcPr>
          <w:p w:rsidR="007C3436" w:rsidRPr="007C3436" w:rsidRDefault="007C3436" w:rsidP="00C72DA9">
            <w:pPr>
              <w:spacing w:after="0" w:line="240" w:lineRule="auto"/>
              <w:jc w:val="center"/>
              <w:rPr>
                <w:rFonts w:eastAsia="Times New Roman"/>
                <w:color w:val="000000"/>
                <w:lang w:eastAsia="en-AU"/>
              </w:rPr>
            </w:pPr>
            <w:r w:rsidRPr="007C3436">
              <w:rPr>
                <w:rFonts w:eastAsia="Times New Roman"/>
                <w:color w:val="000000"/>
                <w:lang w:eastAsia="en-AU"/>
              </w:rPr>
              <w:t>85%</w:t>
            </w:r>
          </w:p>
        </w:tc>
      </w:tr>
    </w:tbl>
    <w:p w:rsidR="005A3BFF" w:rsidRDefault="005A3BFF" w:rsidP="005A3BFF">
      <w:pPr>
        <w:pStyle w:val="Default"/>
        <w:ind w:left="709" w:hanging="709"/>
        <w:rPr>
          <w:sz w:val="20"/>
          <w:szCs w:val="20"/>
        </w:rPr>
      </w:pPr>
      <w:r>
        <w:rPr>
          <w:i/>
          <w:iCs/>
          <w:sz w:val="20"/>
          <w:szCs w:val="20"/>
        </w:rPr>
        <w:t xml:space="preserve">Source:   Numbers are for illustrative purposes only. </w:t>
      </w:r>
    </w:p>
    <w:p w:rsidR="00C72DA9" w:rsidRDefault="00C72DA9" w:rsidP="006404C9">
      <w:pPr>
        <w:jc w:val="both"/>
      </w:pPr>
    </w:p>
    <w:p w:rsidR="00C72DA9" w:rsidRDefault="00C72DA9" w:rsidP="006404C9">
      <w:pPr>
        <w:jc w:val="both"/>
      </w:pPr>
      <w:r>
        <w:t xml:space="preserve">The following table </w:t>
      </w:r>
      <w:r w:rsidR="00C1100C">
        <w:t>summarises</w:t>
      </w:r>
      <w:r>
        <w:t xml:space="preserve"> the levies for each of these firms under </w:t>
      </w:r>
      <w:r w:rsidR="00C1100C">
        <w:t>the</w:t>
      </w:r>
      <w:r>
        <w:t xml:space="preserve"> option</w:t>
      </w:r>
      <w:r w:rsidR="00C1100C">
        <w:t>s</w:t>
      </w:r>
      <w:r>
        <w:t xml:space="preserve"> discussed in the report. The table also </w:t>
      </w:r>
      <w:r w:rsidR="00C1100C">
        <w:t>includes</w:t>
      </w:r>
      <w:r>
        <w:t xml:space="preserve"> the share of the total levy </w:t>
      </w:r>
      <w:r w:rsidR="00C1100C">
        <w:t xml:space="preserve">that </w:t>
      </w:r>
      <w:r>
        <w:t xml:space="preserve">each firm </w:t>
      </w:r>
      <w:r w:rsidR="00C1100C">
        <w:t>pays; for example, under Option </w:t>
      </w:r>
      <w:r w:rsidR="00E74EDD">
        <w:t xml:space="preserve">4 the high market share firm contributes 63 per cent of </w:t>
      </w:r>
      <w:r w:rsidR="00576BCC">
        <w:t>the Levy</w:t>
      </w:r>
      <w:r w:rsidR="00E74EDD">
        <w:t>.</w:t>
      </w:r>
    </w:p>
    <w:p w:rsidR="00CD2DCD" w:rsidRDefault="00CD2DCD" w:rsidP="006404C9">
      <w:pPr>
        <w:jc w:val="both"/>
      </w:pPr>
      <w:r>
        <w:t>For the sa</w:t>
      </w:r>
      <w:r w:rsidR="00076145">
        <w:t>ke of the example, the fees for Options 3 and 4 are</w:t>
      </w:r>
      <w:r>
        <w:t xml:space="preserve"> set at $2,000</w:t>
      </w:r>
      <w:r w:rsidR="008B0D95">
        <w:t>.</w:t>
      </w:r>
    </w:p>
    <w:p w:rsidR="00C72DA9" w:rsidRDefault="008B0D95" w:rsidP="00C72DA9">
      <w:pPr>
        <w:keepNext/>
      </w:pPr>
      <w:r>
        <w:rPr>
          <w:b/>
          <w:bCs/>
          <w:sz w:val="23"/>
          <w:szCs w:val="23"/>
        </w:rPr>
        <w:t>Table 7</w:t>
      </w:r>
      <w:r w:rsidR="00C72DA9">
        <w:rPr>
          <w:b/>
          <w:bCs/>
          <w:sz w:val="23"/>
          <w:szCs w:val="23"/>
        </w:rPr>
        <w:t xml:space="preserve"> – Indicative EIL under </w:t>
      </w:r>
      <w:r w:rsidR="00B50B91">
        <w:rPr>
          <w:b/>
          <w:bCs/>
          <w:sz w:val="23"/>
          <w:szCs w:val="23"/>
        </w:rPr>
        <w:t>different</w:t>
      </w:r>
      <w:r w:rsidR="00C72DA9">
        <w:rPr>
          <w:b/>
          <w:bCs/>
          <w:sz w:val="23"/>
          <w:szCs w:val="23"/>
        </w:rPr>
        <w:t xml:space="preserve"> </w:t>
      </w:r>
      <w:r w:rsidR="00B50B91">
        <w:rPr>
          <w:b/>
          <w:bCs/>
          <w:sz w:val="23"/>
          <w:szCs w:val="23"/>
        </w:rPr>
        <w:t>options</w:t>
      </w:r>
    </w:p>
    <w:tbl>
      <w:tblPr>
        <w:tblW w:w="8969" w:type="dxa"/>
        <w:tblInd w:w="108" w:type="dxa"/>
        <w:tblLayout w:type="fixed"/>
        <w:tblLook w:val="04A0"/>
      </w:tblPr>
      <w:tblGrid>
        <w:gridCol w:w="2410"/>
        <w:gridCol w:w="992"/>
        <w:gridCol w:w="1113"/>
        <w:gridCol w:w="1113"/>
        <w:gridCol w:w="1114"/>
        <w:gridCol w:w="1113"/>
        <w:gridCol w:w="1114"/>
      </w:tblGrid>
      <w:tr w:rsidR="00CB558D" w:rsidRPr="00C74D61" w:rsidTr="00094E77">
        <w:trPr>
          <w:trHeight w:val="537"/>
          <w:tblHeader/>
        </w:trPr>
        <w:tc>
          <w:tcPr>
            <w:tcW w:w="2410" w:type="dxa"/>
            <w:tcBorders>
              <w:top w:val="nil"/>
              <w:left w:val="nil"/>
              <w:bottom w:val="single" w:sz="4" w:space="0" w:color="auto"/>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p>
        </w:tc>
        <w:tc>
          <w:tcPr>
            <w:tcW w:w="992" w:type="dxa"/>
            <w:tcBorders>
              <w:top w:val="nil"/>
              <w:left w:val="nil"/>
              <w:bottom w:val="single" w:sz="4" w:space="0" w:color="auto"/>
              <w:right w:val="single" w:sz="4" w:space="0" w:color="auto"/>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Pr>
                <w:rFonts w:eastAsia="Times New Roman"/>
                <w:color w:val="000000"/>
                <w:lang w:eastAsia="en-AU"/>
              </w:rPr>
              <w:t>M</w:t>
            </w:r>
            <w:r w:rsidRPr="00C74D61">
              <w:rPr>
                <w:rFonts w:eastAsia="Times New Roman"/>
                <w:color w:val="000000"/>
                <w:lang w:eastAsia="en-AU"/>
              </w:rPr>
              <w:t>arket share</w:t>
            </w:r>
          </w:p>
        </w:tc>
        <w:tc>
          <w:tcPr>
            <w:tcW w:w="1113" w:type="dxa"/>
            <w:tcBorders>
              <w:top w:val="nil"/>
              <w:left w:val="single" w:sz="4" w:space="0" w:color="auto"/>
              <w:bottom w:val="single" w:sz="4" w:space="0" w:color="auto"/>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Current option</w:t>
            </w:r>
          </w:p>
        </w:tc>
        <w:tc>
          <w:tcPr>
            <w:tcW w:w="1113" w:type="dxa"/>
            <w:tcBorders>
              <w:top w:val="nil"/>
              <w:left w:val="nil"/>
              <w:bottom w:val="single" w:sz="4" w:space="0" w:color="auto"/>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Option 1</w:t>
            </w:r>
          </w:p>
        </w:tc>
        <w:tc>
          <w:tcPr>
            <w:tcW w:w="1114" w:type="dxa"/>
            <w:tcBorders>
              <w:top w:val="nil"/>
              <w:left w:val="nil"/>
              <w:bottom w:val="single" w:sz="4" w:space="0" w:color="auto"/>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Option 2</w:t>
            </w:r>
          </w:p>
        </w:tc>
        <w:tc>
          <w:tcPr>
            <w:tcW w:w="1113" w:type="dxa"/>
            <w:tcBorders>
              <w:top w:val="nil"/>
              <w:left w:val="nil"/>
              <w:bottom w:val="single" w:sz="4" w:space="0" w:color="auto"/>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Option 3</w:t>
            </w:r>
          </w:p>
        </w:tc>
        <w:tc>
          <w:tcPr>
            <w:tcW w:w="1114" w:type="dxa"/>
            <w:tcBorders>
              <w:top w:val="nil"/>
              <w:left w:val="nil"/>
              <w:bottom w:val="single" w:sz="4" w:space="0" w:color="auto"/>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Option 4</w:t>
            </w:r>
          </w:p>
        </w:tc>
      </w:tr>
      <w:tr w:rsidR="00CB558D" w:rsidRPr="00C74D61" w:rsidTr="00F215C0">
        <w:trPr>
          <w:trHeight w:val="695"/>
        </w:trPr>
        <w:tc>
          <w:tcPr>
            <w:tcW w:w="2410" w:type="dxa"/>
            <w:tcBorders>
              <w:top w:val="single" w:sz="4" w:space="0" w:color="auto"/>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High market share firm</w:t>
            </w:r>
          </w:p>
        </w:tc>
        <w:tc>
          <w:tcPr>
            <w:tcW w:w="992" w:type="dxa"/>
            <w:tcBorders>
              <w:top w:val="single" w:sz="4" w:space="0" w:color="auto"/>
              <w:left w:val="nil"/>
              <w:bottom w:val="nil"/>
              <w:right w:val="single" w:sz="4" w:space="0" w:color="auto"/>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65%</w:t>
            </w:r>
          </w:p>
        </w:tc>
        <w:tc>
          <w:tcPr>
            <w:tcW w:w="1113" w:type="dxa"/>
            <w:tcBorders>
              <w:top w:val="single" w:sz="4" w:space="0" w:color="auto"/>
              <w:left w:val="single" w:sz="4" w:space="0" w:color="auto"/>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$422,000</w:t>
            </w:r>
            <w:r>
              <w:rPr>
                <w:rFonts w:eastAsia="Times New Roman"/>
                <w:color w:val="000000"/>
                <w:lang w:eastAsia="en-AU"/>
              </w:rPr>
              <w:t xml:space="preserve"> (60%)</w:t>
            </w:r>
          </w:p>
        </w:tc>
        <w:tc>
          <w:tcPr>
            <w:tcW w:w="1113" w:type="dxa"/>
            <w:tcBorders>
              <w:top w:val="single" w:sz="4" w:space="0" w:color="auto"/>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$70,000</w:t>
            </w:r>
            <w:r>
              <w:rPr>
                <w:rFonts w:eastAsia="Times New Roman"/>
                <w:color w:val="000000"/>
                <w:lang w:eastAsia="en-AU"/>
              </w:rPr>
              <w:t xml:space="preserve"> (10%)</w:t>
            </w:r>
          </w:p>
        </w:tc>
        <w:tc>
          <w:tcPr>
            <w:tcW w:w="1114" w:type="dxa"/>
            <w:tcBorders>
              <w:top w:val="single" w:sz="4" w:space="0" w:color="auto"/>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$455,000</w:t>
            </w:r>
            <w:r>
              <w:rPr>
                <w:rFonts w:eastAsia="Times New Roman"/>
                <w:color w:val="000000"/>
                <w:lang w:eastAsia="en-AU"/>
              </w:rPr>
              <w:t xml:space="preserve"> (65%)</w:t>
            </w:r>
          </w:p>
        </w:tc>
        <w:tc>
          <w:tcPr>
            <w:tcW w:w="1113" w:type="dxa"/>
            <w:tcBorders>
              <w:top w:val="single" w:sz="4" w:space="0" w:color="auto"/>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$455,000</w:t>
            </w:r>
            <w:r>
              <w:rPr>
                <w:rFonts w:eastAsia="Times New Roman"/>
                <w:color w:val="000000"/>
                <w:lang w:eastAsia="en-AU"/>
              </w:rPr>
              <w:t xml:space="preserve"> (65%)</w:t>
            </w:r>
          </w:p>
        </w:tc>
        <w:tc>
          <w:tcPr>
            <w:tcW w:w="1114" w:type="dxa"/>
            <w:tcBorders>
              <w:top w:val="single" w:sz="4" w:space="0" w:color="auto"/>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$444,000</w:t>
            </w:r>
            <w:r>
              <w:rPr>
                <w:rFonts w:eastAsia="Times New Roman"/>
                <w:color w:val="000000"/>
                <w:lang w:eastAsia="en-AU"/>
              </w:rPr>
              <w:t xml:space="preserve"> (63%)</w:t>
            </w:r>
          </w:p>
        </w:tc>
      </w:tr>
      <w:tr w:rsidR="00CB558D" w:rsidRPr="00C74D61" w:rsidTr="00F215C0">
        <w:trPr>
          <w:trHeight w:val="695"/>
        </w:trPr>
        <w:tc>
          <w:tcPr>
            <w:tcW w:w="2410" w:type="dxa"/>
            <w:tcBorders>
              <w:top w:val="nil"/>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Low market share firm</w:t>
            </w:r>
          </w:p>
        </w:tc>
        <w:tc>
          <w:tcPr>
            <w:tcW w:w="992" w:type="dxa"/>
            <w:tcBorders>
              <w:top w:val="nil"/>
              <w:left w:val="nil"/>
              <w:bottom w:val="nil"/>
              <w:right w:val="single" w:sz="4" w:space="0" w:color="auto"/>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4%</w:t>
            </w:r>
          </w:p>
        </w:tc>
        <w:tc>
          <w:tcPr>
            <w:tcW w:w="1113" w:type="dxa"/>
            <w:tcBorders>
              <w:top w:val="nil"/>
              <w:left w:val="single" w:sz="4" w:space="0" w:color="auto"/>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$31,600</w:t>
            </w:r>
            <w:r>
              <w:rPr>
                <w:rFonts w:eastAsia="Times New Roman"/>
                <w:color w:val="000000"/>
                <w:lang w:eastAsia="en-AU"/>
              </w:rPr>
              <w:t xml:space="preserve"> (5%)</w:t>
            </w:r>
          </w:p>
        </w:tc>
        <w:tc>
          <w:tcPr>
            <w:tcW w:w="1113" w:type="dxa"/>
            <w:tcBorders>
              <w:top w:val="nil"/>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$70,000</w:t>
            </w:r>
            <w:r>
              <w:rPr>
                <w:rFonts w:eastAsia="Times New Roman"/>
                <w:color w:val="000000"/>
                <w:lang w:eastAsia="en-AU"/>
              </w:rPr>
              <w:t xml:space="preserve"> (10%)</w:t>
            </w:r>
          </w:p>
        </w:tc>
        <w:tc>
          <w:tcPr>
            <w:tcW w:w="1114" w:type="dxa"/>
            <w:tcBorders>
              <w:top w:val="nil"/>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$28,000</w:t>
            </w:r>
            <w:r>
              <w:rPr>
                <w:rFonts w:eastAsia="Times New Roman"/>
                <w:color w:val="000000"/>
                <w:lang w:eastAsia="en-AU"/>
              </w:rPr>
              <w:t xml:space="preserve"> (4%)</w:t>
            </w:r>
          </w:p>
        </w:tc>
        <w:tc>
          <w:tcPr>
            <w:tcW w:w="1113" w:type="dxa"/>
            <w:tcBorders>
              <w:top w:val="nil"/>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$28,000</w:t>
            </w:r>
            <w:r>
              <w:rPr>
                <w:rFonts w:eastAsia="Times New Roman"/>
                <w:color w:val="000000"/>
                <w:lang w:eastAsia="en-AU"/>
              </w:rPr>
              <w:t xml:space="preserve"> (4%)</w:t>
            </w:r>
          </w:p>
        </w:tc>
        <w:tc>
          <w:tcPr>
            <w:tcW w:w="1114" w:type="dxa"/>
            <w:tcBorders>
              <w:top w:val="nil"/>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$29,200</w:t>
            </w:r>
            <w:r>
              <w:rPr>
                <w:rFonts w:eastAsia="Times New Roman"/>
                <w:color w:val="000000"/>
                <w:lang w:eastAsia="en-AU"/>
              </w:rPr>
              <w:t xml:space="preserve"> (4%)</w:t>
            </w:r>
          </w:p>
        </w:tc>
      </w:tr>
      <w:tr w:rsidR="00CB558D" w:rsidRPr="00C74D61" w:rsidTr="00F215C0">
        <w:trPr>
          <w:trHeight w:val="695"/>
        </w:trPr>
        <w:tc>
          <w:tcPr>
            <w:tcW w:w="2410" w:type="dxa"/>
            <w:tcBorders>
              <w:top w:val="nil"/>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Very low market share</w:t>
            </w:r>
            <w:r>
              <w:rPr>
                <w:rFonts w:eastAsia="Times New Roman"/>
                <w:color w:val="000000"/>
                <w:lang w:eastAsia="en-AU"/>
              </w:rPr>
              <w:t xml:space="preserve"> firm</w:t>
            </w:r>
          </w:p>
        </w:tc>
        <w:tc>
          <w:tcPr>
            <w:tcW w:w="992" w:type="dxa"/>
            <w:tcBorders>
              <w:top w:val="nil"/>
              <w:left w:val="nil"/>
              <w:bottom w:val="nil"/>
              <w:right w:val="single" w:sz="4" w:space="0" w:color="auto"/>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0.16%</w:t>
            </w:r>
          </w:p>
        </w:tc>
        <w:tc>
          <w:tcPr>
            <w:tcW w:w="1113" w:type="dxa"/>
            <w:tcBorders>
              <w:top w:val="nil"/>
              <w:left w:val="single" w:sz="4" w:space="0" w:color="auto"/>
              <w:bottom w:val="nil"/>
              <w:right w:val="nil"/>
            </w:tcBorders>
            <w:shd w:val="clear" w:color="auto" w:fill="auto"/>
            <w:noWrap/>
            <w:vAlign w:val="center"/>
            <w:hideMark/>
          </w:tcPr>
          <w:p w:rsidR="00CB558D" w:rsidRPr="00C74D61" w:rsidRDefault="00FE138C" w:rsidP="001E2D6C">
            <w:pPr>
              <w:spacing w:after="0" w:line="240" w:lineRule="auto"/>
              <w:jc w:val="center"/>
              <w:rPr>
                <w:rFonts w:eastAsia="Times New Roman"/>
                <w:color w:val="000000"/>
                <w:lang w:eastAsia="en-AU"/>
              </w:rPr>
            </w:pPr>
            <w:r>
              <w:rPr>
                <w:rFonts w:eastAsia="Times New Roman"/>
                <w:color w:val="000000"/>
                <w:lang w:eastAsia="en-AU"/>
              </w:rPr>
              <w:t>$7,024</w:t>
            </w:r>
            <w:r w:rsidR="00CB558D">
              <w:rPr>
                <w:rFonts w:eastAsia="Times New Roman"/>
                <w:color w:val="000000"/>
                <w:lang w:eastAsia="en-AU"/>
              </w:rPr>
              <w:t xml:space="preserve"> (1%)</w:t>
            </w:r>
          </w:p>
        </w:tc>
        <w:tc>
          <w:tcPr>
            <w:tcW w:w="1113" w:type="dxa"/>
            <w:tcBorders>
              <w:top w:val="nil"/>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$70,000</w:t>
            </w:r>
            <w:r>
              <w:rPr>
                <w:rFonts w:eastAsia="Times New Roman"/>
                <w:color w:val="000000"/>
                <w:lang w:eastAsia="en-AU"/>
              </w:rPr>
              <w:t xml:space="preserve"> (10%)</w:t>
            </w:r>
          </w:p>
        </w:tc>
        <w:tc>
          <w:tcPr>
            <w:tcW w:w="1114" w:type="dxa"/>
            <w:tcBorders>
              <w:top w:val="nil"/>
              <w:left w:val="nil"/>
              <w:bottom w:val="nil"/>
              <w:right w:val="nil"/>
            </w:tcBorders>
            <w:shd w:val="clear" w:color="auto" w:fill="auto"/>
            <w:noWrap/>
            <w:vAlign w:val="center"/>
            <w:hideMark/>
          </w:tcPr>
          <w:p w:rsidR="00CB558D" w:rsidRPr="00C74D61" w:rsidRDefault="00FE138C" w:rsidP="001E2D6C">
            <w:pPr>
              <w:spacing w:after="0" w:line="240" w:lineRule="auto"/>
              <w:jc w:val="center"/>
              <w:rPr>
                <w:rFonts w:eastAsia="Times New Roman"/>
                <w:color w:val="000000"/>
                <w:lang w:eastAsia="en-AU"/>
              </w:rPr>
            </w:pPr>
            <w:r>
              <w:rPr>
                <w:rFonts w:eastAsia="Times New Roman"/>
                <w:color w:val="000000"/>
                <w:lang w:eastAsia="en-AU"/>
              </w:rPr>
              <w:t>$1,120</w:t>
            </w:r>
            <w:r w:rsidR="00CB558D">
              <w:rPr>
                <w:rFonts w:eastAsia="Times New Roman"/>
                <w:color w:val="000000"/>
                <w:lang w:eastAsia="en-AU"/>
              </w:rPr>
              <w:t xml:space="preserve"> (0.16%)</w:t>
            </w:r>
          </w:p>
        </w:tc>
        <w:tc>
          <w:tcPr>
            <w:tcW w:w="1113" w:type="dxa"/>
            <w:tcBorders>
              <w:top w:val="nil"/>
              <w:left w:val="nil"/>
              <w:bottom w:val="nil"/>
              <w:right w:val="nil"/>
            </w:tcBorders>
            <w:shd w:val="clear" w:color="auto" w:fill="auto"/>
            <w:noWrap/>
            <w:vAlign w:val="center"/>
            <w:hideMark/>
          </w:tcPr>
          <w:p w:rsidR="00CB558D" w:rsidRPr="00C74D61" w:rsidRDefault="00CB558D" w:rsidP="001E2D6C">
            <w:pPr>
              <w:spacing w:after="0" w:line="240" w:lineRule="auto"/>
              <w:jc w:val="center"/>
              <w:rPr>
                <w:rFonts w:eastAsia="Times New Roman"/>
                <w:color w:val="000000"/>
                <w:lang w:eastAsia="en-AU"/>
              </w:rPr>
            </w:pPr>
            <w:r w:rsidRPr="00C74D61">
              <w:rPr>
                <w:rFonts w:eastAsia="Times New Roman"/>
                <w:color w:val="000000"/>
                <w:lang w:eastAsia="en-AU"/>
              </w:rPr>
              <w:t>$2,000</w:t>
            </w:r>
            <w:r>
              <w:rPr>
                <w:rFonts w:eastAsia="Times New Roman"/>
                <w:color w:val="000000"/>
                <w:lang w:eastAsia="en-AU"/>
              </w:rPr>
              <w:t xml:space="preserve"> (0.29%)</w:t>
            </w:r>
          </w:p>
        </w:tc>
        <w:tc>
          <w:tcPr>
            <w:tcW w:w="1114" w:type="dxa"/>
            <w:tcBorders>
              <w:top w:val="nil"/>
              <w:left w:val="nil"/>
              <w:bottom w:val="nil"/>
              <w:right w:val="nil"/>
            </w:tcBorders>
            <w:shd w:val="clear" w:color="auto" w:fill="auto"/>
            <w:noWrap/>
            <w:vAlign w:val="center"/>
            <w:hideMark/>
          </w:tcPr>
          <w:p w:rsidR="00CB558D" w:rsidRPr="00C74D61" w:rsidRDefault="00FE138C" w:rsidP="001E2D6C">
            <w:pPr>
              <w:spacing w:after="0" w:line="240" w:lineRule="auto"/>
              <w:jc w:val="center"/>
              <w:rPr>
                <w:rFonts w:eastAsia="Times New Roman"/>
                <w:color w:val="000000"/>
                <w:lang w:eastAsia="en-AU"/>
              </w:rPr>
            </w:pPr>
            <w:r>
              <w:rPr>
                <w:rFonts w:eastAsia="Times New Roman"/>
                <w:color w:val="000000"/>
                <w:lang w:eastAsia="en-AU"/>
              </w:rPr>
              <w:t>$3,088</w:t>
            </w:r>
            <w:r w:rsidR="00CB558D">
              <w:rPr>
                <w:rFonts w:eastAsia="Times New Roman"/>
                <w:color w:val="000000"/>
                <w:lang w:eastAsia="en-AU"/>
              </w:rPr>
              <w:t xml:space="preserve"> (0.44%)</w:t>
            </w:r>
          </w:p>
        </w:tc>
      </w:tr>
    </w:tbl>
    <w:p w:rsidR="005D4FF0" w:rsidRDefault="005A3BFF" w:rsidP="00BB6A85">
      <w:pPr>
        <w:pStyle w:val="Default"/>
        <w:ind w:left="709" w:hanging="709"/>
        <w:rPr>
          <w:i/>
          <w:iCs/>
          <w:sz w:val="20"/>
          <w:szCs w:val="20"/>
        </w:rPr>
      </w:pPr>
      <w:r>
        <w:rPr>
          <w:i/>
          <w:iCs/>
          <w:sz w:val="20"/>
          <w:szCs w:val="20"/>
        </w:rPr>
        <w:t xml:space="preserve">Source:   Numbers are for illustrative purposes only. </w:t>
      </w:r>
      <w:r w:rsidR="005D4FF0">
        <w:rPr>
          <w:i/>
          <w:iCs/>
          <w:sz w:val="20"/>
          <w:szCs w:val="20"/>
        </w:rPr>
        <w:br w:type="page"/>
      </w:r>
    </w:p>
    <w:p w:rsidR="00D41E38" w:rsidRDefault="005D4FF0" w:rsidP="005D4FF0">
      <w:pPr>
        <w:pStyle w:val="Heading1"/>
      </w:pPr>
      <w:bookmarkStart w:id="174" w:name="_Toc454982044"/>
      <w:r>
        <w:t xml:space="preserve">Appendix E: </w:t>
      </w:r>
      <w:r w:rsidR="00E53643">
        <w:t xml:space="preserve">Electricity retail in </w:t>
      </w:r>
      <w:r>
        <w:t>Victoria and New South Wales</w:t>
      </w:r>
      <w:bookmarkEnd w:id="174"/>
    </w:p>
    <w:p w:rsidR="005D4FF0" w:rsidRDefault="00E53643" w:rsidP="005D4FF0">
      <w:r>
        <w:t xml:space="preserve">This appendix contains estimates of the regulatory costs </w:t>
      </w:r>
      <w:r w:rsidR="00076145">
        <w:t>for</w:t>
      </w:r>
      <w:r>
        <w:t xml:space="preserve"> electricity retailers in Victoria and New South Wales</w:t>
      </w:r>
      <w:r w:rsidR="00076145">
        <w:t xml:space="preserve"> (NSW)</w:t>
      </w:r>
      <w:r>
        <w:t>.</w:t>
      </w:r>
    </w:p>
    <w:p w:rsidR="00CA10E0" w:rsidRDefault="009D5E50" w:rsidP="009D5E50">
      <w:pPr>
        <w:pStyle w:val="Heading2"/>
      </w:pPr>
      <w:bookmarkStart w:id="175" w:name="_Toc444861425"/>
      <w:bookmarkStart w:id="176" w:name="_Toc449438583"/>
      <w:bookmarkStart w:id="177" w:name="_Toc454982045"/>
      <w:r>
        <w:t>Victoria</w:t>
      </w:r>
      <w:bookmarkEnd w:id="175"/>
      <w:bookmarkEnd w:id="176"/>
      <w:bookmarkEnd w:id="177"/>
    </w:p>
    <w:p w:rsidR="00E53643" w:rsidRDefault="00E53643" w:rsidP="00E53643">
      <w:pPr>
        <w:jc w:val="both"/>
      </w:pPr>
      <w:r>
        <w:t>In Victoria, energy retailers are required to be licensed by the Victorian Essential Services Commission (ESC). There is no similar requirement in the ACT or NSW; as part of the NEM reforms, the AER took over the role of authorising energy retailers</w:t>
      </w:r>
      <w:r w:rsidR="00076145">
        <w:t xml:space="preserve"> for the ACT</w:t>
      </w:r>
      <w:r>
        <w:t>. Utilities are also required to be members of the Energy and Water Ombudsman Victoria (EWOV).</w:t>
      </w:r>
    </w:p>
    <w:p w:rsidR="00E53643" w:rsidRDefault="00E53643" w:rsidP="00E53643">
      <w:pPr>
        <w:jc w:val="both"/>
      </w:pPr>
      <w:r>
        <w:t xml:space="preserve">The ESC licence </w:t>
      </w:r>
      <w:r w:rsidR="00654D24">
        <w:t xml:space="preserve">for a retailer with a 2 per cent market share was around $24,000, in 2013-14, </w:t>
      </w:r>
      <w:r>
        <w:t xml:space="preserve">and </w:t>
      </w:r>
      <w:r w:rsidR="00654D24">
        <w:t xml:space="preserve">the minimum </w:t>
      </w:r>
      <w:r>
        <w:t xml:space="preserve">EWOV membership </w:t>
      </w:r>
      <w:r w:rsidR="00654D24">
        <w:t>fee</w:t>
      </w:r>
      <w:r>
        <w:t xml:space="preserve"> for a small retailer </w:t>
      </w:r>
      <w:r w:rsidR="00654D24">
        <w:t>is $2,000 with additional charges for cases brought to the Ombudsman, at an average of $190 per case in 2013-14.</w:t>
      </w:r>
    </w:p>
    <w:p w:rsidR="00E53643" w:rsidRDefault="006303A5" w:rsidP="006303A5">
      <w:pPr>
        <w:jc w:val="both"/>
      </w:pPr>
      <w:r>
        <w:t xml:space="preserve">The Victorian contribution to the AEMC does not appear to be recovered </w:t>
      </w:r>
      <w:r w:rsidR="00026FAC">
        <w:t xml:space="preserve">directly </w:t>
      </w:r>
      <w:r>
        <w:t>from industry.</w:t>
      </w:r>
    </w:p>
    <w:p w:rsidR="009D5E50" w:rsidRDefault="009D5E50" w:rsidP="00D85385">
      <w:pPr>
        <w:pStyle w:val="Heading3"/>
      </w:pPr>
      <w:bookmarkStart w:id="178" w:name="_Toc444861426"/>
      <w:bookmarkStart w:id="179" w:name="_Toc449438584"/>
      <w:bookmarkStart w:id="180" w:name="_Toc454982046"/>
      <w:r>
        <w:t>Essential Services Victoria</w:t>
      </w:r>
      <w:bookmarkEnd w:id="178"/>
      <w:bookmarkEnd w:id="179"/>
      <w:bookmarkEnd w:id="180"/>
    </w:p>
    <w:p w:rsidR="008C1CD5" w:rsidRDefault="006303A5" w:rsidP="00B24868">
      <w:pPr>
        <w:jc w:val="both"/>
      </w:pPr>
      <w:r>
        <w:t xml:space="preserve">Note that the </w:t>
      </w:r>
      <w:r w:rsidR="00E53643">
        <w:t>ESC</w:t>
      </w:r>
      <w:r w:rsidR="008C1CD5">
        <w:t xml:space="preserve"> is currently reviewing the Victoria licence framework relating to the supply of electricity and gas. An issues paper</w:t>
      </w:r>
      <w:r w:rsidR="00D03A69">
        <w:t xml:space="preserve"> was released in June 2015 w</w:t>
      </w:r>
      <w:r w:rsidR="00654D24">
        <w:t>ith a submissions deadline of 6 August </w:t>
      </w:r>
      <w:r w:rsidR="00D03A69">
        <w:t>2015</w:t>
      </w:r>
      <w:r w:rsidR="008C1CD5">
        <w:t>.</w:t>
      </w:r>
    </w:p>
    <w:p w:rsidR="006303A5" w:rsidRDefault="006303A5" w:rsidP="006303A5">
      <w:pPr>
        <w:jc w:val="both"/>
      </w:pPr>
      <w:r>
        <w:t xml:space="preserve">The ESC Licence fee information papers for 2013-14 includes the licence </w:t>
      </w:r>
      <w:r w:rsidR="00654D24">
        <w:t>fees for all retailers. In 2013</w:t>
      </w:r>
      <w:r w:rsidR="00654D24">
        <w:noBreakHyphen/>
      </w:r>
      <w:r>
        <w:t xml:space="preserve">14 a base fee </w:t>
      </w:r>
      <w:r w:rsidR="00654D24">
        <w:t xml:space="preserve">of $7,500 </w:t>
      </w:r>
      <w:r>
        <w:t xml:space="preserve">was set for the electricity </w:t>
      </w:r>
      <w:r w:rsidR="00654D24">
        <w:t>retail sector</w:t>
      </w:r>
      <w:r>
        <w:t>. The remaining costs were distributed according to market share calculated using number of customers.</w:t>
      </w:r>
      <w:r w:rsidRPr="006303A5">
        <w:t xml:space="preserve"> </w:t>
      </w:r>
      <w:r>
        <w:t>In the electricity retail sector, fees ranged from $7,500 for retailers with no customers to $218,298 for Energy Australia, which had 627,976 customers.</w:t>
      </w:r>
    </w:p>
    <w:p w:rsidR="006303A5" w:rsidRDefault="003B1D22" w:rsidP="005D4FF0">
      <w:r>
        <w:t xml:space="preserve">An energy retailer with </w:t>
      </w:r>
      <w:r w:rsidR="0067327C">
        <w:t xml:space="preserve">2 per cent of the market would have been </w:t>
      </w:r>
      <w:r w:rsidR="00B86449">
        <w:t xml:space="preserve">charged </w:t>
      </w:r>
      <w:r w:rsidR="0067327C">
        <w:t>around $24</w:t>
      </w:r>
      <w:r>
        <w:t>,000</w:t>
      </w:r>
      <w:r w:rsidR="0067327C">
        <w:t>.</w:t>
      </w:r>
    </w:p>
    <w:p w:rsidR="009D5E50" w:rsidRDefault="009D5E50" w:rsidP="00D85385">
      <w:pPr>
        <w:pStyle w:val="Heading3"/>
      </w:pPr>
      <w:bookmarkStart w:id="181" w:name="_Toc444861427"/>
      <w:bookmarkStart w:id="182" w:name="_Toc449438585"/>
      <w:bookmarkStart w:id="183" w:name="_Toc454982047"/>
      <w:r>
        <w:t xml:space="preserve">Energy </w:t>
      </w:r>
      <w:r w:rsidR="00F70066">
        <w:t>and Water O</w:t>
      </w:r>
      <w:r>
        <w:t>mbudsman</w:t>
      </w:r>
      <w:r w:rsidR="00F70066">
        <w:t xml:space="preserve"> Victoria</w:t>
      </w:r>
      <w:bookmarkEnd w:id="181"/>
      <w:bookmarkEnd w:id="182"/>
      <w:bookmarkEnd w:id="183"/>
    </w:p>
    <w:p w:rsidR="00B9403D" w:rsidRDefault="00B9403D" w:rsidP="00B24868">
      <w:pPr>
        <w:jc w:val="both"/>
      </w:pPr>
      <w:r>
        <w:t xml:space="preserve">The </w:t>
      </w:r>
      <w:r w:rsidR="00FD725A">
        <w:t>EWOV</w:t>
      </w:r>
      <w:r w:rsidR="00B24868">
        <w:t xml:space="preserve"> </w:t>
      </w:r>
      <w:r>
        <w:t>charges annual levies to its members, including energy retailers. The levy is composed of two parts: a determined component and variable component. The determined component for a utility depends on its number of customers.</w:t>
      </w:r>
    </w:p>
    <w:p w:rsidR="00B9403D" w:rsidRPr="00B24868" w:rsidRDefault="00B86449" w:rsidP="00B24868">
      <w:pPr>
        <w:keepNext/>
        <w:rPr>
          <w:b/>
          <w:bCs/>
          <w:sz w:val="23"/>
          <w:szCs w:val="23"/>
        </w:rPr>
      </w:pPr>
      <w:r>
        <w:rPr>
          <w:b/>
          <w:bCs/>
          <w:sz w:val="23"/>
          <w:szCs w:val="23"/>
        </w:rPr>
        <w:t>Table 8</w:t>
      </w:r>
      <w:r w:rsidR="00B9403D" w:rsidRPr="00B24868">
        <w:rPr>
          <w:b/>
          <w:bCs/>
          <w:sz w:val="23"/>
          <w:szCs w:val="23"/>
        </w:rPr>
        <w:t xml:space="preserve">: </w:t>
      </w:r>
      <w:r w:rsidR="00B24868" w:rsidRPr="00B24868">
        <w:rPr>
          <w:b/>
          <w:bCs/>
          <w:sz w:val="23"/>
          <w:szCs w:val="23"/>
        </w:rPr>
        <w:t>Determined minimal fee for members of EWOV</w:t>
      </w:r>
    </w:p>
    <w:tbl>
      <w:tblPr>
        <w:tblStyle w:val="TableGrid"/>
        <w:tblW w:w="0" w:type="auto"/>
        <w:tblInd w:w="840" w:type="dxa"/>
        <w:tblLook w:val="04A0"/>
      </w:tblPr>
      <w:tblGrid>
        <w:gridCol w:w="3119"/>
        <w:gridCol w:w="3118"/>
      </w:tblGrid>
      <w:tr w:rsidR="006A65E7" w:rsidTr="00094E77">
        <w:trPr>
          <w:trHeight w:val="289"/>
          <w:tblHeader/>
        </w:trPr>
        <w:tc>
          <w:tcPr>
            <w:tcW w:w="3119" w:type="dxa"/>
            <w:tcBorders>
              <w:bottom w:val="single" w:sz="4" w:space="0" w:color="auto"/>
            </w:tcBorders>
            <w:vAlign w:val="center"/>
          </w:tcPr>
          <w:p w:rsidR="006A65E7" w:rsidRDefault="006A65E7" w:rsidP="005E4F41">
            <w:pPr>
              <w:spacing w:after="0"/>
              <w:jc w:val="center"/>
            </w:pPr>
            <w:r>
              <w:t>Customer numbers</w:t>
            </w:r>
          </w:p>
        </w:tc>
        <w:tc>
          <w:tcPr>
            <w:tcW w:w="3118" w:type="dxa"/>
            <w:tcBorders>
              <w:bottom w:val="single" w:sz="4" w:space="0" w:color="auto"/>
            </w:tcBorders>
            <w:vAlign w:val="center"/>
          </w:tcPr>
          <w:p w:rsidR="006A65E7" w:rsidRDefault="006A65E7" w:rsidP="005E4F41">
            <w:pPr>
              <w:spacing w:after="0"/>
              <w:jc w:val="center"/>
            </w:pPr>
            <w:r>
              <w:t>Determined fee</w:t>
            </w:r>
          </w:p>
        </w:tc>
      </w:tr>
      <w:tr w:rsidR="00B9403D" w:rsidTr="005E4F41">
        <w:tc>
          <w:tcPr>
            <w:tcW w:w="3119" w:type="dxa"/>
            <w:tcBorders>
              <w:bottom w:val="nil"/>
            </w:tcBorders>
            <w:vAlign w:val="center"/>
          </w:tcPr>
          <w:p w:rsidR="00B9403D" w:rsidRDefault="00B9403D" w:rsidP="005E4F41">
            <w:pPr>
              <w:spacing w:after="0"/>
              <w:jc w:val="center"/>
            </w:pPr>
            <w:r>
              <w:t xml:space="preserve">Less than </w:t>
            </w:r>
            <w:r w:rsidR="0067327C">
              <w:t>25</w:t>
            </w:r>
            <w:r>
              <w:t>,000</w:t>
            </w:r>
          </w:p>
        </w:tc>
        <w:tc>
          <w:tcPr>
            <w:tcW w:w="3118" w:type="dxa"/>
            <w:tcBorders>
              <w:bottom w:val="nil"/>
            </w:tcBorders>
            <w:vAlign w:val="center"/>
          </w:tcPr>
          <w:p w:rsidR="00B9403D" w:rsidRDefault="00B9403D" w:rsidP="005E4F41">
            <w:pPr>
              <w:spacing w:after="0"/>
              <w:jc w:val="center"/>
            </w:pPr>
            <w:r>
              <w:t>$2,000</w:t>
            </w:r>
          </w:p>
        </w:tc>
      </w:tr>
      <w:tr w:rsidR="00B9403D" w:rsidTr="005E4F41">
        <w:tc>
          <w:tcPr>
            <w:tcW w:w="3119" w:type="dxa"/>
            <w:tcBorders>
              <w:top w:val="nil"/>
              <w:bottom w:val="nil"/>
            </w:tcBorders>
            <w:vAlign w:val="center"/>
          </w:tcPr>
          <w:p w:rsidR="00B9403D" w:rsidRDefault="0067327C" w:rsidP="005E4F41">
            <w:pPr>
              <w:spacing w:after="0"/>
              <w:jc w:val="center"/>
            </w:pPr>
            <w:r>
              <w:t xml:space="preserve">25,000 – </w:t>
            </w:r>
            <w:r w:rsidR="00B9403D">
              <w:t>99,000</w:t>
            </w:r>
          </w:p>
        </w:tc>
        <w:tc>
          <w:tcPr>
            <w:tcW w:w="3118" w:type="dxa"/>
            <w:tcBorders>
              <w:top w:val="nil"/>
              <w:bottom w:val="nil"/>
            </w:tcBorders>
            <w:vAlign w:val="center"/>
          </w:tcPr>
          <w:p w:rsidR="00B9403D" w:rsidRDefault="00B9403D" w:rsidP="005E4F41">
            <w:pPr>
              <w:spacing w:after="0"/>
              <w:jc w:val="center"/>
            </w:pPr>
            <w:r>
              <w:t>$5,000</w:t>
            </w:r>
          </w:p>
        </w:tc>
      </w:tr>
      <w:tr w:rsidR="00B9403D" w:rsidTr="005E4F41">
        <w:tc>
          <w:tcPr>
            <w:tcW w:w="3119" w:type="dxa"/>
            <w:tcBorders>
              <w:top w:val="nil"/>
              <w:bottom w:val="nil"/>
            </w:tcBorders>
            <w:vAlign w:val="center"/>
          </w:tcPr>
          <w:p w:rsidR="00B9403D" w:rsidRDefault="0067327C" w:rsidP="005E4F41">
            <w:pPr>
              <w:spacing w:after="0"/>
              <w:jc w:val="center"/>
            </w:pPr>
            <w:r>
              <w:t>1</w:t>
            </w:r>
            <w:r w:rsidR="00B9403D">
              <w:t xml:space="preserve">00,000 – </w:t>
            </w:r>
            <w:r>
              <w:t>249</w:t>
            </w:r>
            <w:r w:rsidR="00B9403D">
              <w:t>,000</w:t>
            </w:r>
          </w:p>
        </w:tc>
        <w:tc>
          <w:tcPr>
            <w:tcW w:w="3118" w:type="dxa"/>
            <w:tcBorders>
              <w:top w:val="nil"/>
              <w:bottom w:val="nil"/>
            </w:tcBorders>
            <w:vAlign w:val="center"/>
          </w:tcPr>
          <w:p w:rsidR="00B9403D" w:rsidRDefault="00B9403D" w:rsidP="005E4F41">
            <w:pPr>
              <w:spacing w:after="0"/>
              <w:jc w:val="center"/>
            </w:pPr>
            <w:r>
              <w:t>$10,000</w:t>
            </w:r>
          </w:p>
        </w:tc>
      </w:tr>
      <w:tr w:rsidR="00B9403D" w:rsidTr="005E4F41">
        <w:tc>
          <w:tcPr>
            <w:tcW w:w="3119" w:type="dxa"/>
            <w:tcBorders>
              <w:top w:val="nil"/>
            </w:tcBorders>
            <w:vAlign w:val="center"/>
          </w:tcPr>
          <w:p w:rsidR="00B9403D" w:rsidRDefault="0067327C" w:rsidP="005E4F41">
            <w:pPr>
              <w:spacing w:after="0"/>
              <w:jc w:val="center"/>
            </w:pPr>
            <w:r>
              <w:t>25</w:t>
            </w:r>
            <w:r w:rsidR="00B9403D">
              <w:t>0,000 or more</w:t>
            </w:r>
          </w:p>
        </w:tc>
        <w:tc>
          <w:tcPr>
            <w:tcW w:w="3118" w:type="dxa"/>
            <w:tcBorders>
              <w:top w:val="nil"/>
            </w:tcBorders>
            <w:vAlign w:val="center"/>
          </w:tcPr>
          <w:p w:rsidR="00B9403D" w:rsidRDefault="00B9403D" w:rsidP="005E4F41">
            <w:pPr>
              <w:spacing w:after="0"/>
              <w:jc w:val="center"/>
            </w:pPr>
            <w:r>
              <w:t>$20,000</w:t>
            </w:r>
          </w:p>
        </w:tc>
      </w:tr>
    </w:tbl>
    <w:p w:rsidR="00B9403D" w:rsidRPr="00B9403D" w:rsidRDefault="00B9403D" w:rsidP="005E4F41">
      <w:pPr>
        <w:spacing w:after="0"/>
        <w:rPr>
          <w:i/>
        </w:rPr>
      </w:pPr>
      <w:r w:rsidRPr="00B9403D">
        <w:rPr>
          <w:i/>
        </w:rPr>
        <w:t>Source: EWOV Constitution 2010</w:t>
      </w:r>
      <w:r w:rsidR="00E1745B">
        <w:rPr>
          <w:i/>
        </w:rPr>
        <w:t xml:space="preserve"> </w:t>
      </w:r>
      <w:r w:rsidR="00B24868">
        <w:rPr>
          <w:i/>
        </w:rPr>
        <w:t>(</w:t>
      </w:r>
      <w:r w:rsidRPr="00B9403D">
        <w:rPr>
          <w:i/>
        </w:rPr>
        <w:t>p 8</w:t>
      </w:r>
      <w:r w:rsidR="00B24868">
        <w:rPr>
          <w:i/>
        </w:rPr>
        <w:t>)</w:t>
      </w:r>
      <w:r w:rsidR="0067327C">
        <w:rPr>
          <w:i/>
        </w:rPr>
        <w:t xml:space="preserve"> (Note the definition of ‘customer number’ on p</w:t>
      </w:r>
      <w:r w:rsidR="00694AD5">
        <w:rPr>
          <w:i/>
        </w:rPr>
        <w:t>p 2-3</w:t>
      </w:r>
      <w:r w:rsidR="0067327C">
        <w:rPr>
          <w:i/>
        </w:rPr>
        <w:t>)</w:t>
      </w:r>
    </w:p>
    <w:p w:rsidR="00B9403D" w:rsidRDefault="00B9403D" w:rsidP="008D735B">
      <w:pPr>
        <w:spacing w:before="240"/>
        <w:jc w:val="both"/>
      </w:pPr>
      <w:r>
        <w:t xml:space="preserve">The remaining </w:t>
      </w:r>
      <w:r w:rsidR="00B05E6F">
        <w:t xml:space="preserve">component of </w:t>
      </w:r>
      <w:r w:rsidR="00B86449">
        <w:t>the l</w:t>
      </w:r>
      <w:r w:rsidR="00576BCC">
        <w:t>evy</w:t>
      </w:r>
      <w:r w:rsidR="00B05E6F">
        <w:t>, as determined by the EWOV board, is distributed between participants on a users pay method.</w:t>
      </w:r>
      <w:r w:rsidR="0067327C">
        <w:t xml:space="preserve"> The remaining component is the significant </w:t>
      </w:r>
      <w:r w:rsidR="00FD725A">
        <w:t>part of the Ombudsman’s costs.</w:t>
      </w:r>
    </w:p>
    <w:p w:rsidR="00EE5E98" w:rsidRDefault="00D8353C" w:rsidP="008D735B">
      <w:pPr>
        <w:jc w:val="both"/>
      </w:pPr>
      <w:r>
        <w:t>Extrapolating from data in t</w:t>
      </w:r>
      <w:r w:rsidR="00FD725A">
        <w:t>he EWOV annual report for 2013-14</w:t>
      </w:r>
      <w:r>
        <w:t xml:space="preserve">, the average </w:t>
      </w:r>
      <w:proofErr w:type="spellStart"/>
      <w:r>
        <w:t>case</w:t>
      </w:r>
      <w:proofErr w:type="spellEnd"/>
      <w:r>
        <w:t xml:space="preserve"> cost was $190, and there were 84,758 cases.</w:t>
      </w:r>
      <w:r w:rsidR="00EE5E98">
        <w:rPr>
          <w:rStyle w:val="FootnoteReference"/>
        </w:rPr>
        <w:footnoteReference w:id="27"/>
      </w:r>
      <w:r>
        <w:t xml:space="preserve"> </w:t>
      </w:r>
    </w:p>
    <w:p w:rsidR="009D5E50" w:rsidRDefault="009D5E50" w:rsidP="00D85385">
      <w:pPr>
        <w:pStyle w:val="Heading3"/>
      </w:pPr>
      <w:bookmarkStart w:id="184" w:name="_Toc444861428"/>
      <w:bookmarkStart w:id="185" w:name="_Toc449438586"/>
      <w:bookmarkStart w:id="186" w:name="_Toc454982048"/>
      <w:r>
        <w:t>National costs</w:t>
      </w:r>
      <w:bookmarkEnd w:id="184"/>
      <w:bookmarkEnd w:id="185"/>
      <w:bookmarkEnd w:id="186"/>
    </w:p>
    <w:p w:rsidR="008C1CD5" w:rsidRDefault="00F97514" w:rsidP="008D735B">
      <w:pPr>
        <w:jc w:val="both"/>
      </w:pPr>
      <w:r>
        <w:t>T</w:t>
      </w:r>
      <w:r w:rsidR="006C7441">
        <w:t xml:space="preserve">he 2013-14 appropriations for </w:t>
      </w:r>
      <w:r>
        <w:t>Victoria</w:t>
      </w:r>
      <w:r w:rsidR="006C7441">
        <w:t xml:space="preserve"> </w:t>
      </w:r>
      <w:r>
        <w:t>include funding AEMC at</w:t>
      </w:r>
      <w:r w:rsidR="006C7441">
        <w:t xml:space="preserve"> $1,475,000 for the Primary Industries </w:t>
      </w:r>
      <w:r>
        <w:t>D</w:t>
      </w:r>
      <w:r w:rsidR="006C7441">
        <w:t>epartment</w:t>
      </w:r>
      <w:r>
        <w:t xml:space="preserve">. </w:t>
      </w:r>
      <w:r w:rsidR="00DB4483">
        <w:t xml:space="preserve">As with the ACT contribution </w:t>
      </w:r>
      <w:r w:rsidR="00A43FD9">
        <w:t>t</w:t>
      </w:r>
      <w:r w:rsidR="00DB4483">
        <w:t>o funding the AE</w:t>
      </w:r>
      <w:r w:rsidR="00654D24">
        <w:t>M</w:t>
      </w:r>
      <w:r w:rsidR="00DB4483">
        <w:t xml:space="preserve">C, this is based on the population of Victoria. </w:t>
      </w:r>
    </w:p>
    <w:p w:rsidR="009D5E50" w:rsidRDefault="00DB4483" w:rsidP="00DB4483">
      <w:pPr>
        <w:pStyle w:val="Heading2"/>
      </w:pPr>
      <w:bookmarkStart w:id="187" w:name="_Toc444861429"/>
      <w:bookmarkStart w:id="188" w:name="_Toc449438587"/>
      <w:bookmarkStart w:id="189" w:name="_Toc454982049"/>
      <w:r>
        <w:t>New South Wales</w:t>
      </w:r>
      <w:bookmarkEnd w:id="187"/>
      <w:bookmarkEnd w:id="188"/>
      <w:bookmarkEnd w:id="189"/>
    </w:p>
    <w:p w:rsidR="00DB4483" w:rsidRDefault="006B4C36" w:rsidP="008D735B">
      <w:pPr>
        <w:jc w:val="both"/>
      </w:pPr>
      <w:r>
        <w:t>The</w:t>
      </w:r>
      <w:r w:rsidR="007961B7">
        <w:t xml:space="preserve"> only regulatory cost recovered by electricity retailers in NSW is for membership in the Energy &amp; Water Ombudsman NSW (EWON). Retailers had been required to be licensed by the Independent Pricing &amp; Regulatory Tribunal (IPART), paying associated fees, but this role has been taken over by the AER. As far as this investigation has been able to determine, there are no longer any </w:t>
      </w:r>
      <w:r>
        <w:t xml:space="preserve">other </w:t>
      </w:r>
      <w:r w:rsidR="007961B7">
        <w:t>fees or levies for electricity retailers in NSW.</w:t>
      </w:r>
      <w:r>
        <w:t xml:space="preserve"> IPART confirmed they do not charge any levies to retailers.</w:t>
      </w:r>
    </w:p>
    <w:p w:rsidR="00F90ED1" w:rsidRDefault="007961B7" w:rsidP="008D735B">
      <w:pPr>
        <w:jc w:val="both"/>
      </w:pPr>
      <w:r>
        <w:t xml:space="preserve">As with Victoria, </w:t>
      </w:r>
      <w:r w:rsidR="00F70066">
        <w:t>e</w:t>
      </w:r>
      <w:r w:rsidR="006B4C36">
        <w:t>lectricity retailers pay member</w:t>
      </w:r>
      <w:r w:rsidR="00F70066">
        <w:t>ship fees to the energy ombudsman. NSW membership fees are calculated from a fixed fees</w:t>
      </w:r>
      <w:r w:rsidR="000F01CD">
        <w:t xml:space="preserve"> ($953,641 in 2013-14)</w:t>
      </w:r>
      <w:r w:rsidR="00F70066">
        <w:t xml:space="preserve"> and cases fees</w:t>
      </w:r>
      <w:r w:rsidR="000F01CD">
        <w:t xml:space="preserve"> ($11,079,896 in 2013-14)</w:t>
      </w:r>
      <w:r w:rsidR="00F70066">
        <w:t>.</w:t>
      </w:r>
      <w:r w:rsidR="000F01CD">
        <w:rPr>
          <w:rStyle w:val="FootnoteReference"/>
        </w:rPr>
        <w:footnoteReference w:id="28"/>
      </w:r>
      <w:r w:rsidR="000F01CD">
        <w:t xml:space="preserve"> </w:t>
      </w:r>
      <w:r w:rsidR="00F90ED1">
        <w:t>The average case fee was $290.</w:t>
      </w:r>
    </w:p>
    <w:p w:rsidR="00F90ED1" w:rsidRDefault="00F90ED1" w:rsidP="008D735B">
      <w:pPr>
        <w:jc w:val="both"/>
      </w:pPr>
      <w:r>
        <w:t>If fixed fees were distributed uniformly across members, the fixed fee for a utility would have been $21,192. However, the fixed fees are likely distributed according to customer numbers and a small electricity retailer is likely to pay less than this.</w:t>
      </w:r>
    </w:p>
    <w:sectPr w:rsidR="00F90ED1" w:rsidSect="00527B1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359" w:rsidRDefault="00775359" w:rsidP="00544490">
      <w:pPr>
        <w:spacing w:after="0" w:line="240" w:lineRule="auto"/>
      </w:pPr>
      <w:r>
        <w:separator/>
      </w:r>
    </w:p>
  </w:endnote>
  <w:endnote w:type="continuationSeparator" w:id="0">
    <w:p w:rsidR="00775359" w:rsidRDefault="00775359" w:rsidP="005444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86026"/>
      <w:docPartObj>
        <w:docPartGallery w:val="Page Numbers (Bottom of Page)"/>
        <w:docPartUnique/>
      </w:docPartObj>
    </w:sdtPr>
    <w:sdtContent>
      <w:p w:rsidR="00775359" w:rsidRDefault="00775359">
        <w:pPr>
          <w:pStyle w:val="Footer"/>
        </w:pPr>
      </w:p>
      <w:p w:rsidR="00775359" w:rsidRDefault="00775359">
        <w:pPr>
          <w:pStyle w:val="Footer"/>
        </w:pPr>
        <w:fldSimple w:instr=" PAGE   \* MERGEFORMAT ">
          <w:r w:rsidR="00D2452B">
            <w:rPr>
              <w:noProof/>
            </w:rPr>
            <w:t>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86028"/>
      <w:docPartObj>
        <w:docPartGallery w:val="Page Numbers (Bottom of Page)"/>
        <w:docPartUnique/>
      </w:docPartObj>
    </w:sdtPr>
    <w:sdtContent>
      <w:p w:rsidR="00775359" w:rsidRDefault="00775359">
        <w:pPr>
          <w:pStyle w:val="Footer"/>
          <w:jc w:val="right"/>
        </w:pPr>
      </w:p>
      <w:p w:rsidR="00775359" w:rsidRDefault="00775359" w:rsidP="00E37A8A">
        <w:pPr>
          <w:pStyle w:val="Footer"/>
          <w:jc w:val="right"/>
        </w:pPr>
        <w:fldSimple w:instr=" PAGE   \* MERGEFORMAT ">
          <w:r w:rsidR="00D2452B">
            <w:rPr>
              <w:noProof/>
            </w:rPr>
            <w:t>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359" w:rsidRDefault="00775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359" w:rsidRDefault="00775359" w:rsidP="00544490">
      <w:pPr>
        <w:spacing w:after="0" w:line="240" w:lineRule="auto"/>
      </w:pPr>
      <w:r>
        <w:separator/>
      </w:r>
    </w:p>
  </w:footnote>
  <w:footnote w:type="continuationSeparator" w:id="0">
    <w:p w:rsidR="00775359" w:rsidRDefault="00775359" w:rsidP="00544490">
      <w:pPr>
        <w:spacing w:after="0" w:line="240" w:lineRule="auto"/>
      </w:pPr>
      <w:r>
        <w:continuationSeparator/>
      </w:r>
    </w:p>
  </w:footnote>
  <w:footnote w:id="1">
    <w:p w:rsidR="00775359" w:rsidRDefault="00775359">
      <w:pPr>
        <w:pStyle w:val="FootnoteText"/>
      </w:pPr>
      <w:r>
        <w:rPr>
          <w:rStyle w:val="FootnoteReference"/>
        </w:rPr>
        <w:footnoteRef/>
      </w:r>
      <w:r>
        <w:t xml:space="preserve"> The Investigation Discussion Paper is available at </w:t>
      </w:r>
      <w:hyperlink r:id="rId1" w:history="1">
        <w:r w:rsidRPr="002E62F4">
          <w:rPr>
            <w:rStyle w:val="Hyperlink"/>
          </w:rPr>
          <w:t>http://apps.treasury.act.gov.au/__data/assets/word_doc/0010/807193/Investigation-of-the-ACT-Energy-Industry-Levy-Discussion-Paper-December-2015.doc</w:t>
        </w:r>
      </w:hyperlink>
      <w:r>
        <w:t xml:space="preserve"> </w:t>
      </w:r>
    </w:p>
  </w:footnote>
  <w:footnote w:id="2">
    <w:p w:rsidR="00775359" w:rsidRDefault="00775359" w:rsidP="008D735B">
      <w:pPr>
        <w:pStyle w:val="FootnoteText"/>
        <w:jc w:val="both"/>
      </w:pPr>
      <w:r>
        <w:rPr>
          <w:rStyle w:val="FootnoteReference"/>
        </w:rPr>
        <w:footnoteRef/>
      </w:r>
      <w:r>
        <w:t xml:space="preserve"> Part 3A of the Act, this report, and the investigation discussion paper use ‘utility’, ‘operator’, and ‘firm’ interchangeably to refer to firms operating in the four energy industry sectors. This report uses the phase ‘energy supplied’ as neutral between energy provided by distributers or sold by retailers.</w:t>
      </w:r>
    </w:p>
  </w:footnote>
  <w:footnote w:id="3">
    <w:p w:rsidR="00775359" w:rsidRDefault="00775359" w:rsidP="008D735B">
      <w:pPr>
        <w:pStyle w:val="FootnoteText"/>
        <w:jc w:val="both"/>
      </w:pPr>
      <w:r>
        <w:rPr>
          <w:rStyle w:val="FootnoteReference"/>
        </w:rPr>
        <w:footnoteRef/>
      </w:r>
      <w:r>
        <w:t xml:space="preserve"> </w:t>
      </w:r>
      <w:r w:rsidRPr="00C9488C">
        <w:t>While distributors stil</w:t>
      </w:r>
      <w:r>
        <w:t>l require licenc</w:t>
      </w:r>
      <w:r w:rsidRPr="00C9488C">
        <w:t>es from the ICRC, fees</w:t>
      </w:r>
      <w:r>
        <w:t xml:space="preserve"> for these licences have not been charged</w:t>
      </w:r>
      <w:r w:rsidRPr="00C9488C">
        <w:t>. As part of the NEM reforms, energy retailers must be authorised by the Australian Energy Regulator (AER)</w:t>
      </w:r>
      <w:r>
        <w:t>.</w:t>
      </w:r>
      <w:r w:rsidRPr="00C9488C">
        <w:t xml:space="preserve"> </w:t>
      </w:r>
      <w:r>
        <w:t>Utility licences apply to water and energy transmission utilities.</w:t>
      </w:r>
    </w:p>
  </w:footnote>
  <w:footnote w:id="4">
    <w:p w:rsidR="00775359" w:rsidRDefault="00775359" w:rsidP="004105E8">
      <w:pPr>
        <w:pStyle w:val="FootnoteText"/>
        <w:jc w:val="both"/>
      </w:pPr>
      <w:r>
        <w:rPr>
          <w:rStyle w:val="FootnoteReference"/>
        </w:rPr>
        <w:footnoteRef/>
      </w:r>
      <w:r>
        <w:t xml:space="preserve"> The ACT Technical Regulator is currently the Director-General of the Environment and Planning Directorate (EPD); however, in 2015 operational aspects of the regulator were transferred to Access Canberra.</w:t>
      </w:r>
    </w:p>
  </w:footnote>
  <w:footnote w:id="5">
    <w:p w:rsidR="00775359" w:rsidRDefault="00775359" w:rsidP="008D735B">
      <w:pPr>
        <w:pStyle w:val="FootnoteText"/>
        <w:jc w:val="both"/>
      </w:pPr>
      <w:r>
        <w:rPr>
          <w:rStyle w:val="FootnoteReference"/>
        </w:rPr>
        <w:footnoteRef/>
      </w:r>
      <w:r>
        <w:t xml:space="preserve"> In the Act, the EIL is calculated from “</w:t>
      </w:r>
      <w:r w:rsidRPr="00360691">
        <w:rPr>
          <w:i/>
        </w:rPr>
        <w:t>net</w:t>
      </w:r>
      <w:r>
        <w:t xml:space="preserve"> regulatory cost”. This is the result of subtracting the total amount of annual licence fees from the total regulatory cost. As there are currently no licence fee charges for these energy sectors, net regulatory cost and regulatory cost amount to the same thing. For simplicity, this report conflates the two concepts.</w:t>
      </w:r>
    </w:p>
  </w:footnote>
  <w:footnote w:id="6">
    <w:p w:rsidR="00775359" w:rsidRDefault="00775359" w:rsidP="003B1DCC">
      <w:pPr>
        <w:pStyle w:val="FootnoteText"/>
        <w:jc w:val="both"/>
      </w:pPr>
      <w:r>
        <w:rPr>
          <w:rStyle w:val="FootnoteReference"/>
        </w:rPr>
        <w:footnoteRef/>
      </w:r>
      <w:r>
        <w:t xml:space="preserve"> When the Terms of Reference were given, this read “</w:t>
      </w:r>
      <w:r w:rsidRPr="00A10200">
        <w:t>if improvements are suggested, whether a retrospective adjustment will apply to the 2016</w:t>
      </w:r>
      <w:r w:rsidRPr="00A10200">
        <w:noBreakHyphen/>
        <w:t>17 EIL for the 2015</w:t>
      </w:r>
      <w:r w:rsidRPr="00A10200">
        <w:noBreakHyphen/>
      </w:r>
      <w:r>
        <w:t>16 EIL paid”. These can no longer be the transitionary years for the Levy structure. The report, technical report, and recommendations of the investigation have been written with this in mind.</w:t>
      </w:r>
    </w:p>
  </w:footnote>
  <w:footnote w:id="7">
    <w:p w:rsidR="00775359" w:rsidRDefault="00775359" w:rsidP="00E61AF9">
      <w:pPr>
        <w:pStyle w:val="FootnoteText"/>
      </w:pPr>
      <w:r>
        <w:rPr>
          <w:rStyle w:val="FootnoteReference"/>
        </w:rPr>
        <w:footnoteRef/>
      </w:r>
      <w:r>
        <w:t xml:space="preserve"> The figures in this table do not include any adjustment to the EIL that may be applicable in the outlined year.  </w:t>
      </w:r>
    </w:p>
  </w:footnote>
  <w:footnote w:id="8">
    <w:p w:rsidR="00775359" w:rsidRDefault="00775359" w:rsidP="004105E8">
      <w:pPr>
        <w:pStyle w:val="FootnoteText"/>
      </w:pPr>
      <w:r>
        <w:rPr>
          <w:rStyle w:val="FootnoteReference"/>
        </w:rPr>
        <w:footnoteRef/>
      </w:r>
      <w:r>
        <w:t xml:space="preserve"> This data is collected by the Australian Energy Regulator (AER) and is available from its website: </w:t>
      </w:r>
      <w:hyperlink r:id="rId2" w:history="1">
        <w:r w:rsidRPr="006C563D">
          <w:rPr>
            <w:rStyle w:val="Hyperlink"/>
          </w:rPr>
          <w:t>http://www.aer.gov.au/retail-markets/retail-statistics/act-small-customers</w:t>
        </w:r>
      </w:hyperlink>
      <w:r>
        <w:t xml:space="preserve">  (visited 22 February 2016).</w:t>
      </w:r>
    </w:p>
  </w:footnote>
  <w:footnote w:id="9">
    <w:p w:rsidR="00775359" w:rsidRDefault="00775359" w:rsidP="008D735B">
      <w:pPr>
        <w:pStyle w:val="FootnoteText"/>
        <w:jc w:val="both"/>
      </w:pPr>
      <w:r>
        <w:rPr>
          <w:rStyle w:val="FootnoteReference"/>
        </w:rPr>
        <w:footnoteRef/>
      </w:r>
      <w:r>
        <w:t xml:space="preserve"> </w:t>
      </w:r>
      <w:r w:rsidRPr="000E2313">
        <w:t xml:space="preserve">The variables used in the levy formula for the number of participants and the energy provided are determined by the Act </w:t>
      </w:r>
      <w:r>
        <w:t xml:space="preserve">to be the number of operators </w:t>
      </w:r>
      <w:r w:rsidRPr="000E2313">
        <w:t xml:space="preserve">that provided energy at any time before 15 September </w:t>
      </w:r>
      <w:r>
        <w:t xml:space="preserve">in that levy year </w:t>
      </w:r>
      <w:r w:rsidRPr="000E2313">
        <w:t xml:space="preserve">and </w:t>
      </w:r>
      <w:r>
        <w:t xml:space="preserve">the amount of </w:t>
      </w:r>
      <w:r w:rsidRPr="000E2313">
        <w:t>energy provided in the previous year</w:t>
      </w:r>
      <w:r>
        <w:t>, respectively</w:t>
      </w:r>
      <w:r w:rsidRPr="000E2313">
        <w:t xml:space="preserve">. Nonetheless, these figures operate as estimates </w:t>
      </w:r>
      <w:r>
        <w:t>and are subject to the same corrections as the other variables.</w:t>
      </w:r>
    </w:p>
  </w:footnote>
  <w:footnote w:id="10">
    <w:p w:rsidR="00775359" w:rsidRDefault="00775359">
      <w:pPr>
        <w:pStyle w:val="FootnoteText"/>
      </w:pPr>
      <w:r>
        <w:rPr>
          <w:rStyle w:val="FootnoteReference"/>
        </w:rPr>
        <w:footnoteRef/>
      </w:r>
      <w:r>
        <w:t xml:space="preserve"> ACT Taxation Review, 2012, ACT Government. The Review is available online at </w:t>
      </w:r>
      <w:hyperlink r:id="rId3" w:history="1">
        <w:r w:rsidRPr="006C563D">
          <w:rPr>
            <w:rStyle w:val="Hyperlink"/>
          </w:rPr>
          <w:t>http://www.treasury.act.gov.au/documents/ACT%20Taxation%20Review/ACT%20Taxation%20Review%20May%202012.pdf</w:t>
        </w:r>
      </w:hyperlink>
      <w:r>
        <w:t xml:space="preserve"> </w:t>
      </w:r>
    </w:p>
  </w:footnote>
  <w:footnote w:id="11">
    <w:p w:rsidR="00775359" w:rsidRDefault="00775359" w:rsidP="004105E8">
      <w:pPr>
        <w:pStyle w:val="FootnoteText"/>
      </w:pPr>
      <w:r>
        <w:rPr>
          <w:rStyle w:val="FootnoteReference"/>
        </w:rPr>
        <w:footnoteRef/>
      </w:r>
      <w:r>
        <w:t xml:space="preserve"> Australian Government Cost Recovery Guidelines, Third edition, 2014, Commonwealth of Australia. The guidelines are available online at </w:t>
      </w:r>
      <w:hyperlink r:id="rId4" w:history="1">
        <w:r w:rsidRPr="006C563D">
          <w:rPr>
            <w:rStyle w:val="Hyperlink"/>
          </w:rPr>
          <w:t>http://www.finance.gov.au/sites/default/files/australian-government-cost-recovery-guidelines_0.pdf</w:t>
        </w:r>
      </w:hyperlink>
      <w:r>
        <w:t xml:space="preserve"> </w:t>
      </w:r>
    </w:p>
  </w:footnote>
  <w:footnote w:id="12">
    <w:p w:rsidR="00775359" w:rsidRDefault="00775359">
      <w:pPr>
        <w:pStyle w:val="FootnoteText"/>
      </w:pPr>
      <w:r>
        <w:rPr>
          <w:rStyle w:val="FootnoteReference"/>
        </w:rPr>
        <w:footnoteRef/>
      </w:r>
      <w:r>
        <w:t xml:space="preserve"> </w:t>
      </w:r>
      <w:proofErr w:type="gramStart"/>
      <w:r>
        <w:t>CRGs p 39.</w:t>
      </w:r>
      <w:proofErr w:type="gramEnd"/>
    </w:p>
  </w:footnote>
  <w:footnote w:id="13">
    <w:p w:rsidR="00775359" w:rsidRDefault="00775359">
      <w:pPr>
        <w:pStyle w:val="FootnoteText"/>
      </w:pPr>
      <w:r>
        <w:rPr>
          <w:rStyle w:val="FootnoteReference"/>
        </w:rPr>
        <w:footnoteRef/>
      </w:r>
      <w:r>
        <w:t xml:space="preserve">  T</w:t>
      </w:r>
      <w:r w:rsidRPr="00C3761B">
        <w:t xml:space="preserve">he </w:t>
      </w:r>
      <w:r w:rsidRPr="00104AA1">
        <w:rPr>
          <w:i/>
        </w:rPr>
        <w:t>Utilities Act (2000)</w:t>
      </w:r>
      <w:r w:rsidRPr="00C3761B">
        <w:t xml:space="preserve">, Section </w:t>
      </w:r>
      <w:r>
        <w:t xml:space="preserve">54G, available at </w:t>
      </w:r>
      <w:hyperlink r:id="rId5" w:history="1">
        <w:r w:rsidRPr="006C563D">
          <w:rPr>
            <w:rStyle w:val="Hyperlink"/>
          </w:rPr>
          <w:t>http://www.legislation.act.gov.au/a/2000-65/default.asp</w:t>
        </w:r>
      </w:hyperlink>
      <w:r>
        <w:t xml:space="preserve"> </w:t>
      </w:r>
    </w:p>
  </w:footnote>
  <w:footnote w:id="14">
    <w:p w:rsidR="00775359" w:rsidRDefault="00775359">
      <w:pPr>
        <w:pStyle w:val="FootnoteText"/>
      </w:pPr>
      <w:r>
        <w:rPr>
          <w:rStyle w:val="FootnoteReference"/>
        </w:rPr>
        <w:footnoteRef/>
      </w:r>
      <w:r>
        <w:t xml:space="preserve"> T</w:t>
      </w:r>
      <w:r w:rsidRPr="00C3761B">
        <w:t xml:space="preserve">he </w:t>
      </w:r>
      <w:r w:rsidRPr="00104AA1">
        <w:rPr>
          <w:i/>
        </w:rPr>
        <w:t>Utilities Act (2000)</w:t>
      </w:r>
      <w:r w:rsidRPr="00C3761B">
        <w:t xml:space="preserve">, Section </w:t>
      </w:r>
      <w:r>
        <w:t xml:space="preserve">54G, available at </w:t>
      </w:r>
      <w:hyperlink r:id="rId6" w:history="1">
        <w:r w:rsidRPr="006C563D">
          <w:rPr>
            <w:rStyle w:val="Hyperlink"/>
          </w:rPr>
          <w:t>http://www.legislation.act.gov.au/a/2000-65/default.asp</w:t>
        </w:r>
      </w:hyperlink>
    </w:p>
  </w:footnote>
  <w:footnote w:id="15">
    <w:p w:rsidR="00775359" w:rsidRDefault="00775359" w:rsidP="003B1DCC">
      <w:pPr>
        <w:pStyle w:val="FootnoteText"/>
        <w:jc w:val="both"/>
      </w:pPr>
      <w:r>
        <w:rPr>
          <w:rStyle w:val="FootnoteReference"/>
        </w:rPr>
        <w:footnoteRef/>
      </w:r>
      <w:r>
        <w:t xml:space="preserve"> The scores in the table are for a tiered system of pre-determined fees. If the fees were uniform across an energy sector, the system would either score worse on fairness and competition or on cost recovery.</w:t>
      </w:r>
    </w:p>
  </w:footnote>
  <w:footnote w:id="16">
    <w:p w:rsidR="00775359" w:rsidRDefault="00775359">
      <w:pPr>
        <w:pStyle w:val="FootnoteText"/>
      </w:pPr>
      <w:r>
        <w:rPr>
          <w:rStyle w:val="FootnoteReference"/>
        </w:rPr>
        <w:footnoteRef/>
      </w:r>
      <w:r>
        <w:t xml:space="preserve"> Australian Energy Market Agreement, 2004 p 19, available online at </w:t>
      </w:r>
      <w:hyperlink r:id="rId7" w:history="1">
        <w:r w:rsidRPr="006C563D">
          <w:rPr>
            <w:rStyle w:val="Hyperlink"/>
          </w:rPr>
          <w:t>http://www.efa.com.au/Library/AustralianEnergyMarketAgreement.pdf</w:t>
        </w:r>
      </w:hyperlink>
      <w:r>
        <w:t xml:space="preserve"> </w:t>
      </w:r>
    </w:p>
  </w:footnote>
  <w:footnote w:id="17">
    <w:p w:rsidR="00775359" w:rsidRDefault="00775359" w:rsidP="008D735B">
      <w:pPr>
        <w:pStyle w:val="FootnoteText"/>
        <w:jc w:val="both"/>
      </w:pPr>
      <w:r>
        <w:rPr>
          <w:rStyle w:val="FootnoteReference"/>
        </w:rPr>
        <w:footnoteRef/>
      </w:r>
      <w:r>
        <w:t xml:space="preserve"> Notice of Amendment to the Australian Energy Market Agreement, 2009, p24, available online at </w:t>
      </w:r>
      <w:hyperlink r:id="rId8" w:history="1">
        <w:r w:rsidRPr="006C563D">
          <w:rPr>
            <w:rStyle w:val="Hyperlink"/>
          </w:rPr>
          <w:t>https://www.coag.gov.au/sites/default/files/energy_market_agreement_signed.pdf</w:t>
        </w:r>
      </w:hyperlink>
      <w:r>
        <w:t xml:space="preserve"> </w:t>
      </w:r>
    </w:p>
  </w:footnote>
  <w:footnote w:id="18">
    <w:p w:rsidR="00775359" w:rsidRDefault="00775359" w:rsidP="008D735B">
      <w:pPr>
        <w:pStyle w:val="FootnoteText"/>
        <w:jc w:val="both"/>
      </w:pPr>
      <w:r>
        <w:rPr>
          <w:rStyle w:val="FootnoteReference"/>
        </w:rPr>
        <w:footnoteRef/>
      </w:r>
      <w:r>
        <w:t xml:space="preserve"> In fact, these are predominantly assigned to the distribution sectors, but this was only evident to the investigation due to the ICRC submission and through consultation with the ICRC and the Technical Regulator. There is no mention of this in the explanatory statements for the relevant determinations.</w:t>
      </w:r>
    </w:p>
  </w:footnote>
  <w:footnote w:id="19">
    <w:p w:rsidR="00775359" w:rsidRDefault="00775359">
      <w:pPr>
        <w:pStyle w:val="FootnoteText"/>
      </w:pPr>
      <w:r>
        <w:rPr>
          <w:rStyle w:val="FootnoteReference"/>
        </w:rPr>
        <w:footnoteRef/>
      </w:r>
      <w:r>
        <w:t xml:space="preserve"> The COAG Energy Council replaced the Ministerial Council on Energy, which is mentioned in the Act.</w:t>
      </w:r>
    </w:p>
  </w:footnote>
  <w:footnote w:id="20">
    <w:p w:rsidR="00775359" w:rsidRDefault="00775359">
      <w:pPr>
        <w:pStyle w:val="FootnoteText"/>
      </w:pPr>
      <w:r>
        <w:rPr>
          <w:rStyle w:val="FootnoteReference"/>
        </w:rPr>
        <w:footnoteRef/>
      </w:r>
      <w:r>
        <w:t xml:space="preserve"> </w:t>
      </w:r>
      <w:proofErr w:type="gramStart"/>
      <w:r>
        <w:t>CRGs p 11.</w:t>
      </w:r>
      <w:proofErr w:type="gramEnd"/>
    </w:p>
  </w:footnote>
  <w:footnote w:id="21">
    <w:p w:rsidR="00775359" w:rsidRDefault="00775359">
      <w:pPr>
        <w:pStyle w:val="FootnoteText"/>
      </w:pPr>
      <w:r>
        <w:rPr>
          <w:rStyle w:val="FootnoteReference"/>
        </w:rPr>
        <w:footnoteRef/>
      </w:r>
      <w:r>
        <w:t xml:space="preserve"> Annual Report 2014-15, Australian Capital Territory Civil &amp; Administrative Tribunal, p 23.</w:t>
      </w:r>
    </w:p>
  </w:footnote>
  <w:footnote w:id="22">
    <w:p w:rsidR="00775359" w:rsidRDefault="00775359" w:rsidP="00656DB7">
      <w:pPr>
        <w:pStyle w:val="FootnoteText"/>
        <w:jc w:val="both"/>
      </w:pPr>
      <w:r>
        <w:rPr>
          <w:rStyle w:val="FootnoteReference"/>
        </w:rPr>
        <w:footnoteRef/>
      </w:r>
      <w:r>
        <w:t xml:space="preserve"> Alternatively, </w:t>
      </w:r>
      <m:oMath>
        <m:r>
          <w:rPr>
            <w:rFonts w:ascii="Cambria Math" w:hAnsi="Cambria Math"/>
          </w:rPr>
          <m:t>N</m:t>
        </m:r>
        <m:sSubSup>
          <m:sSubSupPr>
            <m:ctrlPr>
              <w:rPr>
                <w:rFonts w:ascii="Cambria Math" w:hAnsi="Cambria Math"/>
                <w:i/>
              </w:rPr>
            </m:ctrlPr>
          </m:sSubSupPr>
          <m:e>
            <m:r>
              <w:rPr>
                <w:rFonts w:ascii="Cambria Math" w:hAnsi="Cambria Math"/>
              </w:rPr>
              <m:t>C</m:t>
            </m:r>
          </m:e>
          <m:sub>
            <m:r>
              <w:rPr>
                <w:rFonts w:ascii="Cambria Math" w:hAnsi="Cambria Math"/>
              </w:rPr>
              <m:t>t</m:t>
            </m:r>
          </m:sub>
          <m:sup>
            <m:r>
              <w:rPr>
                <w:rFonts w:ascii="Cambria Math" w:hAnsi="Cambria Math"/>
              </w:rPr>
              <m:t>e</m:t>
            </m:r>
          </m:sup>
        </m:sSubSup>
      </m:oMath>
      <w:r>
        <w:t xml:space="preserve"> and </w:t>
      </w:r>
      <m:oMath>
        <m:sSubSup>
          <m:sSubSupPr>
            <m:ctrlPr>
              <w:rPr>
                <w:rFonts w:ascii="Cambria Math" w:hAnsi="Cambria Math"/>
                <w:i/>
              </w:rPr>
            </m:ctrlPr>
          </m:sSubSupPr>
          <m:e>
            <m:r>
              <w:rPr>
                <w:rFonts w:ascii="Cambria Math" w:hAnsi="Cambria Math"/>
              </w:rPr>
              <m:t>M</m:t>
            </m:r>
          </m:e>
          <m:sub>
            <m:r>
              <w:rPr>
                <w:rFonts w:ascii="Cambria Math" w:hAnsi="Cambria Math"/>
              </w:rPr>
              <m:t>t</m:t>
            </m:r>
          </m:sub>
          <m:sup>
            <m:r>
              <w:rPr>
                <w:rFonts w:ascii="Cambria Math" w:hAnsi="Cambria Math"/>
              </w:rPr>
              <m:t>e</m:t>
            </m:r>
          </m:sup>
        </m:sSubSup>
      </m:oMath>
      <w:r>
        <w:t xml:space="preserve"> can be defined in the same way as the other variables, as the estimate of the number of utilities in the sector and the market share of the operator in </w:t>
      </w:r>
      <w:proofErr w:type="gramStart"/>
      <w:r>
        <w:t xml:space="preserve">year </w:t>
      </w:r>
      <m:oMath>
        <w:proofErr w:type="gramEnd"/>
        <m:r>
          <w:rPr>
            <w:rFonts w:ascii="Cambria Math" w:hAnsi="Cambria Math"/>
          </w:rPr>
          <m:t>t</m:t>
        </m:r>
      </m:oMath>
      <w:r>
        <w:t xml:space="preserve">. A separate clause or instrument can then be used to require the current, legislated approach to estimating these values. </w:t>
      </w:r>
    </w:p>
  </w:footnote>
  <w:footnote w:id="23">
    <w:p w:rsidR="00775359" w:rsidRDefault="00775359" w:rsidP="008D735B">
      <w:pPr>
        <w:pStyle w:val="FootnoteText"/>
        <w:jc w:val="both"/>
      </w:pPr>
      <w:r>
        <w:rPr>
          <w:rStyle w:val="FootnoteReference"/>
        </w:rPr>
        <w:footnoteRef/>
      </w:r>
      <w:r>
        <w:t xml:space="preserve"> </w:t>
      </w:r>
      <w:proofErr w:type="spellStart"/>
      <w:r>
        <w:t>Vertigan</w:t>
      </w:r>
      <w:proofErr w:type="spellEnd"/>
      <w:r>
        <w:t xml:space="preserve">, M., Yarrow, G., and Morton, E. 2015 </w:t>
      </w:r>
      <w:r w:rsidRPr="00C1008A">
        <w:rPr>
          <w:i/>
        </w:rPr>
        <w:t>Review of Governance Arrangements for Australian Energy Markets</w:t>
      </w:r>
      <w:r>
        <w:t xml:space="preserve">, p. 9 </w:t>
      </w:r>
    </w:p>
  </w:footnote>
  <w:footnote w:id="24">
    <w:p w:rsidR="00775359" w:rsidRDefault="00775359">
      <w:pPr>
        <w:pStyle w:val="FootnoteText"/>
      </w:pPr>
      <w:r>
        <w:rPr>
          <w:rStyle w:val="FootnoteReference"/>
        </w:rPr>
        <w:footnoteRef/>
      </w:r>
      <w:r>
        <w:t xml:space="preserve"> </w:t>
      </w:r>
      <w:proofErr w:type="gramStart"/>
      <w:r>
        <w:t>Annual Report 2013-14, Environment and Planning Directorate, ACT Government, p 20.</w:t>
      </w:r>
      <w:proofErr w:type="gramEnd"/>
    </w:p>
  </w:footnote>
  <w:footnote w:id="25">
    <w:p w:rsidR="00775359" w:rsidRDefault="00775359">
      <w:pPr>
        <w:pStyle w:val="FootnoteText"/>
      </w:pPr>
      <w:r>
        <w:rPr>
          <w:rStyle w:val="FootnoteReference"/>
        </w:rPr>
        <w:footnoteRef/>
      </w:r>
      <w:r>
        <w:t xml:space="preserve"> Annual Report 2012-13, Environment and Sustainable Development Directorate, ACT Government, p 178.</w:t>
      </w:r>
    </w:p>
  </w:footnote>
  <w:footnote w:id="26">
    <w:p w:rsidR="00775359" w:rsidRDefault="00775359">
      <w:pPr>
        <w:pStyle w:val="FootnoteText"/>
      </w:pPr>
      <w:r>
        <w:rPr>
          <w:rStyle w:val="FootnoteReference"/>
        </w:rPr>
        <w:footnoteRef/>
      </w:r>
      <w:r>
        <w:t xml:space="preserve"> ACAT website, </w:t>
      </w:r>
      <w:hyperlink r:id="rId9" w:history="1">
        <w:r w:rsidRPr="004107BE">
          <w:rPr>
            <w:rStyle w:val="Hyperlink"/>
          </w:rPr>
          <w:t>http://www.acat.act.gov.au/energy_water/energy_water</w:t>
        </w:r>
      </w:hyperlink>
      <w:r>
        <w:t xml:space="preserve"> (accessed 19 February 2016)</w:t>
      </w:r>
    </w:p>
  </w:footnote>
  <w:footnote w:id="27">
    <w:p w:rsidR="00775359" w:rsidRDefault="00775359">
      <w:pPr>
        <w:pStyle w:val="FootnoteText"/>
      </w:pPr>
      <w:r>
        <w:rPr>
          <w:rStyle w:val="FootnoteReference"/>
        </w:rPr>
        <w:footnoteRef/>
      </w:r>
      <w:r>
        <w:t xml:space="preserve"> </w:t>
      </w:r>
      <w:proofErr w:type="gramStart"/>
      <w:r>
        <w:t>Total levy receipts from members was</w:t>
      </w:r>
      <w:proofErr w:type="gramEnd"/>
      <w:r>
        <w:t xml:space="preserve"> $16,096,419.</w:t>
      </w:r>
    </w:p>
  </w:footnote>
  <w:footnote w:id="28">
    <w:p w:rsidR="00775359" w:rsidRDefault="00775359">
      <w:pPr>
        <w:pStyle w:val="FootnoteText"/>
      </w:pPr>
      <w:r>
        <w:rPr>
          <w:rStyle w:val="FootnoteReference"/>
        </w:rPr>
        <w:footnoteRef/>
      </w:r>
      <w:r>
        <w:t xml:space="preserve"> </w:t>
      </w:r>
      <w:proofErr w:type="gramStart"/>
      <w:r>
        <w:t>EWON 2013-14 Annual report.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359" w:rsidRDefault="007753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359" w:rsidRDefault="007753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359" w:rsidRDefault="007753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3E0"/>
    <w:multiLevelType w:val="hybridMultilevel"/>
    <w:tmpl w:val="3C168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032CC0"/>
    <w:multiLevelType w:val="hybridMultilevel"/>
    <w:tmpl w:val="EA847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2A5FCC"/>
    <w:multiLevelType w:val="hybridMultilevel"/>
    <w:tmpl w:val="6728F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9B15B9"/>
    <w:multiLevelType w:val="hybridMultilevel"/>
    <w:tmpl w:val="F7B47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3D4B23"/>
    <w:multiLevelType w:val="hybridMultilevel"/>
    <w:tmpl w:val="6242F4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36A0D32"/>
    <w:multiLevelType w:val="hybridMultilevel"/>
    <w:tmpl w:val="B8E832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51874C8"/>
    <w:multiLevelType w:val="hybridMultilevel"/>
    <w:tmpl w:val="E25C6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0459FD"/>
    <w:multiLevelType w:val="hybridMultilevel"/>
    <w:tmpl w:val="02DC2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565669"/>
    <w:multiLevelType w:val="hybridMultilevel"/>
    <w:tmpl w:val="6E0AE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AF70CF4"/>
    <w:multiLevelType w:val="hybridMultilevel"/>
    <w:tmpl w:val="54467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913107"/>
    <w:multiLevelType w:val="hybridMultilevel"/>
    <w:tmpl w:val="3D3CA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5239C9"/>
    <w:multiLevelType w:val="hybridMultilevel"/>
    <w:tmpl w:val="31E6B0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5DF644C"/>
    <w:multiLevelType w:val="hybridMultilevel"/>
    <w:tmpl w:val="04AE0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F27773E"/>
    <w:multiLevelType w:val="hybridMultilevel"/>
    <w:tmpl w:val="9D788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ED3398"/>
    <w:multiLevelType w:val="hybridMultilevel"/>
    <w:tmpl w:val="339A1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0344A35"/>
    <w:multiLevelType w:val="hybridMultilevel"/>
    <w:tmpl w:val="1ED64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1C6A21"/>
    <w:multiLevelType w:val="hybridMultilevel"/>
    <w:tmpl w:val="5F3CFB94"/>
    <w:lvl w:ilvl="0" w:tplc="0C09000F">
      <w:start w:val="1"/>
      <w:numFmt w:val="decimal"/>
      <w:lvlText w:val="%1."/>
      <w:lvlJc w:val="left"/>
      <w:pPr>
        <w:ind w:left="755" w:hanging="360"/>
      </w:pPr>
    </w:lvl>
    <w:lvl w:ilvl="1" w:tplc="0C090019" w:tentative="1">
      <w:start w:val="1"/>
      <w:numFmt w:val="lowerLetter"/>
      <w:lvlText w:val="%2."/>
      <w:lvlJc w:val="left"/>
      <w:pPr>
        <w:ind w:left="1475" w:hanging="360"/>
      </w:pPr>
    </w:lvl>
    <w:lvl w:ilvl="2" w:tplc="0C09001B" w:tentative="1">
      <w:start w:val="1"/>
      <w:numFmt w:val="lowerRoman"/>
      <w:lvlText w:val="%3."/>
      <w:lvlJc w:val="right"/>
      <w:pPr>
        <w:ind w:left="2195" w:hanging="180"/>
      </w:pPr>
    </w:lvl>
    <w:lvl w:ilvl="3" w:tplc="0C09000F" w:tentative="1">
      <w:start w:val="1"/>
      <w:numFmt w:val="decimal"/>
      <w:lvlText w:val="%4."/>
      <w:lvlJc w:val="left"/>
      <w:pPr>
        <w:ind w:left="2915" w:hanging="360"/>
      </w:pPr>
    </w:lvl>
    <w:lvl w:ilvl="4" w:tplc="0C090019" w:tentative="1">
      <w:start w:val="1"/>
      <w:numFmt w:val="lowerLetter"/>
      <w:lvlText w:val="%5."/>
      <w:lvlJc w:val="left"/>
      <w:pPr>
        <w:ind w:left="3635" w:hanging="360"/>
      </w:pPr>
    </w:lvl>
    <w:lvl w:ilvl="5" w:tplc="0C09001B" w:tentative="1">
      <w:start w:val="1"/>
      <w:numFmt w:val="lowerRoman"/>
      <w:lvlText w:val="%6."/>
      <w:lvlJc w:val="right"/>
      <w:pPr>
        <w:ind w:left="4355" w:hanging="180"/>
      </w:pPr>
    </w:lvl>
    <w:lvl w:ilvl="6" w:tplc="0C09000F" w:tentative="1">
      <w:start w:val="1"/>
      <w:numFmt w:val="decimal"/>
      <w:lvlText w:val="%7."/>
      <w:lvlJc w:val="left"/>
      <w:pPr>
        <w:ind w:left="5075" w:hanging="360"/>
      </w:pPr>
    </w:lvl>
    <w:lvl w:ilvl="7" w:tplc="0C090019" w:tentative="1">
      <w:start w:val="1"/>
      <w:numFmt w:val="lowerLetter"/>
      <w:lvlText w:val="%8."/>
      <w:lvlJc w:val="left"/>
      <w:pPr>
        <w:ind w:left="5795" w:hanging="360"/>
      </w:pPr>
    </w:lvl>
    <w:lvl w:ilvl="8" w:tplc="0C09001B" w:tentative="1">
      <w:start w:val="1"/>
      <w:numFmt w:val="lowerRoman"/>
      <w:lvlText w:val="%9."/>
      <w:lvlJc w:val="right"/>
      <w:pPr>
        <w:ind w:left="6515" w:hanging="180"/>
      </w:pPr>
    </w:lvl>
  </w:abstractNum>
  <w:abstractNum w:abstractNumId="17">
    <w:nsid w:val="46336289"/>
    <w:multiLevelType w:val="hybridMultilevel"/>
    <w:tmpl w:val="F4146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B774898"/>
    <w:multiLevelType w:val="hybridMultilevel"/>
    <w:tmpl w:val="816A2C62"/>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9">
    <w:nsid w:val="4EF25D81"/>
    <w:multiLevelType w:val="hybridMultilevel"/>
    <w:tmpl w:val="E22C74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641007"/>
    <w:multiLevelType w:val="hybridMultilevel"/>
    <w:tmpl w:val="1376D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3E82746"/>
    <w:multiLevelType w:val="hybridMultilevel"/>
    <w:tmpl w:val="6242F4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B6E5BE0"/>
    <w:multiLevelType w:val="hybridMultilevel"/>
    <w:tmpl w:val="BEBCE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FB0897"/>
    <w:multiLevelType w:val="hybridMultilevel"/>
    <w:tmpl w:val="823EF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7241821"/>
    <w:multiLevelType w:val="hybridMultilevel"/>
    <w:tmpl w:val="57A84F3A"/>
    <w:lvl w:ilvl="0" w:tplc="8BF25F7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7CE23DE"/>
    <w:multiLevelType w:val="hybridMultilevel"/>
    <w:tmpl w:val="6226C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AAE6B4C"/>
    <w:multiLevelType w:val="hybridMultilevel"/>
    <w:tmpl w:val="FF46E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BF847AB"/>
    <w:multiLevelType w:val="hybridMultilevel"/>
    <w:tmpl w:val="606C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C095754"/>
    <w:multiLevelType w:val="hybridMultilevel"/>
    <w:tmpl w:val="84F88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082E24"/>
    <w:multiLevelType w:val="hybridMultilevel"/>
    <w:tmpl w:val="8A543D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29630DE"/>
    <w:multiLevelType w:val="hybridMultilevel"/>
    <w:tmpl w:val="F09E74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35600A7"/>
    <w:multiLevelType w:val="hybridMultilevel"/>
    <w:tmpl w:val="D35AAD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397372A"/>
    <w:multiLevelType w:val="hybridMultilevel"/>
    <w:tmpl w:val="3780B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8147377"/>
    <w:multiLevelType w:val="hybridMultilevel"/>
    <w:tmpl w:val="5DB6AB4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B3C1058"/>
    <w:multiLevelType w:val="hybridMultilevel"/>
    <w:tmpl w:val="7AF80D8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5">
    <w:nsid w:val="7E8C12C1"/>
    <w:multiLevelType w:val="hybridMultilevel"/>
    <w:tmpl w:val="7220CEFA"/>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FD853F8"/>
    <w:multiLevelType w:val="hybridMultilevel"/>
    <w:tmpl w:val="4B929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1"/>
  </w:num>
  <w:num w:numId="4">
    <w:abstractNumId w:val="0"/>
  </w:num>
  <w:num w:numId="5">
    <w:abstractNumId w:val="6"/>
  </w:num>
  <w:num w:numId="6">
    <w:abstractNumId w:val="15"/>
  </w:num>
  <w:num w:numId="7">
    <w:abstractNumId w:val="32"/>
  </w:num>
  <w:num w:numId="8">
    <w:abstractNumId w:val="27"/>
  </w:num>
  <w:num w:numId="9">
    <w:abstractNumId w:val="26"/>
  </w:num>
  <w:num w:numId="10">
    <w:abstractNumId w:val="13"/>
  </w:num>
  <w:num w:numId="11">
    <w:abstractNumId w:val="10"/>
  </w:num>
  <w:num w:numId="12">
    <w:abstractNumId w:val="12"/>
  </w:num>
  <w:num w:numId="13">
    <w:abstractNumId w:val="34"/>
  </w:num>
  <w:num w:numId="14">
    <w:abstractNumId w:val="5"/>
  </w:num>
  <w:num w:numId="15">
    <w:abstractNumId w:val="17"/>
  </w:num>
  <w:num w:numId="16">
    <w:abstractNumId w:val="24"/>
    <w:lvlOverride w:ilvl="0">
      <w:startOverride w:val="1"/>
    </w:lvlOverride>
  </w:num>
  <w:num w:numId="17">
    <w:abstractNumId w:val="24"/>
    <w:lvlOverride w:ilvl="0">
      <w:startOverride w:val="1"/>
    </w:lvlOverride>
  </w:num>
  <w:num w:numId="18">
    <w:abstractNumId w:val="28"/>
  </w:num>
  <w:num w:numId="19">
    <w:abstractNumId w:val="9"/>
  </w:num>
  <w:num w:numId="20">
    <w:abstractNumId w:val="29"/>
  </w:num>
  <w:num w:numId="21">
    <w:abstractNumId w:val="23"/>
  </w:num>
  <w:num w:numId="22">
    <w:abstractNumId w:val="20"/>
  </w:num>
  <w:num w:numId="23">
    <w:abstractNumId w:val="30"/>
  </w:num>
  <w:num w:numId="24">
    <w:abstractNumId w:val="3"/>
  </w:num>
  <w:num w:numId="25">
    <w:abstractNumId w:val="24"/>
    <w:lvlOverride w:ilvl="0">
      <w:startOverride w:val="1"/>
    </w:lvlOverride>
  </w:num>
  <w:num w:numId="26">
    <w:abstractNumId w:val="22"/>
  </w:num>
  <w:num w:numId="27">
    <w:abstractNumId w:val="1"/>
  </w:num>
  <w:num w:numId="28">
    <w:abstractNumId w:val="4"/>
  </w:num>
  <w:num w:numId="29">
    <w:abstractNumId w:val="35"/>
  </w:num>
  <w:num w:numId="30">
    <w:abstractNumId w:val="2"/>
  </w:num>
  <w:num w:numId="31">
    <w:abstractNumId w:val="19"/>
  </w:num>
  <w:num w:numId="32">
    <w:abstractNumId w:val="16"/>
  </w:num>
  <w:num w:numId="33">
    <w:abstractNumId w:val="7"/>
  </w:num>
  <w:num w:numId="34">
    <w:abstractNumId w:val="24"/>
    <w:lvlOverride w:ilvl="0">
      <w:startOverride w:val="1"/>
    </w:lvlOverride>
  </w:num>
  <w:num w:numId="35">
    <w:abstractNumId w:val="21"/>
  </w:num>
  <w:num w:numId="36">
    <w:abstractNumId w:val="24"/>
    <w:lvlOverride w:ilvl="0">
      <w:startOverride w:val="1"/>
    </w:lvlOverride>
  </w:num>
  <w:num w:numId="37">
    <w:abstractNumId w:val="11"/>
  </w:num>
  <w:num w:numId="38">
    <w:abstractNumId w:val="8"/>
  </w:num>
  <w:num w:numId="39">
    <w:abstractNumId w:val="36"/>
  </w:num>
  <w:num w:numId="40">
    <w:abstractNumId w:val="33"/>
  </w:num>
  <w:num w:numId="41">
    <w:abstractNumId w:val="25"/>
  </w:num>
  <w:num w:numId="42">
    <w:abstractNumId w:val="18"/>
  </w:num>
  <w:num w:numId="43">
    <w:abstractNumId w:val="24"/>
    <w:lvlOverride w:ilvl="0">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28673" style="mso-width-relative:margin;mso-height-relative:margin" fillcolor="white">
      <v:fill color="white"/>
      <o:colormenu v:ext="edit" fillcolor="none"/>
    </o:shapedefaults>
  </w:hdrShapeDefaults>
  <w:footnotePr>
    <w:footnote w:id="-1"/>
    <w:footnote w:id="0"/>
  </w:footnotePr>
  <w:endnotePr>
    <w:endnote w:id="-1"/>
    <w:endnote w:id="0"/>
  </w:endnotePr>
  <w:compat/>
  <w:rsids>
    <w:rsidRoot w:val="00BF6279"/>
    <w:rsid w:val="00000F10"/>
    <w:rsid w:val="00001712"/>
    <w:rsid w:val="00003CD8"/>
    <w:rsid w:val="00004D37"/>
    <w:rsid w:val="000050BA"/>
    <w:rsid w:val="0000611A"/>
    <w:rsid w:val="0000781F"/>
    <w:rsid w:val="00010F18"/>
    <w:rsid w:val="0001275B"/>
    <w:rsid w:val="00012CBF"/>
    <w:rsid w:val="000132A1"/>
    <w:rsid w:val="00015AC6"/>
    <w:rsid w:val="00020948"/>
    <w:rsid w:val="00025C03"/>
    <w:rsid w:val="00026FAC"/>
    <w:rsid w:val="000316DC"/>
    <w:rsid w:val="00031C5B"/>
    <w:rsid w:val="00034663"/>
    <w:rsid w:val="000363A5"/>
    <w:rsid w:val="000376D0"/>
    <w:rsid w:val="00040125"/>
    <w:rsid w:val="000423E4"/>
    <w:rsid w:val="0004300C"/>
    <w:rsid w:val="00043E46"/>
    <w:rsid w:val="000442AE"/>
    <w:rsid w:val="00045A66"/>
    <w:rsid w:val="00046F7C"/>
    <w:rsid w:val="000521E3"/>
    <w:rsid w:val="00053A6F"/>
    <w:rsid w:val="000551DF"/>
    <w:rsid w:val="00055339"/>
    <w:rsid w:val="00055E0E"/>
    <w:rsid w:val="00056576"/>
    <w:rsid w:val="000566CD"/>
    <w:rsid w:val="0005716E"/>
    <w:rsid w:val="00057ADF"/>
    <w:rsid w:val="00057FA7"/>
    <w:rsid w:val="000606A2"/>
    <w:rsid w:val="000618E1"/>
    <w:rsid w:val="00062532"/>
    <w:rsid w:val="00063358"/>
    <w:rsid w:val="000635FC"/>
    <w:rsid w:val="00063FB6"/>
    <w:rsid w:val="0006513D"/>
    <w:rsid w:val="00066194"/>
    <w:rsid w:val="00070B9D"/>
    <w:rsid w:val="00070E26"/>
    <w:rsid w:val="00073083"/>
    <w:rsid w:val="0007327D"/>
    <w:rsid w:val="0007328D"/>
    <w:rsid w:val="00073D3E"/>
    <w:rsid w:val="00074706"/>
    <w:rsid w:val="000759E2"/>
    <w:rsid w:val="00076145"/>
    <w:rsid w:val="00076D01"/>
    <w:rsid w:val="00080789"/>
    <w:rsid w:val="00082FE6"/>
    <w:rsid w:val="00084F0D"/>
    <w:rsid w:val="00085AE8"/>
    <w:rsid w:val="00087338"/>
    <w:rsid w:val="00087356"/>
    <w:rsid w:val="00091EE2"/>
    <w:rsid w:val="00094A07"/>
    <w:rsid w:val="00094E77"/>
    <w:rsid w:val="000957D3"/>
    <w:rsid w:val="00097BDA"/>
    <w:rsid w:val="000A0069"/>
    <w:rsid w:val="000A0153"/>
    <w:rsid w:val="000A08CC"/>
    <w:rsid w:val="000A11C3"/>
    <w:rsid w:val="000A2037"/>
    <w:rsid w:val="000A2A91"/>
    <w:rsid w:val="000A3857"/>
    <w:rsid w:val="000A3ECD"/>
    <w:rsid w:val="000A443F"/>
    <w:rsid w:val="000A6606"/>
    <w:rsid w:val="000A675E"/>
    <w:rsid w:val="000A7828"/>
    <w:rsid w:val="000B1A31"/>
    <w:rsid w:val="000B2ACC"/>
    <w:rsid w:val="000B3F63"/>
    <w:rsid w:val="000B3F70"/>
    <w:rsid w:val="000B4823"/>
    <w:rsid w:val="000B50CE"/>
    <w:rsid w:val="000B6F7B"/>
    <w:rsid w:val="000B71EC"/>
    <w:rsid w:val="000C27A7"/>
    <w:rsid w:val="000C437F"/>
    <w:rsid w:val="000C4A1A"/>
    <w:rsid w:val="000C4A53"/>
    <w:rsid w:val="000C53D4"/>
    <w:rsid w:val="000C5A4E"/>
    <w:rsid w:val="000D170D"/>
    <w:rsid w:val="000D1E26"/>
    <w:rsid w:val="000D206E"/>
    <w:rsid w:val="000D2F48"/>
    <w:rsid w:val="000D5AE0"/>
    <w:rsid w:val="000D65E9"/>
    <w:rsid w:val="000D688B"/>
    <w:rsid w:val="000D7123"/>
    <w:rsid w:val="000D7480"/>
    <w:rsid w:val="000E0027"/>
    <w:rsid w:val="000E03D7"/>
    <w:rsid w:val="000E0CC6"/>
    <w:rsid w:val="000E2313"/>
    <w:rsid w:val="000E2B35"/>
    <w:rsid w:val="000E6679"/>
    <w:rsid w:val="000E777A"/>
    <w:rsid w:val="000F01CD"/>
    <w:rsid w:val="000F1DF4"/>
    <w:rsid w:val="000F2482"/>
    <w:rsid w:val="000F25B6"/>
    <w:rsid w:val="000F2B70"/>
    <w:rsid w:val="000F329E"/>
    <w:rsid w:val="000F3AA2"/>
    <w:rsid w:val="000F40D5"/>
    <w:rsid w:val="000F4BAE"/>
    <w:rsid w:val="000F7817"/>
    <w:rsid w:val="00101BEA"/>
    <w:rsid w:val="00102AF9"/>
    <w:rsid w:val="00103424"/>
    <w:rsid w:val="0010373F"/>
    <w:rsid w:val="00103CDB"/>
    <w:rsid w:val="00103ED8"/>
    <w:rsid w:val="001049E8"/>
    <w:rsid w:val="00104AA1"/>
    <w:rsid w:val="001056AC"/>
    <w:rsid w:val="00106386"/>
    <w:rsid w:val="00110024"/>
    <w:rsid w:val="00110FA6"/>
    <w:rsid w:val="00112171"/>
    <w:rsid w:val="00112569"/>
    <w:rsid w:val="001134F2"/>
    <w:rsid w:val="00114248"/>
    <w:rsid w:val="001149BF"/>
    <w:rsid w:val="001152A5"/>
    <w:rsid w:val="00116529"/>
    <w:rsid w:val="001171F8"/>
    <w:rsid w:val="00117343"/>
    <w:rsid w:val="00117AB5"/>
    <w:rsid w:val="00117D8A"/>
    <w:rsid w:val="00120F01"/>
    <w:rsid w:val="00121295"/>
    <w:rsid w:val="00122650"/>
    <w:rsid w:val="001239C8"/>
    <w:rsid w:val="0012432C"/>
    <w:rsid w:val="00125378"/>
    <w:rsid w:val="00125FA5"/>
    <w:rsid w:val="0012630C"/>
    <w:rsid w:val="00127168"/>
    <w:rsid w:val="00130823"/>
    <w:rsid w:val="00130BA3"/>
    <w:rsid w:val="00130CDD"/>
    <w:rsid w:val="0013127D"/>
    <w:rsid w:val="00132564"/>
    <w:rsid w:val="001334D1"/>
    <w:rsid w:val="001344F7"/>
    <w:rsid w:val="001353F7"/>
    <w:rsid w:val="00136350"/>
    <w:rsid w:val="0014000C"/>
    <w:rsid w:val="00140041"/>
    <w:rsid w:val="00141410"/>
    <w:rsid w:val="001419EA"/>
    <w:rsid w:val="00142B0D"/>
    <w:rsid w:val="00142E05"/>
    <w:rsid w:val="00143B62"/>
    <w:rsid w:val="00143EB7"/>
    <w:rsid w:val="0014401E"/>
    <w:rsid w:val="001445A1"/>
    <w:rsid w:val="0014504E"/>
    <w:rsid w:val="00145813"/>
    <w:rsid w:val="00145953"/>
    <w:rsid w:val="001466C5"/>
    <w:rsid w:val="0014731F"/>
    <w:rsid w:val="00147D21"/>
    <w:rsid w:val="001510F5"/>
    <w:rsid w:val="00151588"/>
    <w:rsid w:val="001524B8"/>
    <w:rsid w:val="00152978"/>
    <w:rsid w:val="001529E8"/>
    <w:rsid w:val="00153E57"/>
    <w:rsid w:val="001546CC"/>
    <w:rsid w:val="00156F5B"/>
    <w:rsid w:val="001601F6"/>
    <w:rsid w:val="001602C0"/>
    <w:rsid w:val="00160AB6"/>
    <w:rsid w:val="00161904"/>
    <w:rsid w:val="00161B36"/>
    <w:rsid w:val="00162E45"/>
    <w:rsid w:val="00162EF4"/>
    <w:rsid w:val="00165351"/>
    <w:rsid w:val="00167A0B"/>
    <w:rsid w:val="00167AA9"/>
    <w:rsid w:val="00172A3E"/>
    <w:rsid w:val="00173317"/>
    <w:rsid w:val="00173EF1"/>
    <w:rsid w:val="00173F33"/>
    <w:rsid w:val="0017599D"/>
    <w:rsid w:val="00175A0A"/>
    <w:rsid w:val="00180EF9"/>
    <w:rsid w:val="00181454"/>
    <w:rsid w:val="00181DD8"/>
    <w:rsid w:val="001827BC"/>
    <w:rsid w:val="00183095"/>
    <w:rsid w:val="001833A8"/>
    <w:rsid w:val="00183541"/>
    <w:rsid w:val="00183734"/>
    <w:rsid w:val="00183D78"/>
    <w:rsid w:val="00184CCB"/>
    <w:rsid w:val="001851DC"/>
    <w:rsid w:val="00185F41"/>
    <w:rsid w:val="00186636"/>
    <w:rsid w:val="00190A78"/>
    <w:rsid w:val="0019162B"/>
    <w:rsid w:val="0019182F"/>
    <w:rsid w:val="00192736"/>
    <w:rsid w:val="00197657"/>
    <w:rsid w:val="001A01B7"/>
    <w:rsid w:val="001A073D"/>
    <w:rsid w:val="001A16C6"/>
    <w:rsid w:val="001A290D"/>
    <w:rsid w:val="001A5216"/>
    <w:rsid w:val="001A55C2"/>
    <w:rsid w:val="001A67D5"/>
    <w:rsid w:val="001A722B"/>
    <w:rsid w:val="001A78E3"/>
    <w:rsid w:val="001B1BC7"/>
    <w:rsid w:val="001B2203"/>
    <w:rsid w:val="001B5A72"/>
    <w:rsid w:val="001B64CB"/>
    <w:rsid w:val="001B6A78"/>
    <w:rsid w:val="001B76F5"/>
    <w:rsid w:val="001B78C1"/>
    <w:rsid w:val="001B7BDB"/>
    <w:rsid w:val="001C0BDD"/>
    <w:rsid w:val="001C0C88"/>
    <w:rsid w:val="001C27EC"/>
    <w:rsid w:val="001C3E95"/>
    <w:rsid w:val="001C56CD"/>
    <w:rsid w:val="001C5EC6"/>
    <w:rsid w:val="001D05C5"/>
    <w:rsid w:val="001D0D8A"/>
    <w:rsid w:val="001D1D36"/>
    <w:rsid w:val="001D4B97"/>
    <w:rsid w:val="001D5571"/>
    <w:rsid w:val="001D6F2C"/>
    <w:rsid w:val="001E2D6C"/>
    <w:rsid w:val="001E4FCA"/>
    <w:rsid w:val="001E5924"/>
    <w:rsid w:val="001E6D3D"/>
    <w:rsid w:val="001E75C5"/>
    <w:rsid w:val="001E7675"/>
    <w:rsid w:val="001F0310"/>
    <w:rsid w:val="001F044B"/>
    <w:rsid w:val="001F0695"/>
    <w:rsid w:val="001F15BA"/>
    <w:rsid w:val="001F5432"/>
    <w:rsid w:val="001F557D"/>
    <w:rsid w:val="001F6177"/>
    <w:rsid w:val="00201E82"/>
    <w:rsid w:val="00203506"/>
    <w:rsid w:val="00204199"/>
    <w:rsid w:val="002041F8"/>
    <w:rsid w:val="002044A3"/>
    <w:rsid w:val="002045F3"/>
    <w:rsid w:val="00204BE6"/>
    <w:rsid w:val="002060BF"/>
    <w:rsid w:val="00206341"/>
    <w:rsid w:val="002067AC"/>
    <w:rsid w:val="002129FA"/>
    <w:rsid w:val="00212C9C"/>
    <w:rsid w:val="00214747"/>
    <w:rsid w:val="002158B2"/>
    <w:rsid w:val="00217029"/>
    <w:rsid w:val="00217BA3"/>
    <w:rsid w:val="002200B8"/>
    <w:rsid w:val="002200D1"/>
    <w:rsid w:val="00220170"/>
    <w:rsid w:val="002276DA"/>
    <w:rsid w:val="002313A8"/>
    <w:rsid w:val="002343C4"/>
    <w:rsid w:val="00234C09"/>
    <w:rsid w:val="002353FC"/>
    <w:rsid w:val="00235FF0"/>
    <w:rsid w:val="00237D5D"/>
    <w:rsid w:val="00243757"/>
    <w:rsid w:val="00243C2D"/>
    <w:rsid w:val="00244A74"/>
    <w:rsid w:val="00246D00"/>
    <w:rsid w:val="002506AE"/>
    <w:rsid w:val="00250ECE"/>
    <w:rsid w:val="00251061"/>
    <w:rsid w:val="002521A3"/>
    <w:rsid w:val="002526EF"/>
    <w:rsid w:val="00252B55"/>
    <w:rsid w:val="00255DA9"/>
    <w:rsid w:val="00256772"/>
    <w:rsid w:val="002579B5"/>
    <w:rsid w:val="00257EEA"/>
    <w:rsid w:val="00261DE7"/>
    <w:rsid w:val="00262DDE"/>
    <w:rsid w:val="002636EB"/>
    <w:rsid w:val="0026379E"/>
    <w:rsid w:val="00263CFF"/>
    <w:rsid w:val="00264215"/>
    <w:rsid w:val="0026497A"/>
    <w:rsid w:val="002658CA"/>
    <w:rsid w:val="002659A1"/>
    <w:rsid w:val="00267FD4"/>
    <w:rsid w:val="002716F8"/>
    <w:rsid w:val="00271F1C"/>
    <w:rsid w:val="00272743"/>
    <w:rsid w:val="002728FF"/>
    <w:rsid w:val="00273D35"/>
    <w:rsid w:val="0027455C"/>
    <w:rsid w:val="00276A06"/>
    <w:rsid w:val="00276D75"/>
    <w:rsid w:val="00276FDD"/>
    <w:rsid w:val="002772B8"/>
    <w:rsid w:val="002773A1"/>
    <w:rsid w:val="00281297"/>
    <w:rsid w:val="002814AF"/>
    <w:rsid w:val="002819AA"/>
    <w:rsid w:val="00284A5A"/>
    <w:rsid w:val="00284B9B"/>
    <w:rsid w:val="00285099"/>
    <w:rsid w:val="00285797"/>
    <w:rsid w:val="00285800"/>
    <w:rsid w:val="002867B6"/>
    <w:rsid w:val="002867B8"/>
    <w:rsid w:val="002868CE"/>
    <w:rsid w:val="002871D4"/>
    <w:rsid w:val="00290F32"/>
    <w:rsid w:val="00292100"/>
    <w:rsid w:val="00293B0C"/>
    <w:rsid w:val="00294937"/>
    <w:rsid w:val="00294D20"/>
    <w:rsid w:val="00295074"/>
    <w:rsid w:val="0029576F"/>
    <w:rsid w:val="00295AC3"/>
    <w:rsid w:val="002A25B7"/>
    <w:rsid w:val="002A36E6"/>
    <w:rsid w:val="002A4967"/>
    <w:rsid w:val="002A6495"/>
    <w:rsid w:val="002A7098"/>
    <w:rsid w:val="002B083A"/>
    <w:rsid w:val="002B0D63"/>
    <w:rsid w:val="002B28C5"/>
    <w:rsid w:val="002B32F1"/>
    <w:rsid w:val="002B362C"/>
    <w:rsid w:val="002B3857"/>
    <w:rsid w:val="002B3B93"/>
    <w:rsid w:val="002B6E44"/>
    <w:rsid w:val="002B7064"/>
    <w:rsid w:val="002C1122"/>
    <w:rsid w:val="002C1198"/>
    <w:rsid w:val="002C21CB"/>
    <w:rsid w:val="002C2A9F"/>
    <w:rsid w:val="002C34D1"/>
    <w:rsid w:val="002C4BD2"/>
    <w:rsid w:val="002C5346"/>
    <w:rsid w:val="002C5574"/>
    <w:rsid w:val="002C6DF2"/>
    <w:rsid w:val="002D179C"/>
    <w:rsid w:val="002D20F2"/>
    <w:rsid w:val="002D4DF2"/>
    <w:rsid w:val="002D5DA9"/>
    <w:rsid w:val="002D6905"/>
    <w:rsid w:val="002E016C"/>
    <w:rsid w:val="002E0B1F"/>
    <w:rsid w:val="002E0F75"/>
    <w:rsid w:val="002E4C98"/>
    <w:rsid w:val="002E554A"/>
    <w:rsid w:val="002E58C6"/>
    <w:rsid w:val="002E76FD"/>
    <w:rsid w:val="002E7EAB"/>
    <w:rsid w:val="002F0339"/>
    <w:rsid w:val="002F0B93"/>
    <w:rsid w:val="002F0BEE"/>
    <w:rsid w:val="002F0FAF"/>
    <w:rsid w:val="002F1900"/>
    <w:rsid w:val="002F1D53"/>
    <w:rsid w:val="002F1EB7"/>
    <w:rsid w:val="002F2E04"/>
    <w:rsid w:val="002F3776"/>
    <w:rsid w:val="002F4403"/>
    <w:rsid w:val="002F47F3"/>
    <w:rsid w:val="002F6482"/>
    <w:rsid w:val="002F6C3F"/>
    <w:rsid w:val="002F7B59"/>
    <w:rsid w:val="0030015E"/>
    <w:rsid w:val="00303446"/>
    <w:rsid w:val="003044B7"/>
    <w:rsid w:val="00305785"/>
    <w:rsid w:val="00305907"/>
    <w:rsid w:val="00306432"/>
    <w:rsid w:val="00306FAC"/>
    <w:rsid w:val="00307425"/>
    <w:rsid w:val="003123AF"/>
    <w:rsid w:val="00321FD1"/>
    <w:rsid w:val="003221FD"/>
    <w:rsid w:val="00322830"/>
    <w:rsid w:val="003245FA"/>
    <w:rsid w:val="00324CB2"/>
    <w:rsid w:val="0032568A"/>
    <w:rsid w:val="00327551"/>
    <w:rsid w:val="00330A33"/>
    <w:rsid w:val="00330F43"/>
    <w:rsid w:val="0033132A"/>
    <w:rsid w:val="00335BE5"/>
    <w:rsid w:val="00336C55"/>
    <w:rsid w:val="003377F5"/>
    <w:rsid w:val="003378A8"/>
    <w:rsid w:val="003412A7"/>
    <w:rsid w:val="00346613"/>
    <w:rsid w:val="003468E6"/>
    <w:rsid w:val="003477D7"/>
    <w:rsid w:val="003507F8"/>
    <w:rsid w:val="00351DD3"/>
    <w:rsid w:val="00353E23"/>
    <w:rsid w:val="0035555D"/>
    <w:rsid w:val="00355763"/>
    <w:rsid w:val="00356253"/>
    <w:rsid w:val="0035697F"/>
    <w:rsid w:val="0035733C"/>
    <w:rsid w:val="00360691"/>
    <w:rsid w:val="00361A0A"/>
    <w:rsid w:val="00362FD3"/>
    <w:rsid w:val="00363954"/>
    <w:rsid w:val="003644B5"/>
    <w:rsid w:val="0036559F"/>
    <w:rsid w:val="00366A0C"/>
    <w:rsid w:val="00370A1D"/>
    <w:rsid w:val="00371700"/>
    <w:rsid w:val="003740B0"/>
    <w:rsid w:val="003743B3"/>
    <w:rsid w:val="00377237"/>
    <w:rsid w:val="00377ACF"/>
    <w:rsid w:val="00380B65"/>
    <w:rsid w:val="003816D7"/>
    <w:rsid w:val="00382169"/>
    <w:rsid w:val="00384B94"/>
    <w:rsid w:val="00385558"/>
    <w:rsid w:val="00385FB2"/>
    <w:rsid w:val="003870FB"/>
    <w:rsid w:val="003904E3"/>
    <w:rsid w:val="00390CD5"/>
    <w:rsid w:val="003917F7"/>
    <w:rsid w:val="00391AF2"/>
    <w:rsid w:val="0039271B"/>
    <w:rsid w:val="003A0914"/>
    <w:rsid w:val="003A09A8"/>
    <w:rsid w:val="003A24E3"/>
    <w:rsid w:val="003A25ED"/>
    <w:rsid w:val="003A418C"/>
    <w:rsid w:val="003A4496"/>
    <w:rsid w:val="003A4E08"/>
    <w:rsid w:val="003A5BD9"/>
    <w:rsid w:val="003A7041"/>
    <w:rsid w:val="003A7CAE"/>
    <w:rsid w:val="003B0456"/>
    <w:rsid w:val="003B062A"/>
    <w:rsid w:val="003B13CF"/>
    <w:rsid w:val="003B1D22"/>
    <w:rsid w:val="003B1DCC"/>
    <w:rsid w:val="003B2BB0"/>
    <w:rsid w:val="003B49EE"/>
    <w:rsid w:val="003B4D79"/>
    <w:rsid w:val="003B5F3F"/>
    <w:rsid w:val="003B6D2F"/>
    <w:rsid w:val="003B7449"/>
    <w:rsid w:val="003C0135"/>
    <w:rsid w:val="003C06AD"/>
    <w:rsid w:val="003C06F6"/>
    <w:rsid w:val="003C13E2"/>
    <w:rsid w:val="003C2192"/>
    <w:rsid w:val="003C2A38"/>
    <w:rsid w:val="003C3807"/>
    <w:rsid w:val="003C5646"/>
    <w:rsid w:val="003C5C48"/>
    <w:rsid w:val="003C6341"/>
    <w:rsid w:val="003C6C80"/>
    <w:rsid w:val="003C6D03"/>
    <w:rsid w:val="003C76B3"/>
    <w:rsid w:val="003C7ACA"/>
    <w:rsid w:val="003D0343"/>
    <w:rsid w:val="003D249D"/>
    <w:rsid w:val="003D4893"/>
    <w:rsid w:val="003D5ED2"/>
    <w:rsid w:val="003D7113"/>
    <w:rsid w:val="003E03AE"/>
    <w:rsid w:val="003E0E66"/>
    <w:rsid w:val="003E2D2C"/>
    <w:rsid w:val="003E2E91"/>
    <w:rsid w:val="003E435A"/>
    <w:rsid w:val="003E46F2"/>
    <w:rsid w:val="003E59AF"/>
    <w:rsid w:val="003E6099"/>
    <w:rsid w:val="003E6280"/>
    <w:rsid w:val="003E676C"/>
    <w:rsid w:val="003E6A70"/>
    <w:rsid w:val="003E74E7"/>
    <w:rsid w:val="003F0EF1"/>
    <w:rsid w:val="003F2782"/>
    <w:rsid w:val="003F6301"/>
    <w:rsid w:val="003F63AB"/>
    <w:rsid w:val="003F77E5"/>
    <w:rsid w:val="004004AA"/>
    <w:rsid w:val="00400B48"/>
    <w:rsid w:val="00402DC0"/>
    <w:rsid w:val="0040400F"/>
    <w:rsid w:val="00406EC2"/>
    <w:rsid w:val="00407215"/>
    <w:rsid w:val="004100DC"/>
    <w:rsid w:val="004105E8"/>
    <w:rsid w:val="00411089"/>
    <w:rsid w:val="0041335E"/>
    <w:rsid w:val="004139C2"/>
    <w:rsid w:val="00414631"/>
    <w:rsid w:val="004153D6"/>
    <w:rsid w:val="00415C1A"/>
    <w:rsid w:val="00416029"/>
    <w:rsid w:val="00416790"/>
    <w:rsid w:val="00416AE0"/>
    <w:rsid w:val="00422659"/>
    <w:rsid w:val="004238E6"/>
    <w:rsid w:val="00423A54"/>
    <w:rsid w:val="004255C6"/>
    <w:rsid w:val="004255D5"/>
    <w:rsid w:val="00430047"/>
    <w:rsid w:val="00431199"/>
    <w:rsid w:val="004315AB"/>
    <w:rsid w:val="00431DD3"/>
    <w:rsid w:val="00432CBC"/>
    <w:rsid w:val="00434AF9"/>
    <w:rsid w:val="004350A9"/>
    <w:rsid w:val="00440381"/>
    <w:rsid w:val="00440527"/>
    <w:rsid w:val="00440B56"/>
    <w:rsid w:val="00440D68"/>
    <w:rsid w:val="00441DD0"/>
    <w:rsid w:val="004476B5"/>
    <w:rsid w:val="004538E9"/>
    <w:rsid w:val="00453EE2"/>
    <w:rsid w:val="00454A16"/>
    <w:rsid w:val="004553D5"/>
    <w:rsid w:val="00456903"/>
    <w:rsid w:val="00456D51"/>
    <w:rsid w:val="00457016"/>
    <w:rsid w:val="004574BA"/>
    <w:rsid w:val="004614A4"/>
    <w:rsid w:val="00461BFD"/>
    <w:rsid w:val="004625CD"/>
    <w:rsid w:val="00462779"/>
    <w:rsid w:val="00462B49"/>
    <w:rsid w:val="004708B6"/>
    <w:rsid w:val="00470A68"/>
    <w:rsid w:val="004731AB"/>
    <w:rsid w:val="004738CF"/>
    <w:rsid w:val="00474689"/>
    <w:rsid w:val="00475ED0"/>
    <w:rsid w:val="00477477"/>
    <w:rsid w:val="00480D51"/>
    <w:rsid w:val="0048774C"/>
    <w:rsid w:val="004900B5"/>
    <w:rsid w:val="00492E22"/>
    <w:rsid w:val="00493E38"/>
    <w:rsid w:val="00493F55"/>
    <w:rsid w:val="00494520"/>
    <w:rsid w:val="00495E10"/>
    <w:rsid w:val="00496D21"/>
    <w:rsid w:val="004A1C4E"/>
    <w:rsid w:val="004A27C4"/>
    <w:rsid w:val="004A3A51"/>
    <w:rsid w:val="004A5076"/>
    <w:rsid w:val="004A6099"/>
    <w:rsid w:val="004A6148"/>
    <w:rsid w:val="004A6CA5"/>
    <w:rsid w:val="004B0892"/>
    <w:rsid w:val="004B2B4F"/>
    <w:rsid w:val="004B40FB"/>
    <w:rsid w:val="004B4DA1"/>
    <w:rsid w:val="004B56E5"/>
    <w:rsid w:val="004B6FDE"/>
    <w:rsid w:val="004B705E"/>
    <w:rsid w:val="004B7FD3"/>
    <w:rsid w:val="004C34B4"/>
    <w:rsid w:val="004C360B"/>
    <w:rsid w:val="004C3B7A"/>
    <w:rsid w:val="004C6CB1"/>
    <w:rsid w:val="004D141C"/>
    <w:rsid w:val="004D2A33"/>
    <w:rsid w:val="004D4942"/>
    <w:rsid w:val="004D5605"/>
    <w:rsid w:val="004D73B7"/>
    <w:rsid w:val="004E0130"/>
    <w:rsid w:val="004E02F0"/>
    <w:rsid w:val="004E0C30"/>
    <w:rsid w:val="004E1687"/>
    <w:rsid w:val="004E22FF"/>
    <w:rsid w:val="004E2BAE"/>
    <w:rsid w:val="004E2D24"/>
    <w:rsid w:val="004E2E99"/>
    <w:rsid w:val="004E5BC9"/>
    <w:rsid w:val="004E6404"/>
    <w:rsid w:val="004E7A35"/>
    <w:rsid w:val="004F0013"/>
    <w:rsid w:val="004F23D4"/>
    <w:rsid w:val="004F3991"/>
    <w:rsid w:val="004F4521"/>
    <w:rsid w:val="004F6225"/>
    <w:rsid w:val="004F6F74"/>
    <w:rsid w:val="004F7DAB"/>
    <w:rsid w:val="00501636"/>
    <w:rsid w:val="00502102"/>
    <w:rsid w:val="00502D8D"/>
    <w:rsid w:val="0050415D"/>
    <w:rsid w:val="005045F1"/>
    <w:rsid w:val="005058EF"/>
    <w:rsid w:val="005063E9"/>
    <w:rsid w:val="00506632"/>
    <w:rsid w:val="005066B0"/>
    <w:rsid w:val="00507198"/>
    <w:rsid w:val="00507550"/>
    <w:rsid w:val="00510E29"/>
    <w:rsid w:val="00511517"/>
    <w:rsid w:val="00511AB2"/>
    <w:rsid w:val="00511BEF"/>
    <w:rsid w:val="00516003"/>
    <w:rsid w:val="00517652"/>
    <w:rsid w:val="0051784E"/>
    <w:rsid w:val="005200DE"/>
    <w:rsid w:val="0052096F"/>
    <w:rsid w:val="00520DCF"/>
    <w:rsid w:val="00520F9F"/>
    <w:rsid w:val="0052212F"/>
    <w:rsid w:val="00522922"/>
    <w:rsid w:val="005256D7"/>
    <w:rsid w:val="00525A28"/>
    <w:rsid w:val="005276A4"/>
    <w:rsid w:val="00527B1A"/>
    <w:rsid w:val="0053079D"/>
    <w:rsid w:val="00531408"/>
    <w:rsid w:val="00531977"/>
    <w:rsid w:val="00531AF9"/>
    <w:rsid w:val="00533FC9"/>
    <w:rsid w:val="00536C03"/>
    <w:rsid w:val="005376DB"/>
    <w:rsid w:val="0053777A"/>
    <w:rsid w:val="00541EF1"/>
    <w:rsid w:val="00542984"/>
    <w:rsid w:val="0054348B"/>
    <w:rsid w:val="0054360B"/>
    <w:rsid w:val="0054409F"/>
    <w:rsid w:val="00544490"/>
    <w:rsid w:val="0054457A"/>
    <w:rsid w:val="005449F6"/>
    <w:rsid w:val="00546070"/>
    <w:rsid w:val="005519A2"/>
    <w:rsid w:val="00551E07"/>
    <w:rsid w:val="00553066"/>
    <w:rsid w:val="00553E05"/>
    <w:rsid w:val="005540AB"/>
    <w:rsid w:val="00555831"/>
    <w:rsid w:val="00555F4B"/>
    <w:rsid w:val="00556395"/>
    <w:rsid w:val="00556C0B"/>
    <w:rsid w:val="00560373"/>
    <w:rsid w:val="00561742"/>
    <w:rsid w:val="00563854"/>
    <w:rsid w:val="00564A53"/>
    <w:rsid w:val="00564E4F"/>
    <w:rsid w:val="00565B99"/>
    <w:rsid w:val="00566FEB"/>
    <w:rsid w:val="00570242"/>
    <w:rsid w:val="005705D7"/>
    <w:rsid w:val="005707D0"/>
    <w:rsid w:val="00571749"/>
    <w:rsid w:val="00572A80"/>
    <w:rsid w:val="005766C9"/>
    <w:rsid w:val="00576BCC"/>
    <w:rsid w:val="005770A4"/>
    <w:rsid w:val="0058280D"/>
    <w:rsid w:val="0058653C"/>
    <w:rsid w:val="00587C50"/>
    <w:rsid w:val="00590C75"/>
    <w:rsid w:val="00590EFA"/>
    <w:rsid w:val="00591669"/>
    <w:rsid w:val="00592EE0"/>
    <w:rsid w:val="00593D7A"/>
    <w:rsid w:val="00593E9C"/>
    <w:rsid w:val="00594047"/>
    <w:rsid w:val="0059488E"/>
    <w:rsid w:val="005A0ED1"/>
    <w:rsid w:val="005A1C37"/>
    <w:rsid w:val="005A257E"/>
    <w:rsid w:val="005A25ED"/>
    <w:rsid w:val="005A3BFF"/>
    <w:rsid w:val="005A4277"/>
    <w:rsid w:val="005A4EA0"/>
    <w:rsid w:val="005A519A"/>
    <w:rsid w:val="005B01AB"/>
    <w:rsid w:val="005B0205"/>
    <w:rsid w:val="005B0F58"/>
    <w:rsid w:val="005B110F"/>
    <w:rsid w:val="005B1400"/>
    <w:rsid w:val="005B1F59"/>
    <w:rsid w:val="005B3541"/>
    <w:rsid w:val="005B478E"/>
    <w:rsid w:val="005B6B65"/>
    <w:rsid w:val="005B6C69"/>
    <w:rsid w:val="005B6D20"/>
    <w:rsid w:val="005C0659"/>
    <w:rsid w:val="005C0E27"/>
    <w:rsid w:val="005C13CB"/>
    <w:rsid w:val="005C1AF0"/>
    <w:rsid w:val="005C3BED"/>
    <w:rsid w:val="005C4CD2"/>
    <w:rsid w:val="005C5AF8"/>
    <w:rsid w:val="005C64B8"/>
    <w:rsid w:val="005C67C3"/>
    <w:rsid w:val="005C725D"/>
    <w:rsid w:val="005D451F"/>
    <w:rsid w:val="005D4FF0"/>
    <w:rsid w:val="005D6EB5"/>
    <w:rsid w:val="005D790D"/>
    <w:rsid w:val="005E1711"/>
    <w:rsid w:val="005E459D"/>
    <w:rsid w:val="005E4DE6"/>
    <w:rsid w:val="005E4F41"/>
    <w:rsid w:val="005E5B31"/>
    <w:rsid w:val="005E6347"/>
    <w:rsid w:val="005F0BB1"/>
    <w:rsid w:val="005F113D"/>
    <w:rsid w:val="005F1555"/>
    <w:rsid w:val="005F1802"/>
    <w:rsid w:val="005F2E2F"/>
    <w:rsid w:val="005F3277"/>
    <w:rsid w:val="005F3FC8"/>
    <w:rsid w:val="005F5554"/>
    <w:rsid w:val="005F7703"/>
    <w:rsid w:val="0060116B"/>
    <w:rsid w:val="006016B4"/>
    <w:rsid w:val="00602287"/>
    <w:rsid w:val="00603711"/>
    <w:rsid w:val="00603DCC"/>
    <w:rsid w:val="00604232"/>
    <w:rsid w:val="0060460D"/>
    <w:rsid w:val="006053A5"/>
    <w:rsid w:val="00605803"/>
    <w:rsid w:val="0060592D"/>
    <w:rsid w:val="00606DE5"/>
    <w:rsid w:val="006123C3"/>
    <w:rsid w:val="00613DF0"/>
    <w:rsid w:val="00613E15"/>
    <w:rsid w:val="00614D00"/>
    <w:rsid w:val="006217D5"/>
    <w:rsid w:val="00623907"/>
    <w:rsid w:val="00625836"/>
    <w:rsid w:val="006264C5"/>
    <w:rsid w:val="0062693A"/>
    <w:rsid w:val="00626FE2"/>
    <w:rsid w:val="00627623"/>
    <w:rsid w:val="006303A5"/>
    <w:rsid w:val="00630CB6"/>
    <w:rsid w:val="00634D4C"/>
    <w:rsid w:val="006358B7"/>
    <w:rsid w:val="00635E9D"/>
    <w:rsid w:val="00637275"/>
    <w:rsid w:val="006404C9"/>
    <w:rsid w:val="00641FBB"/>
    <w:rsid w:val="0064250F"/>
    <w:rsid w:val="00642669"/>
    <w:rsid w:val="00642D7D"/>
    <w:rsid w:val="0064605E"/>
    <w:rsid w:val="006460A2"/>
    <w:rsid w:val="0064653F"/>
    <w:rsid w:val="00651DA2"/>
    <w:rsid w:val="006541A4"/>
    <w:rsid w:val="00654D24"/>
    <w:rsid w:val="00656DB7"/>
    <w:rsid w:val="006615E4"/>
    <w:rsid w:val="0066205F"/>
    <w:rsid w:val="0066315D"/>
    <w:rsid w:val="0066741F"/>
    <w:rsid w:val="00667A64"/>
    <w:rsid w:val="00667B14"/>
    <w:rsid w:val="00667EC6"/>
    <w:rsid w:val="00672506"/>
    <w:rsid w:val="0067327C"/>
    <w:rsid w:val="006765BB"/>
    <w:rsid w:val="00677017"/>
    <w:rsid w:val="0067782F"/>
    <w:rsid w:val="00680E1D"/>
    <w:rsid w:val="0068148C"/>
    <w:rsid w:val="00681F61"/>
    <w:rsid w:val="0068266A"/>
    <w:rsid w:val="00683F59"/>
    <w:rsid w:val="00684975"/>
    <w:rsid w:val="00685908"/>
    <w:rsid w:val="00685F5B"/>
    <w:rsid w:val="00687F86"/>
    <w:rsid w:val="00690093"/>
    <w:rsid w:val="006914EC"/>
    <w:rsid w:val="006920DD"/>
    <w:rsid w:val="0069270E"/>
    <w:rsid w:val="00694A27"/>
    <w:rsid w:val="00694AD5"/>
    <w:rsid w:val="006969A6"/>
    <w:rsid w:val="006973E0"/>
    <w:rsid w:val="00697830"/>
    <w:rsid w:val="00697ABB"/>
    <w:rsid w:val="00697D37"/>
    <w:rsid w:val="006A054F"/>
    <w:rsid w:val="006A2537"/>
    <w:rsid w:val="006A2AC1"/>
    <w:rsid w:val="006A478C"/>
    <w:rsid w:val="006A65E7"/>
    <w:rsid w:val="006A6A35"/>
    <w:rsid w:val="006A6C4A"/>
    <w:rsid w:val="006A708F"/>
    <w:rsid w:val="006A7218"/>
    <w:rsid w:val="006A7656"/>
    <w:rsid w:val="006A7AC5"/>
    <w:rsid w:val="006B292F"/>
    <w:rsid w:val="006B2CF0"/>
    <w:rsid w:val="006B4C36"/>
    <w:rsid w:val="006B58BD"/>
    <w:rsid w:val="006B7316"/>
    <w:rsid w:val="006B7477"/>
    <w:rsid w:val="006C1F0A"/>
    <w:rsid w:val="006C3FF0"/>
    <w:rsid w:val="006C4C4E"/>
    <w:rsid w:val="006C7441"/>
    <w:rsid w:val="006D119E"/>
    <w:rsid w:val="006D420C"/>
    <w:rsid w:val="006D61B0"/>
    <w:rsid w:val="006D6DDE"/>
    <w:rsid w:val="006D7729"/>
    <w:rsid w:val="006D7BB2"/>
    <w:rsid w:val="006E031D"/>
    <w:rsid w:val="006E284F"/>
    <w:rsid w:val="006E32CC"/>
    <w:rsid w:val="006E3829"/>
    <w:rsid w:val="006E3B97"/>
    <w:rsid w:val="006E4963"/>
    <w:rsid w:val="006E563A"/>
    <w:rsid w:val="006E6FCC"/>
    <w:rsid w:val="006E7B23"/>
    <w:rsid w:val="006F0CD8"/>
    <w:rsid w:val="006F2BAD"/>
    <w:rsid w:val="006F3884"/>
    <w:rsid w:val="006F4AAD"/>
    <w:rsid w:val="006F5530"/>
    <w:rsid w:val="006F5577"/>
    <w:rsid w:val="006F6AFC"/>
    <w:rsid w:val="006F7230"/>
    <w:rsid w:val="006F7C22"/>
    <w:rsid w:val="007013E2"/>
    <w:rsid w:val="00701BD0"/>
    <w:rsid w:val="00701D61"/>
    <w:rsid w:val="00702CF4"/>
    <w:rsid w:val="0070347A"/>
    <w:rsid w:val="00703E78"/>
    <w:rsid w:val="00704169"/>
    <w:rsid w:val="00704870"/>
    <w:rsid w:val="00705F34"/>
    <w:rsid w:val="0070665D"/>
    <w:rsid w:val="007107E1"/>
    <w:rsid w:val="00711B95"/>
    <w:rsid w:val="00712650"/>
    <w:rsid w:val="00715367"/>
    <w:rsid w:val="007178C1"/>
    <w:rsid w:val="00723566"/>
    <w:rsid w:val="00725074"/>
    <w:rsid w:val="00725A88"/>
    <w:rsid w:val="007272D8"/>
    <w:rsid w:val="00727CD1"/>
    <w:rsid w:val="00730D8F"/>
    <w:rsid w:val="00731206"/>
    <w:rsid w:val="00731258"/>
    <w:rsid w:val="0073175D"/>
    <w:rsid w:val="0073198C"/>
    <w:rsid w:val="00731D74"/>
    <w:rsid w:val="0073386A"/>
    <w:rsid w:val="00733BFF"/>
    <w:rsid w:val="0073446C"/>
    <w:rsid w:val="007344B2"/>
    <w:rsid w:val="007355FC"/>
    <w:rsid w:val="00741405"/>
    <w:rsid w:val="007415DC"/>
    <w:rsid w:val="00742428"/>
    <w:rsid w:val="00745992"/>
    <w:rsid w:val="00745C0B"/>
    <w:rsid w:val="007464AF"/>
    <w:rsid w:val="0075182E"/>
    <w:rsid w:val="007519A4"/>
    <w:rsid w:val="0075274A"/>
    <w:rsid w:val="00752E20"/>
    <w:rsid w:val="007533A6"/>
    <w:rsid w:val="00753D5A"/>
    <w:rsid w:val="007540EE"/>
    <w:rsid w:val="007545F3"/>
    <w:rsid w:val="00755C72"/>
    <w:rsid w:val="0075723D"/>
    <w:rsid w:val="00760242"/>
    <w:rsid w:val="007630EF"/>
    <w:rsid w:val="00764FDB"/>
    <w:rsid w:val="00765C15"/>
    <w:rsid w:val="007747D4"/>
    <w:rsid w:val="00775092"/>
    <w:rsid w:val="00775359"/>
    <w:rsid w:val="00775AC8"/>
    <w:rsid w:val="007774B3"/>
    <w:rsid w:val="00777E07"/>
    <w:rsid w:val="007811D9"/>
    <w:rsid w:val="00781B74"/>
    <w:rsid w:val="00781E10"/>
    <w:rsid w:val="007821F5"/>
    <w:rsid w:val="00783EE6"/>
    <w:rsid w:val="00785142"/>
    <w:rsid w:val="007857AD"/>
    <w:rsid w:val="00786012"/>
    <w:rsid w:val="00786F2C"/>
    <w:rsid w:val="007871DD"/>
    <w:rsid w:val="007900D6"/>
    <w:rsid w:val="00790CBE"/>
    <w:rsid w:val="00790F0A"/>
    <w:rsid w:val="00793B9C"/>
    <w:rsid w:val="00793DA5"/>
    <w:rsid w:val="00794632"/>
    <w:rsid w:val="007958E7"/>
    <w:rsid w:val="00795CEE"/>
    <w:rsid w:val="007961B7"/>
    <w:rsid w:val="00796E81"/>
    <w:rsid w:val="00797F3E"/>
    <w:rsid w:val="007A001A"/>
    <w:rsid w:val="007A02D4"/>
    <w:rsid w:val="007A2E5C"/>
    <w:rsid w:val="007A44C6"/>
    <w:rsid w:val="007A50B4"/>
    <w:rsid w:val="007A52AB"/>
    <w:rsid w:val="007A6AF1"/>
    <w:rsid w:val="007A6E3A"/>
    <w:rsid w:val="007B0DF3"/>
    <w:rsid w:val="007B1631"/>
    <w:rsid w:val="007B48EC"/>
    <w:rsid w:val="007B5A91"/>
    <w:rsid w:val="007B7ACF"/>
    <w:rsid w:val="007C27F0"/>
    <w:rsid w:val="007C3436"/>
    <w:rsid w:val="007C3896"/>
    <w:rsid w:val="007C3A9C"/>
    <w:rsid w:val="007C4395"/>
    <w:rsid w:val="007C7291"/>
    <w:rsid w:val="007C73F8"/>
    <w:rsid w:val="007D2579"/>
    <w:rsid w:val="007D5D89"/>
    <w:rsid w:val="007D64D4"/>
    <w:rsid w:val="007E09C2"/>
    <w:rsid w:val="007E1A3E"/>
    <w:rsid w:val="007E1A5C"/>
    <w:rsid w:val="007E2112"/>
    <w:rsid w:val="007E33CE"/>
    <w:rsid w:val="007E415E"/>
    <w:rsid w:val="007E506A"/>
    <w:rsid w:val="007F0D6D"/>
    <w:rsid w:val="007F2D02"/>
    <w:rsid w:val="007F3012"/>
    <w:rsid w:val="007F31D5"/>
    <w:rsid w:val="007F3B9F"/>
    <w:rsid w:val="007F3DAF"/>
    <w:rsid w:val="007F456B"/>
    <w:rsid w:val="007F4A78"/>
    <w:rsid w:val="007F68AF"/>
    <w:rsid w:val="007F6BEF"/>
    <w:rsid w:val="007F6FEA"/>
    <w:rsid w:val="007F7083"/>
    <w:rsid w:val="00802B45"/>
    <w:rsid w:val="00802CA5"/>
    <w:rsid w:val="00804CF3"/>
    <w:rsid w:val="00804F3C"/>
    <w:rsid w:val="00806220"/>
    <w:rsid w:val="00806653"/>
    <w:rsid w:val="0081156A"/>
    <w:rsid w:val="00813671"/>
    <w:rsid w:val="008149F2"/>
    <w:rsid w:val="00814BA7"/>
    <w:rsid w:val="008174BF"/>
    <w:rsid w:val="00817E35"/>
    <w:rsid w:val="00817FB2"/>
    <w:rsid w:val="008203A3"/>
    <w:rsid w:val="0082192E"/>
    <w:rsid w:val="00822C39"/>
    <w:rsid w:val="00823282"/>
    <w:rsid w:val="00824AC2"/>
    <w:rsid w:val="00824C6A"/>
    <w:rsid w:val="00825F55"/>
    <w:rsid w:val="008348D8"/>
    <w:rsid w:val="00834CC4"/>
    <w:rsid w:val="00834D7B"/>
    <w:rsid w:val="00834FEC"/>
    <w:rsid w:val="008353F1"/>
    <w:rsid w:val="008360B2"/>
    <w:rsid w:val="00836E7A"/>
    <w:rsid w:val="00840633"/>
    <w:rsid w:val="00841113"/>
    <w:rsid w:val="0084172A"/>
    <w:rsid w:val="008465BF"/>
    <w:rsid w:val="008478C3"/>
    <w:rsid w:val="00850895"/>
    <w:rsid w:val="00853D9F"/>
    <w:rsid w:val="0085688C"/>
    <w:rsid w:val="008573C5"/>
    <w:rsid w:val="00857E62"/>
    <w:rsid w:val="008605F3"/>
    <w:rsid w:val="00860C5B"/>
    <w:rsid w:val="008620D4"/>
    <w:rsid w:val="00862FA6"/>
    <w:rsid w:val="00865502"/>
    <w:rsid w:val="0086592D"/>
    <w:rsid w:val="0086597D"/>
    <w:rsid w:val="008666AF"/>
    <w:rsid w:val="00867494"/>
    <w:rsid w:val="00867665"/>
    <w:rsid w:val="00870F16"/>
    <w:rsid w:val="00871626"/>
    <w:rsid w:val="00872A62"/>
    <w:rsid w:val="00872ED4"/>
    <w:rsid w:val="008734A8"/>
    <w:rsid w:val="008745CD"/>
    <w:rsid w:val="0087520D"/>
    <w:rsid w:val="00875697"/>
    <w:rsid w:val="0087576A"/>
    <w:rsid w:val="00875F6C"/>
    <w:rsid w:val="00876A7F"/>
    <w:rsid w:val="00877F37"/>
    <w:rsid w:val="008802CD"/>
    <w:rsid w:val="00882BAD"/>
    <w:rsid w:val="00884BDF"/>
    <w:rsid w:val="00885C19"/>
    <w:rsid w:val="00887C36"/>
    <w:rsid w:val="00887DB2"/>
    <w:rsid w:val="0089078D"/>
    <w:rsid w:val="008910DA"/>
    <w:rsid w:val="00891CB9"/>
    <w:rsid w:val="00891D8D"/>
    <w:rsid w:val="00892582"/>
    <w:rsid w:val="0089387D"/>
    <w:rsid w:val="00893ECA"/>
    <w:rsid w:val="008946DB"/>
    <w:rsid w:val="008959AC"/>
    <w:rsid w:val="00896885"/>
    <w:rsid w:val="00897E2E"/>
    <w:rsid w:val="008A0710"/>
    <w:rsid w:val="008A0ECF"/>
    <w:rsid w:val="008A18EC"/>
    <w:rsid w:val="008A22D1"/>
    <w:rsid w:val="008A3178"/>
    <w:rsid w:val="008A468B"/>
    <w:rsid w:val="008A4B03"/>
    <w:rsid w:val="008A52B1"/>
    <w:rsid w:val="008B00A6"/>
    <w:rsid w:val="008B0D95"/>
    <w:rsid w:val="008B2238"/>
    <w:rsid w:val="008B2BA3"/>
    <w:rsid w:val="008B3126"/>
    <w:rsid w:val="008B5738"/>
    <w:rsid w:val="008B5EB4"/>
    <w:rsid w:val="008B61C8"/>
    <w:rsid w:val="008B7A34"/>
    <w:rsid w:val="008B7E40"/>
    <w:rsid w:val="008C1B2F"/>
    <w:rsid w:val="008C1B6D"/>
    <w:rsid w:val="008C1CD5"/>
    <w:rsid w:val="008C3FB7"/>
    <w:rsid w:val="008C51ED"/>
    <w:rsid w:val="008C53A9"/>
    <w:rsid w:val="008C5BDD"/>
    <w:rsid w:val="008C7C9B"/>
    <w:rsid w:val="008D0A23"/>
    <w:rsid w:val="008D1180"/>
    <w:rsid w:val="008D169F"/>
    <w:rsid w:val="008D33DB"/>
    <w:rsid w:val="008D344B"/>
    <w:rsid w:val="008D3FA6"/>
    <w:rsid w:val="008D70A0"/>
    <w:rsid w:val="008D735B"/>
    <w:rsid w:val="008E0078"/>
    <w:rsid w:val="008E0C8F"/>
    <w:rsid w:val="008E2A64"/>
    <w:rsid w:val="008E3CEC"/>
    <w:rsid w:val="008E49A3"/>
    <w:rsid w:val="008E50B4"/>
    <w:rsid w:val="008E60D2"/>
    <w:rsid w:val="008E735F"/>
    <w:rsid w:val="008F0081"/>
    <w:rsid w:val="008F0D1C"/>
    <w:rsid w:val="008F3D39"/>
    <w:rsid w:val="00900480"/>
    <w:rsid w:val="00901EDB"/>
    <w:rsid w:val="009021D1"/>
    <w:rsid w:val="00903267"/>
    <w:rsid w:val="00903884"/>
    <w:rsid w:val="00903C45"/>
    <w:rsid w:val="00904399"/>
    <w:rsid w:val="009060C6"/>
    <w:rsid w:val="0090640B"/>
    <w:rsid w:val="009065A2"/>
    <w:rsid w:val="00907BE7"/>
    <w:rsid w:val="00910082"/>
    <w:rsid w:val="00910DB1"/>
    <w:rsid w:val="00911E0B"/>
    <w:rsid w:val="00911F39"/>
    <w:rsid w:val="00912CDE"/>
    <w:rsid w:val="009134D6"/>
    <w:rsid w:val="009148D8"/>
    <w:rsid w:val="00916375"/>
    <w:rsid w:val="009164E4"/>
    <w:rsid w:val="009171C6"/>
    <w:rsid w:val="00917A45"/>
    <w:rsid w:val="009201DA"/>
    <w:rsid w:val="00920897"/>
    <w:rsid w:val="00920C0B"/>
    <w:rsid w:val="00923864"/>
    <w:rsid w:val="00926272"/>
    <w:rsid w:val="00927031"/>
    <w:rsid w:val="00927515"/>
    <w:rsid w:val="00930F95"/>
    <w:rsid w:val="0093192A"/>
    <w:rsid w:val="00931B60"/>
    <w:rsid w:val="00932688"/>
    <w:rsid w:val="00934C43"/>
    <w:rsid w:val="00934E61"/>
    <w:rsid w:val="00940874"/>
    <w:rsid w:val="00943012"/>
    <w:rsid w:val="00943457"/>
    <w:rsid w:val="00943D3A"/>
    <w:rsid w:val="00946053"/>
    <w:rsid w:val="00946DA3"/>
    <w:rsid w:val="00951C72"/>
    <w:rsid w:val="00952CDC"/>
    <w:rsid w:val="0095342C"/>
    <w:rsid w:val="00954D14"/>
    <w:rsid w:val="009551A7"/>
    <w:rsid w:val="00955824"/>
    <w:rsid w:val="00955EAB"/>
    <w:rsid w:val="009575C3"/>
    <w:rsid w:val="00957DD5"/>
    <w:rsid w:val="009607A8"/>
    <w:rsid w:val="009612E4"/>
    <w:rsid w:val="00961B81"/>
    <w:rsid w:val="00961C1E"/>
    <w:rsid w:val="00962B94"/>
    <w:rsid w:val="00963918"/>
    <w:rsid w:val="00963FB7"/>
    <w:rsid w:val="00964C44"/>
    <w:rsid w:val="00964F87"/>
    <w:rsid w:val="009667F1"/>
    <w:rsid w:val="00971CD7"/>
    <w:rsid w:val="0097228B"/>
    <w:rsid w:val="0097286E"/>
    <w:rsid w:val="00974348"/>
    <w:rsid w:val="009767A6"/>
    <w:rsid w:val="0097743E"/>
    <w:rsid w:val="00977993"/>
    <w:rsid w:val="00977E54"/>
    <w:rsid w:val="00980820"/>
    <w:rsid w:val="00981537"/>
    <w:rsid w:val="00982331"/>
    <w:rsid w:val="00990ED2"/>
    <w:rsid w:val="009921B3"/>
    <w:rsid w:val="00992B67"/>
    <w:rsid w:val="009937D3"/>
    <w:rsid w:val="00993CD4"/>
    <w:rsid w:val="0099523A"/>
    <w:rsid w:val="00995EF3"/>
    <w:rsid w:val="0099689F"/>
    <w:rsid w:val="00997A4C"/>
    <w:rsid w:val="009A1044"/>
    <w:rsid w:val="009A15B4"/>
    <w:rsid w:val="009A345D"/>
    <w:rsid w:val="009A36AF"/>
    <w:rsid w:val="009A48D1"/>
    <w:rsid w:val="009A4B1A"/>
    <w:rsid w:val="009A6280"/>
    <w:rsid w:val="009A64E3"/>
    <w:rsid w:val="009A73D4"/>
    <w:rsid w:val="009A7FCA"/>
    <w:rsid w:val="009B3916"/>
    <w:rsid w:val="009B5930"/>
    <w:rsid w:val="009B72DB"/>
    <w:rsid w:val="009C096D"/>
    <w:rsid w:val="009C2256"/>
    <w:rsid w:val="009C50EF"/>
    <w:rsid w:val="009C599B"/>
    <w:rsid w:val="009C6074"/>
    <w:rsid w:val="009C6F3E"/>
    <w:rsid w:val="009D0B7D"/>
    <w:rsid w:val="009D0D5F"/>
    <w:rsid w:val="009D264D"/>
    <w:rsid w:val="009D3727"/>
    <w:rsid w:val="009D3DA7"/>
    <w:rsid w:val="009D527B"/>
    <w:rsid w:val="009D5E50"/>
    <w:rsid w:val="009E0F98"/>
    <w:rsid w:val="009E1DED"/>
    <w:rsid w:val="009E3B23"/>
    <w:rsid w:val="009E41C1"/>
    <w:rsid w:val="009E4AA9"/>
    <w:rsid w:val="009E57BB"/>
    <w:rsid w:val="009E58CD"/>
    <w:rsid w:val="009E7910"/>
    <w:rsid w:val="009F0651"/>
    <w:rsid w:val="009F17B3"/>
    <w:rsid w:val="009F375B"/>
    <w:rsid w:val="009F3FEA"/>
    <w:rsid w:val="009F4791"/>
    <w:rsid w:val="00A00FC9"/>
    <w:rsid w:val="00A0166F"/>
    <w:rsid w:val="00A0171E"/>
    <w:rsid w:val="00A02B70"/>
    <w:rsid w:val="00A0337E"/>
    <w:rsid w:val="00A0372B"/>
    <w:rsid w:val="00A0425C"/>
    <w:rsid w:val="00A05CE2"/>
    <w:rsid w:val="00A071D5"/>
    <w:rsid w:val="00A075A1"/>
    <w:rsid w:val="00A07F55"/>
    <w:rsid w:val="00A1283E"/>
    <w:rsid w:val="00A1302C"/>
    <w:rsid w:val="00A21197"/>
    <w:rsid w:val="00A22A06"/>
    <w:rsid w:val="00A230F3"/>
    <w:rsid w:val="00A252D1"/>
    <w:rsid w:val="00A26E19"/>
    <w:rsid w:val="00A26EE9"/>
    <w:rsid w:val="00A270D1"/>
    <w:rsid w:val="00A31663"/>
    <w:rsid w:val="00A31A94"/>
    <w:rsid w:val="00A31C1B"/>
    <w:rsid w:val="00A32C9A"/>
    <w:rsid w:val="00A33409"/>
    <w:rsid w:val="00A33706"/>
    <w:rsid w:val="00A356B0"/>
    <w:rsid w:val="00A35E78"/>
    <w:rsid w:val="00A373C3"/>
    <w:rsid w:val="00A41C5D"/>
    <w:rsid w:val="00A433C9"/>
    <w:rsid w:val="00A437EB"/>
    <w:rsid w:val="00A4381D"/>
    <w:rsid w:val="00A43FD9"/>
    <w:rsid w:val="00A44062"/>
    <w:rsid w:val="00A44F5C"/>
    <w:rsid w:val="00A45168"/>
    <w:rsid w:val="00A4688A"/>
    <w:rsid w:val="00A50B3C"/>
    <w:rsid w:val="00A51F4E"/>
    <w:rsid w:val="00A53007"/>
    <w:rsid w:val="00A5309F"/>
    <w:rsid w:val="00A55EB8"/>
    <w:rsid w:val="00A569C3"/>
    <w:rsid w:val="00A56CC1"/>
    <w:rsid w:val="00A60BD0"/>
    <w:rsid w:val="00A616F4"/>
    <w:rsid w:val="00A620DE"/>
    <w:rsid w:val="00A623E6"/>
    <w:rsid w:val="00A65903"/>
    <w:rsid w:val="00A67293"/>
    <w:rsid w:val="00A67A94"/>
    <w:rsid w:val="00A7017D"/>
    <w:rsid w:val="00A705DE"/>
    <w:rsid w:val="00A71BEA"/>
    <w:rsid w:val="00A72C36"/>
    <w:rsid w:val="00A733B6"/>
    <w:rsid w:val="00A75389"/>
    <w:rsid w:val="00A75E93"/>
    <w:rsid w:val="00A76667"/>
    <w:rsid w:val="00A76E3B"/>
    <w:rsid w:val="00A77AE0"/>
    <w:rsid w:val="00A80592"/>
    <w:rsid w:val="00A825FE"/>
    <w:rsid w:val="00A857DA"/>
    <w:rsid w:val="00A85DDC"/>
    <w:rsid w:val="00A86A60"/>
    <w:rsid w:val="00A87312"/>
    <w:rsid w:val="00A87C69"/>
    <w:rsid w:val="00A92353"/>
    <w:rsid w:val="00A93053"/>
    <w:rsid w:val="00A93E13"/>
    <w:rsid w:val="00A94E47"/>
    <w:rsid w:val="00A96660"/>
    <w:rsid w:val="00AA0A0C"/>
    <w:rsid w:val="00AA3D11"/>
    <w:rsid w:val="00AA3D4C"/>
    <w:rsid w:val="00AB087D"/>
    <w:rsid w:val="00AB129D"/>
    <w:rsid w:val="00AB164A"/>
    <w:rsid w:val="00AB1BA4"/>
    <w:rsid w:val="00AB1F36"/>
    <w:rsid w:val="00AB3CEA"/>
    <w:rsid w:val="00AB689F"/>
    <w:rsid w:val="00AB7D9C"/>
    <w:rsid w:val="00AB7F75"/>
    <w:rsid w:val="00AC0C08"/>
    <w:rsid w:val="00AC2A11"/>
    <w:rsid w:val="00AC52D6"/>
    <w:rsid w:val="00AC55C5"/>
    <w:rsid w:val="00AC745B"/>
    <w:rsid w:val="00AD213C"/>
    <w:rsid w:val="00AD25BB"/>
    <w:rsid w:val="00AD4246"/>
    <w:rsid w:val="00AE0E05"/>
    <w:rsid w:val="00AE1F0D"/>
    <w:rsid w:val="00AE217B"/>
    <w:rsid w:val="00AE372D"/>
    <w:rsid w:val="00AE4D30"/>
    <w:rsid w:val="00AE70CA"/>
    <w:rsid w:val="00AE76FF"/>
    <w:rsid w:val="00AF0C7D"/>
    <w:rsid w:val="00AF1AD4"/>
    <w:rsid w:val="00AF1AF4"/>
    <w:rsid w:val="00AF2028"/>
    <w:rsid w:val="00AF301E"/>
    <w:rsid w:val="00AF644A"/>
    <w:rsid w:val="00AF649C"/>
    <w:rsid w:val="00AF6585"/>
    <w:rsid w:val="00AF6B26"/>
    <w:rsid w:val="00AF7C41"/>
    <w:rsid w:val="00B02773"/>
    <w:rsid w:val="00B03452"/>
    <w:rsid w:val="00B040A6"/>
    <w:rsid w:val="00B05691"/>
    <w:rsid w:val="00B057AB"/>
    <w:rsid w:val="00B05E0D"/>
    <w:rsid w:val="00B05E6F"/>
    <w:rsid w:val="00B10EAB"/>
    <w:rsid w:val="00B11956"/>
    <w:rsid w:val="00B12AA3"/>
    <w:rsid w:val="00B12E12"/>
    <w:rsid w:val="00B132C1"/>
    <w:rsid w:val="00B1373A"/>
    <w:rsid w:val="00B14836"/>
    <w:rsid w:val="00B163A4"/>
    <w:rsid w:val="00B1714E"/>
    <w:rsid w:val="00B178B8"/>
    <w:rsid w:val="00B206A7"/>
    <w:rsid w:val="00B20D9F"/>
    <w:rsid w:val="00B20EEF"/>
    <w:rsid w:val="00B214CA"/>
    <w:rsid w:val="00B228D3"/>
    <w:rsid w:val="00B22F5C"/>
    <w:rsid w:val="00B24677"/>
    <w:rsid w:val="00B24868"/>
    <w:rsid w:val="00B25E47"/>
    <w:rsid w:val="00B26156"/>
    <w:rsid w:val="00B2666E"/>
    <w:rsid w:val="00B26D39"/>
    <w:rsid w:val="00B27BD4"/>
    <w:rsid w:val="00B27D01"/>
    <w:rsid w:val="00B30521"/>
    <w:rsid w:val="00B307C7"/>
    <w:rsid w:val="00B3104D"/>
    <w:rsid w:val="00B325C1"/>
    <w:rsid w:val="00B346FD"/>
    <w:rsid w:val="00B3726E"/>
    <w:rsid w:val="00B400EF"/>
    <w:rsid w:val="00B4010F"/>
    <w:rsid w:val="00B407D8"/>
    <w:rsid w:val="00B40B19"/>
    <w:rsid w:val="00B4186F"/>
    <w:rsid w:val="00B432AF"/>
    <w:rsid w:val="00B43859"/>
    <w:rsid w:val="00B4413F"/>
    <w:rsid w:val="00B460A1"/>
    <w:rsid w:val="00B46C41"/>
    <w:rsid w:val="00B47C40"/>
    <w:rsid w:val="00B507F7"/>
    <w:rsid w:val="00B5090D"/>
    <w:rsid w:val="00B50B91"/>
    <w:rsid w:val="00B51497"/>
    <w:rsid w:val="00B51AA5"/>
    <w:rsid w:val="00B51BB1"/>
    <w:rsid w:val="00B51D05"/>
    <w:rsid w:val="00B52102"/>
    <w:rsid w:val="00B52459"/>
    <w:rsid w:val="00B55C81"/>
    <w:rsid w:val="00B55F32"/>
    <w:rsid w:val="00B576D9"/>
    <w:rsid w:val="00B6000B"/>
    <w:rsid w:val="00B61108"/>
    <w:rsid w:val="00B6158D"/>
    <w:rsid w:val="00B61F83"/>
    <w:rsid w:val="00B62291"/>
    <w:rsid w:val="00B63047"/>
    <w:rsid w:val="00B641DE"/>
    <w:rsid w:val="00B65F2F"/>
    <w:rsid w:val="00B66000"/>
    <w:rsid w:val="00B677CF"/>
    <w:rsid w:val="00B7064E"/>
    <w:rsid w:val="00B734C0"/>
    <w:rsid w:val="00B752D5"/>
    <w:rsid w:val="00B754CA"/>
    <w:rsid w:val="00B80734"/>
    <w:rsid w:val="00B81F7D"/>
    <w:rsid w:val="00B83D0D"/>
    <w:rsid w:val="00B840F4"/>
    <w:rsid w:val="00B86275"/>
    <w:rsid w:val="00B86449"/>
    <w:rsid w:val="00B876DB"/>
    <w:rsid w:val="00B87CCF"/>
    <w:rsid w:val="00B91C76"/>
    <w:rsid w:val="00B925E1"/>
    <w:rsid w:val="00B93209"/>
    <w:rsid w:val="00B9403D"/>
    <w:rsid w:val="00B968CA"/>
    <w:rsid w:val="00BA0F3C"/>
    <w:rsid w:val="00BA10C1"/>
    <w:rsid w:val="00BA14A0"/>
    <w:rsid w:val="00BA315B"/>
    <w:rsid w:val="00BA3A77"/>
    <w:rsid w:val="00BA5BC8"/>
    <w:rsid w:val="00BA63B2"/>
    <w:rsid w:val="00BB122F"/>
    <w:rsid w:val="00BB1DE5"/>
    <w:rsid w:val="00BB314B"/>
    <w:rsid w:val="00BB3509"/>
    <w:rsid w:val="00BB4EFA"/>
    <w:rsid w:val="00BB5B3B"/>
    <w:rsid w:val="00BB5B40"/>
    <w:rsid w:val="00BB6A85"/>
    <w:rsid w:val="00BB6DA6"/>
    <w:rsid w:val="00BB7514"/>
    <w:rsid w:val="00BC28CE"/>
    <w:rsid w:val="00BC38B7"/>
    <w:rsid w:val="00BC6885"/>
    <w:rsid w:val="00BD0616"/>
    <w:rsid w:val="00BD158F"/>
    <w:rsid w:val="00BD1EF1"/>
    <w:rsid w:val="00BD3404"/>
    <w:rsid w:val="00BD3BFA"/>
    <w:rsid w:val="00BD45F1"/>
    <w:rsid w:val="00BD468F"/>
    <w:rsid w:val="00BD4F3C"/>
    <w:rsid w:val="00BD5955"/>
    <w:rsid w:val="00BE0BFB"/>
    <w:rsid w:val="00BE0F62"/>
    <w:rsid w:val="00BE0F6E"/>
    <w:rsid w:val="00BE1874"/>
    <w:rsid w:val="00BE23D0"/>
    <w:rsid w:val="00BE3FB1"/>
    <w:rsid w:val="00BE3FBC"/>
    <w:rsid w:val="00BF1158"/>
    <w:rsid w:val="00BF11F3"/>
    <w:rsid w:val="00BF1AFE"/>
    <w:rsid w:val="00BF2AEC"/>
    <w:rsid w:val="00BF33E9"/>
    <w:rsid w:val="00BF3556"/>
    <w:rsid w:val="00BF3FB3"/>
    <w:rsid w:val="00BF490B"/>
    <w:rsid w:val="00BF6279"/>
    <w:rsid w:val="00BF68F0"/>
    <w:rsid w:val="00BF7A89"/>
    <w:rsid w:val="00BF7FF3"/>
    <w:rsid w:val="00C03015"/>
    <w:rsid w:val="00C0383A"/>
    <w:rsid w:val="00C041C1"/>
    <w:rsid w:val="00C06587"/>
    <w:rsid w:val="00C06605"/>
    <w:rsid w:val="00C067E9"/>
    <w:rsid w:val="00C06B87"/>
    <w:rsid w:val="00C1008A"/>
    <w:rsid w:val="00C1100C"/>
    <w:rsid w:val="00C149E3"/>
    <w:rsid w:val="00C14A49"/>
    <w:rsid w:val="00C16944"/>
    <w:rsid w:val="00C21CEA"/>
    <w:rsid w:val="00C21E6E"/>
    <w:rsid w:val="00C22367"/>
    <w:rsid w:val="00C22B63"/>
    <w:rsid w:val="00C23ABC"/>
    <w:rsid w:val="00C24696"/>
    <w:rsid w:val="00C2482D"/>
    <w:rsid w:val="00C30BAF"/>
    <w:rsid w:val="00C30D59"/>
    <w:rsid w:val="00C311A8"/>
    <w:rsid w:val="00C32D07"/>
    <w:rsid w:val="00C33A21"/>
    <w:rsid w:val="00C33C2E"/>
    <w:rsid w:val="00C3466A"/>
    <w:rsid w:val="00C34B1D"/>
    <w:rsid w:val="00C34DD6"/>
    <w:rsid w:val="00C3752F"/>
    <w:rsid w:val="00C3761B"/>
    <w:rsid w:val="00C40213"/>
    <w:rsid w:val="00C42DCE"/>
    <w:rsid w:val="00C44C8A"/>
    <w:rsid w:val="00C50979"/>
    <w:rsid w:val="00C51598"/>
    <w:rsid w:val="00C52D82"/>
    <w:rsid w:val="00C52EE3"/>
    <w:rsid w:val="00C52EF3"/>
    <w:rsid w:val="00C52FE4"/>
    <w:rsid w:val="00C534F6"/>
    <w:rsid w:val="00C53833"/>
    <w:rsid w:val="00C53A2C"/>
    <w:rsid w:val="00C55A0E"/>
    <w:rsid w:val="00C5661A"/>
    <w:rsid w:val="00C56DA5"/>
    <w:rsid w:val="00C570B1"/>
    <w:rsid w:val="00C57267"/>
    <w:rsid w:val="00C57892"/>
    <w:rsid w:val="00C603C4"/>
    <w:rsid w:val="00C60C2C"/>
    <w:rsid w:val="00C61058"/>
    <w:rsid w:val="00C61A24"/>
    <w:rsid w:val="00C61ECC"/>
    <w:rsid w:val="00C62878"/>
    <w:rsid w:val="00C63FC2"/>
    <w:rsid w:val="00C65469"/>
    <w:rsid w:val="00C65747"/>
    <w:rsid w:val="00C660F7"/>
    <w:rsid w:val="00C67D3E"/>
    <w:rsid w:val="00C67D76"/>
    <w:rsid w:val="00C719FF"/>
    <w:rsid w:val="00C72DA9"/>
    <w:rsid w:val="00C7335F"/>
    <w:rsid w:val="00C7445D"/>
    <w:rsid w:val="00C74D61"/>
    <w:rsid w:val="00C77BC7"/>
    <w:rsid w:val="00C80CBC"/>
    <w:rsid w:val="00C80D66"/>
    <w:rsid w:val="00C81BAD"/>
    <w:rsid w:val="00C81EFD"/>
    <w:rsid w:val="00C81FC1"/>
    <w:rsid w:val="00C82AE0"/>
    <w:rsid w:val="00C8301D"/>
    <w:rsid w:val="00C833C0"/>
    <w:rsid w:val="00C84DE5"/>
    <w:rsid w:val="00C858E7"/>
    <w:rsid w:val="00C85E5B"/>
    <w:rsid w:val="00C86E29"/>
    <w:rsid w:val="00C9046A"/>
    <w:rsid w:val="00C90CDD"/>
    <w:rsid w:val="00C9242F"/>
    <w:rsid w:val="00C93C01"/>
    <w:rsid w:val="00C94065"/>
    <w:rsid w:val="00C946B1"/>
    <w:rsid w:val="00C9488C"/>
    <w:rsid w:val="00C94E73"/>
    <w:rsid w:val="00C95F5D"/>
    <w:rsid w:val="00C96152"/>
    <w:rsid w:val="00C96931"/>
    <w:rsid w:val="00C970EB"/>
    <w:rsid w:val="00C974F7"/>
    <w:rsid w:val="00CA09B3"/>
    <w:rsid w:val="00CA10E0"/>
    <w:rsid w:val="00CA2ECE"/>
    <w:rsid w:val="00CA3E52"/>
    <w:rsid w:val="00CA405C"/>
    <w:rsid w:val="00CA60D0"/>
    <w:rsid w:val="00CA61F7"/>
    <w:rsid w:val="00CA68B3"/>
    <w:rsid w:val="00CA6C40"/>
    <w:rsid w:val="00CA6D94"/>
    <w:rsid w:val="00CB098A"/>
    <w:rsid w:val="00CB317F"/>
    <w:rsid w:val="00CB32D2"/>
    <w:rsid w:val="00CB3974"/>
    <w:rsid w:val="00CB4E47"/>
    <w:rsid w:val="00CB558D"/>
    <w:rsid w:val="00CB702E"/>
    <w:rsid w:val="00CB716F"/>
    <w:rsid w:val="00CC0268"/>
    <w:rsid w:val="00CC1F56"/>
    <w:rsid w:val="00CC2E87"/>
    <w:rsid w:val="00CC3586"/>
    <w:rsid w:val="00CC3FCC"/>
    <w:rsid w:val="00CC4751"/>
    <w:rsid w:val="00CC4B7A"/>
    <w:rsid w:val="00CC54FE"/>
    <w:rsid w:val="00CC5534"/>
    <w:rsid w:val="00CC6FCF"/>
    <w:rsid w:val="00CC7E41"/>
    <w:rsid w:val="00CD121D"/>
    <w:rsid w:val="00CD1611"/>
    <w:rsid w:val="00CD2DCD"/>
    <w:rsid w:val="00CD3F1C"/>
    <w:rsid w:val="00CD455D"/>
    <w:rsid w:val="00CD4CD3"/>
    <w:rsid w:val="00CD6C03"/>
    <w:rsid w:val="00CD7CB9"/>
    <w:rsid w:val="00CD7EAA"/>
    <w:rsid w:val="00CD7FCA"/>
    <w:rsid w:val="00CE0F42"/>
    <w:rsid w:val="00CE101A"/>
    <w:rsid w:val="00CE1326"/>
    <w:rsid w:val="00CE2AAA"/>
    <w:rsid w:val="00CE3BB1"/>
    <w:rsid w:val="00CE6A3D"/>
    <w:rsid w:val="00CE7CC4"/>
    <w:rsid w:val="00CE7E42"/>
    <w:rsid w:val="00CF1341"/>
    <w:rsid w:val="00CF18BA"/>
    <w:rsid w:val="00CF20AF"/>
    <w:rsid w:val="00CF2701"/>
    <w:rsid w:val="00CF4DBD"/>
    <w:rsid w:val="00CF5AC4"/>
    <w:rsid w:val="00CF6FA9"/>
    <w:rsid w:val="00CF7884"/>
    <w:rsid w:val="00D00612"/>
    <w:rsid w:val="00D009AC"/>
    <w:rsid w:val="00D01EEE"/>
    <w:rsid w:val="00D02137"/>
    <w:rsid w:val="00D0279B"/>
    <w:rsid w:val="00D03A69"/>
    <w:rsid w:val="00D03F53"/>
    <w:rsid w:val="00D0683A"/>
    <w:rsid w:val="00D07E07"/>
    <w:rsid w:val="00D119B0"/>
    <w:rsid w:val="00D13035"/>
    <w:rsid w:val="00D13569"/>
    <w:rsid w:val="00D13F3F"/>
    <w:rsid w:val="00D23A2B"/>
    <w:rsid w:val="00D23F05"/>
    <w:rsid w:val="00D2452B"/>
    <w:rsid w:val="00D25DDD"/>
    <w:rsid w:val="00D271A7"/>
    <w:rsid w:val="00D27349"/>
    <w:rsid w:val="00D27E28"/>
    <w:rsid w:val="00D31A60"/>
    <w:rsid w:val="00D34609"/>
    <w:rsid w:val="00D34E49"/>
    <w:rsid w:val="00D34F8D"/>
    <w:rsid w:val="00D371CA"/>
    <w:rsid w:val="00D40C4B"/>
    <w:rsid w:val="00D41E38"/>
    <w:rsid w:val="00D422F0"/>
    <w:rsid w:val="00D423BE"/>
    <w:rsid w:val="00D42D48"/>
    <w:rsid w:val="00D5194C"/>
    <w:rsid w:val="00D53A5F"/>
    <w:rsid w:val="00D53E96"/>
    <w:rsid w:val="00D5459B"/>
    <w:rsid w:val="00D55409"/>
    <w:rsid w:val="00D56DA4"/>
    <w:rsid w:val="00D57AB4"/>
    <w:rsid w:val="00D57B53"/>
    <w:rsid w:val="00D57DFA"/>
    <w:rsid w:val="00D611E0"/>
    <w:rsid w:val="00D6267F"/>
    <w:rsid w:val="00D63E7F"/>
    <w:rsid w:val="00D65BB6"/>
    <w:rsid w:val="00D67EA6"/>
    <w:rsid w:val="00D7055B"/>
    <w:rsid w:val="00D70897"/>
    <w:rsid w:val="00D73C84"/>
    <w:rsid w:val="00D76746"/>
    <w:rsid w:val="00D769E4"/>
    <w:rsid w:val="00D7757C"/>
    <w:rsid w:val="00D7775D"/>
    <w:rsid w:val="00D7797A"/>
    <w:rsid w:val="00D805C7"/>
    <w:rsid w:val="00D8087D"/>
    <w:rsid w:val="00D80A1B"/>
    <w:rsid w:val="00D80A5D"/>
    <w:rsid w:val="00D816D2"/>
    <w:rsid w:val="00D81769"/>
    <w:rsid w:val="00D81F9E"/>
    <w:rsid w:val="00D82675"/>
    <w:rsid w:val="00D8353C"/>
    <w:rsid w:val="00D838E9"/>
    <w:rsid w:val="00D85385"/>
    <w:rsid w:val="00D862C4"/>
    <w:rsid w:val="00D867DF"/>
    <w:rsid w:val="00D87221"/>
    <w:rsid w:val="00D90FB6"/>
    <w:rsid w:val="00D919CD"/>
    <w:rsid w:val="00D91C6B"/>
    <w:rsid w:val="00D92234"/>
    <w:rsid w:val="00D9301F"/>
    <w:rsid w:val="00D941A6"/>
    <w:rsid w:val="00D94507"/>
    <w:rsid w:val="00D94611"/>
    <w:rsid w:val="00D9489F"/>
    <w:rsid w:val="00D94C07"/>
    <w:rsid w:val="00D95D3A"/>
    <w:rsid w:val="00D96ACD"/>
    <w:rsid w:val="00D96DBA"/>
    <w:rsid w:val="00DA0DE7"/>
    <w:rsid w:val="00DA14F7"/>
    <w:rsid w:val="00DA2087"/>
    <w:rsid w:val="00DA25C2"/>
    <w:rsid w:val="00DA28A7"/>
    <w:rsid w:val="00DA2E83"/>
    <w:rsid w:val="00DA334D"/>
    <w:rsid w:val="00DA3F77"/>
    <w:rsid w:val="00DA539C"/>
    <w:rsid w:val="00DA7212"/>
    <w:rsid w:val="00DB11EB"/>
    <w:rsid w:val="00DB16F3"/>
    <w:rsid w:val="00DB175D"/>
    <w:rsid w:val="00DB1DA5"/>
    <w:rsid w:val="00DB2683"/>
    <w:rsid w:val="00DB2B6F"/>
    <w:rsid w:val="00DB369C"/>
    <w:rsid w:val="00DB4438"/>
    <w:rsid w:val="00DB4483"/>
    <w:rsid w:val="00DB6277"/>
    <w:rsid w:val="00DB66F0"/>
    <w:rsid w:val="00DB694C"/>
    <w:rsid w:val="00DB76E0"/>
    <w:rsid w:val="00DC0502"/>
    <w:rsid w:val="00DC1DA6"/>
    <w:rsid w:val="00DC2CF6"/>
    <w:rsid w:val="00DC2E4A"/>
    <w:rsid w:val="00DC5B33"/>
    <w:rsid w:val="00DC74CF"/>
    <w:rsid w:val="00DC76DB"/>
    <w:rsid w:val="00DD1122"/>
    <w:rsid w:val="00DD148E"/>
    <w:rsid w:val="00DD17A5"/>
    <w:rsid w:val="00DD30CF"/>
    <w:rsid w:val="00DD47DC"/>
    <w:rsid w:val="00DD5CC7"/>
    <w:rsid w:val="00DD659B"/>
    <w:rsid w:val="00DD67DA"/>
    <w:rsid w:val="00DE0743"/>
    <w:rsid w:val="00DE0A66"/>
    <w:rsid w:val="00DE2C1A"/>
    <w:rsid w:val="00DE2D11"/>
    <w:rsid w:val="00DE33DF"/>
    <w:rsid w:val="00DE409E"/>
    <w:rsid w:val="00DE5362"/>
    <w:rsid w:val="00DE6797"/>
    <w:rsid w:val="00DF0017"/>
    <w:rsid w:val="00DF12A3"/>
    <w:rsid w:val="00DF36DB"/>
    <w:rsid w:val="00DF3FAA"/>
    <w:rsid w:val="00DF5853"/>
    <w:rsid w:val="00E00B2D"/>
    <w:rsid w:val="00E03029"/>
    <w:rsid w:val="00E046E1"/>
    <w:rsid w:val="00E057CC"/>
    <w:rsid w:val="00E064BC"/>
    <w:rsid w:val="00E10EA5"/>
    <w:rsid w:val="00E12E01"/>
    <w:rsid w:val="00E163BC"/>
    <w:rsid w:val="00E172D5"/>
    <w:rsid w:val="00E1745B"/>
    <w:rsid w:val="00E21439"/>
    <w:rsid w:val="00E2189D"/>
    <w:rsid w:val="00E21A11"/>
    <w:rsid w:val="00E23588"/>
    <w:rsid w:val="00E25106"/>
    <w:rsid w:val="00E265CE"/>
    <w:rsid w:val="00E26683"/>
    <w:rsid w:val="00E3582E"/>
    <w:rsid w:val="00E37A3C"/>
    <w:rsid w:val="00E37A8A"/>
    <w:rsid w:val="00E41C14"/>
    <w:rsid w:val="00E41D97"/>
    <w:rsid w:val="00E471D8"/>
    <w:rsid w:val="00E507CA"/>
    <w:rsid w:val="00E51382"/>
    <w:rsid w:val="00E519AF"/>
    <w:rsid w:val="00E52083"/>
    <w:rsid w:val="00E52F54"/>
    <w:rsid w:val="00E53643"/>
    <w:rsid w:val="00E5657A"/>
    <w:rsid w:val="00E61288"/>
    <w:rsid w:val="00E61AF9"/>
    <w:rsid w:val="00E62C51"/>
    <w:rsid w:val="00E63622"/>
    <w:rsid w:val="00E63D02"/>
    <w:rsid w:val="00E63F15"/>
    <w:rsid w:val="00E64920"/>
    <w:rsid w:val="00E64B06"/>
    <w:rsid w:val="00E73C22"/>
    <w:rsid w:val="00E7495D"/>
    <w:rsid w:val="00E74C60"/>
    <w:rsid w:val="00E74EDD"/>
    <w:rsid w:val="00E75261"/>
    <w:rsid w:val="00E76361"/>
    <w:rsid w:val="00E76F1C"/>
    <w:rsid w:val="00E772AF"/>
    <w:rsid w:val="00E826EF"/>
    <w:rsid w:val="00E82DD6"/>
    <w:rsid w:val="00E84CFC"/>
    <w:rsid w:val="00E85C0E"/>
    <w:rsid w:val="00E8633D"/>
    <w:rsid w:val="00E866CE"/>
    <w:rsid w:val="00E867DD"/>
    <w:rsid w:val="00E874FD"/>
    <w:rsid w:val="00E90B7B"/>
    <w:rsid w:val="00E91587"/>
    <w:rsid w:val="00E923D1"/>
    <w:rsid w:val="00E92CD2"/>
    <w:rsid w:val="00E9543B"/>
    <w:rsid w:val="00E960A2"/>
    <w:rsid w:val="00E970E3"/>
    <w:rsid w:val="00E970E5"/>
    <w:rsid w:val="00E97740"/>
    <w:rsid w:val="00EA0DBD"/>
    <w:rsid w:val="00EA1506"/>
    <w:rsid w:val="00EA2E8B"/>
    <w:rsid w:val="00EA6420"/>
    <w:rsid w:val="00EA755E"/>
    <w:rsid w:val="00EA7DA5"/>
    <w:rsid w:val="00EB0353"/>
    <w:rsid w:val="00EB056C"/>
    <w:rsid w:val="00EB3175"/>
    <w:rsid w:val="00EB38EB"/>
    <w:rsid w:val="00EB548D"/>
    <w:rsid w:val="00EB6065"/>
    <w:rsid w:val="00EB739B"/>
    <w:rsid w:val="00EC0B67"/>
    <w:rsid w:val="00EC1DE8"/>
    <w:rsid w:val="00EC1DF1"/>
    <w:rsid w:val="00EC2114"/>
    <w:rsid w:val="00EC4DD2"/>
    <w:rsid w:val="00EC61AA"/>
    <w:rsid w:val="00ED2078"/>
    <w:rsid w:val="00ED2981"/>
    <w:rsid w:val="00ED471C"/>
    <w:rsid w:val="00ED5E0D"/>
    <w:rsid w:val="00EE0052"/>
    <w:rsid w:val="00EE00FC"/>
    <w:rsid w:val="00EE0E80"/>
    <w:rsid w:val="00EE2D59"/>
    <w:rsid w:val="00EE2E6A"/>
    <w:rsid w:val="00EE31E2"/>
    <w:rsid w:val="00EE3946"/>
    <w:rsid w:val="00EE4D7F"/>
    <w:rsid w:val="00EE57C6"/>
    <w:rsid w:val="00EE5E98"/>
    <w:rsid w:val="00EE6037"/>
    <w:rsid w:val="00EE6C15"/>
    <w:rsid w:val="00EE7925"/>
    <w:rsid w:val="00EF1988"/>
    <w:rsid w:val="00EF44EB"/>
    <w:rsid w:val="00EF4564"/>
    <w:rsid w:val="00EF45C0"/>
    <w:rsid w:val="00EF6939"/>
    <w:rsid w:val="00EF6A2A"/>
    <w:rsid w:val="00EF6E60"/>
    <w:rsid w:val="00F004C7"/>
    <w:rsid w:val="00F0150F"/>
    <w:rsid w:val="00F0172E"/>
    <w:rsid w:val="00F023AA"/>
    <w:rsid w:val="00F026C8"/>
    <w:rsid w:val="00F02DEB"/>
    <w:rsid w:val="00F02F15"/>
    <w:rsid w:val="00F03328"/>
    <w:rsid w:val="00F03FCB"/>
    <w:rsid w:val="00F040A0"/>
    <w:rsid w:val="00F049E2"/>
    <w:rsid w:val="00F0545D"/>
    <w:rsid w:val="00F07C66"/>
    <w:rsid w:val="00F103D3"/>
    <w:rsid w:val="00F121DA"/>
    <w:rsid w:val="00F130D9"/>
    <w:rsid w:val="00F143FB"/>
    <w:rsid w:val="00F14D91"/>
    <w:rsid w:val="00F14E2B"/>
    <w:rsid w:val="00F17B4A"/>
    <w:rsid w:val="00F21093"/>
    <w:rsid w:val="00F2111A"/>
    <w:rsid w:val="00F215C0"/>
    <w:rsid w:val="00F21926"/>
    <w:rsid w:val="00F21C11"/>
    <w:rsid w:val="00F229B3"/>
    <w:rsid w:val="00F250A0"/>
    <w:rsid w:val="00F25177"/>
    <w:rsid w:val="00F273E3"/>
    <w:rsid w:val="00F27B77"/>
    <w:rsid w:val="00F27EC2"/>
    <w:rsid w:val="00F301DF"/>
    <w:rsid w:val="00F30A8D"/>
    <w:rsid w:val="00F317D3"/>
    <w:rsid w:val="00F318AC"/>
    <w:rsid w:val="00F34E42"/>
    <w:rsid w:val="00F35E99"/>
    <w:rsid w:val="00F361BF"/>
    <w:rsid w:val="00F37563"/>
    <w:rsid w:val="00F37A5C"/>
    <w:rsid w:val="00F40231"/>
    <w:rsid w:val="00F42EAE"/>
    <w:rsid w:val="00F50598"/>
    <w:rsid w:val="00F52ABC"/>
    <w:rsid w:val="00F53CB1"/>
    <w:rsid w:val="00F556BA"/>
    <w:rsid w:val="00F55ABE"/>
    <w:rsid w:val="00F55B8A"/>
    <w:rsid w:val="00F57748"/>
    <w:rsid w:val="00F62C73"/>
    <w:rsid w:val="00F63557"/>
    <w:rsid w:val="00F6690C"/>
    <w:rsid w:val="00F67E77"/>
    <w:rsid w:val="00F70066"/>
    <w:rsid w:val="00F710D1"/>
    <w:rsid w:val="00F736EC"/>
    <w:rsid w:val="00F77501"/>
    <w:rsid w:val="00F77B7B"/>
    <w:rsid w:val="00F77BF7"/>
    <w:rsid w:val="00F77FC4"/>
    <w:rsid w:val="00F8200A"/>
    <w:rsid w:val="00F8263D"/>
    <w:rsid w:val="00F82D03"/>
    <w:rsid w:val="00F83177"/>
    <w:rsid w:val="00F83B12"/>
    <w:rsid w:val="00F84295"/>
    <w:rsid w:val="00F90ED1"/>
    <w:rsid w:val="00F913AA"/>
    <w:rsid w:val="00F91B31"/>
    <w:rsid w:val="00F941E7"/>
    <w:rsid w:val="00F95DB9"/>
    <w:rsid w:val="00F97514"/>
    <w:rsid w:val="00FA11FD"/>
    <w:rsid w:val="00FA2C2F"/>
    <w:rsid w:val="00FA2FFB"/>
    <w:rsid w:val="00FA411B"/>
    <w:rsid w:val="00FA55F7"/>
    <w:rsid w:val="00FA6652"/>
    <w:rsid w:val="00FA667C"/>
    <w:rsid w:val="00FA7307"/>
    <w:rsid w:val="00FB087D"/>
    <w:rsid w:val="00FB1B55"/>
    <w:rsid w:val="00FB1B71"/>
    <w:rsid w:val="00FB1C29"/>
    <w:rsid w:val="00FB367A"/>
    <w:rsid w:val="00FB4713"/>
    <w:rsid w:val="00FB4DFA"/>
    <w:rsid w:val="00FB6817"/>
    <w:rsid w:val="00FB719D"/>
    <w:rsid w:val="00FB7424"/>
    <w:rsid w:val="00FC0467"/>
    <w:rsid w:val="00FC0D8F"/>
    <w:rsid w:val="00FC0DDE"/>
    <w:rsid w:val="00FC3399"/>
    <w:rsid w:val="00FC350D"/>
    <w:rsid w:val="00FC3D83"/>
    <w:rsid w:val="00FC477A"/>
    <w:rsid w:val="00FC4F98"/>
    <w:rsid w:val="00FC63B4"/>
    <w:rsid w:val="00FD0408"/>
    <w:rsid w:val="00FD1DBC"/>
    <w:rsid w:val="00FD2F1E"/>
    <w:rsid w:val="00FD3217"/>
    <w:rsid w:val="00FD5441"/>
    <w:rsid w:val="00FD569C"/>
    <w:rsid w:val="00FD583E"/>
    <w:rsid w:val="00FD69F4"/>
    <w:rsid w:val="00FD6AEA"/>
    <w:rsid w:val="00FD6B93"/>
    <w:rsid w:val="00FD725A"/>
    <w:rsid w:val="00FE0518"/>
    <w:rsid w:val="00FE0860"/>
    <w:rsid w:val="00FE0BE1"/>
    <w:rsid w:val="00FE138C"/>
    <w:rsid w:val="00FE1E2D"/>
    <w:rsid w:val="00FE24DB"/>
    <w:rsid w:val="00FE36BF"/>
    <w:rsid w:val="00FE3E34"/>
    <w:rsid w:val="00FE61C1"/>
    <w:rsid w:val="00FE6C34"/>
    <w:rsid w:val="00FE71BB"/>
    <w:rsid w:val="00FE7395"/>
    <w:rsid w:val="00FE78EB"/>
    <w:rsid w:val="00FE78F4"/>
    <w:rsid w:val="00FE7BE2"/>
    <w:rsid w:val="00FF2A25"/>
    <w:rsid w:val="00FF4B04"/>
    <w:rsid w:val="00FF4C88"/>
    <w:rsid w:val="00FF5165"/>
    <w:rsid w:val="00FF793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style="mso-width-relative:margin;mso-height-relative:margin" fillcolor="white">
      <v:fill color="white"/>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A0"/>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962B94"/>
    <w:pPr>
      <w:keepNext/>
      <w:keepLines/>
      <w:spacing w:before="480" w:after="0"/>
      <w:outlineLvl w:val="0"/>
    </w:pPr>
    <w:rPr>
      <w:rFonts w:ascii="Arial" w:eastAsia="Times New Roman" w:hAnsi="Arial"/>
      <w:b/>
      <w:bCs/>
      <w:color w:val="482D8C"/>
      <w:sz w:val="28"/>
      <w:szCs w:val="28"/>
    </w:rPr>
  </w:style>
  <w:style w:type="paragraph" w:styleId="Heading2">
    <w:name w:val="heading 2"/>
    <w:basedOn w:val="Normal"/>
    <w:next w:val="Normal"/>
    <w:link w:val="Heading2Char"/>
    <w:autoRedefine/>
    <w:uiPriority w:val="9"/>
    <w:unhideWhenUsed/>
    <w:qFormat/>
    <w:rsid w:val="002D6905"/>
    <w:pPr>
      <w:keepNext/>
      <w:spacing w:before="240" w:after="60"/>
      <w:outlineLvl w:val="1"/>
    </w:pPr>
    <w:rPr>
      <w:rFonts w:ascii="Arial" w:eastAsia="Times New Roman" w:hAnsi="Arial"/>
      <w:b/>
      <w:bCs/>
      <w:i/>
      <w:iCs/>
      <w:color w:val="482D8C"/>
      <w:sz w:val="28"/>
      <w:szCs w:val="28"/>
    </w:rPr>
  </w:style>
  <w:style w:type="paragraph" w:styleId="Heading3">
    <w:name w:val="heading 3"/>
    <w:basedOn w:val="Normal"/>
    <w:next w:val="Normal"/>
    <w:link w:val="Heading3Char"/>
    <w:autoRedefine/>
    <w:uiPriority w:val="9"/>
    <w:unhideWhenUsed/>
    <w:qFormat/>
    <w:rsid w:val="00D85385"/>
    <w:pPr>
      <w:keepNext/>
      <w:keepLines/>
      <w:spacing w:before="200" w:after="0"/>
      <w:outlineLvl w:val="2"/>
    </w:pPr>
    <w:rPr>
      <w:rFonts w:ascii="Arial" w:eastAsiaTheme="majorEastAsia" w:hAnsi="Arial" w:cstheme="majorBidi"/>
      <w:b/>
      <w:bCs/>
      <w:color w:val="262626" w:themeColor="text1" w:themeTint="D9"/>
    </w:rPr>
  </w:style>
  <w:style w:type="paragraph" w:styleId="Heading4">
    <w:name w:val="heading 4"/>
    <w:basedOn w:val="Normal"/>
    <w:next w:val="Normal"/>
    <w:link w:val="Heading4Char"/>
    <w:uiPriority w:val="9"/>
    <w:unhideWhenUsed/>
    <w:qFormat/>
    <w:rsid w:val="002D6905"/>
    <w:pPr>
      <w:keepNext/>
      <w:keepLines/>
      <w:spacing w:before="200" w:after="0"/>
      <w:outlineLvl w:val="3"/>
    </w:pPr>
    <w:rPr>
      <w:rFonts w:ascii="Arial" w:eastAsiaTheme="majorEastAsia" w:hAnsi="Arial" w:cstheme="majorBidi"/>
      <w:b/>
      <w:bCs/>
      <w:i/>
      <w:iCs/>
      <w:color w:val="AB438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B94"/>
    <w:rPr>
      <w:rFonts w:ascii="Arial" w:eastAsia="Times New Roman" w:hAnsi="Arial"/>
      <w:b/>
      <w:bCs/>
      <w:color w:val="482D8C"/>
      <w:sz w:val="28"/>
      <w:szCs w:val="28"/>
      <w:lang w:eastAsia="en-US"/>
    </w:rPr>
  </w:style>
  <w:style w:type="paragraph" w:styleId="ListParagraph">
    <w:name w:val="List Paragraph"/>
    <w:basedOn w:val="Normal"/>
    <w:link w:val="ListParagraphChar"/>
    <w:uiPriority w:val="34"/>
    <w:qFormat/>
    <w:rsid w:val="00B307C7"/>
    <w:pPr>
      <w:numPr>
        <w:numId w:val="1"/>
      </w:numPr>
      <w:spacing w:after="0" w:line="240" w:lineRule="auto"/>
      <w:contextualSpacing/>
    </w:pPr>
    <w:rPr>
      <w:rFonts w:asciiTheme="minorHAnsi" w:eastAsia="Times New Roman" w:hAnsiTheme="minorHAnsi"/>
      <w:lang w:eastAsia="en-AU"/>
    </w:rPr>
  </w:style>
  <w:style w:type="paragraph" w:styleId="Header">
    <w:name w:val="header"/>
    <w:basedOn w:val="Normal"/>
    <w:link w:val="HeaderChar"/>
    <w:rsid w:val="00FF7935"/>
    <w:pPr>
      <w:widowControl w:val="0"/>
      <w:tabs>
        <w:tab w:val="center" w:pos="4320"/>
        <w:tab w:val="right" w:pos="8640"/>
      </w:tabs>
      <w:spacing w:after="0" w:line="240" w:lineRule="auto"/>
    </w:pPr>
    <w:rPr>
      <w:rFonts w:ascii="Times New Roman" w:eastAsia="Times New Roman" w:hAnsi="Times New Roman"/>
      <w:sz w:val="24"/>
      <w:szCs w:val="20"/>
      <w:lang w:val="en-GB"/>
    </w:rPr>
  </w:style>
  <w:style w:type="character" w:customStyle="1" w:styleId="HeaderChar">
    <w:name w:val="Header Char"/>
    <w:basedOn w:val="DefaultParagraphFont"/>
    <w:link w:val="Header"/>
    <w:rsid w:val="00FF7935"/>
    <w:rPr>
      <w:rFonts w:ascii="Times New Roman" w:eastAsia="Times New Roman" w:hAnsi="Times New Roman"/>
      <w:sz w:val="24"/>
      <w:lang w:val="en-GB" w:eastAsia="en-US"/>
    </w:rPr>
  </w:style>
  <w:style w:type="character" w:styleId="Hyperlink">
    <w:name w:val="Hyperlink"/>
    <w:basedOn w:val="DefaultParagraphFont"/>
    <w:uiPriority w:val="99"/>
    <w:unhideWhenUsed/>
    <w:rsid w:val="00FF7935"/>
    <w:rPr>
      <w:color w:val="0000FF"/>
      <w:u w:val="single"/>
    </w:rPr>
  </w:style>
  <w:style w:type="character" w:styleId="CommentReference">
    <w:name w:val="annotation reference"/>
    <w:basedOn w:val="DefaultParagraphFont"/>
    <w:uiPriority w:val="99"/>
    <w:semiHidden/>
    <w:unhideWhenUsed/>
    <w:rsid w:val="0029576F"/>
    <w:rPr>
      <w:sz w:val="16"/>
      <w:szCs w:val="16"/>
    </w:rPr>
  </w:style>
  <w:style w:type="paragraph" w:styleId="CommentText">
    <w:name w:val="annotation text"/>
    <w:basedOn w:val="Normal"/>
    <w:link w:val="CommentTextChar"/>
    <w:uiPriority w:val="99"/>
    <w:unhideWhenUsed/>
    <w:rsid w:val="0029576F"/>
    <w:rPr>
      <w:sz w:val="20"/>
      <w:szCs w:val="20"/>
    </w:rPr>
  </w:style>
  <w:style w:type="character" w:customStyle="1" w:styleId="CommentTextChar">
    <w:name w:val="Comment Text Char"/>
    <w:basedOn w:val="DefaultParagraphFont"/>
    <w:link w:val="CommentText"/>
    <w:uiPriority w:val="99"/>
    <w:rsid w:val="0029576F"/>
    <w:rPr>
      <w:lang w:eastAsia="en-US"/>
    </w:rPr>
  </w:style>
  <w:style w:type="paragraph" w:styleId="CommentSubject">
    <w:name w:val="annotation subject"/>
    <w:basedOn w:val="CommentText"/>
    <w:next w:val="CommentText"/>
    <w:link w:val="CommentSubjectChar"/>
    <w:uiPriority w:val="99"/>
    <w:semiHidden/>
    <w:unhideWhenUsed/>
    <w:rsid w:val="0029576F"/>
    <w:rPr>
      <w:b/>
      <w:bCs/>
    </w:rPr>
  </w:style>
  <w:style w:type="character" w:customStyle="1" w:styleId="CommentSubjectChar">
    <w:name w:val="Comment Subject Char"/>
    <w:basedOn w:val="CommentTextChar"/>
    <w:link w:val="CommentSubject"/>
    <w:uiPriority w:val="99"/>
    <w:semiHidden/>
    <w:rsid w:val="0029576F"/>
    <w:rPr>
      <w:b/>
      <w:bCs/>
    </w:rPr>
  </w:style>
  <w:style w:type="paragraph" w:styleId="BalloonText">
    <w:name w:val="Balloon Text"/>
    <w:basedOn w:val="Normal"/>
    <w:link w:val="BalloonTextChar"/>
    <w:uiPriority w:val="99"/>
    <w:semiHidden/>
    <w:unhideWhenUsed/>
    <w:rsid w:val="0029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6F"/>
    <w:rPr>
      <w:rFonts w:ascii="Tahoma" w:hAnsi="Tahoma" w:cs="Tahoma"/>
      <w:sz w:val="16"/>
      <w:szCs w:val="16"/>
      <w:lang w:eastAsia="en-US"/>
    </w:rPr>
  </w:style>
  <w:style w:type="paragraph" w:styleId="Footer">
    <w:name w:val="footer"/>
    <w:basedOn w:val="Normal"/>
    <w:link w:val="FooterChar"/>
    <w:uiPriority w:val="99"/>
    <w:unhideWhenUsed/>
    <w:rsid w:val="0099523A"/>
    <w:pPr>
      <w:tabs>
        <w:tab w:val="center" w:pos="4513"/>
        <w:tab w:val="right" w:pos="9026"/>
      </w:tabs>
    </w:pPr>
  </w:style>
  <w:style w:type="character" w:customStyle="1" w:styleId="FooterChar">
    <w:name w:val="Footer Char"/>
    <w:basedOn w:val="DefaultParagraphFont"/>
    <w:link w:val="Footer"/>
    <w:uiPriority w:val="99"/>
    <w:rsid w:val="0099523A"/>
    <w:rPr>
      <w:sz w:val="22"/>
      <w:szCs w:val="22"/>
      <w:lang w:eastAsia="en-US"/>
    </w:rPr>
  </w:style>
  <w:style w:type="character" w:customStyle="1" w:styleId="Heading2Char">
    <w:name w:val="Heading 2 Char"/>
    <w:basedOn w:val="DefaultParagraphFont"/>
    <w:link w:val="Heading2"/>
    <w:uiPriority w:val="9"/>
    <w:rsid w:val="002D6905"/>
    <w:rPr>
      <w:rFonts w:ascii="Arial" w:eastAsia="Times New Roman" w:hAnsi="Arial"/>
      <w:b/>
      <w:bCs/>
      <w:i/>
      <w:iCs/>
      <w:color w:val="482D8C"/>
      <w:sz w:val="28"/>
      <w:szCs w:val="28"/>
      <w:lang w:eastAsia="en-US"/>
    </w:rPr>
  </w:style>
  <w:style w:type="paragraph" w:customStyle="1" w:styleId="Default">
    <w:name w:val="Default"/>
    <w:rsid w:val="0000611A"/>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EE0E80"/>
    <w:rPr>
      <w:color w:val="800080" w:themeColor="followedHyperlink"/>
      <w:u w:val="single"/>
    </w:rPr>
  </w:style>
  <w:style w:type="character" w:styleId="PlaceholderText">
    <w:name w:val="Placeholder Text"/>
    <w:basedOn w:val="DefaultParagraphFont"/>
    <w:uiPriority w:val="99"/>
    <w:semiHidden/>
    <w:rsid w:val="00EE0E80"/>
    <w:rPr>
      <w:color w:val="808080"/>
    </w:rPr>
  </w:style>
  <w:style w:type="paragraph" w:styleId="Title">
    <w:name w:val="Title"/>
    <w:basedOn w:val="Normal"/>
    <w:next w:val="Normal"/>
    <w:link w:val="TitleChar"/>
    <w:uiPriority w:val="10"/>
    <w:qFormat/>
    <w:rsid w:val="00B932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3209"/>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qFormat/>
    <w:rsid w:val="00B932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3209"/>
    <w:rPr>
      <w:rFonts w:asciiTheme="majorHAnsi" w:eastAsiaTheme="majorEastAsia" w:hAnsiTheme="majorHAnsi" w:cstheme="majorBidi"/>
      <w:i/>
      <w:iCs/>
      <w:color w:val="4F81BD" w:themeColor="accent1"/>
      <w:spacing w:val="15"/>
      <w:sz w:val="24"/>
      <w:szCs w:val="24"/>
      <w:lang w:eastAsia="en-US"/>
    </w:rPr>
  </w:style>
  <w:style w:type="character" w:customStyle="1" w:styleId="Heading3Char">
    <w:name w:val="Heading 3 Char"/>
    <w:basedOn w:val="DefaultParagraphFont"/>
    <w:link w:val="Heading3"/>
    <w:uiPriority w:val="9"/>
    <w:rsid w:val="00D85385"/>
    <w:rPr>
      <w:rFonts w:ascii="Arial" w:eastAsiaTheme="majorEastAsia" w:hAnsi="Arial" w:cstheme="majorBidi"/>
      <w:b/>
      <w:bCs/>
      <w:color w:val="262626" w:themeColor="text1" w:themeTint="D9"/>
      <w:sz w:val="22"/>
      <w:szCs w:val="22"/>
      <w:lang w:eastAsia="en-US"/>
    </w:rPr>
  </w:style>
  <w:style w:type="character" w:customStyle="1" w:styleId="Heading4Char">
    <w:name w:val="Heading 4 Char"/>
    <w:basedOn w:val="DefaultParagraphFont"/>
    <w:link w:val="Heading4"/>
    <w:uiPriority w:val="9"/>
    <w:rsid w:val="002D6905"/>
    <w:rPr>
      <w:rFonts w:ascii="Arial" w:eastAsiaTheme="majorEastAsia" w:hAnsi="Arial" w:cstheme="majorBidi"/>
      <w:b/>
      <w:bCs/>
      <w:i/>
      <w:iCs/>
      <w:color w:val="AB4387"/>
      <w:sz w:val="22"/>
      <w:szCs w:val="22"/>
      <w:lang w:eastAsia="en-US"/>
    </w:rPr>
  </w:style>
  <w:style w:type="paragraph" w:customStyle="1" w:styleId="Style1">
    <w:name w:val="Style1"/>
    <w:basedOn w:val="ListParagraph"/>
    <w:link w:val="Style1Char"/>
    <w:qFormat/>
    <w:rsid w:val="00E265CE"/>
  </w:style>
  <w:style w:type="paragraph" w:styleId="FootnoteText">
    <w:name w:val="footnote text"/>
    <w:basedOn w:val="Normal"/>
    <w:link w:val="FootnoteTextChar"/>
    <w:uiPriority w:val="99"/>
    <w:semiHidden/>
    <w:unhideWhenUsed/>
    <w:rsid w:val="00544490"/>
    <w:pPr>
      <w:spacing w:after="0" w:line="240" w:lineRule="auto"/>
    </w:pPr>
    <w:rPr>
      <w:sz w:val="20"/>
      <w:szCs w:val="20"/>
    </w:rPr>
  </w:style>
  <w:style w:type="character" w:customStyle="1" w:styleId="ListParagraphChar">
    <w:name w:val="List Paragraph Char"/>
    <w:basedOn w:val="DefaultParagraphFont"/>
    <w:link w:val="ListParagraph"/>
    <w:uiPriority w:val="34"/>
    <w:rsid w:val="00B307C7"/>
    <w:rPr>
      <w:rFonts w:asciiTheme="minorHAnsi" w:eastAsia="Times New Roman" w:hAnsiTheme="minorHAnsi"/>
      <w:sz w:val="22"/>
      <w:szCs w:val="22"/>
    </w:rPr>
  </w:style>
  <w:style w:type="character" w:customStyle="1" w:styleId="Style1Char">
    <w:name w:val="Style1 Char"/>
    <w:basedOn w:val="ListParagraphChar"/>
    <w:link w:val="Style1"/>
    <w:rsid w:val="00E265CE"/>
  </w:style>
  <w:style w:type="character" w:customStyle="1" w:styleId="FootnoteTextChar">
    <w:name w:val="Footnote Text Char"/>
    <w:basedOn w:val="DefaultParagraphFont"/>
    <w:link w:val="FootnoteText"/>
    <w:uiPriority w:val="99"/>
    <w:semiHidden/>
    <w:rsid w:val="00544490"/>
    <w:rPr>
      <w:lang w:eastAsia="en-US"/>
    </w:rPr>
  </w:style>
  <w:style w:type="character" w:styleId="FootnoteReference">
    <w:name w:val="footnote reference"/>
    <w:basedOn w:val="DefaultParagraphFont"/>
    <w:uiPriority w:val="99"/>
    <w:semiHidden/>
    <w:unhideWhenUsed/>
    <w:rsid w:val="00544490"/>
    <w:rPr>
      <w:vertAlign w:val="superscript"/>
    </w:rPr>
  </w:style>
  <w:style w:type="paragraph" w:styleId="TOCHeading">
    <w:name w:val="TOC Heading"/>
    <w:basedOn w:val="Heading1"/>
    <w:next w:val="Normal"/>
    <w:uiPriority w:val="39"/>
    <w:semiHidden/>
    <w:unhideWhenUsed/>
    <w:qFormat/>
    <w:rsid w:val="00CD455D"/>
    <w:pPr>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qFormat/>
    <w:rsid w:val="00CD455D"/>
    <w:pPr>
      <w:spacing w:after="100"/>
    </w:pPr>
  </w:style>
  <w:style w:type="paragraph" w:styleId="TOC2">
    <w:name w:val="toc 2"/>
    <w:basedOn w:val="Normal"/>
    <w:next w:val="Normal"/>
    <w:autoRedefine/>
    <w:uiPriority w:val="39"/>
    <w:unhideWhenUsed/>
    <w:qFormat/>
    <w:rsid w:val="00CD455D"/>
    <w:pPr>
      <w:spacing w:after="100"/>
      <w:ind w:left="220"/>
    </w:pPr>
  </w:style>
  <w:style w:type="paragraph" w:styleId="TOC3">
    <w:name w:val="toc 3"/>
    <w:basedOn w:val="Normal"/>
    <w:next w:val="Normal"/>
    <w:autoRedefine/>
    <w:uiPriority w:val="39"/>
    <w:unhideWhenUsed/>
    <w:qFormat/>
    <w:rsid w:val="00CD455D"/>
    <w:pPr>
      <w:spacing w:after="100"/>
      <w:ind w:left="440"/>
    </w:pPr>
  </w:style>
  <w:style w:type="paragraph" w:customStyle="1" w:styleId="Quote1">
    <w:name w:val="Quote1"/>
    <w:basedOn w:val="Normal"/>
    <w:link w:val="Quote1Char"/>
    <w:qFormat/>
    <w:rsid w:val="00591669"/>
    <w:pPr>
      <w:ind w:left="709" w:right="662"/>
      <w:jc w:val="both"/>
    </w:pPr>
    <w:rPr>
      <w:i/>
    </w:rPr>
  </w:style>
  <w:style w:type="paragraph" w:customStyle="1" w:styleId="Heading3noToC">
    <w:name w:val="Heading 3 (no ToC)"/>
    <w:basedOn w:val="Heading3"/>
    <w:link w:val="Heading3noToCChar"/>
    <w:autoRedefine/>
    <w:rsid w:val="00962B94"/>
    <w:rPr>
      <w:color w:val="482D8C"/>
    </w:rPr>
  </w:style>
  <w:style w:type="character" w:customStyle="1" w:styleId="Quote1Char">
    <w:name w:val="Quote1 Char"/>
    <w:basedOn w:val="DefaultParagraphFont"/>
    <w:link w:val="Quote1"/>
    <w:rsid w:val="00591669"/>
    <w:rPr>
      <w:i/>
      <w:sz w:val="22"/>
      <w:szCs w:val="22"/>
      <w:lang w:eastAsia="en-US"/>
    </w:rPr>
  </w:style>
  <w:style w:type="paragraph" w:customStyle="1" w:styleId="Recommendationnonlist">
    <w:name w:val="Recommendation (nonlist)"/>
    <w:basedOn w:val="Normal"/>
    <w:link w:val="RecommendationnonlistChar"/>
    <w:qFormat/>
    <w:rsid w:val="003C2192"/>
    <w:pPr>
      <w:ind w:left="709" w:hanging="709"/>
      <w:jc w:val="both"/>
    </w:pPr>
  </w:style>
  <w:style w:type="character" w:customStyle="1" w:styleId="Heading3noToCChar">
    <w:name w:val="Heading 3 (no ToC) Char"/>
    <w:basedOn w:val="Heading3Char"/>
    <w:link w:val="Heading3noToC"/>
    <w:rsid w:val="00962B94"/>
    <w:rPr>
      <w:rFonts w:ascii="Arial" w:hAnsi="Arial"/>
      <w:b/>
      <w:bCs/>
      <w:color w:val="482D8C"/>
    </w:rPr>
  </w:style>
  <w:style w:type="character" w:customStyle="1" w:styleId="RecommendationnonlistChar">
    <w:name w:val="Recommendation (nonlist) Char"/>
    <w:basedOn w:val="DefaultParagraphFont"/>
    <w:link w:val="Recommendationnonlist"/>
    <w:rsid w:val="003C2192"/>
    <w:rPr>
      <w:sz w:val="22"/>
      <w:szCs w:val="22"/>
      <w:lang w:eastAsia="en-US"/>
    </w:rPr>
  </w:style>
  <w:style w:type="table" w:styleId="TableGrid">
    <w:name w:val="Table Grid"/>
    <w:basedOn w:val="TableNormal"/>
    <w:uiPriority w:val="59"/>
    <w:rsid w:val="002950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E435A"/>
    <w:pPr>
      <w:spacing w:after="450" w:line="270" w:lineRule="atLeast"/>
    </w:pPr>
    <w:rPr>
      <w:rFonts w:ascii="Times New Roman" w:eastAsia="Times New Roman" w:hAnsi="Times New Roman"/>
      <w:color w:val="333333"/>
      <w:sz w:val="26"/>
      <w:szCs w:val="26"/>
      <w:lang w:eastAsia="en-AU"/>
    </w:rPr>
  </w:style>
  <w:style w:type="character" w:styleId="Strong">
    <w:name w:val="Strong"/>
    <w:basedOn w:val="DefaultParagraphFont"/>
    <w:uiPriority w:val="22"/>
    <w:qFormat/>
    <w:rsid w:val="003E435A"/>
    <w:rPr>
      <w:b/>
      <w:bCs/>
    </w:rPr>
  </w:style>
  <w:style w:type="character" w:styleId="Emphasis">
    <w:name w:val="Emphasis"/>
    <w:basedOn w:val="DefaultParagraphFont"/>
    <w:uiPriority w:val="20"/>
    <w:qFormat/>
    <w:rsid w:val="003E435A"/>
    <w:rPr>
      <w:i/>
      <w:iCs/>
    </w:rPr>
  </w:style>
  <w:style w:type="paragraph" w:styleId="Revision">
    <w:name w:val="Revision"/>
    <w:hidden/>
    <w:uiPriority w:val="99"/>
    <w:semiHidden/>
    <w:rsid w:val="00A41C5D"/>
    <w:rPr>
      <w:sz w:val="22"/>
      <w:szCs w:val="22"/>
      <w:lang w:eastAsia="en-US"/>
    </w:rPr>
  </w:style>
  <w:style w:type="paragraph" w:customStyle="1" w:styleId="optionheading">
    <w:name w:val="option heading"/>
    <w:basedOn w:val="Heading3"/>
    <w:link w:val="optionheadingChar"/>
    <w:qFormat/>
    <w:rsid w:val="00BF3556"/>
  </w:style>
  <w:style w:type="character" w:customStyle="1" w:styleId="optionheadingChar">
    <w:name w:val="option heading Char"/>
    <w:basedOn w:val="Heading3Char"/>
    <w:link w:val="optionheading"/>
    <w:rsid w:val="00BF3556"/>
  </w:style>
  <w:style w:type="paragraph" w:styleId="EndnoteText">
    <w:name w:val="endnote text"/>
    <w:basedOn w:val="Normal"/>
    <w:link w:val="EndnoteTextChar"/>
    <w:uiPriority w:val="99"/>
    <w:semiHidden/>
    <w:unhideWhenUsed/>
    <w:rsid w:val="007B48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48EC"/>
    <w:rPr>
      <w:lang w:eastAsia="en-US"/>
    </w:rPr>
  </w:style>
  <w:style w:type="character" w:styleId="EndnoteReference">
    <w:name w:val="endnote reference"/>
    <w:basedOn w:val="DefaultParagraphFont"/>
    <w:uiPriority w:val="99"/>
    <w:semiHidden/>
    <w:unhideWhenUsed/>
    <w:rsid w:val="007B48EC"/>
    <w:rPr>
      <w:vertAlign w:val="superscript"/>
    </w:rPr>
  </w:style>
</w:styles>
</file>

<file path=word/webSettings.xml><?xml version="1.0" encoding="utf-8"?>
<w:webSettings xmlns:r="http://schemas.openxmlformats.org/officeDocument/2006/relationships" xmlns:w="http://schemas.openxmlformats.org/wordprocessingml/2006/main">
  <w:divs>
    <w:div w:id="217666226">
      <w:bodyDiv w:val="1"/>
      <w:marLeft w:val="0"/>
      <w:marRight w:val="0"/>
      <w:marTop w:val="0"/>
      <w:marBottom w:val="0"/>
      <w:divBdr>
        <w:top w:val="none" w:sz="0" w:space="0" w:color="auto"/>
        <w:left w:val="none" w:sz="0" w:space="0" w:color="auto"/>
        <w:bottom w:val="none" w:sz="0" w:space="0" w:color="auto"/>
        <w:right w:val="none" w:sz="0" w:space="0" w:color="auto"/>
      </w:divBdr>
      <w:divsChild>
        <w:div w:id="423384380">
          <w:marLeft w:val="0"/>
          <w:marRight w:val="0"/>
          <w:marTop w:val="0"/>
          <w:marBottom w:val="0"/>
          <w:divBdr>
            <w:top w:val="none" w:sz="0" w:space="0" w:color="auto"/>
            <w:left w:val="none" w:sz="0" w:space="0" w:color="auto"/>
            <w:bottom w:val="none" w:sz="0" w:space="0" w:color="auto"/>
            <w:right w:val="none" w:sz="0" w:space="0" w:color="auto"/>
          </w:divBdr>
          <w:divsChild>
            <w:div w:id="1337532946">
              <w:marLeft w:val="0"/>
              <w:marRight w:val="0"/>
              <w:marTop w:val="0"/>
              <w:marBottom w:val="0"/>
              <w:divBdr>
                <w:top w:val="none" w:sz="0" w:space="0" w:color="auto"/>
                <w:left w:val="none" w:sz="0" w:space="0" w:color="auto"/>
                <w:bottom w:val="none" w:sz="0" w:space="0" w:color="auto"/>
                <w:right w:val="none" w:sz="0" w:space="0" w:color="auto"/>
              </w:divBdr>
              <w:divsChild>
                <w:div w:id="1053191494">
                  <w:marLeft w:val="0"/>
                  <w:marRight w:val="0"/>
                  <w:marTop w:val="0"/>
                  <w:marBottom w:val="0"/>
                  <w:divBdr>
                    <w:top w:val="none" w:sz="0" w:space="0" w:color="auto"/>
                    <w:left w:val="none" w:sz="0" w:space="0" w:color="auto"/>
                    <w:bottom w:val="none" w:sz="0" w:space="0" w:color="auto"/>
                    <w:right w:val="none" w:sz="0" w:space="0" w:color="auto"/>
                  </w:divBdr>
                  <w:divsChild>
                    <w:div w:id="16093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98064">
      <w:bodyDiv w:val="1"/>
      <w:marLeft w:val="0"/>
      <w:marRight w:val="0"/>
      <w:marTop w:val="0"/>
      <w:marBottom w:val="0"/>
      <w:divBdr>
        <w:top w:val="none" w:sz="0" w:space="0" w:color="auto"/>
        <w:left w:val="none" w:sz="0" w:space="0" w:color="auto"/>
        <w:bottom w:val="none" w:sz="0" w:space="0" w:color="auto"/>
        <w:right w:val="none" w:sz="0" w:space="0" w:color="auto"/>
      </w:divBdr>
    </w:div>
    <w:div w:id="480118742">
      <w:bodyDiv w:val="1"/>
      <w:marLeft w:val="0"/>
      <w:marRight w:val="0"/>
      <w:marTop w:val="0"/>
      <w:marBottom w:val="0"/>
      <w:divBdr>
        <w:top w:val="none" w:sz="0" w:space="0" w:color="auto"/>
        <w:left w:val="none" w:sz="0" w:space="0" w:color="auto"/>
        <w:bottom w:val="none" w:sz="0" w:space="0" w:color="auto"/>
        <w:right w:val="none" w:sz="0" w:space="0" w:color="auto"/>
      </w:divBdr>
    </w:div>
    <w:div w:id="1227961199">
      <w:bodyDiv w:val="1"/>
      <w:marLeft w:val="0"/>
      <w:marRight w:val="0"/>
      <w:marTop w:val="0"/>
      <w:marBottom w:val="0"/>
      <w:divBdr>
        <w:top w:val="none" w:sz="0" w:space="0" w:color="auto"/>
        <w:left w:val="none" w:sz="0" w:space="0" w:color="auto"/>
        <w:bottom w:val="none" w:sz="0" w:space="0" w:color="auto"/>
        <w:right w:val="none" w:sz="0" w:space="0" w:color="auto"/>
      </w:divBdr>
    </w:div>
    <w:div w:id="1473018990">
      <w:bodyDiv w:val="1"/>
      <w:marLeft w:val="0"/>
      <w:marRight w:val="0"/>
      <w:marTop w:val="0"/>
      <w:marBottom w:val="0"/>
      <w:divBdr>
        <w:top w:val="none" w:sz="0" w:space="0" w:color="auto"/>
        <w:left w:val="none" w:sz="0" w:space="0" w:color="auto"/>
        <w:bottom w:val="none" w:sz="0" w:space="0" w:color="auto"/>
        <w:right w:val="none" w:sz="0" w:space="0" w:color="auto"/>
      </w:divBdr>
    </w:div>
    <w:div w:id="211879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act.gov.a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coag.gov.au/sites/default/files/energy_market_agreement_signed.pdf" TargetMode="External"/><Relationship Id="rId3" Type="http://schemas.openxmlformats.org/officeDocument/2006/relationships/hyperlink" Target="http://www.treasury.act.gov.au/documents/ACT%20Taxation%20Review/ACT%20Taxation%20Review%20May%202012.pdf" TargetMode="External"/><Relationship Id="rId7" Type="http://schemas.openxmlformats.org/officeDocument/2006/relationships/hyperlink" Target="http://www.efa.com.au/Library/AustralianEnergyMarketAgreement.pdf" TargetMode="External"/><Relationship Id="rId2" Type="http://schemas.openxmlformats.org/officeDocument/2006/relationships/hyperlink" Target="http://www.aer.gov.au/retail-markets/retail-statistics/act-small-customers" TargetMode="External"/><Relationship Id="rId1" Type="http://schemas.openxmlformats.org/officeDocument/2006/relationships/hyperlink" Target="http://apps.treasury.act.gov.au/__data/assets/word_doc/0010/807193/Investigation-of-the-ACT-Energy-Industry-Levy-Discussion-Paper-December-2015.doc" TargetMode="External"/><Relationship Id="rId6" Type="http://schemas.openxmlformats.org/officeDocument/2006/relationships/hyperlink" Target="http://www.legislation.act.gov.au/a/2000-65/default.asp" TargetMode="External"/><Relationship Id="rId5" Type="http://schemas.openxmlformats.org/officeDocument/2006/relationships/hyperlink" Target="http://www.legislation.act.gov.au/a/2000-65/default.asp" TargetMode="External"/><Relationship Id="rId4" Type="http://schemas.openxmlformats.org/officeDocument/2006/relationships/hyperlink" Target="http://www.finance.gov.au/sites/default/files/australian-government-cost-recovery-guidelines_0.pdf" TargetMode="External"/><Relationship Id="rId9" Type="http://schemas.openxmlformats.org/officeDocument/2006/relationships/hyperlink" Target="http://www.acat.act.gov.au/energy_water/energy_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CT word formats">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AAE55-DFFA-4C50-85D2-DBCA5B07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16029</Words>
  <Characters>91369</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Investigation of the ACT Energy Industry Levy Technical Report</vt:lpstr>
    </vt:vector>
  </TitlesOfParts>
  <Company>ACT Government</Company>
  <LinksUpToDate>false</LinksUpToDate>
  <CharactersWithSpaces>107184</CharactersWithSpaces>
  <SharedDoc>false</SharedDoc>
  <HLinks>
    <vt:vector size="6" baseType="variant">
      <vt:variant>
        <vt:i4>8323196</vt:i4>
      </vt:variant>
      <vt:variant>
        <vt:i4>0</vt:i4>
      </vt:variant>
      <vt:variant>
        <vt:i4>0</vt:i4>
      </vt:variant>
      <vt:variant>
        <vt:i4>5</vt:i4>
      </vt:variant>
      <vt:variant>
        <vt:lpwstr>http://www.legislation.act.gov.au/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 Investigation Technical Report</dc:title>
  <dc:creator>CMTEDD</dc:creator>
  <cp:lastModifiedBy>Conrad Asmus</cp:lastModifiedBy>
  <cp:revision>2</cp:revision>
  <cp:lastPrinted>2017-01-10T05:47:00Z</cp:lastPrinted>
  <dcterms:created xsi:type="dcterms:W3CDTF">2017-03-21T01:36:00Z</dcterms:created>
  <dcterms:modified xsi:type="dcterms:W3CDTF">2017-03-21T01:36:00Z</dcterms:modified>
</cp:coreProperties>
</file>