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Default Extension="docx" ContentType="application/vnd.openxmlformats-officedocument.wordprocessingml.document"/>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1B7" w:rsidRPr="000238A2" w:rsidRDefault="009E71B7" w:rsidP="009E71B7">
      <w:pPr>
        <w:jc w:val="center"/>
        <w:rPr>
          <w:rFonts w:ascii="Times New Roman" w:hAnsi="Times New Roman" w:cs="Times New Roman"/>
          <w:b/>
          <w:color w:val="1F497D" w:themeColor="text2"/>
          <w:sz w:val="144"/>
          <w:szCs w:val="144"/>
        </w:rPr>
      </w:pPr>
      <w:bookmarkStart w:id="0" w:name="_GoBack"/>
      <w:bookmarkEnd w:id="0"/>
    </w:p>
    <w:p w:rsidR="00083CE3" w:rsidRDefault="00083CE3" w:rsidP="009E71B7">
      <w:pPr>
        <w:jc w:val="center"/>
        <w:rPr>
          <w:rFonts w:ascii="Times New Roman" w:hAnsi="Times New Roman" w:cs="Times New Roman"/>
          <w:b/>
          <w:sz w:val="96"/>
          <w:szCs w:val="96"/>
        </w:rPr>
      </w:pPr>
    </w:p>
    <w:p w:rsidR="00972A32" w:rsidRPr="000238A2" w:rsidRDefault="00972A32" w:rsidP="009E71B7">
      <w:pPr>
        <w:jc w:val="center"/>
        <w:rPr>
          <w:rFonts w:ascii="Times New Roman" w:hAnsi="Times New Roman" w:cs="Times New Roman"/>
          <w:b/>
          <w:i/>
          <w:color w:val="1F497D" w:themeColor="text2"/>
          <w:sz w:val="48"/>
          <w:szCs w:val="48"/>
        </w:rPr>
      </w:pPr>
      <w:r w:rsidRPr="003908DA">
        <w:rPr>
          <w:rFonts w:ascii="Times New Roman" w:hAnsi="Times New Roman" w:cs="Times New Roman"/>
          <w:b/>
          <w:sz w:val="96"/>
          <w:szCs w:val="96"/>
        </w:rPr>
        <w:t>Industry Panel</w:t>
      </w:r>
      <w:r w:rsidRPr="000238A2">
        <w:rPr>
          <w:rFonts w:ascii="Times New Roman" w:hAnsi="Times New Roman" w:cs="Times New Roman"/>
          <w:color w:val="1F497D" w:themeColor="text2"/>
          <w:sz w:val="144"/>
          <w:szCs w:val="144"/>
        </w:rPr>
        <w:br/>
      </w:r>
      <w:r w:rsidR="00FD1F1C">
        <w:rPr>
          <w:rFonts w:ascii="Times New Roman" w:eastAsia="Cambria" w:hAnsi="Times New Roman" w:cs="Times New Roman"/>
          <w:i/>
          <w:sz w:val="36"/>
          <w:szCs w:val="36"/>
          <w:lang w:val="en-GB"/>
        </w:rPr>
        <w:t>A</w:t>
      </w:r>
      <w:r w:rsidR="004926AA">
        <w:rPr>
          <w:rFonts w:ascii="Times New Roman" w:eastAsia="Cambria" w:hAnsi="Times New Roman" w:cs="Times New Roman"/>
          <w:i/>
          <w:sz w:val="36"/>
          <w:szCs w:val="36"/>
          <w:lang w:val="en-GB"/>
        </w:rPr>
        <w:t>pplication made by Icon Water</w:t>
      </w:r>
      <w:r w:rsidR="00823548">
        <w:rPr>
          <w:rFonts w:ascii="Times New Roman" w:eastAsia="Cambria" w:hAnsi="Times New Roman" w:cs="Times New Roman"/>
          <w:i/>
          <w:sz w:val="36"/>
          <w:szCs w:val="36"/>
          <w:lang w:val="en-GB"/>
        </w:rPr>
        <w:t xml:space="preserve"> Limited </w:t>
      </w:r>
      <w:r w:rsidR="004926AA">
        <w:rPr>
          <w:rFonts w:ascii="Times New Roman" w:eastAsia="Cambria" w:hAnsi="Times New Roman" w:cs="Times New Roman"/>
          <w:i/>
          <w:sz w:val="36"/>
          <w:szCs w:val="36"/>
          <w:lang w:val="en-GB"/>
        </w:rPr>
        <w:t xml:space="preserve">under section 24S of the Independent </w:t>
      </w:r>
      <w:r w:rsidR="00FD1F1C">
        <w:rPr>
          <w:rFonts w:ascii="Times New Roman" w:eastAsia="Cambria" w:hAnsi="Times New Roman" w:cs="Times New Roman"/>
          <w:i/>
          <w:sz w:val="36"/>
          <w:szCs w:val="36"/>
          <w:lang w:val="en-GB"/>
        </w:rPr>
        <w:t xml:space="preserve">Competition and Regulatory Commission </w:t>
      </w:r>
      <w:r w:rsidR="00FD1F1C">
        <w:rPr>
          <w:rFonts w:ascii="Times New Roman" w:eastAsia="Cambria" w:hAnsi="Times New Roman" w:cs="Times New Roman"/>
          <w:i/>
          <w:sz w:val="36"/>
          <w:szCs w:val="36"/>
          <w:lang w:val="en-GB"/>
        </w:rPr>
        <w:br/>
        <w:t>Act 1997</w:t>
      </w:r>
      <w:r w:rsidR="00823548">
        <w:rPr>
          <w:rFonts w:ascii="Times New Roman" w:eastAsia="Cambria" w:hAnsi="Times New Roman" w:cs="Times New Roman"/>
          <w:i/>
          <w:sz w:val="36"/>
          <w:szCs w:val="36"/>
          <w:lang w:val="en-GB"/>
        </w:rPr>
        <w:t xml:space="preserve"> in relation to the first biennial recalibration</w:t>
      </w:r>
    </w:p>
    <w:p w:rsidR="009E71B7" w:rsidRDefault="009E71B7">
      <w:pPr>
        <w:rPr>
          <w:rFonts w:ascii="Times New Roman" w:hAnsi="Times New Roman" w:cs="Times New Roman"/>
          <w:b/>
          <w:sz w:val="56"/>
          <w:szCs w:val="56"/>
        </w:rPr>
      </w:pPr>
    </w:p>
    <w:p w:rsidR="00083CE3" w:rsidRPr="000238A2" w:rsidRDefault="00083CE3">
      <w:pPr>
        <w:rPr>
          <w:rFonts w:ascii="Times New Roman" w:hAnsi="Times New Roman" w:cs="Times New Roman"/>
          <w:b/>
          <w:sz w:val="56"/>
          <w:szCs w:val="56"/>
        </w:rPr>
      </w:pPr>
    </w:p>
    <w:p w:rsidR="00D07AAC" w:rsidRPr="000238A2" w:rsidRDefault="004E4AD2" w:rsidP="009E71B7">
      <w:pPr>
        <w:jc w:val="center"/>
        <w:rPr>
          <w:rFonts w:ascii="Times New Roman" w:hAnsi="Times New Roman" w:cs="Times New Roman"/>
          <w:b/>
          <w:sz w:val="56"/>
          <w:szCs w:val="56"/>
        </w:rPr>
      </w:pPr>
      <w:r>
        <w:rPr>
          <w:rFonts w:ascii="Times New Roman" w:hAnsi="Times New Roman" w:cs="Times New Roman"/>
          <w:b/>
          <w:sz w:val="56"/>
          <w:szCs w:val="56"/>
        </w:rPr>
        <w:t>Declaration</w:t>
      </w:r>
      <w:r w:rsidR="00656F98">
        <w:rPr>
          <w:rFonts w:ascii="Times New Roman" w:hAnsi="Times New Roman" w:cs="Times New Roman"/>
          <w:b/>
          <w:sz w:val="56"/>
          <w:szCs w:val="56"/>
        </w:rPr>
        <w:t xml:space="preserve"> and Report</w:t>
      </w:r>
    </w:p>
    <w:p w:rsidR="009E71B7" w:rsidRPr="000238A2" w:rsidRDefault="009E71B7" w:rsidP="009E71B7">
      <w:pPr>
        <w:jc w:val="center"/>
        <w:rPr>
          <w:rFonts w:ascii="Times New Roman" w:hAnsi="Times New Roman" w:cs="Times New Roman"/>
          <w:b/>
          <w:sz w:val="56"/>
          <w:szCs w:val="56"/>
        </w:rPr>
      </w:pPr>
    </w:p>
    <w:p w:rsidR="009E71B7" w:rsidRPr="000238A2" w:rsidRDefault="00823548" w:rsidP="009E71B7">
      <w:pPr>
        <w:jc w:val="center"/>
        <w:rPr>
          <w:rFonts w:ascii="Times New Roman" w:hAnsi="Times New Roman" w:cs="Times New Roman"/>
          <w:sz w:val="56"/>
          <w:szCs w:val="56"/>
        </w:rPr>
      </w:pPr>
      <w:r>
        <w:rPr>
          <w:rFonts w:ascii="Times New Roman" w:hAnsi="Times New Roman" w:cs="Times New Roman"/>
          <w:sz w:val="56"/>
          <w:szCs w:val="56"/>
        </w:rPr>
        <w:t xml:space="preserve">18 </w:t>
      </w:r>
      <w:r w:rsidR="004E4AD2">
        <w:rPr>
          <w:rFonts w:ascii="Times New Roman" w:hAnsi="Times New Roman" w:cs="Times New Roman"/>
          <w:sz w:val="56"/>
          <w:szCs w:val="56"/>
        </w:rPr>
        <w:t>February 2015</w:t>
      </w:r>
    </w:p>
    <w:p w:rsidR="009B6870" w:rsidRPr="000238A2" w:rsidRDefault="009B6870">
      <w:pPr>
        <w:rPr>
          <w:rFonts w:ascii="Times New Roman" w:hAnsi="Times New Roman" w:cs="Times New Roman"/>
        </w:rPr>
      </w:pPr>
      <w:r w:rsidRPr="000238A2">
        <w:rPr>
          <w:rFonts w:ascii="Times New Roman" w:hAnsi="Times New Roman" w:cs="Times New Roman"/>
        </w:rPr>
        <w:br/>
      </w:r>
    </w:p>
    <w:p w:rsidR="009B6870" w:rsidRPr="000238A2" w:rsidRDefault="009B6870">
      <w:pPr>
        <w:rPr>
          <w:rFonts w:ascii="Times New Roman" w:hAnsi="Times New Roman" w:cs="Times New Roman"/>
        </w:rPr>
      </w:pPr>
      <w:r w:rsidRPr="000238A2">
        <w:rPr>
          <w:rFonts w:ascii="Times New Roman" w:hAnsi="Times New Roman" w:cs="Times New Roman"/>
        </w:rPr>
        <w:br w:type="page"/>
      </w:r>
    </w:p>
    <w:p w:rsidR="009B6870" w:rsidRPr="000238A2" w:rsidRDefault="009B6870" w:rsidP="009B6870">
      <w:pPr>
        <w:spacing w:after="220" w:line="280" w:lineRule="atLeast"/>
        <w:jc w:val="center"/>
        <w:rPr>
          <w:rFonts w:ascii="Times New Roman" w:eastAsia="Cambria" w:hAnsi="Times New Roman" w:cs="Times New Roman"/>
          <w:szCs w:val="20"/>
          <w:lang w:val="en-GB"/>
        </w:rPr>
      </w:pPr>
      <w:r w:rsidRPr="000238A2">
        <w:rPr>
          <w:rFonts w:ascii="Times New Roman" w:eastAsia="Cambria" w:hAnsi="Times New Roman" w:cs="Times New Roman"/>
          <w:szCs w:val="20"/>
          <w:lang w:val="en-GB"/>
        </w:rPr>
        <w:lastRenderedPageBreak/>
        <w:t xml:space="preserve">The Industry Panel is established under the </w:t>
      </w:r>
      <w:r w:rsidRPr="00373C0F">
        <w:rPr>
          <w:rFonts w:ascii="Times New Roman" w:eastAsia="Cambria" w:hAnsi="Times New Roman" w:cs="Times New Roman"/>
          <w:i/>
          <w:szCs w:val="20"/>
          <w:lang w:val="en-GB"/>
        </w:rPr>
        <w:t>Independent Competition and Regulatory Commission Act 1997</w:t>
      </w:r>
      <w:r w:rsidRPr="000238A2">
        <w:rPr>
          <w:rFonts w:ascii="Times New Roman" w:eastAsia="Cambria" w:hAnsi="Times New Roman" w:cs="Times New Roman"/>
          <w:szCs w:val="20"/>
          <w:lang w:val="en-GB"/>
        </w:rPr>
        <w:t>, following an application by ACTEW for the review of the Independent Competition and Regulatory Commission’s Price Direction for Regulated Water and Sewerage Services, 1 July 2013 to 30 June 2019.</w:t>
      </w:r>
    </w:p>
    <w:p w:rsidR="009B6870" w:rsidRPr="000238A2" w:rsidRDefault="009B6870" w:rsidP="009B6870">
      <w:pPr>
        <w:spacing w:after="220" w:line="280" w:lineRule="atLeast"/>
        <w:jc w:val="center"/>
        <w:rPr>
          <w:rFonts w:ascii="Times New Roman" w:eastAsia="Cambria" w:hAnsi="Times New Roman" w:cs="Times New Roman"/>
          <w:szCs w:val="20"/>
          <w:lang w:val="en-GB"/>
        </w:rPr>
      </w:pPr>
      <w:r w:rsidRPr="000238A2">
        <w:rPr>
          <w:rFonts w:ascii="Times New Roman" w:eastAsia="Cambria" w:hAnsi="Times New Roman" w:cs="Times New Roman"/>
          <w:szCs w:val="20"/>
          <w:lang w:val="en-GB"/>
        </w:rPr>
        <w:t xml:space="preserve">The Industry </w:t>
      </w:r>
      <w:r w:rsidR="00BB2227">
        <w:rPr>
          <w:rFonts w:ascii="Times New Roman" w:eastAsia="Cambria" w:hAnsi="Times New Roman" w:cs="Times New Roman"/>
          <w:szCs w:val="20"/>
          <w:lang w:val="en-GB"/>
        </w:rPr>
        <w:t xml:space="preserve">Panel </w:t>
      </w:r>
      <w:r w:rsidRPr="000238A2">
        <w:rPr>
          <w:rFonts w:ascii="Times New Roman" w:eastAsia="Cambria" w:hAnsi="Times New Roman" w:cs="Times New Roman"/>
          <w:szCs w:val="20"/>
          <w:lang w:val="en-GB"/>
        </w:rPr>
        <w:t xml:space="preserve">is constituted under the ICRC Act by one President and two members. </w:t>
      </w:r>
    </w:p>
    <w:p w:rsidR="009B6870" w:rsidRPr="000238A2" w:rsidRDefault="009B6870" w:rsidP="009B6870">
      <w:pPr>
        <w:spacing w:after="220" w:line="280" w:lineRule="atLeast"/>
        <w:jc w:val="center"/>
        <w:rPr>
          <w:rFonts w:ascii="Times New Roman" w:eastAsia="Cambria" w:hAnsi="Times New Roman" w:cs="Times New Roman"/>
          <w:szCs w:val="20"/>
          <w:lang w:val="en-GB"/>
        </w:rPr>
      </w:pPr>
      <w:r w:rsidRPr="000238A2">
        <w:rPr>
          <w:rFonts w:ascii="Times New Roman" w:eastAsia="Cambria" w:hAnsi="Times New Roman" w:cs="Times New Roman"/>
          <w:szCs w:val="20"/>
          <w:lang w:val="en-GB"/>
        </w:rPr>
        <w:t xml:space="preserve">The Panel Members are President Ms Mary Anne Hartley QC, and Members Ms Sally Farrier and Ms Claire Thomas PSM. </w:t>
      </w:r>
    </w:p>
    <w:p w:rsidR="009B6870" w:rsidRPr="000238A2" w:rsidRDefault="009B6870" w:rsidP="009B6870">
      <w:pPr>
        <w:spacing w:after="220" w:line="280" w:lineRule="atLeast"/>
        <w:jc w:val="center"/>
        <w:rPr>
          <w:rFonts w:ascii="Times New Roman" w:eastAsia="Cambria" w:hAnsi="Times New Roman" w:cs="Times New Roman"/>
          <w:szCs w:val="20"/>
          <w:lang w:val="en-GB"/>
        </w:rPr>
      </w:pPr>
    </w:p>
    <w:p w:rsidR="009B6870" w:rsidRPr="000238A2" w:rsidRDefault="009B6870" w:rsidP="009B6870">
      <w:pPr>
        <w:spacing w:after="220" w:line="280" w:lineRule="atLeast"/>
        <w:jc w:val="center"/>
        <w:rPr>
          <w:rFonts w:ascii="Times New Roman" w:eastAsia="Cambria" w:hAnsi="Times New Roman" w:cs="Times New Roman"/>
          <w:szCs w:val="20"/>
          <w:lang w:val="en-GB"/>
        </w:rPr>
      </w:pPr>
      <w:r w:rsidRPr="000238A2">
        <w:rPr>
          <w:rFonts w:ascii="Times New Roman" w:eastAsia="Cambria" w:hAnsi="Times New Roman" w:cs="Times New Roman"/>
          <w:szCs w:val="20"/>
          <w:lang w:val="en-GB"/>
        </w:rPr>
        <w:t>Correspondence or other inquiries may be directed to the Industry Panel at the addresses below:</w:t>
      </w:r>
    </w:p>
    <w:p w:rsidR="009B6870" w:rsidRPr="000238A2" w:rsidRDefault="009B6870" w:rsidP="009B6870">
      <w:pPr>
        <w:spacing w:after="220" w:line="280" w:lineRule="atLeast"/>
        <w:jc w:val="center"/>
        <w:rPr>
          <w:rFonts w:ascii="Times New Roman" w:eastAsia="Cambria" w:hAnsi="Times New Roman" w:cs="Times New Roman"/>
          <w:szCs w:val="20"/>
          <w:lang w:val="en-GB"/>
        </w:rPr>
      </w:pPr>
      <w:r w:rsidRPr="000238A2">
        <w:rPr>
          <w:rFonts w:ascii="Times New Roman" w:eastAsia="Cambria" w:hAnsi="Times New Roman" w:cs="Times New Roman"/>
          <w:szCs w:val="20"/>
          <w:lang w:val="en-GB"/>
        </w:rPr>
        <w:t>Industry Panel</w:t>
      </w:r>
      <w:r w:rsidRPr="000238A2">
        <w:rPr>
          <w:rFonts w:ascii="Times New Roman" w:eastAsia="Cambria" w:hAnsi="Times New Roman" w:cs="Times New Roman"/>
          <w:szCs w:val="20"/>
          <w:lang w:val="en-GB"/>
        </w:rPr>
        <w:br/>
        <w:t>GPO Box 158</w:t>
      </w:r>
      <w:r w:rsidRPr="000238A2">
        <w:rPr>
          <w:rFonts w:ascii="Times New Roman" w:eastAsia="Cambria" w:hAnsi="Times New Roman" w:cs="Times New Roman"/>
          <w:szCs w:val="20"/>
          <w:lang w:val="en-GB"/>
        </w:rPr>
        <w:br/>
        <w:t>Canberra ACT 2601</w:t>
      </w:r>
    </w:p>
    <w:p w:rsidR="009B6870" w:rsidRPr="000238A2" w:rsidRDefault="009B6870" w:rsidP="009B6870">
      <w:pPr>
        <w:spacing w:after="220" w:line="280" w:lineRule="atLeast"/>
        <w:jc w:val="center"/>
        <w:rPr>
          <w:rFonts w:ascii="Times New Roman" w:eastAsia="Cambria" w:hAnsi="Times New Roman" w:cs="Times New Roman"/>
          <w:szCs w:val="20"/>
          <w:lang w:val="en-GB"/>
        </w:rPr>
      </w:pPr>
      <w:r w:rsidRPr="000238A2">
        <w:rPr>
          <w:rFonts w:ascii="Times New Roman" w:eastAsia="Cambria" w:hAnsi="Times New Roman" w:cs="Times New Roman"/>
          <w:szCs w:val="20"/>
          <w:lang w:val="en-GB"/>
        </w:rPr>
        <w:t xml:space="preserve">The </w:t>
      </w:r>
      <w:r w:rsidR="00804DEF">
        <w:rPr>
          <w:rFonts w:ascii="Times New Roman" w:eastAsia="Cambria" w:hAnsi="Times New Roman" w:cs="Times New Roman"/>
          <w:szCs w:val="20"/>
          <w:lang w:val="en-GB"/>
        </w:rPr>
        <w:t>s</w:t>
      </w:r>
      <w:r w:rsidRPr="000238A2">
        <w:rPr>
          <w:rFonts w:ascii="Times New Roman" w:eastAsia="Cambria" w:hAnsi="Times New Roman" w:cs="Times New Roman"/>
          <w:szCs w:val="20"/>
          <w:lang w:val="en-GB"/>
        </w:rPr>
        <w:t xml:space="preserve">ecretariat of the Industry Panel can be contacted by telephone on (02) 6207 6128, or by fax on (02) 6207 0267 or via email at </w:t>
      </w:r>
      <w:hyperlink r:id="rId8" w:history="1">
        <w:r w:rsidRPr="000238A2">
          <w:rPr>
            <w:rFonts w:ascii="Times New Roman" w:eastAsia="Cambria" w:hAnsi="Times New Roman" w:cs="Times New Roman"/>
            <w:color w:val="000000"/>
            <w:szCs w:val="20"/>
            <w:lang w:val="en-GB"/>
          </w:rPr>
          <w:t>industrypanel@act.gov.au</w:t>
        </w:r>
      </w:hyperlink>
    </w:p>
    <w:p w:rsidR="000238A2" w:rsidRPr="000238A2" w:rsidRDefault="009B6870" w:rsidP="009B6870">
      <w:pPr>
        <w:spacing w:after="220" w:line="280" w:lineRule="atLeast"/>
        <w:jc w:val="center"/>
        <w:rPr>
          <w:rFonts w:ascii="Times New Roman" w:eastAsia="Cambria" w:hAnsi="Times New Roman" w:cs="Times New Roman"/>
          <w:szCs w:val="20"/>
          <w:lang w:val="en-GB"/>
        </w:rPr>
        <w:sectPr w:rsidR="000238A2" w:rsidRPr="000238A2" w:rsidSect="00D07AAC">
          <w:footerReference w:type="default" r:id="rId9"/>
          <w:pgSz w:w="11906" w:h="16838"/>
          <w:pgMar w:top="1440" w:right="1440" w:bottom="1440" w:left="1440" w:header="708" w:footer="708" w:gutter="0"/>
          <w:cols w:space="708"/>
          <w:docGrid w:linePitch="360"/>
        </w:sectPr>
      </w:pPr>
      <w:r w:rsidRPr="000238A2">
        <w:rPr>
          <w:rFonts w:ascii="Times New Roman" w:eastAsia="Cambria" w:hAnsi="Times New Roman" w:cs="Times New Roman"/>
          <w:szCs w:val="20"/>
          <w:lang w:val="en-GB"/>
        </w:rPr>
        <w:t xml:space="preserve">Further details of the Industry Panel process can be found at: http://apps.treasury.act.gov.au/industrypanel. </w:t>
      </w:r>
    </w:p>
    <w:p w:rsidR="00DF0B23" w:rsidRDefault="00DF0B23">
      <w:pPr>
        <w:rPr>
          <w:rFonts w:ascii="Times New Roman" w:hAnsi="Times New Roman" w:cs="Times New Roman"/>
          <w:b/>
          <w:sz w:val="44"/>
          <w:szCs w:val="44"/>
        </w:rPr>
      </w:pPr>
    </w:p>
    <w:p w:rsidR="00972A32" w:rsidRPr="000238A2" w:rsidRDefault="00C35CEF" w:rsidP="00C03913">
      <w:pPr>
        <w:keepNext/>
        <w:keepLines/>
        <w:autoSpaceDE w:val="0"/>
        <w:autoSpaceDN w:val="0"/>
        <w:adjustRightInd w:val="0"/>
        <w:spacing w:before="480" w:after="0" w:line="240" w:lineRule="auto"/>
        <w:jc w:val="both"/>
        <w:rPr>
          <w:rFonts w:ascii="Times New Roman" w:hAnsi="Times New Roman" w:cs="Times New Roman"/>
        </w:rPr>
      </w:pPr>
      <w:r w:rsidRPr="000238A2">
        <w:rPr>
          <w:rFonts w:ascii="Times New Roman" w:hAnsi="Times New Roman" w:cs="Times New Roman"/>
          <w:b/>
          <w:sz w:val="44"/>
          <w:szCs w:val="44"/>
        </w:rPr>
        <w:t>Table of contents</w:t>
      </w:r>
    </w:p>
    <w:p w:rsidR="00DD6B96" w:rsidRPr="00F70E4C" w:rsidRDefault="00DD6B96">
      <w:pPr>
        <w:rPr>
          <w:rFonts w:ascii="Times New Roman" w:hAnsi="Times New Roman" w:cs="Times New Roman"/>
          <w:b/>
          <w:sz w:val="28"/>
          <w:szCs w:val="28"/>
        </w:rPr>
      </w:pPr>
    </w:p>
    <w:p w:rsidR="00E57576" w:rsidRDefault="005D1FBD">
      <w:pPr>
        <w:pStyle w:val="TOC2"/>
        <w:tabs>
          <w:tab w:val="left" w:pos="440"/>
          <w:tab w:val="right" w:leader="dot" w:pos="9016"/>
        </w:tabs>
        <w:rPr>
          <w:b w:val="0"/>
          <w:bCs w:val="0"/>
          <w:noProof/>
          <w:sz w:val="22"/>
          <w:szCs w:val="22"/>
        </w:rPr>
      </w:pPr>
      <w:r w:rsidRPr="005D1FBD">
        <w:rPr>
          <w:rFonts w:ascii="Times New Roman" w:hAnsi="Times New Roman" w:cs="Times New Roman"/>
          <w:b w:val="0"/>
          <w:sz w:val="28"/>
          <w:szCs w:val="28"/>
        </w:rPr>
        <w:fldChar w:fldCharType="begin"/>
      </w:r>
      <w:r w:rsidR="00DD6B96" w:rsidRPr="00F70E4C">
        <w:rPr>
          <w:rFonts w:ascii="Times New Roman" w:hAnsi="Times New Roman" w:cs="Times New Roman"/>
          <w:b w:val="0"/>
          <w:sz w:val="28"/>
          <w:szCs w:val="28"/>
        </w:rPr>
        <w:instrText xml:space="preserve"> TOC \o "1-3" \h \z \u </w:instrText>
      </w:r>
      <w:r w:rsidRPr="005D1FBD">
        <w:rPr>
          <w:rFonts w:ascii="Times New Roman" w:hAnsi="Times New Roman" w:cs="Times New Roman"/>
          <w:b w:val="0"/>
          <w:sz w:val="28"/>
          <w:szCs w:val="28"/>
        </w:rPr>
        <w:fldChar w:fldCharType="separate"/>
      </w:r>
      <w:hyperlink w:anchor="_Toc412033363" w:history="1">
        <w:r w:rsidR="00E57576" w:rsidRPr="001A491D">
          <w:rPr>
            <w:rStyle w:val="Hyperlink"/>
            <w:noProof/>
          </w:rPr>
          <w:t>1.</w:t>
        </w:r>
        <w:r w:rsidR="00E57576">
          <w:rPr>
            <w:b w:val="0"/>
            <w:bCs w:val="0"/>
            <w:noProof/>
            <w:sz w:val="22"/>
            <w:szCs w:val="22"/>
          </w:rPr>
          <w:tab/>
        </w:r>
        <w:r w:rsidR="00E57576" w:rsidRPr="001A491D">
          <w:rPr>
            <w:rStyle w:val="Hyperlink"/>
            <w:noProof/>
          </w:rPr>
          <w:t>Purpose of this report</w:t>
        </w:r>
        <w:r w:rsidR="00E57576">
          <w:rPr>
            <w:noProof/>
            <w:webHidden/>
          </w:rPr>
          <w:tab/>
        </w:r>
        <w:r>
          <w:rPr>
            <w:noProof/>
            <w:webHidden/>
          </w:rPr>
          <w:fldChar w:fldCharType="begin"/>
        </w:r>
        <w:r w:rsidR="00E57576">
          <w:rPr>
            <w:noProof/>
            <w:webHidden/>
          </w:rPr>
          <w:instrText xml:space="preserve"> PAGEREF _Toc412033363 \h </w:instrText>
        </w:r>
        <w:r>
          <w:rPr>
            <w:noProof/>
            <w:webHidden/>
          </w:rPr>
        </w:r>
        <w:r>
          <w:rPr>
            <w:noProof/>
            <w:webHidden/>
          </w:rPr>
          <w:fldChar w:fldCharType="separate"/>
        </w:r>
        <w:r w:rsidR="00E57576">
          <w:rPr>
            <w:noProof/>
            <w:webHidden/>
          </w:rPr>
          <w:t>1</w:t>
        </w:r>
        <w:r>
          <w:rPr>
            <w:noProof/>
            <w:webHidden/>
          </w:rPr>
          <w:fldChar w:fldCharType="end"/>
        </w:r>
      </w:hyperlink>
    </w:p>
    <w:p w:rsidR="00E57576" w:rsidRDefault="005D1FBD">
      <w:pPr>
        <w:pStyle w:val="TOC2"/>
        <w:tabs>
          <w:tab w:val="left" w:pos="440"/>
          <w:tab w:val="right" w:leader="dot" w:pos="9016"/>
        </w:tabs>
        <w:rPr>
          <w:b w:val="0"/>
          <w:bCs w:val="0"/>
          <w:noProof/>
          <w:sz w:val="22"/>
          <w:szCs w:val="22"/>
        </w:rPr>
      </w:pPr>
      <w:hyperlink w:anchor="_Toc412033364" w:history="1">
        <w:r w:rsidR="00E57576" w:rsidRPr="001A491D">
          <w:rPr>
            <w:rStyle w:val="Hyperlink"/>
            <w:noProof/>
          </w:rPr>
          <w:t xml:space="preserve">2. </w:t>
        </w:r>
        <w:r w:rsidR="00E57576">
          <w:rPr>
            <w:b w:val="0"/>
            <w:bCs w:val="0"/>
            <w:noProof/>
            <w:sz w:val="22"/>
            <w:szCs w:val="22"/>
          </w:rPr>
          <w:tab/>
        </w:r>
        <w:r w:rsidR="00E57576" w:rsidRPr="001A491D">
          <w:rPr>
            <w:rStyle w:val="Hyperlink"/>
            <w:noProof/>
          </w:rPr>
          <w:t>Background</w:t>
        </w:r>
        <w:r w:rsidR="00E57576">
          <w:rPr>
            <w:noProof/>
            <w:webHidden/>
          </w:rPr>
          <w:tab/>
        </w:r>
        <w:r>
          <w:rPr>
            <w:noProof/>
            <w:webHidden/>
          </w:rPr>
          <w:fldChar w:fldCharType="begin"/>
        </w:r>
        <w:r w:rsidR="00E57576">
          <w:rPr>
            <w:noProof/>
            <w:webHidden/>
          </w:rPr>
          <w:instrText xml:space="preserve"> PAGEREF _Toc412033364 \h </w:instrText>
        </w:r>
        <w:r>
          <w:rPr>
            <w:noProof/>
            <w:webHidden/>
          </w:rPr>
        </w:r>
        <w:r>
          <w:rPr>
            <w:noProof/>
            <w:webHidden/>
          </w:rPr>
          <w:fldChar w:fldCharType="separate"/>
        </w:r>
        <w:r w:rsidR="00E57576">
          <w:rPr>
            <w:noProof/>
            <w:webHidden/>
          </w:rPr>
          <w:t>1</w:t>
        </w:r>
        <w:r>
          <w:rPr>
            <w:noProof/>
            <w:webHidden/>
          </w:rPr>
          <w:fldChar w:fldCharType="end"/>
        </w:r>
      </w:hyperlink>
    </w:p>
    <w:p w:rsidR="00E57576" w:rsidRDefault="005D1FBD">
      <w:pPr>
        <w:pStyle w:val="TOC2"/>
        <w:tabs>
          <w:tab w:val="left" w:pos="440"/>
          <w:tab w:val="right" w:leader="dot" w:pos="9016"/>
        </w:tabs>
        <w:rPr>
          <w:b w:val="0"/>
          <w:bCs w:val="0"/>
          <w:noProof/>
          <w:sz w:val="22"/>
          <w:szCs w:val="22"/>
        </w:rPr>
      </w:pPr>
      <w:hyperlink w:anchor="_Toc412033365" w:history="1">
        <w:r w:rsidR="00E57576" w:rsidRPr="001A491D">
          <w:rPr>
            <w:rStyle w:val="Hyperlink"/>
            <w:noProof/>
          </w:rPr>
          <w:t>3.</w:t>
        </w:r>
        <w:r w:rsidR="00E57576">
          <w:rPr>
            <w:b w:val="0"/>
            <w:bCs w:val="0"/>
            <w:noProof/>
            <w:sz w:val="22"/>
            <w:szCs w:val="22"/>
          </w:rPr>
          <w:tab/>
        </w:r>
        <w:r w:rsidR="00E57576" w:rsidRPr="001A491D">
          <w:rPr>
            <w:rStyle w:val="Hyperlink"/>
            <w:noProof/>
          </w:rPr>
          <w:t>The Panel’s Declaration</w:t>
        </w:r>
        <w:r w:rsidR="00E57576">
          <w:rPr>
            <w:noProof/>
            <w:webHidden/>
          </w:rPr>
          <w:tab/>
        </w:r>
        <w:r>
          <w:rPr>
            <w:noProof/>
            <w:webHidden/>
          </w:rPr>
          <w:fldChar w:fldCharType="begin"/>
        </w:r>
        <w:r w:rsidR="00E57576">
          <w:rPr>
            <w:noProof/>
            <w:webHidden/>
          </w:rPr>
          <w:instrText xml:space="preserve"> PAGEREF _Toc412033365 \h </w:instrText>
        </w:r>
        <w:r>
          <w:rPr>
            <w:noProof/>
            <w:webHidden/>
          </w:rPr>
        </w:r>
        <w:r>
          <w:rPr>
            <w:noProof/>
            <w:webHidden/>
          </w:rPr>
          <w:fldChar w:fldCharType="separate"/>
        </w:r>
        <w:r w:rsidR="00E57576">
          <w:rPr>
            <w:noProof/>
            <w:webHidden/>
          </w:rPr>
          <w:t>2</w:t>
        </w:r>
        <w:r>
          <w:rPr>
            <w:noProof/>
            <w:webHidden/>
          </w:rPr>
          <w:fldChar w:fldCharType="end"/>
        </w:r>
      </w:hyperlink>
    </w:p>
    <w:p w:rsidR="00E57576" w:rsidRDefault="005D1FBD">
      <w:pPr>
        <w:pStyle w:val="TOC2"/>
        <w:tabs>
          <w:tab w:val="left" w:pos="440"/>
          <w:tab w:val="right" w:leader="dot" w:pos="9016"/>
        </w:tabs>
        <w:rPr>
          <w:b w:val="0"/>
          <w:bCs w:val="0"/>
          <w:noProof/>
          <w:sz w:val="22"/>
          <w:szCs w:val="22"/>
        </w:rPr>
      </w:pPr>
      <w:hyperlink w:anchor="_Toc412033366" w:history="1">
        <w:r w:rsidR="00E57576" w:rsidRPr="001A491D">
          <w:rPr>
            <w:rStyle w:val="Hyperlink"/>
            <w:noProof/>
          </w:rPr>
          <w:t xml:space="preserve">4. </w:t>
        </w:r>
        <w:r w:rsidR="00E57576">
          <w:rPr>
            <w:b w:val="0"/>
            <w:bCs w:val="0"/>
            <w:noProof/>
            <w:sz w:val="22"/>
            <w:szCs w:val="22"/>
          </w:rPr>
          <w:tab/>
        </w:r>
        <w:r w:rsidR="00E57576" w:rsidRPr="001A491D">
          <w:rPr>
            <w:rStyle w:val="Hyperlink"/>
            <w:noProof/>
          </w:rPr>
          <w:t>The Panel’s process</w:t>
        </w:r>
        <w:r w:rsidR="00E57576">
          <w:rPr>
            <w:noProof/>
            <w:webHidden/>
          </w:rPr>
          <w:tab/>
        </w:r>
        <w:r>
          <w:rPr>
            <w:noProof/>
            <w:webHidden/>
          </w:rPr>
          <w:fldChar w:fldCharType="begin"/>
        </w:r>
        <w:r w:rsidR="00E57576">
          <w:rPr>
            <w:noProof/>
            <w:webHidden/>
          </w:rPr>
          <w:instrText xml:space="preserve"> PAGEREF _Toc412033366 \h </w:instrText>
        </w:r>
        <w:r>
          <w:rPr>
            <w:noProof/>
            <w:webHidden/>
          </w:rPr>
        </w:r>
        <w:r>
          <w:rPr>
            <w:noProof/>
            <w:webHidden/>
          </w:rPr>
          <w:fldChar w:fldCharType="separate"/>
        </w:r>
        <w:r w:rsidR="00E57576">
          <w:rPr>
            <w:noProof/>
            <w:webHidden/>
          </w:rPr>
          <w:t>3</w:t>
        </w:r>
        <w:r>
          <w:rPr>
            <w:noProof/>
            <w:webHidden/>
          </w:rPr>
          <w:fldChar w:fldCharType="end"/>
        </w:r>
      </w:hyperlink>
    </w:p>
    <w:p w:rsidR="00E57576" w:rsidRDefault="005D1FBD">
      <w:pPr>
        <w:pStyle w:val="TOC2"/>
        <w:tabs>
          <w:tab w:val="left" w:pos="440"/>
          <w:tab w:val="right" w:leader="dot" w:pos="9016"/>
        </w:tabs>
        <w:rPr>
          <w:b w:val="0"/>
          <w:bCs w:val="0"/>
          <w:noProof/>
          <w:sz w:val="22"/>
          <w:szCs w:val="22"/>
        </w:rPr>
      </w:pPr>
      <w:hyperlink w:anchor="_Toc412033367" w:history="1">
        <w:r w:rsidR="00E57576" w:rsidRPr="001A491D">
          <w:rPr>
            <w:rStyle w:val="Hyperlink"/>
            <w:noProof/>
          </w:rPr>
          <w:t>5.</w:t>
        </w:r>
        <w:r w:rsidR="00E57576">
          <w:rPr>
            <w:b w:val="0"/>
            <w:bCs w:val="0"/>
            <w:noProof/>
            <w:sz w:val="22"/>
            <w:szCs w:val="22"/>
          </w:rPr>
          <w:tab/>
        </w:r>
        <w:r w:rsidR="00E57576" w:rsidRPr="001A491D">
          <w:rPr>
            <w:rStyle w:val="Hyperlink"/>
            <w:noProof/>
          </w:rPr>
          <w:t>The Panel’s assessment</w:t>
        </w:r>
        <w:r w:rsidR="00E57576">
          <w:rPr>
            <w:noProof/>
            <w:webHidden/>
          </w:rPr>
          <w:tab/>
        </w:r>
        <w:r>
          <w:rPr>
            <w:noProof/>
            <w:webHidden/>
          </w:rPr>
          <w:fldChar w:fldCharType="begin"/>
        </w:r>
        <w:r w:rsidR="00E57576">
          <w:rPr>
            <w:noProof/>
            <w:webHidden/>
          </w:rPr>
          <w:instrText xml:space="preserve"> PAGEREF _Toc412033367 \h </w:instrText>
        </w:r>
        <w:r>
          <w:rPr>
            <w:noProof/>
            <w:webHidden/>
          </w:rPr>
        </w:r>
        <w:r>
          <w:rPr>
            <w:noProof/>
            <w:webHidden/>
          </w:rPr>
          <w:fldChar w:fldCharType="separate"/>
        </w:r>
        <w:r w:rsidR="00E57576">
          <w:rPr>
            <w:noProof/>
            <w:webHidden/>
          </w:rPr>
          <w:t>4</w:t>
        </w:r>
        <w:r>
          <w:rPr>
            <w:noProof/>
            <w:webHidden/>
          </w:rPr>
          <w:fldChar w:fldCharType="end"/>
        </w:r>
      </w:hyperlink>
    </w:p>
    <w:p w:rsidR="00E57576" w:rsidRDefault="005D1FBD">
      <w:pPr>
        <w:pStyle w:val="TOC2"/>
        <w:tabs>
          <w:tab w:val="left" w:pos="440"/>
          <w:tab w:val="right" w:leader="dot" w:pos="9016"/>
        </w:tabs>
        <w:rPr>
          <w:b w:val="0"/>
          <w:bCs w:val="0"/>
          <w:noProof/>
          <w:sz w:val="22"/>
          <w:szCs w:val="22"/>
        </w:rPr>
      </w:pPr>
      <w:hyperlink w:anchor="_Toc412033368" w:history="1">
        <w:r w:rsidR="00E57576" w:rsidRPr="001A491D">
          <w:rPr>
            <w:rStyle w:val="Hyperlink"/>
            <w:noProof/>
          </w:rPr>
          <w:t>6.</w:t>
        </w:r>
        <w:r w:rsidR="00E57576">
          <w:rPr>
            <w:b w:val="0"/>
            <w:bCs w:val="0"/>
            <w:noProof/>
            <w:sz w:val="22"/>
            <w:szCs w:val="22"/>
          </w:rPr>
          <w:tab/>
        </w:r>
        <w:r w:rsidR="00E57576" w:rsidRPr="001A491D">
          <w:rPr>
            <w:rStyle w:val="Hyperlink"/>
            <w:noProof/>
          </w:rPr>
          <w:t>Summary of reasons</w:t>
        </w:r>
        <w:r w:rsidR="00E57576">
          <w:rPr>
            <w:noProof/>
            <w:webHidden/>
          </w:rPr>
          <w:tab/>
        </w:r>
        <w:r>
          <w:rPr>
            <w:noProof/>
            <w:webHidden/>
          </w:rPr>
          <w:fldChar w:fldCharType="begin"/>
        </w:r>
        <w:r w:rsidR="00E57576">
          <w:rPr>
            <w:noProof/>
            <w:webHidden/>
          </w:rPr>
          <w:instrText xml:space="preserve"> PAGEREF _Toc412033368 \h </w:instrText>
        </w:r>
        <w:r>
          <w:rPr>
            <w:noProof/>
            <w:webHidden/>
          </w:rPr>
        </w:r>
        <w:r>
          <w:rPr>
            <w:noProof/>
            <w:webHidden/>
          </w:rPr>
          <w:fldChar w:fldCharType="separate"/>
        </w:r>
        <w:r w:rsidR="00E57576">
          <w:rPr>
            <w:noProof/>
            <w:webHidden/>
          </w:rPr>
          <w:t>8</w:t>
        </w:r>
        <w:r>
          <w:rPr>
            <w:noProof/>
            <w:webHidden/>
          </w:rPr>
          <w:fldChar w:fldCharType="end"/>
        </w:r>
      </w:hyperlink>
    </w:p>
    <w:p w:rsidR="00E57576" w:rsidRDefault="005D1FBD">
      <w:pPr>
        <w:pStyle w:val="TOC2"/>
        <w:tabs>
          <w:tab w:val="right" w:leader="dot" w:pos="9016"/>
        </w:tabs>
        <w:rPr>
          <w:b w:val="0"/>
          <w:bCs w:val="0"/>
          <w:noProof/>
          <w:sz w:val="22"/>
          <w:szCs w:val="22"/>
        </w:rPr>
      </w:pPr>
      <w:hyperlink w:anchor="_Toc412033369" w:history="1">
        <w:r w:rsidR="00E57576" w:rsidRPr="001A491D">
          <w:rPr>
            <w:rStyle w:val="Hyperlink"/>
            <w:noProof/>
          </w:rPr>
          <w:t>Appendix: Icon Water’s section 24S application</w:t>
        </w:r>
        <w:r w:rsidR="00E57576">
          <w:rPr>
            <w:noProof/>
            <w:webHidden/>
          </w:rPr>
          <w:tab/>
        </w:r>
        <w:r>
          <w:rPr>
            <w:noProof/>
            <w:webHidden/>
          </w:rPr>
          <w:fldChar w:fldCharType="begin"/>
        </w:r>
        <w:r w:rsidR="00E57576">
          <w:rPr>
            <w:noProof/>
            <w:webHidden/>
          </w:rPr>
          <w:instrText xml:space="preserve"> PAGEREF _Toc412033369 \h </w:instrText>
        </w:r>
        <w:r>
          <w:rPr>
            <w:noProof/>
            <w:webHidden/>
          </w:rPr>
        </w:r>
        <w:r>
          <w:rPr>
            <w:noProof/>
            <w:webHidden/>
          </w:rPr>
          <w:fldChar w:fldCharType="separate"/>
        </w:r>
        <w:r w:rsidR="00E57576">
          <w:rPr>
            <w:noProof/>
            <w:webHidden/>
          </w:rPr>
          <w:t>11</w:t>
        </w:r>
        <w:r>
          <w:rPr>
            <w:noProof/>
            <w:webHidden/>
          </w:rPr>
          <w:fldChar w:fldCharType="end"/>
        </w:r>
      </w:hyperlink>
    </w:p>
    <w:p w:rsidR="00392112" w:rsidRDefault="005D1FBD">
      <w:pPr>
        <w:rPr>
          <w:rFonts w:ascii="Times New Roman" w:hAnsi="Times New Roman" w:cs="Times New Roman"/>
          <w:b/>
          <w:sz w:val="28"/>
          <w:szCs w:val="28"/>
        </w:rPr>
      </w:pPr>
      <w:r w:rsidRPr="00F70E4C">
        <w:rPr>
          <w:rFonts w:ascii="Times New Roman" w:hAnsi="Times New Roman" w:cs="Times New Roman"/>
          <w:b/>
          <w:sz w:val="28"/>
          <w:szCs w:val="28"/>
        </w:rPr>
        <w:fldChar w:fldCharType="end"/>
      </w:r>
      <w:r w:rsidR="00DF0B23" w:rsidRPr="00F70E4C">
        <w:rPr>
          <w:rFonts w:ascii="Times New Roman" w:hAnsi="Times New Roman" w:cs="Times New Roman"/>
          <w:b/>
          <w:sz w:val="28"/>
          <w:szCs w:val="28"/>
        </w:rPr>
        <w:br w:type="page"/>
      </w:r>
      <w:r w:rsidR="00392112">
        <w:rPr>
          <w:rFonts w:ascii="Times New Roman" w:hAnsi="Times New Roman" w:cs="Times New Roman"/>
          <w:b/>
          <w:sz w:val="28"/>
          <w:szCs w:val="28"/>
        </w:rPr>
        <w:lastRenderedPageBreak/>
        <w:br w:type="page"/>
      </w:r>
    </w:p>
    <w:p w:rsidR="000238A2" w:rsidRPr="00342A57" w:rsidRDefault="000238A2">
      <w:pPr>
        <w:rPr>
          <w:rFonts w:ascii="Times New Roman" w:hAnsi="Times New Roman" w:cs="Times New Roman"/>
          <w:b/>
          <w:sz w:val="28"/>
          <w:szCs w:val="28"/>
        </w:rPr>
        <w:sectPr w:rsidR="000238A2" w:rsidRPr="00342A57" w:rsidSect="000238A2">
          <w:footerReference w:type="default" r:id="rId10"/>
          <w:pgSz w:w="11906" w:h="16838"/>
          <w:pgMar w:top="1440" w:right="1440" w:bottom="1440" w:left="1440" w:header="708" w:footer="708" w:gutter="0"/>
          <w:pgNumType w:fmt="lowerRoman" w:start="1"/>
          <w:cols w:space="708"/>
          <w:docGrid w:linePitch="360"/>
        </w:sectPr>
      </w:pPr>
    </w:p>
    <w:p w:rsidR="00823548" w:rsidRPr="00823548" w:rsidRDefault="00823548" w:rsidP="00823548">
      <w:pPr>
        <w:pStyle w:val="Heading2"/>
      </w:pPr>
      <w:bookmarkStart w:id="1" w:name="_Toc412033363"/>
      <w:r w:rsidRPr="00823548">
        <w:rPr>
          <w:bCs w:val="0"/>
        </w:rPr>
        <w:lastRenderedPageBreak/>
        <w:t>1.</w:t>
      </w:r>
      <w:r w:rsidRPr="00823548">
        <w:tab/>
        <w:t>Purpose of this report</w:t>
      </w:r>
      <w:bookmarkEnd w:id="1"/>
    </w:p>
    <w:p w:rsidR="00C154C7" w:rsidRDefault="00C154C7" w:rsidP="00C154C7">
      <w:pPr>
        <w:tabs>
          <w:tab w:val="left" w:pos="0"/>
        </w:tabs>
        <w:rPr>
          <w:rFonts w:ascii="Times New Roman" w:hAnsi="Times New Roman" w:cs="Times New Roman"/>
          <w:sz w:val="24"/>
          <w:szCs w:val="24"/>
        </w:rPr>
      </w:pPr>
      <w:r>
        <w:rPr>
          <w:rFonts w:ascii="Times New Roman" w:hAnsi="Times New Roman" w:cs="Times New Roman"/>
          <w:sz w:val="24"/>
          <w:szCs w:val="24"/>
        </w:rPr>
        <w:t xml:space="preserve">Having received </w:t>
      </w:r>
      <w:r w:rsidR="00417DBF">
        <w:rPr>
          <w:rFonts w:ascii="Times New Roman" w:hAnsi="Times New Roman" w:cs="Times New Roman"/>
          <w:sz w:val="24"/>
          <w:szCs w:val="24"/>
        </w:rPr>
        <w:t xml:space="preserve">and assessed </w:t>
      </w:r>
      <w:r>
        <w:rPr>
          <w:rFonts w:ascii="Times New Roman" w:hAnsi="Times New Roman" w:cs="Times New Roman"/>
          <w:sz w:val="24"/>
          <w:szCs w:val="24"/>
        </w:rPr>
        <w:t xml:space="preserve">an application from Icon Water Limited (‘Icon Water’) under section 24S of the </w:t>
      </w:r>
      <w:r w:rsidRPr="000F0706">
        <w:rPr>
          <w:rFonts w:ascii="Times New Roman" w:hAnsi="Times New Roman" w:cs="Times New Roman"/>
          <w:i/>
          <w:sz w:val="24"/>
          <w:szCs w:val="24"/>
        </w:rPr>
        <w:t>Independent Competition and Regulatory Commission Act 1997</w:t>
      </w:r>
      <w:r w:rsidRPr="000F0706">
        <w:rPr>
          <w:rFonts w:ascii="Times New Roman" w:hAnsi="Times New Roman" w:cs="Times New Roman"/>
          <w:sz w:val="24"/>
          <w:szCs w:val="24"/>
        </w:rPr>
        <w:t xml:space="preserve"> (</w:t>
      </w:r>
      <w:r w:rsidR="009B14A8">
        <w:rPr>
          <w:rFonts w:ascii="Times New Roman" w:hAnsi="Times New Roman" w:cs="Times New Roman"/>
          <w:sz w:val="24"/>
          <w:szCs w:val="24"/>
        </w:rPr>
        <w:t>‘</w:t>
      </w:r>
      <w:r w:rsidRPr="000F0706">
        <w:rPr>
          <w:rFonts w:ascii="Times New Roman" w:hAnsi="Times New Roman" w:cs="Times New Roman"/>
          <w:sz w:val="24"/>
          <w:szCs w:val="24"/>
        </w:rPr>
        <w:t>the Act</w:t>
      </w:r>
      <w:r w:rsidR="009B14A8">
        <w:rPr>
          <w:rFonts w:ascii="Times New Roman" w:hAnsi="Times New Roman" w:cs="Times New Roman"/>
          <w:sz w:val="24"/>
          <w:szCs w:val="24"/>
        </w:rPr>
        <w:t>’</w:t>
      </w:r>
      <w:r w:rsidRPr="000F0706">
        <w:rPr>
          <w:rFonts w:ascii="Times New Roman" w:hAnsi="Times New Roman" w:cs="Times New Roman"/>
          <w:sz w:val="24"/>
          <w:szCs w:val="24"/>
        </w:rPr>
        <w:t>)</w:t>
      </w:r>
      <w:r>
        <w:rPr>
          <w:rFonts w:ascii="Times New Roman" w:hAnsi="Times New Roman" w:cs="Times New Roman"/>
          <w:sz w:val="24"/>
          <w:szCs w:val="24"/>
        </w:rPr>
        <w:t xml:space="preserve">, the Industry Panel (‘the Panel’) has made a declaration. </w:t>
      </w:r>
      <w:r w:rsidR="006D3F1F">
        <w:rPr>
          <w:rFonts w:ascii="Times New Roman" w:hAnsi="Times New Roman" w:cs="Times New Roman"/>
          <w:sz w:val="24"/>
          <w:szCs w:val="24"/>
        </w:rPr>
        <w:t xml:space="preserve"> </w:t>
      </w:r>
      <w:r>
        <w:rPr>
          <w:rFonts w:ascii="Times New Roman" w:hAnsi="Times New Roman" w:cs="Times New Roman"/>
          <w:sz w:val="24"/>
          <w:szCs w:val="24"/>
        </w:rPr>
        <w:t>This declaration is contained in this report</w:t>
      </w:r>
      <w:r w:rsidR="00296932">
        <w:rPr>
          <w:rFonts w:ascii="Times New Roman" w:hAnsi="Times New Roman" w:cs="Times New Roman"/>
          <w:sz w:val="24"/>
          <w:szCs w:val="24"/>
        </w:rPr>
        <w:t xml:space="preserve"> (see section 3)</w:t>
      </w:r>
      <w:r w:rsidR="00417DBF">
        <w:rPr>
          <w:rFonts w:ascii="Times New Roman" w:hAnsi="Times New Roman" w:cs="Times New Roman"/>
          <w:sz w:val="24"/>
          <w:szCs w:val="24"/>
        </w:rPr>
        <w:t>. The report</w:t>
      </w:r>
      <w:r>
        <w:rPr>
          <w:rFonts w:ascii="Times New Roman" w:hAnsi="Times New Roman" w:cs="Times New Roman"/>
          <w:sz w:val="24"/>
          <w:szCs w:val="24"/>
        </w:rPr>
        <w:t xml:space="preserve"> also describes the process and assessment undertaken by the Panel in reaching its declaration. </w:t>
      </w:r>
    </w:p>
    <w:p w:rsidR="00C35CEF" w:rsidRPr="00823548" w:rsidRDefault="00823548" w:rsidP="00DD6B96">
      <w:pPr>
        <w:pStyle w:val="Heading2"/>
      </w:pPr>
      <w:bookmarkStart w:id="2" w:name="_Toc412033364"/>
      <w:r>
        <w:t xml:space="preserve">2. </w:t>
      </w:r>
      <w:r>
        <w:tab/>
      </w:r>
      <w:r w:rsidR="00BA2EBD" w:rsidRPr="00823548">
        <w:t>Background</w:t>
      </w:r>
      <w:bookmarkEnd w:id="2"/>
    </w:p>
    <w:p w:rsidR="000F0706" w:rsidRPr="000F0706" w:rsidRDefault="000F0706" w:rsidP="000F0706">
      <w:pPr>
        <w:rPr>
          <w:rFonts w:ascii="Times New Roman" w:hAnsi="Times New Roman" w:cs="Times New Roman"/>
          <w:sz w:val="24"/>
          <w:szCs w:val="24"/>
        </w:rPr>
      </w:pPr>
      <w:r w:rsidRPr="000F0706">
        <w:rPr>
          <w:rFonts w:ascii="Times New Roman" w:hAnsi="Times New Roman" w:cs="Times New Roman"/>
          <w:sz w:val="24"/>
          <w:szCs w:val="24"/>
        </w:rPr>
        <w:t xml:space="preserve">In accordance with Part 4C of the </w:t>
      </w:r>
      <w:r w:rsidR="00C15EA7">
        <w:rPr>
          <w:rFonts w:ascii="Times New Roman" w:hAnsi="Times New Roman" w:cs="Times New Roman"/>
          <w:sz w:val="24"/>
          <w:szCs w:val="24"/>
        </w:rPr>
        <w:t xml:space="preserve">Act, </w:t>
      </w:r>
      <w:r w:rsidRPr="000F0706">
        <w:rPr>
          <w:rFonts w:ascii="Times New Roman" w:hAnsi="Times New Roman" w:cs="Times New Roman"/>
          <w:sz w:val="24"/>
          <w:szCs w:val="24"/>
        </w:rPr>
        <w:t>the Panel</w:t>
      </w:r>
      <w:r w:rsidR="00397AF7">
        <w:rPr>
          <w:rStyle w:val="FootnoteReference"/>
          <w:rFonts w:ascii="Times New Roman" w:hAnsi="Times New Roman" w:cs="Times New Roman"/>
          <w:sz w:val="24"/>
          <w:szCs w:val="24"/>
        </w:rPr>
        <w:footnoteReference w:id="1"/>
      </w:r>
      <w:r w:rsidRPr="000F0706">
        <w:rPr>
          <w:rFonts w:ascii="Times New Roman" w:hAnsi="Times New Roman" w:cs="Times New Roman"/>
          <w:sz w:val="24"/>
          <w:szCs w:val="24"/>
        </w:rPr>
        <w:t xml:space="preserve"> is currently reviewing the price direction released by the Independent Competition and Regulatory Commission (</w:t>
      </w:r>
      <w:r w:rsidR="00E34720">
        <w:rPr>
          <w:rFonts w:ascii="Times New Roman" w:hAnsi="Times New Roman" w:cs="Times New Roman"/>
          <w:sz w:val="24"/>
          <w:szCs w:val="24"/>
        </w:rPr>
        <w:t>‘</w:t>
      </w:r>
      <w:r w:rsidRPr="000F0706">
        <w:rPr>
          <w:rFonts w:ascii="Times New Roman" w:hAnsi="Times New Roman" w:cs="Times New Roman"/>
          <w:sz w:val="24"/>
          <w:szCs w:val="24"/>
        </w:rPr>
        <w:t>ICRC</w:t>
      </w:r>
      <w:r w:rsidR="00E34720">
        <w:rPr>
          <w:rFonts w:ascii="Times New Roman" w:hAnsi="Times New Roman" w:cs="Times New Roman"/>
          <w:sz w:val="24"/>
          <w:szCs w:val="24"/>
        </w:rPr>
        <w:t>’</w:t>
      </w:r>
      <w:r w:rsidRPr="000F0706">
        <w:rPr>
          <w:rFonts w:ascii="Times New Roman" w:hAnsi="Times New Roman" w:cs="Times New Roman"/>
          <w:sz w:val="24"/>
          <w:szCs w:val="24"/>
        </w:rPr>
        <w:t>) on 26 June 2013 for prices applying to regulated water and sewerage services in the ACT for the period 1</w:t>
      </w:r>
      <w:r w:rsidR="00417DBF">
        <w:rPr>
          <w:rFonts w:ascii="Times New Roman" w:hAnsi="Times New Roman" w:cs="Times New Roman"/>
          <w:sz w:val="24"/>
          <w:szCs w:val="24"/>
        </w:rPr>
        <w:t> </w:t>
      </w:r>
      <w:r w:rsidR="007F10E2">
        <w:rPr>
          <w:rFonts w:ascii="Times New Roman" w:hAnsi="Times New Roman" w:cs="Times New Roman"/>
          <w:sz w:val="24"/>
          <w:szCs w:val="24"/>
        </w:rPr>
        <w:t>July 2013 to 3</w:t>
      </w:r>
      <w:r w:rsidRPr="000F0706">
        <w:rPr>
          <w:rFonts w:ascii="Times New Roman" w:hAnsi="Times New Roman" w:cs="Times New Roman"/>
          <w:sz w:val="24"/>
          <w:szCs w:val="24"/>
        </w:rPr>
        <w:t>0 June 2019 (</w:t>
      </w:r>
      <w:r w:rsidR="00E34720">
        <w:rPr>
          <w:rFonts w:ascii="Times New Roman" w:hAnsi="Times New Roman" w:cs="Times New Roman"/>
          <w:sz w:val="24"/>
          <w:szCs w:val="24"/>
        </w:rPr>
        <w:t>‘</w:t>
      </w:r>
      <w:r w:rsidRPr="000F0706">
        <w:rPr>
          <w:rFonts w:ascii="Times New Roman" w:hAnsi="Times New Roman" w:cs="Times New Roman"/>
          <w:sz w:val="24"/>
          <w:szCs w:val="24"/>
        </w:rPr>
        <w:t xml:space="preserve">the 2013 </w:t>
      </w:r>
      <w:r w:rsidR="00F57E9F">
        <w:rPr>
          <w:rFonts w:ascii="Times New Roman" w:hAnsi="Times New Roman" w:cs="Times New Roman"/>
          <w:sz w:val="24"/>
          <w:szCs w:val="24"/>
        </w:rPr>
        <w:t>P</w:t>
      </w:r>
      <w:r w:rsidRPr="000F0706">
        <w:rPr>
          <w:rFonts w:ascii="Times New Roman" w:hAnsi="Times New Roman" w:cs="Times New Roman"/>
          <w:sz w:val="24"/>
          <w:szCs w:val="24"/>
        </w:rPr>
        <w:t xml:space="preserve">rice </w:t>
      </w:r>
      <w:r w:rsidR="00F57E9F">
        <w:rPr>
          <w:rFonts w:ascii="Times New Roman" w:hAnsi="Times New Roman" w:cs="Times New Roman"/>
          <w:sz w:val="24"/>
          <w:szCs w:val="24"/>
        </w:rPr>
        <w:t>D</w:t>
      </w:r>
      <w:r w:rsidRPr="000F0706">
        <w:rPr>
          <w:rFonts w:ascii="Times New Roman" w:hAnsi="Times New Roman" w:cs="Times New Roman"/>
          <w:sz w:val="24"/>
          <w:szCs w:val="24"/>
        </w:rPr>
        <w:t>irection</w:t>
      </w:r>
      <w:r w:rsidR="00E34720">
        <w:rPr>
          <w:rFonts w:ascii="Times New Roman" w:hAnsi="Times New Roman" w:cs="Times New Roman"/>
          <w:sz w:val="24"/>
          <w:szCs w:val="24"/>
        </w:rPr>
        <w:t>’</w:t>
      </w:r>
      <w:r w:rsidR="00D6285A">
        <w:rPr>
          <w:rFonts w:ascii="Times New Roman" w:hAnsi="Times New Roman" w:cs="Times New Roman"/>
          <w:sz w:val="24"/>
          <w:szCs w:val="24"/>
        </w:rPr>
        <w:t xml:space="preserve">). </w:t>
      </w:r>
      <w:r w:rsidRPr="000F0706">
        <w:rPr>
          <w:rFonts w:ascii="Times New Roman" w:hAnsi="Times New Roman" w:cs="Times New Roman"/>
          <w:sz w:val="24"/>
          <w:szCs w:val="24"/>
        </w:rPr>
        <w:t>The Panel released its draft decision</w:t>
      </w:r>
      <w:r w:rsidR="00397AF7">
        <w:rPr>
          <w:rFonts w:ascii="Times New Roman" w:hAnsi="Times New Roman" w:cs="Times New Roman"/>
          <w:sz w:val="24"/>
          <w:szCs w:val="24"/>
        </w:rPr>
        <w:t xml:space="preserve"> in respect of </w:t>
      </w:r>
      <w:r w:rsidR="00194828">
        <w:rPr>
          <w:rFonts w:ascii="Times New Roman" w:hAnsi="Times New Roman" w:cs="Times New Roman"/>
          <w:sz w:val="24"/>
          <w:szCs w:val="24"/>
        </w:rPr>
        <w:t>its</w:t>
      </w:r>
      <w:r w:rsidR="00397AF7">
        <w:rPr>
          <w:rFonts w:ascii="Times New Roman" w:hAnsi="Times New Roman" w:cs="Times New Roman"/>
          <w:sz w:val="24"/>
          <w:szCs w:val="24"/>
        </w:rPr>
        <w:t xml:space="preserve"> review</w:t>
      </w:r>
      <w:r w:rsidRPr="000F0706">
        <w:rPr>
          <w:rFonts w:ascii="Times New Roman" w:hAnsi="Times New Roman" w:cs="Times New Roman"/>
          <w:sz w:val="24"/>
          <w:szCs w:val="24"/>
        </w:rPr>
        <w:t xml:space="preserve"> </w:t>
      </w:r>
      <w:r w:rsidR="00194828">
        <w:rPr>
          <w:rFonts w:ascii="Times New Roman" w:hAnsi="Times New Roman" w:cs="Times New Roman"/>
          <w:sz w:val="24"/>
          <w:szCs w:val="24"/>
        </w:rPr>
        <w:t xml:space="preserve">of the 2013 Price Direction </w:t>
      </w:r>
      <w:r w:rsidRPr="000F0706">
        <w:rPr>
          <w:rFonts w:ascii="Times New Roman" w:hAnsi="Times New Roman" w:cs="Times New Roman"/>
          <w:sz w:val="24"/>
          <w:szCs w:val="24"/>
        </w:rPr>
        <w:t>on 3 December 2014.</w:t>
      </w:r>
      <w:r>
        <w:rPr>
          <w:rStyle w:val="FootnoteReference"/>
          <w:rFonts w:ascii="Times New Roman" w:hAnsi="Times New Roman" w:cs="Times New Roman"/>
          <w:sz w:val="24"/>
          <w:szCs w:val="24"/>
        </w:rPr>
        <w:footnoteReference w:id="2"/>
      </w:r>
      <w:r w:rsidRPr="000F0706">
        <w:rPr>
          <w:rFonts w:ascii="Times New Roman" w:hAnsi="Times New Roman" w:cs="Times New Roman"/>
          <w:sz w:val="24"/>
          <w:szCs w:val="24"/>
        </w:rPr>
        <w:t xml:space="preserve"> </w:t>
      </w:r>
    </w:p>
    <w:p w:rsidR="00695C92" w:rsidRDefault="000F0706" w:rsidP="000F0706">
      <w:pPr>
        <w:rPr>
          <w:rFonts w:ascii="Times New Roman" w:hAnsi="Times New Roman" w:cs="Times New Roman"/>
          <w:sz w:val="24"/>
          <w:szCs w:val="24"/>
        </w:rPr>
      </w:pPr>
      <w:r w:rsidRPr="000F0706">
        <w:rPr>
          <w:rFonts w:ascii="Times New Roman" w:hAnsi="Times New Roman" w:cs="Times New Roman"/>
          <w:sz w:val="24"/>
          <w:szCs w:val="24"/>
        </w:rPr>
        <w:t xml:space="preserve">Under the </w:t>
      </w:r>
      <w:r w:rsidR="00F57E9F">
        <w:rPr>
          <w:rFonts w:ascii="Times New Roman" w:hAnsi="Times New Roman" w:cs="Times New Roman"/>
          <w:sz w:val="24"/>
          <w:szCs w:val="24"/>
        </w:rPr>
        <w:t>Act</w:t>
      </w:r>
      <w:r w:rsidRPr="000F0706">
        <w:rPr>
          <w:rFonts w:ascii="Times New Roman" w:hAnsi="Times New Roman" w:cs="Times New Roman"/>
          <w:sz w:val="24"/>
          <w:szCs w:val="24"/>
        </w:rPr>
        <w:t xml:space="preserve">, </w:t>
      </w:r>
      <w:r w:rsidR="00F57E9F">
        <w:rPr>
          <w:rFonts w:ascii="Times New Roman" w:hAnsi="Times New Roman" w:cs="Times New Roman"/>
          <w:sz w:val="24"/>
          <w:szCs w:val="24"/>
        </w:rPr>
        <w:t>the 2013 Price Direction</w:t>
      </w:r>
      <w:r w:rsidRPr="000F0706">
        <w:rPr>
          <w:rFonts w:ascii="Times New Roman" w:hAnsi="Times New Roman" w:cs="Times New Roman"/>
          <w:sz w:val="24"/>
          <w:szCs w:val="24"/>
        </w:rPr>
        <w:t xml:space="preserve"> continues to have effect until the conclusion of the Panel’s review process</w:t>
      </w:r>
      <w:r w:rsidR="00F57E9F">
        <w:rPr>
          <w:rFonts w:ascii="Times New Roman" w:hAnsi="Times New Roman" w:cs="Times New Roman"/>
          <w:sz w:val="24"/>
          <w:szCs w:val="24"/>
        </w:rPr>
        <w:t xml:space="preserve"> and release of its final report</w:t>
      </w:r>
      <w:r w:rsidRPr="000F0706">
        <w:rPr>
          <w:rFonts w:ascii="Times New Roman" w:hAnsi="Times New Roman" w:cs="Times New Roman"/>
          <w:sz w:val="24"/>
          <w:szCs w:val="24"/>
        </w:rPr>
        <w:t xml:space="preserve">, unless the Panel makes </w:t>
      </w:r>
      <w:r w:rsidR="00F57E9F">
        <w:rPr>
          <w:rFonts w:ascii="Times New Roman" w:hAnsi="Times New Roman" w:cs="Times New Roman"/>
          <w:sz w:val="24"/>
          <w:szCs w:val="24"/>
        </w:rPr>
        <w:t>a</w:t>
      </w:r>
      <w:r w:rsidR="00D6285A">
        <w:rPr>
          <w:rFonts w:ascii="Times New Roman" w:hAnsi="Times New Roman" w:cs="Times New Roman"/>
          <w:sz w:val="24"/>
          <w:szCs w:val="24"/>
        </w:rPr>
        <w:t xml:space="preserve"> declaration under section 24S.</w:t>
      </w:r>
      <w:r w:rsidR="00F57E9F">
        <w:rPr>
          <w:rFonts w:ascii="Times New Roman" w:hAnsi="Times New Roman" w:cs="Times New Roman"/>
          <w:sz w:val="24"/>
          <w:szCs w:val="24"/>
        </w:rPr>
        <w:t xml:space="preserve"> That</w:t>
      </w:r>
      <w:r w:rsidRPr="000F0706">
        <w:rPr>
          <w:rFonts w:ascii="Times New Roman" w:hAnsi="Times New Roman" w:cs="Times New Roman"/>
          <w:sz w:val="24"/>
          <w:szCs w:val="24"/>
        </w:rPr>
        <w:t xml:space="preserve"> section empowers the Panel to make a declaration to suspend or alter </w:t>
      </w:r>
      <w:r w:rsidR="00F57E9F">
        <w:rPr>
          <w:rFonts w:ascii="Times New Roman" w:hAnsi="Times New Roman" w:cs="Times New Roman"/>
          <w:sz w:val="24"/>
          <w:szCs w:val="24"/>
        </w:rPr>
        <w:t>the</w:t>
      </w:r>
      <w:r w:rsidR="000520E0">
        <w:rPr>
          <w:rFonts w:ascii="Times New Roman" w:hAnsi="Times New Roman" w:cs="Times New Roman"/>
          <w:sz w:val="24"/>
          <w:szCs w:val="24"/>
        </w:rPr>
        <w:t xml:space="preserve"> implementation of the</w:t>
      </w:r>
      <w:r w:rsidR="00F57E9F">
        <w:rPr>
          <w:rFonts w:ascii="Times New Roman" w:hAnsi="Times New Roman" w:cs="Times New Roman"/>
          <w:sz w:val="24"/>
          <w:szCs w:val="24"/>
        </w:rPr>
        <w:t xml:space="preserve"> 2013 Price Direction</w:t>
      </w:r>
      <w:r w:rsidRPr="000F0706">
        <w:rPr>
          <w:rFonts w:ascii="Times New Roman" w:hAnsi="Times New Roman" w:cs="Times New Roman"/>
          <w:sz w:val="24"/>
          <w:szCs w:val="24"/>
        </w:rPr>
        <w:t xml:space="preserve"> following an application by a party to its review.  Section 24S is </w:t>
      </w:r>
      <w:r w:rsidR="00194828">
        <w:rPr>
          <w:rFonts w:ascii="Times New Roman" w:hAnsi="Times New Roman" w:cs="Times New Roman"/>
          <w:sz w:val="24"/>
          <w:szCs w:val="24"/>
        </w:rPr>
        <w:t>reproduced below.</w:t>
      </w:r>
    </w:p>
    <w:tbl>
      <w:tblPr>
        <w:tblStyle w:val="TableGrid"/>
        <w:tblW w:w="0" w:type="auto"/>
        <w:jc w:val="center"/>
        <w:shd w:val="clear" w:color="auto" w:fill="BFBFBF" w:themeFill="background1" w:themeFillShade="BF"/>
        <w:tblLook w:val="04A0"/>
      </w:tblPr>
      <w:tblGrid>
        <w:gridCol w:w="8188"/>
      </w:tblGrid>
      <w:tr w:rsidR="000F0706" w:rsidRPr="00296932" w:rsidTr="00342A57">
        <w:trPr>
          <w:jc w:val="center"/>
        </w:trPr>
        <w:tc>
          <w:tcPr>
            <w:tcW w:w="8188" w:type="dxa"/>
            <w:shd w:val="clear" w:color="auto" w:fill="BFBFBF" w:themeFill="background1" w:themeFillShade="BF"/>
          </w:tcPr>
          <w:p w:rsidR="000F0706" w:rsidRPr="00296932" w:rsidRDefault="000F0706" w:rsidP="006D3F1F">
            <w:pPr>
              <w:keepNext/>
              <w:keepLines/>
              <w:autoSpaceDE w:val="0"/>
              <w:autoSpaceDN w:val="0"/>
              <w:adjustRightInd w:val="0"/>
              <w:spacing w:before="60" w:after="120"/>
              <w:rPr>
                <w:rFonts w:ascii="Times New Roman" w:hAnsi="Times New Roman" w:cs="Times New Roman"/>
                <w:b/>
                <w:bCs/>
              </w:rPr>
            </w:pPr>
            <w:r w:rsidRPr="00296932">
              <w:rPr>
                <w:rFonts w:ascii="Times New Roman" w:hAnsi="Times New Roman" w:cs="Times New Roman"/>
                <w:b/>
                <w:bCs/>
              </w:rPr>
              <w:t xml:space="preserve">24S </w:t>
            </w:r>
            <w:r w:rsidRPr="00296932">
              <w:rPr>
                <w:rFonts w:ascii="Times New Roman" w:hAnsi="Times New Roman" w:cs="Times New Roman"/>
                <w:b/>
                <w:bCs/>
              </w:rPr>
              <w:tab/>
              <w:t>Implementation of price direction under review</w:t>
            </w:r>
          </w:p>
          <w:p w:rsidR="000F0706" w:rsidRPr="00296932" w:rsidRDefault="000F0706" w:rsidP="00C15EA7">
            <w:pPr>
              <w:keepNext/>
              <w:keepLines/>
              <w:autoSpaceDE w:val="0"/>
              <w:autoSpaceDN w:val="0"/>
              <w:adjustRightInd w:val="0"/>
              <w:spacing w:after="120"/>
              <w:ind w:left="749" w:hanging="709"/>
              <w:rPr>
                <w:rFonts w:ascii="Times New Roman" w:hAnsi="Times New Roman" w:cs="Times New Roman"/>
              </w:rPr>
            </w:pPr>
            <w:r w:rsidRPr="00296932">
              <w:rPr>
                <w:rFonts w:ascii="Times New Roman" w:hAnsi="Times New Roman" w:cs="Times New Roman"/>
              </w:rPr>
              <w:t xml:space="preserve">(1) </w:t>
            </w:r>
            <w:r w:rsidRPr="00296932">
              <w:rPr>
                <w:rFonts w:ascii="Times New Roman" w:hAnsi="Times New Roman" w:cs="Times New Roman"/>
              </w:rPr>
              <w:tab/>
              <w:t>A price direction has effect despite any application for its review,</w:t>
            </w:r>
            <w:r w:rsidR="00342A57" w:rsidRPr="00296932">
              <w:rPr>
                <w:rFonts w:ascii="Times New Roman" w:hAnsi="Times New Roman" w:cs="Times New Roman"/>
              </w:rPr>
              <w:t xml:space="preserve"> </w:t>
            </w:r>
            <w:r w:rsidRPr="00296932">
              <w:rPr>
                <w:rFonts w:ascii="Times New Roman" w:hAnsi="Times New Roman" w:cs="Times New Roman"/>
              </w:rPr>
              <w:t>unless the industry panel, on an application by a party, declares in</w:t>
            </w:r>
            <w:r w:rsidR="00342A57" w:rsidRPr="00296932">
              <w:rPr>
                <w:rFonts w:ascii="Times New Roman" w:hAnsi="Times New Roman" w:cs="Times New Roman"/>
              </w:rPr>
              <w:t xml:space="preserve"> </w:t>
            </w:r>
            <w:r w:rsidRPr="00296932">
              <w:rPr>
                <w:rFonts w:ascii="Times New Roman" w:hAnsi="Times New Roman" w:cs="Times New Roman"/>
              </w:rPr>
              <w:t>writing that the implementation of the price direction is suspended</w:t>
            </w:r>
            <w:r w:rsidR="00342A57" w:rsidRPr="00296932">
              <w:rPr>
                <w:rFonts w:ascii="Times New Roman" w:hAnsi="Times New Roman" w:cs="Times New Roman"/>
              </w:rPr>
              <w:t xml:space="preserve"> </w:t>
            </w:r>
            <w:r w:rsidRPr="00296932">
              <w:rPr>
                <w:rFonts w:ascii="Times New Roman" w:hAnsi="Times New Roman" w:cs="Times New Roman"/>
              </w:rPr>
              <w:t>or altered until—</w:t>
            </w:r>
          </w:p>
          <w:p w:rsidR="000F0706" w:rsidRPr="00296932" w:rsidRDefault="000F0706" w:rsidP="00342A57">
            <w:pPr>
              <w:keepNext/>
              <w:keepLines/>
              <w:tabs>
                <w:tab w:val="left" w:pos="1174"/>
              </w:tabs>
              <w:autoSpaceDE w:val="0"/>
              <w:autoSpaceDN w:val="0"/>
              <w:adjustRightInd w:val="0"/>
              <w:ind w:left="1174" w:hanging="425"/>
              <w:rPr>
                <w:rFonts w:ascii="Times New Roman" w:hAnsi="Times New Roman" w:cs="Times New Roman"/>
              </w:rPr>
            </w:pPr>
            <w:r w:rsidRPr="00296932">
              <w:rPr>
                <w:rFonts w:ascii="Times New Roman" w:hAnsi="Times New Roman" w:cs="Times New Roman"/>
              </w:rPr>
              <w:t xml:space="preserve">(a) </w:t>
            </w:r>
            <w:r w:rsidR="00342A57" w:rsidRPr="00296932">
              <w:rPr>
                <w:rFonts w:ascii="Times New Roman" w:hAnsi="Times New Roman" w:cs="Times New Roman"/>
              </w:rPr>
              <w:t xml:space="preserve"> </w:t>
            </w:r>
            <w:r w:rsidRPr="00296932">
              <w:rPr>
                <w:rFonts w:ascii="Times New Roman" w:hAnsi="Times New Roman" w:cs="Times New Roman"/>
              </w:rPr>
              <w:t>if the panel confirms the price direction under review—the day</w:t>
            </w:r>
            <w:r w:rsidR="00342A57" w:rsidRPr="00296932">
              <w:rPr>
                <w:rFonts w:ascii="Times New Roman" w:hAnsi="Times New Roman" w:cs="Times New Roman"/>
              </w:rPr>
              <w:t xml:space="preserve"> </w:t>
            </w:r>
            <w:r w:rsidRPr="00296932">
              <w:rPr>
                <w:rFonts w:ascii="Times New Roman" w:hAnsi="Times New Roman" w:cs="Times New Roman"/>
              </w:rPr>
              <w:t>the report of the review is presented to the Legislative</w:t>
            </w:r>
            <w:r w:rsidR="00342A57" w:rsidRPr="00296932">
              <w:rPr>
                <w:rFonts w:ascii="Times New Roman" w:hAnsi="Times New Roman" w:cs="Times New Roman"/>
              </w:rPr>
              <w:t xml:space="preserve"> </w:t>
            </w:r>
            <w:r w:rsidRPr="00296932">
              <w:rPr>
                <w:rFonts w:ascii="Times New Roman" w:hAnsi="Times New Roman" w:cs="Times New Roman"/>
              </w:rPr>
              <w:t>Assembly (under section 24U (Functions of the commission));</w:t>
            </w:r>
            <w:r w:rsidR="00342A57" w:rsidRPr="00296932">
              <w:rPr>
                <w:rFonts w:ascii="Times New Roman" w:hAnsi="Times New Roman" w:cs="Times New Roman"/>
              </w:rPr>
              <w:t xml:space="preserve"> </w:t>
            </w:r>
            <w:r w:rsidRPr="00296932">
              <w:rPr>
                <w:rFonts w:ascii="Times New Roman" w:hAnsi="Times New Roman" w:cs="Times New Roman"/>
              </w:rPr>
              <w:t>or</w:t>
            </w:r>
          </w:p>
          <w:p w:rsidR="000F0706" w:rsidRPr="00296932" w:rsidRDefault="000F0706" w:rsidP="00C15EA7">
            <w:pPr>
              <w:keepNext/>
              <w:keepLines/>
              <w:tabs>
                <w:tab w:val="left" w:pos="749"/>
                <w:tab w:val="left" w:pos="1174"/>
              </w:tabs>
              <w:autoSpaceDE w:val="0"/>
              <w:autoSpaceDN w:val="0"/>
              <w:adjustRightInd w:val="0"/>
              <w:spacing w:after="240"/>
              <w:ind w:left="1173" w:hanging="425"/>
              <w:rPr>
                <w:rFonts w:ascii="Times New Roman" w:hAnsi="Times New Roman" w:cs="Times New Roman"/>
              </w:rPr>
            </w:pPr>
            <w:r w:rsidRPr="00296932">
              <w:rPr>
                <w:rFonts w:ascii="Times New Roman" w:hAnsi="Times New Roman" w:cs="Times New Roman"/>
              </w:rPr>
              <w:t>(b)</w:t>
            </w:r>
            <w:r w:rsidR="00342A57" w:rsidRPr="00296932">
              <w:rPr>
                <w:rFonts w:ascii="Times New Roman" w:hAnsi="Times New Roman" w:cs="Times New Roman"/>
              </w:rPr>
              <w:t xml:space="preserve"> </w:t>
            </w:r>
            <w:r w:rsidRPr="00296932">
              <w:rPr>
                <w:rFonts w:ascii="Times New Roman" w:hAnsi="Times New Roman" w:cs="Times New Roman"/>
              </w:rPr>
              <w:t xml:space="preserve"> </w:t>
            </w:r>
            <w:proofErr w:type="gramStart"/>
            <w:r w:rsidRPr="00296932">
              <w:rPr>
                <w:rFonts w:ascii="Times New Roman" w:hAnsi="Times New Roman" w:cs="Times New Roman"/>
              </w:rPr>
              <w:t>if</w:t>
            </w:r>
            <w:proofErr w:type="gramEnd"/>
            <w:r w:rsidRPr="00296932">
              <w:rPr>
                <w:rFonts w:ascii="Times New Roman" w:hAnsi="Times New Roman" w:cs="Times New Roman"/>
              </w:rPr>
              <w:t xml:space="preserve"> the panel substitutes a new direction for the price direction</w:t>
            </w:r>
            <w:r w:rsidR="00342A57" w:rsidRPr="00296932">
              <w:rPr>
                <w:rFonts w:ascii="Times New Roman" w:hAnsi="Times New Roman" w:cs="Times New Roman"/>
              </w:rPr>
              <w:t xml:space="preserve"> under </w:t>
            </w:r>
            <w:r w:rsidRPr="00296932">
              <w:rPr>
                <w:rFonts w:ascii="Times New Roman" w:hAnsi="Times New Roman" w:cs="Times New Roman"/>
              </w:rPr>
              <w:t>review—the day (or days) the substituted direction</w:t>
            </w:r>
            <w:r w:rsidR="00342A57" w:rsidRPr="00296932">
              <w:rPr>
                <w:rFonts w:ascii="Times New Roman" w:hAnsi="Times New Roman" w:cs="Times New Roman"/>
              </w:rPr>
              <w:t xml:space="preserve"> </w:t>
            </w:r>
            <w:r w:rsidRPr="00296932">
              <w:rPr>
                <w:rFonts w:ascii="Times New Roman" w:hAnsi="Times New Roman" w:cs="Times New Roman"/>
              </w:rPr>
              <w:t>comes into effect.</w:t>
            </w:r>
          </w:p>
          <w:p w:rsidR="000F0706" w:rsidRPr="00296932" w:rsidRDefault="000F0706" w:rsidP="00C15EA7">
            <w:pPr>
              <w:keepNext/>
              <w:keepLines/>
              <w:autoSpaceDE w:val="0"/>
              <w:autoSpaceDN w:val="0"/>
              <w:adjustRightInd w:val="0"/>
              <w:spacing w:after="240"/>
              <w:ind w:left="748" w:hanging="748"/>
              <w:rPr>
                <w:rFonts w:ascii="Times New Roman" w:hAnsi="Times New Roman" w:cs="Times New Roman"/>
              </w:rPr>
            </w:pPr>
            <w:r w:rsidRPr="00296932">
              <w:rPr>
                <w:rFonts w:ascii="Times New Roman" w:hAnsi="Times New Roman" w:cs="Times New Roman"/>
              </w:rPr>
              <w:t xml:space="preserve">(2) </w:t>
            </w:r>
            <w:r w:rsidRPr="00296932">
              <w:rPr>
                <w:rFonts w:ascii="Times New Roman" w:hAnsi="Times New Roman" w:cs="Times New Roman"/>
              </w:rPr>
              <w:tab/>
              <w:t>The declaration of suspension or alteration is taken to be a variation</w:t>
            </w:r>
            <w:r w:rsidR="00342A57" w:rsidRPr="00296932">
              <w:rPr>
                <w:rFonts w:ascii="Times New Roman" w:hAnsi="Times New Roman" w:cs="Times New Roman"/>
              </w:rPr>
              <w:t xml:space="preserve"> of</w:t>
            </w:r>
            <w:r w:rsidRPr="00296932">
              <w:rPr>
                <w:rFonts w:ascii="Times New Roman" w:hAnsi="Times New Roman" w:cs="Times New Roman"/>
              </w:rPr>
              <w:t xml:space="preserve"> the price direction while the direction remains in force.</w:t>
            </w:r>
          </w:p>
          <w:p w:rsidR="000F0706" w:rsidRPr="00296932" w:rsidRDefault="000F0706" w:rsidP="00342A57">
            <w:pPr>
              <w:keepNext/>
              <w:keepLines/>
              <w:autoSpaceDE w:val="0"/>
              <w:autoSpaceDN w:val="0"/>
              <w:adjustRightInd w:val="0"/>
              <w:ind w:left="749" w:hanging="749"/>
              <w:rPr>
                <w:rFonts w:ascii="Times New Roman" w:hAnsi="Times New Roman" w:cs="Times New Roman"/>
              </w:rPr>
            </w:pPr>
            <w:r w:rsidRPr="00296932">
              <w:rPr>
                <w:rFonts w:ascii="Times New Roman" w:hAnsi="Times New Roman" w:cs="Times New Roman"/>
              </w:rPr>
              <w:t xml:space="preserve">(3) </w:t>
            </w:r>
            <w:r w:rsidRPr="00296932">
              <w:rPr>
                <w:rFonts w:ascii="Times New Roman" w:hAnsi="Times New Roman" w:cs="Times New Roman"/>
              </w:rPr>
              <w:tab/>
              <w:t>The following sections apply to the declaration of suspension or</w:t>
            </w:r>
            <w:r w:rsidR="00342A57" w:rsidRPr="00296932">
              <w:rPr>
                <w:rFonts w:ascii="Times New Roman" w:hAnsi="Times New Roman" w:cs="Times New Roman"/>
              </w:rPr>
              <w:t xml:space="preserve"> </w:t>
            </w:r>
            <w:r w:rsidRPr="00296932">
              <w:rPr>
                <w:rFonts w:ascii="Times New Roman" w:hAnsi="Times New Roman" w:cs="Times New Roman"/>
              </w:rPr>
              <w:t>alteration as if it were the final report of a price regulation</w:t>
            </w:r>
            <w:r w:rsidR="00342A57" w:rsidRPr="00296932">
              <w:rPr>
                <w:rFonts w:ascii="Times New Roman" w:hAnsi="Times New Roman" w:cs="Times New Roman"/>
              </w:rPr>
              <w:t xml:space="preserve"> </w:t>
            </w:r>
            <w:r w:rsidRPr="00296932">
              <w:rPr>
                <w:rFonts w:ascii="Times New Roman" w:hAnsi="Times New Roman" w:cs="Times New Roman"/>
              </w:rPr>
              <w:t>investigation:</w:t>
            </w:r>
          </w:p>
          <w:p w:rsidR="000F0706" w:rsidRPr="00296932" w:rsidRDefault="000F0706" w:rsidP="000F0706">
            <w:pPr>
              <w:pStyle w:val="ListParagraph"/>
              <w:keepNext/>
              <w:keepLines/>
              <w:numPr>
                <w:ilvl w:val="0"/>
                <w:numId w:val="29"/>
              </w:numPr>
              <w:autoSpaceDE w:val="0"/>
              <w:autoSpaceDN w:val="0"/>
              <w:adjustRightInd w:val="0"/>
              <w:rPr>
                <w:rFonts w:ascii="Times New Roman" w:hAnsi="Times New Roman"/>
              </w:rPr>
            </w:pPr>
            <w:r w:rsidRPr="00296932">
              <w:rPr>
                <w:rFonts w:ascii="Times New Roman" w:hAnsi="Times New Roman"/>
              </w:rPr>
              <w:t>section 21 (Final reports)</w:t>
            </w:r>
          </w:p>
          <w:p w:rsidR="000F0706" w:rsidRPr="00296932" w:rsidRDefault="000F0706" w:rsidP="000F0706">
            <w:pPr>
              <w:pStyle w:val="ListParagraph"/>
              <w:keepNext/>
              <w:keepLines/>
              <w:numPr>
                <w:ilvl w:val="0"/>
                <w:numId w:val="29"/>
              </w:numPr>
              <w:autoSpaceDE w:val="0"/>
              <w:autoSpaceDN w:val="0"/>
              <w:adjustRightInd w:val="0"/>
              <w:rPr>
                <w:rFonts w:ascii="Times New Roman" w:hAnsi="Times New Roman"/>
              </w:rPr>
            </w:pPr>
            <w:r w:rsidRPr="00296932">
              <w:rPr>
                <w:rFonts w:ascii="Times New Roman" w:hAnsi="Times New Roman"/>
              </w:rPr>
              <w:t>section 23 (Confidential material in reports)</w:t>
            </w:r>
          </w:p>
          <w:p w:rsidR="000F0706" w:rsidRPr="00296932" w:rsidRDefault="000F0706" w:rsidP="000F0706">
            <w:pPr>
              <w:pStyle w:val="ListParagraph"/>
              <w:keepNext/>
              <w:keepLines/>
              <w:numPr>
                <w:ilvl w:val="0"/>
                <w:numId w:val="29"/>
              </w:numPr>
              <w:autoSpaceDE w:val="0"/>
              <w:autoSpaceDN w:val="0"/>
              <w:adjustRightInd w:val="0"/>
              <w:rPr>
                <w:rFonts w:ascii="Times New Roman" w:hAnsi="Times New Roman"/>
              </w:rPr>
            </w:pPr>
            <w:r w:rsidRPr="00296932">
              <w:rPr>
                <w:rFonts w:ascii="Times New Roman" w:hAnsi="Times New Roman"/>
              </w:rPr>
              <w:t>section 24 (Presenting of reports to Legislative Assembly)</w:t>
            </w:r>
          </w:p>
          <w:p w:rsidR="000F0706" w:rsidRPr="00296932" w:rsidRDefault="000F0706" w:rsidP="000F0706">
            <w:pPr>
              <w:pStyle w:val="ListParagraph"/>
              <w:keepNext/>
              <w:keepLines/>
              <w:numPr>
                <w:ilvl w:val="0"/>
                <w:numId w:val="29"/>
              </w:numPr>
              <w:autoSpaceDE w:val="0"/>
              <w:autoSpaceDN w:val="0"/>
              <w:adjustRightInd w:val="0"/>
              <w:spacing w:after="120"/>
              <w:ind w:left="1434" w:hanging="357"/>
              <w:rPr>
                <w:rFonts w:ascii="Arial" w:hAnsi="Arial" w:cs="Arial"/>
              </w:rPr>
            </w:pPr>
            <w:proofErr w:type="gramStart"/>
            <w:r w:rsidRPr="00296932">
              <w:rPr>
                <w:rFonts w:ascii="Times New Roman" w:hAnsi="Times New Roman"/>
              </w:rPr>
              <w:t>section</w:t>
            </w:r>
            <w:proofErr w:type="gramEnd"/>
            <w:r w:rsidRPr="00296932">
              <w:rPr>
                <w:rFonts w:ascii="Times New Roman" w:hAnsi="Times New Roman"/>
              </w:rPr>
              <w:t xml:space="preserve"> 24B (Correction of errors in reports).</w:t>
            </w:r>
          </w:p>
        </w:tc>
      </w:tr>
    </w:tbl>
    <w:p w:rsidR="000F0706" w:rsidRPr="000F0706" w:rsidRDefault="000F0706" w:rsidP="000F0706">
      <w:pPr>
        <w:rPr>
          <w:rFonts w:ascii="Times New Roman" w:hAnsi="Times New Roman" w:cs="Times New Roman"/>
          <w:sz w:val="24"/>
          <w:szCs w:val="24"/>
        </w:rPr>
      </w:pPr>
    </w:p>
    <w:p w:rsidR="00521028" w:rsidRPr="00521028" w:rsidRDefault="00521028" w:rsidP="009655D8">
      <w:pPr>
        <w:keepNext/>
        <w:keepLines/>
        <w:rPr>
          <w:rFonts w:ascii="Times New Roman" w:hAnsi="Times New Roman" w:cs="Times New Roman"/>
          <w:sz w:val="24"/>
          <w:szCs w:val="24"/>
        </w:rPr>
      </w:pPr>
      <w:r w:rsidRPr="00521028">
        <w:rPr>
          <w:rFonts w:ascii="Times New Roman" w:hAnsi="Times New Roman" w:cs="Times New Roman"/>
          <w:sz w:val="24"/>
          <w:szCs w:val="24"/>
        </w:rPr>
        <w:lastRenderedPageBreak/>
        <w:t xml:space="preserve">The 2013 </w:t>
      </w:r>
      <w:r w:rsidR="00194828">
        <w:rPr>
          <w:rFonts w:ascii="Times New Roman" w:hAnsi="Times New Roman" w:cs="Times New Roman"/>
          <w:sz w:val="24"/>
          <w:szCs w:val="24"/>
        </w:rPr>
        <w:t>P</w:t>
      </w:r>
      <w:r w:rsidRPr="00521028">
        <w:rPr>
          <w:rFonts w:ascii="Times New Roman" w:hAnsi="Times New Roman" w:cs="Times New Roman"/>
          <w:sz w:val="24"/>
          <w:szCs w:val="24"/>
        </w:rPr>
        <w:t xml:space="preserve">rice </w:t>
      </w:r>
      <w:r w:rsidR="00194828">
        <w:rPr>
          <w:rFonts w:ascii="Times New Roman" w:hAnsi="Times New Roman" w:cs="Times New Roman"/>
          <w:sz w:val="24"/>
          <w:szCs w:val="24"/>
        </w:rPr>
        <w:t>D</w:t>
      </w:r>
      <w:r w:rsidRPr="00521028">
        <w:rPr>
          <w:rFonts w:ascii="Times New Roman" w:hAnsi="Times New Roman" w:cs="Times New Roman"/>
          <w:sz w:val="24"/>
          <w:szCs w:val="24"/>
        </w:rPr>
        <w:t xml:space="preserve">irection made provision for the ICRC to undertake two biennial recalibrations, </w:t>
      </w:r>
      <w:r w:rsidR="00D6285A">
        <w:rPr>
          <w:rFonts w:ascii="Times New Roman" w:hAnsi="Times New Roman" w:cs="Times New Roman"/>
          <w:sz w:val="24"/>
          <w:szCs w:val="24"/>
        </w:rPr>
        <w:t xml:space="preserve">due to occur in 2015 and 2017. </w:t>
      </w:r>
      <w:r w:rsidRPr="00521028">
        <w:rPr>
          <w:rFonts w:ascii="Times New Roman" w:hAnsi="Times New Roman" w:cs="Times New Roman"/>
          <w:sz w:val="24"/>
          <w:szCs w:val="24"/>
        </w:rPr>
        <w:t xml:space="preserve">The ICRC’s first recalibration process, which is designed to review the maximum prices that may be charged for regulated water and sewerage services from 1 July 2015, commenced on 29 October 2014. </w:t>
      </w:r>
      <w:r w:rsidR="00397AF7">
        <w:rPr>
          <w:rFonts w:ascii="Times New Roman" w:hAnsi="Times New Roman" w:cs="Times New Roman"/>
          <w:sz w:val="24"/>
          <w:szCs w:val="24"/>
        </w:rPr>
        <w:t>T</w:t>
      </w:r>
      <w:r w:rsidRPr="00521028">
        <w:rPr>
          <w:rFonts w:ascii="Times New Roman" w:hAnsi="Times New Roman" w:cs="Times New Roman"/>
          <w:sz w:val="24"/>
          <w:szCs w:val="24"/>
        </w:rPr>
        <w:t>he tasks i</w:t>
      </w:r>
      <w:r w:rsidR="00397AF7">
        <w:rPr>
          <w:rFonts w:ascii="Times New Roman" w:hAnsi="Times New Roman" w:cs="Times New Roman"/>
          <w:sz w:val="24"/>
          <w:szCs w:val="24"/>
        </w:rPr>
        <w:t>nvolved in the first</w:t>
      </w:r>
      <w:r w:rsidR="00D6285A">
        <w:rPr>
          <w:rFonts w:ascii="Times New Roman" w:hAnsi="Times New Roman" w:cs="Times New Roman"/>
          <w:sz w:val="24"/>
          <w:szCs w:val="24"/>
        </w:rPr>
        <w:t xml:space="preserve"> biennial</w:t>
      </w:r>
      <w:r w:rsidR="00397AF7">
        <w:rPr>
          <w:rFonts w:ascii="Times New Roman" w:hAnsi="Times New Roman" w:cs="Times New Roman"/>
          <w:sz w:val="24"/>
          <w:szCs w:val="24"/>
        </w:rPr>
        <w:t xml:space="preserve"> recalibration </w:t>
      </w:r>
      <w:r w:rsidRPr="00521028">
        <w:rPr>
          <w:rFonts w:ascii="Times New Roman" w:hAnsi="Times New Roman" w:cs="Times New Roman"/>
          <w:sz w:val="24"/>
          <w:szCs w:val="24"/>
        </w:rPr>
        <w:t>process, and the indicative timeline</w:t>
      </w:r>
      <w:r w:rsidR="00397AF7">
        <w:rPr>
          <w:rFonts w:ascii="Times New Roman" w:hAnsi="Times New Roman" w:cs="Times New Roman"/>
          <w:sz w:val="24"/>
          <w:szCs w:val="24"/>
        </w:rPr>
        <w:t xml:space="preserve"> provided by the ICRC</w:t>
      </w:r>
      <w:r w:rsidRPr="00521028">
        <w:rPr>
          <w:rFonts w:ascii="Times New Roman" w:hAnsi="Times New Roman" w:cs="Times New Roman"/>
          <w:sz w:val="24"/>
          <w:szCs w:val="24"/>
        </w:rPr>
        <w:t xml:space="preserve">, are summarised in </w:t>
      </w:r>
      <w:r w:rsidR="00ED29EE">
        <w:rPr>
          <w:rFonts w:ascii="Times New Roman" w:hAnsi="Times New Roman" w:cs="Times New Roman"/>
          <w:sz w:val="24"/>
          <w:szCs w:val="24"/>
        </w:rPr>
        <w:t>T</w:t>
      </w:r>
      <w:r w:rsidRPr="00521028">
        <w:rPr>
          <w:rFonts w:ascii="Times New Roman" w:hAnsi="Times New Roman" w:cs="Times New Roman"/>
          <w:sz w:val="24"/>
          <w:szCs w:val="24"/>
        </w:rPr>
        <w:t>able</w:t>
      </w:r>
      <w:r>
        <w:rPr>
          <w:rFonts w:ascii="Times New Roman" w:hAnsi="Times New Roman" w:cs="Times New Roman"/>
          <w:sz w:val="24"/>
          <w:szCs w:val="24"/>
        </w:rPr>
        <w:t> </w:t>
      </w:r>
      <w:r w:rsidR="00397AF7">
        <w:rPr>
          <w:rFonts w:ascii="Times New Roman" w:hAnsi="Times New Roman" w:cs="Times New Roman"/>
          <w:sz w:val="24"/>
          <w:szCs w:val="24"/>
        </w:rPr>
        <w:t>1 below.</w:t>
      </w:r>
    </w:p>
    <w:p w:rsidR="00D35AA6" w:rsidRPr="00D35AA6" w:rsidRDefault="00D35AA6" w:rsidP="00D35AA6">
      <w:pPr>
        <w:keepNext/>
        <w:keepLines/>
        <w:spacing w:after="120"/>
        <w:rPr>
          <w:rFonts w:ascii="Times New Roman" w:hAnsi="Times New Roman" w:cs="Times New Roman"/>
          <w:b/>
          <w:sz w:val="24"/>
          <w:szCs w:val="24"/>
        </w:rPr>
      </w:pPr>
      <w:r w:rsidRPr="00D35AA6">
        <w:rPr>
          <w:rFonts w:ascii="Times New Roman" w:hAnsi="Times New Roman" w:cs="Times New Roman"/>
          <w:b/>
          <w:sz w:val="24"/>
          <w:szCs w:val="24"/>
        </w:rPr>
        <w:t>Table 1: Indicative timeline for the ICRC’s 2015 biennial recalibration</w:t>
      </w:r>
    </w:p>
    <w:tbl>
      <w:tblPr>
        <w:tblStyle w:val="TableGrid"/>
        <w:tblW w:w="0" w:type="auto"/>
        <w:tblLook w:val="04A0"/>
      </w:tblPr>
      <w:tblGrid>
        <w:gridCol w:w="675"/>
        <w:gridCol w:w="6521"/>
        <w:gridCol w:w="2046"/>
      </w:tblGrid>
      <w:tr w:rsidR="00D35AA6" w:rsidRPr="00D507C4" w:rsidTr="00CA72E4">
        <w:tc>
          <w:tcPr>
            <w:tcW w:w="7196" w:type="dxa"/>
            <w:gridSpan w:val="2"/>
            <w:shd w:val="clear" w:color="auto" w:fill="D9D9D9" w:themeFill="background1" w:themeFillShade="D9"/>
          </w:tcPr>
          <w:p w:rsidR="00D35AA6" w:rsidRPr="00D35AA6" w:rsidRDefault="00D35AA6" w:rsidP="00CA72E4">
            <w:pPr>
              <w:keepNext/>
              <w:keepLines/>
              <w:spacing w:before="40" w:after="40"/>
              <w:rPr>
                <w:rFonts w:ascii="Times New Roman" w:hAnsi="Times New Roman" w:cs="Times New Roman"/>
                <w:b/>
              </w:rPr>
            </w:pPr>
            <w:r w:rsidRPr="00D35AA6">
              <w:rPr>
                <w:rFonts w:ascii="Times New Roman" w:hAnsi="Times New Roman" w:cs="Times New Roman"/>
                <w:b/>
              </w:rPr>
              <w:t>Task</w:t>
            </w:r>
          </w:p>
        </w:tc>
        <w:tc>
          <w:tcPr>
            <w:tcW w:w="2046" w:type="dxa"/>
            <w:shd w:val="clear" w:color="auto" w:fill="D9D9D9" w:themeFill="background1" w:themeFillShade="D9"/>
          </w:tcPr>
          <w:p w:rsidR="00D35AA6" w:rsidRPr="00D35AA6" w:rsidRDefault="00D35AA6" w:rsidP="00CA72E4">
            <w:pPr>
              <w:keepNext/>
              <w:keepLines/>
              <w:spacing w:before="40" w:after="40"/>
              <w:jc w:val="center"/>
              <w:rPr>
                <w:rFonts w:ascii="Times New Roman" w:hAnsi="Times New Roman" w:cs="Times New Roman"/>
                <w:b/>
              </w:rPr>
            </w:pPr>
            <w:r w:rsidRPr="00D35AA6">
              <w:rPr>
                <w:rFonts w:ascii="Times New Roman" w:hAnsi="Times New Roman" w:cs="Times New Roman"/>
                <w:b/>
              </w:rPr>
              <w:t>Date</w:t>
            </w:r>
          </w:p>
        </w:tc>
      </w:tr>
      <w:tr w:rsidR="00D35AA6" w:rsidRPr="00D507C4" w:rsidTr="00CA72E4">
        <w:tc>
          <w:tcPr>
            <w:tcW w:w="675"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1</w:t>
            </w:r>
          </w:p>
        </w:tc>
        <w:tc>
          <w:tcPr>
            <w:tcW w:w="6521" w:type="dxa"/>
          </w:tcPr>
          <w:p w:rsidR="00D35AA6" w:rsidRPr="00D35AA6" w:rsidRDefault="00D35AA6" w:rsidP="00CA72E4">
            <w:pPr>
              <w:keepNext/>
              <w:keepLines/>
              <w:spacing w:before="40" w:after="40"/>
              <w:rPr>
                <w:rFonts w:ascii="Times New Roman" w:hAnsi="Times New Roman" w:cs="Times New Roman"/>
              </w:rPr>
            </w:pPr>
            <w:r w:rsidRPr="00D35AA6">
              <w:rPr>
                <w:rFonts w:ascii="Times New Roman" w:hAnsi="Times New Roman" w:cs="Times New Roman"/>
              </w:rPr>
              <w:t>Information request provided to Icon Water</w:t>
            </w:r>
          </w:p>
        </w:tc>
        <w:tc>
          <w:tcPr>
            <w:tcW w:w="2046"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29 October 2014</w:t>
            </w:r>
          </w:p>
        </w:tc>
      </w:tr>
      <w:tr w:rsidR="00D35AA6" w:rsidRPr="00D507C4" w:rsidTr="00CA72E4">
        <w:tc>
          <w:tcPr>
            <w:tcW w:w="675"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2</w:t>
            </w:r>
          </w:p>
        </w:tc>
        <w:tc>
          <w:tcPr>
            <w:tcW w:w="6521" w:type="dxa"/>
          </w:tcPr>
          <w:p w:rsidR="00D35AA6" w:rsidRPr="00D35AA6" w:rsidRDefault="00D35AA6" w:rsidP="00CA72E4">
            <w:pPr>
              <w:keepNext/>
              <w:keepLines/>
              <w:spacing w:before="40" w:after="40"/>
              <w:rPr>
                <w:rFonts w:ascii="Times New Roman" w:hAnsi="Times New Roman" w:cs="Times New Roman"/>
              </w:rPr>
            </w:pPr>
            <w:r w:rsidRPr="00D35AA6">
              <w:rPr>
                <w:rFonts w:ascii="Times New Roman" w:hAnsi="Times New Roman" w:cs="Times New Roman"/>
              </w:rPr>
              <w:t>Information return provided to the ICRC</w:t>
            </w:r>
          </w:p>
        </w:tc>
        <w:tc>
          <w:tcPr>
            <w:tcW w:w="2046"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1 December 2014</w:t>
            </w:r>
          </w:p>
        </w:tc>
      </w:tr>
      <w:tr w:rsidR="00D35AA6" w:rsidRPr="00D507C4" w:rsidTr="00CA72E4">
        <w:tc>
          <w:tcPr>
            <w:tcW w:w="675"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3</w:t>
            </w:r>
          </w:p>
        </w:tc>
        <w:tc>
          <w:tcPr>
            <w:tcW w:w="6521" w:type="dxa"/>
          </w:tcPr>
          <w:p w:rsidR="00D35AA6" w:rsidRPr="00D35AA6" w:rsidRDefault="00D35AA6" w:rsidP="00CA72E4">
            <w:pPr>
              <w:keepNext/>
              <w:keepLines/>
              <w:spacing w:before="40" w:after="40"/>
              <w:rPr>
                <w:rFonts w:ascii="Times New Roman" w:hAnsi="Times New Roman" w:cs="Times New Roman"/>
              </w:rPr>
            </w:pPr>
            <w:r w:rsidRPr="00D35AA6">
              <w:rPr>
                <w:rFonts w:ascii="Times New Roman" w:hAnsi="Times New Roman" w:cs="Times New Roman"/>
              </w:rPr>
              <w:t>Information return published</w:t>
            </w:r>
          </w:p>
        </w:tc>
        <w:tc>
          <w:tcPr>
            <w:tcW w:w="2046"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8 December 2014</w:t>
            </w:r>
          </w:p>
        </w:tc>
      </w:tr>
      <w:tr w:rsidR="00D35AA6" w:rsidRPr="00D507C4" w:rsidTr="00CA72E4">
        <w:tc>
          <w:tcPr>
            <w:tcW w:w="675"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4</w:t>
            </w:r>
          </w:p>
        </w:tc>
        <w:tc>
          <w:tcPr>
            <w:tcW w:w="6521" w:type="dxa"/>
          </w:tcPr>
          <w:p w:rsidR="00D35AA6" w:rsidRPr="00D35AA6" w:rsidRDefault="00D35AA6" w:rsidP="00CA72E4">
            <w:pPr>
              <w:keepNext/>
              <w:keepLines/>
              <w:spacing w:before="40" w:after="40"/>
              <w:rPr>
                <w:rFonts w:ascii="Times New Roman" w:hAnsi="Times New Roman" w:cs="Times New Roman"/>
              </w:rPr>
            </w:pPr>
            <w:r w:rsidRPr="00D35AA6">
              <w:rPr>
                <w:rFonts w:ascii="Times New Roman" w:hAnsi="Times New Roman" w:cs="Times New Roman"/>
              </w:rPr>
              <w:t>Demand modelling paper published</w:t>
            </w:r>
          </w:p>
        </w:tc>
        <w:tc>
          <w:tcPr>
            <w:tcW w:w="2046"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20 January 2015</w:t>
            </w:r>
          </w:p>
        </w:tc>
      </w:tr>
      <w:tr w:rsidR="00D35AA6" w:rsidRPr="00D507C4" w:rsidTr="00CA72E4">
        <w:tc>
          <w:tcPr>
            <w:tcW w:w="675"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5</w:t>
            </w:r>
          </w:p>
        </w:tc>
        <w:tc>
          <w:tcPr>
            <w:tcW w:w="6521" w:type="dxa"/>
          </w:tcPr>
          <w:p w:rsidR="00D35AA6" w:rsidRPr="00D35AA6" w:rsidRDefault="00D35AA6" w:rsidP="00CA72E4">
            <w:pPr>
              <w:keepNext/>
              <w:keepLines/>
              <w:spacing w:before="40" w:after="40"/>
              <w:rPr>
                <w:rFonts w:ascii="Times New Roman" w:hAnsi="Times New Roman" w:cs="Times New Roman"/>
              </w:rPr>
            </w:pPr>
            <w:r w:rsidRPr="00D35AA6">
              <w:rPr>
                <w:rFonts w:ascii="Times New Roman" w:hAnsi="Times New Roman" w:cs="Times New Roman"/>
              </w:rPr>
              <w:t>Submissions on demand paper close</w:t>
            </w:r>
          </w:p>
        </w:tc>
        <w:tc>
          <w:tcPr>
            <w:tcW w:w="2046"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23 February 2015</w:t>
            </w:r>
          </w:p>
        </w:tc>
      </w:tr>
      <w:tr w:rsidR="00D35AA6" w:rsidRPr="00D507C4" w:rsidTr="00CA72E4">
        <w:tc>
          <w:tcPr>
            <w:tcW w:w="675"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6</w:t>
            </w:r>
          </w:p>
        </w:tc>
        <w:tc>
          <w:tcPr>
            <w:tcW w:w="6521" w:type="dxa"/>
          </w:tcPr>
          <w:p w:rsidR="00D35AA6" w:rsidRPr="00D35AA6" w:rsidRDefault="00D35AA6" w:rsidP="00CA72E4">
            <w:pPr>
              <w:keepNext/>
              <w:keepLines/>
              <w:spacing w:before="40" w:after="40"/>
              <w:rPr>
                <w:rFonts w:ascii="Times New Roman" w:hAnsi="Times New Roman" w:cs="Times New Roman"/>
              </w:rPr>
            </w:pPr>
            <w:r w:rsidRPr="00D35AA6">
              <w:rPr>
                <w:rFonts w:ascii="Times New Roman" w:hAnsi="Times New Roman" w:cs="Times New Roman"/>
              </w:rPr>
              <w:t>Release of draft report</w:t>
            </w:r>
          </w:p>
        </w:tc>
        <w:tc>
          <w:tcPr>
            <w:tcW w:w="2046"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1 April 2015</w:t>
            </w:r>
          </w:p>
        </w:tc>
      </w:tr>
      <w:tr w:rsidR="00D35AA6" w:rsidRPr="00D507C4" w:rsidTr="00CA72E4">
        <w:tc>
          <w:tcPr>
            <w:tcW w:w="675"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7</w:t>
            </w:r>
          </w:p>
        </w:tc>
        <w:tc>
          <w:tcPr>
            <w:tcW w:w="6521" w:type="dxa"/>
          </w:tcPr>
          <w:p w:rsidR="00D35AA6" w:rsidRPr="00D35AA6" w:rsidRDefault="00D35AA6" w:rsidP="00CA72E4">
            <w:pPr>
              <w:keepNext/>
              <w:keepLines/>
              <w:spacing w:before="40" w:after="40"/>
              <w:rPr>
                <w:rFonts w:ascii="Times New Roman" w:hAnsi="Times New Roman" w:cs="Times New Roman"/>
              </w:rPr>
            </w:pPr>
            <w:r w:rsidRPr="00D35AA6">
              <w:rPr>
                <w:rFonts w:ascii="Times New Roman" w:hAnsi="Times New Roman" w:cs="Times New Roman"/>
              </w:rPr>
              <w:t>Submissions on draft report close</w:t>
            </w:r>
          </w:p>
        </w:tc>
        <w:tc>
          <w:tcPr>
            <w:tcW w:w="2046"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5 May 2015</w:t>
            </w:r>
          </w:p>
        </w:tc>
      </w:tr>
      <w:tr w:rsidR="00D35AA6" w:rsidRPr="00D507C4" w:rsidTr="00CA72E4">
        <w:tc>
          <w:tcPr>
            <w:tcW w:w="675"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8</w:t>
            </w:r>
          </w:p>
        </w:tc>
        <w:tc>
          <w:tcPr>
            <w:tcW w:w="6521" w:type="dxa"/>
          </w:tcPr>
          <w:p w:rsidR="00D35AA6" w:rsidRPr="00D35AA6" w:rsidRDefault="00D35AA6" w:rsidP="00CA72E4">
            <w:pPr>
              <w:keepNext/>
              <w:keepLines/>
              <w:spacing w:before="40" w:after="40"/>
              <w:rPr>
                <w:rFonts w:ascii="Times New Roman" w:hAnsi="Times New Roman" w:cs="Times New Roman"/>
              </w:rPr>
            </w:pPr>
            <w:r w:rsidRPr="00D35AA6">
              <w:rPr>
                <w:rFonts w:ascii="Times New Roman" w:hAnsi="Times New Roman" w:cs="Times New Roman"/>
              </w:rPr>
              <w:t>Release of final report and prices</w:t>
            </w:r>
          </w:p>
        </w:tc>
        <w:tc>
          <w:tcPr>
            <w:tcW w:w="2046" w:type="dxa"/>
          </w:tcPr>
          <w:p w:rsidR="00D35AA6" w:rsidRPr="00D35AA6" w:rsidRDefault="00D35AA6" w:rsidP="00CA72E4">
            <w:pPr>
              <w:keepNext/>
              <w:keepLines/>
              <w:spacing w:before="40" w:after="40"/>
              <w:jc w:val="center"/>
              <w:rPr>
                <w:rFonts w:ascii="Times New Roman" w:hAnsi="Times New Roman" w:cs="Times New Roman"/>
              </w:rPr>
            </w:pPr>
            <w:r w:rsidRPr="00D35AA6">
              <w:rPr>
                <w:rFonts w:ascii="Times New Roman" w:hAnsi="Times New Roman" w:cs="Times New Roman"/>
              </w:rPr>
              <w:t>11 June 2015</w:t>
            </w:r>
          </w:p>
        </w:tc>
      </w:tr>
    </w:tbl>
    <w:p w:rsidR="00D35AA6" w:rsidRPr="00D35AA6" w:rsidRDefault="00D35AA6" w:rsidP="00D35AA6">
      <w:pPr>
        <w:autoSpaceDE w:val="0"/>
        <w:autoSpaceDN w:val="0"/>
        <w:adjustRightInd w:val="0"/>
        <w:spacing w:before="120" w:after="0" w:line="240" w:lineRule="auto"/>
        <w:rPr>
          <w:rFonts w:ascii="Times New Roman" w:hAnsi="Times New Roman" w:cs="Times New Roman"/>
          <w:bCs/>
          <w:sz w:val="18"/>
          <w:szCs w:val="18"/>
        </w:rPr>
      </w:pPr>
      <w:r w:rsidRPr="00D35AA6">
        <w:rPr>
          <w:rFonts w:ascii="Times New Roman" w:hAnsi="Times New Roman" w:cs="Times New Roman"/>
          <w:sz w:val="18"/>
          <w:szCs w:val="18"/>
        </w:rPr>
        <w:t xml:space="preserve">Source: Independent Competition and Regulatory Commission, </w:t>
      </w:r>
      <w:r w:rsidRPr="00D35AA6">
        <w:rPr>
          <w:rFonts w:ascii="Times New Roman" w:hAnsi="Times New Roman" w:cs="Times New Roman"/>
          <w:i/>
          <w:sz w:val="18"/>
          <w:szCs w:val="18"/>
        </w:rPr>
        <w:t>Technical paper: Wate</w:t>
      </w:r>
      <w:r w:rsidR="00397AF7">
        <w:rPr>
          <w:rFonts w:ascii="Times New Roman" w:hAnsi="Times New Roman" w:cs="Times New Roman"/>
          <w:i/>
          <w:sz w:val="18"/>
          <w:szCs w:val="18"/>
        </w:rPr>
        <w:t>r demand forecasting, Biennial R</w:t>
      </w:r>
      <w:r w:rsidRPr="00D35AA6">
        <w:rPr>
          <w:rFonts w:ascii="Times New Roman" w:hAnsi="Times New Roman" w:cs="Times New Roman"/>
          <w:i/>
          <w:sz w:val="18"/>
          <w:szCs w:val="18"/>
        </w:rPr>
        <w:t>ecalibration 2015</w:t>
      </w:r>
      <w:r w:rsidRPr="00D35AA6">
        <w:rPr>
          <w:rFonts w:ascii="Times New Roman" w:hAnsi="Times New Roman" w:cs="Times New Roman"/>
          <w:sz w:val="18"/>
          <w:szCs w:val="18"/>
        </w:rPr>
        <w:t>, Report 1 of 2015, January 2015.</w:t>
      </w:r>
    </w:p>
    <w:p w:rsidR="00C154C7" w:rsidRPr="00C154C7" w:rsidRDefault="00C154C7" w:rsidP="00C154C7">
      <w:pPr>
        <w:pStyle w:val="HeadingA"/>
        <w:rPr>
          <w:sz w:val="28"/>
          <w:szCs w:val="28"/>
        </w:rPr>
      </w:pPr>
      <w:r>
        <w:rPr>
          <w:sz w:val="28"/>
          <w:szCs w:val="28"/>
        </w:rPr>
        <w:t>2.1</w:t>
      </w:r>
      <w:r>
        <w:rPr>
          <w:sz w:val="28"/>
          <w:szCs w:val="28"/>
        </w:rPr>
        <w:tab/>
      </w:r>
      <w:r w:rsidRPr="00C154C7">
        <w:rPr>
          <w:sz w:val="28"/>
          <w:szCs w:val="28"/>
        </w:rPr>
        <w:t>The application</w:t>
      </w:r>
    </w:p>
    <w:p w:rsidR="000F0706" w:rsidRPr="00521028" w:rsidRDefault="00521028" w:rsidP="00521028">
      <w:pPr>
        <w:rPr>
          <w:rFonts w:ascii="Times New Roman" w:hAnsi="Times New Roman" w:cs="Times New Roman"/>
          <w:sz w:val="24"/>
          <w:szCs w:val="24"/>
        </w:rPr>
      </w:pPr>
      <w:r w:rsidRPr="00521028">
        <w:rPr>
          <w:rFonts w:ascii="Times New Roman" w:hAnsi="Times New Roman" w:cs="Times New Roman"/>
          <w:sz w:val="24"/>
          <w:szCs w:val="24"/>
        </w:rPr>
        <w:t>On 23 January 2015, the Panel received an application from Icon Water Limited (</w:t>
      </w:r>
      <w:r w:rsidR="00397AF7">
        <w:rPr>
          <w:rFonts w:ascii="Times New Roman" w:hAnsi="Times New Roman" w:cs="Times New Roman"/>
          <w:sz w:val="24"/>
          <w:szCs w:val="24"/>
        </w:rPr>
        <w:t>'</w:t>
      </w:r>
      <w:r w:rsidRPr="00521028">
        <w:rPr>
          <w:rFonts w:ascii="Times New Roman" w:hAnsi="Times New Roman" w:cs="Times New Roman"/>
          <w:sz w:val="24"/>
          <w:szCs w:val="24"/>
        </w:rPr>
        <w:t>Icon Water</w:t>
      </w:r>
      <w:r w:rsidR="00397AF7">
        <w:rPr>
          <w:rFonts w:ascii="Times New Roman" w:hAnsi="Times New Roman" w:cs="Times New Roman"/>
          <w:sz w:val="24"/>
          <w:szCs w:val="24"/>
        </w:rPr>
        <w:t>'</w:t>
      </w:r>
      <w:r w:rsidRPr="00521028">
        <w:rPr>
          <w:rFonts w:ascii="Times New Roman" w:hAnsi="Times New Roman" w:cs="Times New Roman"/>
          <w:sz w:val="24"/>
          <w:szCs w:val="24"/>
        </w:rPr>
        <w:t xml:space="preserve">) under section 24S of the Act to alter </w:t>
      </w:r>
      <w:r w:rsidR="00F57E9F">
        <w:rPr>
          <w:rFonts w:ascii="Times New Roman" w:hAnsi="Times New Roman" w:cs="Times New Roman"/>
          <w:sz w:val="24"/>
          <w:szCs w:val="24"/>
        </w:rPr>
        <w:t>the 2013 Price Direction</w:t>
      </w:r>
      <w:r w:rsidRPr="00521028">
        <w:rPr>
          <w:rFonts w:ascii="Times New Roman" w:hAnsi="Times New Roman" w:cs="Times New Roman"/>
          <w:sz w:val="24"/>
          <w:szCs w:val="24"/>
        </w:rPr>
        <w:t xml:space="preserve"> to defer or remove the need for the first biennial recalibration, pending the release of the Panel’s final report. A copy of Icon Water’s letter of application </w:t>
      </w:r>
      <w:r w:rsidR="00397AF7">
        <w:rPr>
          <w:rFonts w:ascii="Times New Roman" w:hAnsi="Times New Roman" w:cs="Times New Roman"/>
          <w:sz w:val="24"/>
          <w:szCs w:val="24"/>
        </w:rPr>
        <w:t xml:space="preserve">is </w:t>
      </w:r>
      <w:r w:rsidR="00194828">
        <w:rPr>
          <w:rFonts w:ascii="Times New Roman" w:hAnsi="Times New Roman" w:cs="Times New Roman"/>
          <w:sz w:val="24"/>
          <w:szCs w:val="24"/>
        </w:rPr>
        <w:t>included as an Appendix to this report.</w:t>
      </w:r>
    </w:p>
    <w:p w:rsidR="009D1B51" w:rsidRPr="000238A2" w:rsidRDefault="006D3F1F" w:rsidP="00DD6B96">
      <w:pPr>
        <w:pStyle w:val="Heading2"/>
      </w:pPr>
      <w:bookmarkStart w:id="3" w:name="_Toc391540020"/>
      <w:bookmarkStart w:id="4" w:name="_Toc391540082"/>
      <w:bookmarkStart w:id="5" w:name="_Toc411420158"/>
      <w:bookmarkStart w:id="6" w:name="_Toc412033365"/>
      <w:r>
        <w:t>3</w:t>
      </w:r>
      <w:r w:rsidR="009D1B51" w:rsidRPr="000238A2">
        <w:t>.</w:t>
      </w:r>
      <w:r w:rsidR="009D1B51" w:rsidRPr="000238A2">
        <w:tab/>
      </w:r>
      <w:bookmarkEnd w:id="3"/>
      <w:bookmarkEnd w:id="4"/>
      <w:r w:rsidR="008672A7">
        <w:t xml:space="preserve">The Panel’s </w:t>
      </w:r>
      <w:r w:rsidR="00194828">
        <w:t>D</w:t>
      </w:r>
      <w:r w:rsidR="008672A7">
        <w:t>eclaration</w:t>
      </w:r>
      <w:bookmarkEnd w:id="5"/>
      <w:bookmarkEnd w:id="6"/>
    </w:p>
    <w:p w:rsidR="001F2B70" w:rsidRPr="001F2B70" w:rsidRDefault="001F2B70" w:rsidP="001F2B70">
      <w:pPr>
        <w:rPr>
          <w:rFonts w:ascii="Times New Roman" w:hAnsi="Times New Roman" w:cs="Times New Roman"/>
          <w:sz w:val="24"/>
          <w:szCs w:val="24"/>
        </w:rPr>
      </w:pPr>
      <w:bookmarkStart w:id="7" w:name="_Toc391540021"/>
      <w:bookmarkStart w:id="8" w:name="_Toc391540083"/>
      <w:bookmarkStart w:id="9" w:name="_Toc411420159"/>
      <w:r w:rsidRPr="001F2B70">
        <w:rPr>
          <w:rFonts w:ascii="Times New Roman" w:hAnsi="Times New Roman" w:cs="Times New Roman"/>
          <w:sz w:val="24"/>
          <w:szCs w:val="24"/>
        </w:rPr>
        <w:t xml:space="preserve">In accordance with section 24S of the </w:t>
      </w:r>
      <w:r>
        <w:rPr>
          <w:rFonts w:ascii="Times New Roman" w:hAnsi="Times New Roman" w:cs="Times New Roman"/>
          <w:iCs/>
          <w:sz w:val="24"/>
          <w:szCs w:val="24"/>
        </w:rPr>
        <w:t xml:space="preserve">Act, </w:t>
      </w:r>
      <w:r w:rsidRPr="001F2B70">
        <w:rPr>
          <w:rFonts w:ascii="Times New Roman" w:hAnsi="Times New Roman" w:cs="Times New Roman"/>
          <w:sz w:val="24"/>
          <w:szCs w:val="24"/>
        </w:rPr>
        <w:t xml:space="preserve">the </w:t>
      </w:r>
      <w:r w:rsidR="009B14A8">
        <w:rPr>
          <w:rFonts w:ascii="Times New Roman" w:hAnsi="Times New Roman" w:cs="Times New Roman"/>
          <w:sz w:val="24"/>
          <w:szCs w:val="24"/>
        </w:rPr>
        <w:t xml:space="preserve">Industry </w:t>
      </w:r>
      <w:r w:rsidRPr="001F2B70">
        <w:rPr>
          <w:rFonts w:ascii="Times New Roman" w:hAnsi="Times New Roman" w:cs="Times New Roman"/>
          <w:sz w:val="24"/>
          <w:szCs w:val="24"/>
        </w:rPr>
        <w:t>Panel makes the following declaration with respect to the</w:t>
      </w:r>
      <w:r w:rsidR="00B95E11">
        <w:rPr>
          <w:rFonts w:ascii="Times New Roman" w:hAnsi="Times New Roman" w:cs="Times New Roman"/>
          <w:sz w:val="24"/>
          <w:szCs w:val="24"/>
        </w:rPr>
        <w:t xml:space="preserve"> </w:t>
      </w:r>
      <w:r w:rsidR="00B95E11" w:rsidRPr="000F0706">
        <w:rPr>
          <w:rFonts w:ascii="Times New Roman" w:hAnsi="Times New Roman" w:cs="Times New Roman"/>
          <w:sz w:val="24"/>
          <w:szCs w:val="24"/>
        </w:rPr>
        <w:t>price direction released by the Independent Competition and Regulatory Commission (</w:t>
      </w:r>
      <w:r w:rsidR="00F1042A">
        <w:rPr>
          <w:rFonts w:ascii="Times New Roman" w:hAnsi="Times New Roman" w:cs="Times New Roman"/>
          <w:sz w:val="24"/>
          <w:szCs w:val="24"/>
        </w:rPr>
        <w:t>‘</w:t>
      </w:r>
      <w:r w:rsidR="00B95E11" w:rsidRPr="000F0706">
        <w:rPr>
          <w:rFonts w:ascii="Times New Roman" w:hAnsi="Times New Roman" w:cs="Times New Roman"/>
          <w:sz w:val="24"/>
          <w:szCs w:val="24"/>
        </w:rPr>
        <w:t>ICRC</w:t>
      </w:r>
      <w:r w:rsidR="00F1042A">
        <w:rPr>
          <w:rFonts w:ascii="Times New Roman" w:hAnsi="Times New Roman" w:cs="Times New Roman"/>
          <w:sz w:val="24"/>
          <w:szCs w:val="24"/>
        </w:rPr>
        <w:t>’</w:t>
      </w:r>
      <w:r w:rsidR="00B95E11" w:rsidRPr="000F0706">
        <w:rPr>
          <w:rFonts w:ascii="Times New Roman" w:hAnsi="Times New Roman" w:cs="Times New Roman"/>
          <w:sz w:val="24"/>
          <w:szCs w:val="24"/>
        </w:rPr>
        <w:t>) on 26 June 2013 for prices applying to regulated water and sewerage services in the ACT</w:t>
      </w:r>
      <w:r w:rsidR="007F10E2">
        <w:rPr>
          <w:rFonts w:ascii="Times New Roman" w:hAnsi="Times New Roman" w:cs="Times New Roman"/>
          <w:sz w:val="24"/>
          <w:szCs w:val="24"/>
        </w:rPr>
        <w:t xml:space="preserve"> for the period 1 July 2013 to 3</w:t>
      </w:r>
      <w:r w:rsidR="00B95E11" w:rsidRPr="000F0706">
        <w:rPr>
          <w:rFonts w:ascii="Times New Roman" w:hAnsi="Times New Roman" w:cs="Times New Roman"/>
          <w:sz w:val="24"/>
          <w:szCs w:val="24"/>
        </w:rPr>
        <w:t>0 June 2019 (</w:t>
      </w:r>
      <w:r w:rsidR="00F1042A">
        <w:rPr>
          <w:rFonts w:ascii="Times New Roman" w:hAnsi="Times New Roman" w:cs="Times New Roman"/>
          <w:sz w:val="24"/>
          <w:szCs w:val="24"/>
        </w:rPr>
        <w:t>‘</w:t>
      </w:r>
      <w:r w:rsidR="00B95E11" w:rsidRPr="000F0706">
        <w:rPr>
          <w:rFonts w:ascii="Times New Roman" w:hAnsi="Times New Roman" w:cs="Times New Roman"/>
          <w:sz w:val="24"/>
          <w:szCs w:val="24"/>
        </w:rPr>
        <w:t xml:space="preserve">the 2013 </w:t>
      </w:r>
      <w:r w:rsidR="00B95E11">
        <w:rPr>
          <w:rFonts w:ascii="Times New Roman" w:hAnsi="Times New Roman" w:cs="Times New Roman"/>
          <w:sz w:val="24"/>
          <w:szCs w:val="24"/>
        </w:rPr>
        <w:t>P</w:t>
      </w:r>
      <w:r w:rsidR="00B95E11" w:rsidRPr="000F0706">
        <w:rPr>
          <w:rFonts w:ascii="Times New Roman" w:hAnsi="Times New Roman" w:cs="Times New Roman"/>
          <w:sz w:val="24"/>
          <w:szCs w:val="24"/>
        </w:rPr>
        <w:t xml:space="preserve">rice </w:t>
      </w:r>
      <w:r w:rsidR="00B95E11">
        <w:rPr>
          <w:rFonts w:ascii="Times New Roman" w:hAnsi="Times New Roman" w:cs="Times New Roman"/>
          <w:sz w:val="24"/>
          <w:szCs w:val="24"/>
        </w:rPr>
        <w:t>D</w:t>
      </w:r>
      <w:r w:rsidR="00B95E11" w:rsidRPr="000F0706">
        <w:rPr>
          <w:rFonts w:ascii="Times New Roman" w:hAnsi="Times New Roman" w:cs="Times New Roman"/>
          <w:sz w:val="24"/>
          <w:szCs w:val="24"/>
        </w:rPr>
        <w:t>irection</w:t>
      </w:r>
      <w:r w:rsidR="00F1042A">
        <w:rPr>
          <w:rFonts w:ascii="Times New Roman" w:hAnsi="Times New Roman" w:cs="Times New Roman"/>
          <w:sz w:val="24"/>
          <w:szCs w:val="24"/>
        </w:rPr>
        <w:t>’</w:t>
      </w:r>
      <w:r w:rsidR="00B95E11">
        <w:rPr>
          <w:rFonts w:ascii="Times New Roman" w:hAnsi="Times New Roman" w:cs="Times New Roman"/>
          <w:sz w:val="24"/>
          <w:szCs w:val="24"/>
        </w:rPr>
        <w:t>):</w:t>
      </w:r>
      <w:r w:rsidRPr="001F2B70">
        <w:rPr>
          <w:rFonts w:ascii="Times New Roman" w:hAnsi="Times New Roman" w:cs="Times New Roman"/>
          <w:sz w:val="24"/>
          <w:szCs w:val="24"/>
        </w:rPr>
        <w:t xml:space="preserve"> </w:t>
      </w:r>
    </w:p>
    <w:p w:rsidR="001F2B70" w:rsidRPr="001F2B70" w:rsidRDefault="001F2B70" w:rsidP="001F2B70">
      <w:pPr>
        <w:pStyle w:val="ListParagraph"/>
        <w:numPr>
          <w:ilvl w:val="0"/>
          <w:numId w:val="39"/>
        </w:numPr>
        <w:rPr>
          <w:rFonts w:ascii="Times New Roman" w:hAnsi="Times New Roman"/>
          <w:sz w:val="24"/>
          <w:szCs w:val="24"/>
        </w:rPr>
      </w:pPr>
      <w:r w:rsidRPr="001F2B70">
        <w:rPr>
          <w:rFonts w:ascii="Times New Roman" w:hAnsi="Times New Roman"/>
          <w:sz w:val="24"/>
          <w:szCs w:val="24"/>
        </w:rPr>
        <w:t xml:space="preserve">with effect from the date of this declaration, the </w:t>
      </w:r>
      <w:r w:rsidR="00296932">
        <w:rPr>
          <w:rFonts w:ascii="Times New Roman" w:hAnsi="Times New Roman"/>
          <w:sz w:val="24"/>
          <w:szCs w:val="24"/>
        </w:rPr>
        <w:t xml:space="preserve">implementation of the </w:t>
      </w:r>
      <w:r w:rsidRPr="001F2B70">
        <w:rPr>
          <w:rFonts w:ascii="Times New Roman" w:hAnsi="Times New Roman"/>
          <w:sz w:val="24"/>
          <w:szCs w:val="24"/>
        </w:rPr>
        <w:t>provisions of clause 10 of the</w:t>
      </w:r>
      <w:r>
        <w:rPr>
          <w:rFonts w:ascii="Times New Roman" w:hAnsi="Times New Roman"/>
          <w:sz w:val="24"/>
          <w:szCs w:val="24"/>
        </w:rPr>
        <w:t xml:space="preserve"> 2013</w:t>
      </w:r>
      <w:r w:rsidRPr="001F2B70">
        <w:rPr>
          <w:rFonts w:ascii="Times New Roman" w:hAnsi="Times New Roman"/>
          <w:sz w:val="24"/>
          <w:szCs w:val="24"/>
        </w:rPr>
        <w:t xml:space="preserve"> Price Direction in relation to the first biennial recalibration process will cease to apply, and neither the </w:t>
      </w:r>
      <w:r>
        <w:rPr>
          <w:rFonts w:ascii="Times New Roman" w:hAnsi="Times New Roman"/>
          <w:sz w:val="24"/>
          <w:szCs w:val="24"/>
        </w:rPr>
        <w:t>ICRC</w:t>
      </w:r>
      <w:r w:rsidRPr="001F2B70">
        <w:rPr>
          <w:rFonts w:ascii="Times New Roman" w:hAnsi="Times New Roman"/>
          <w:sz w:val="24"/>
          <w:szCs w:val="24"/>
        </w:rPr>
        <w:t xml:space="preserve"> nor Icon Water </w:t>
      </w:r>
      <w:r w:rsidR="00B95E11">
        <w:rPr>
          <w:rFonts w:ascii="Times New Roman" w:hAnsi="Times New Roman"/>
          <w:sz w:val="24"/>
          <w:szCs w:val="24"/>
        </w:rPr>
        <w:t>Limited (ABN</w:t>
      </w:r>
      <w:r w:rsidR="00686BB7">
        <w:rPr>
          <w:rFonts w:ascii="Times New Roman" w:hAnsi="Times New Roman"/>
          <w:sz w:val="24"/>
          <w:szCs w:val="24"/>
        </w:rPr>
        <w:t> </w:t>
      </w:r>
      <w:r w:rsidR="00B95E11">
        <w:rPr>
          <w:rFonts w:ascii="Times New Roman" w:hAnsi="Times New Roman"/>
          <w:sz w:val="24"/>
          <w:szCs w:val="24"/>
        </w:rPr>
        <w:t>86</w:t>
      </w:r>
      <w:r w:rsidR="00296932">
        <w:rPr>
          <w:rFonts w:ascii="Times New Roman" w:hAnsi="Times New Roman"/>
          <w:sz w:val="24"/>
          <w:szCs w:val="24"/>
        </w:rPr>
        <w:t> </w:t>
      </w:r>
      <w:r w:rsidR="00B95E11">
        <w:rPr>
          <w:rFonts w:ascii="Times New Roman" w:hAnsi="Times New Roman"/>
          <w:sz w:val="24"/>
          <w:szCs w:val="24"/>
        </w:rPr>
        <w:t xml:space="preserve">069 381 960) </w:t>
      </w:r>
      <w:r w:rsidRPr="001F2B70">
        <w:rPr>
          <w:rFonts w:ascii="Times New Roman" w:hAnsi="Times New Roman"/>
          <w:sz w:val="24"/>
          <w:szCs w:val="24"/>
        </w:rPr>
        <w:t xml:space="preserve">will be required to carry out those processes; and </w:t>
      </w:r>
    </w:p>
    <w:p w:rsidR="001F2B70" w:rsidRPr="001F2B70" w:rsidRDefault="000520E0" w:rsidP="001F2B70">
      <w:pPr>
        <w:pStyle w:val="ListParagraph"/>
        <w:numPr>
          <w:ilvl w:val="0"/>
          <w:numId w:val="39"/>
        </w:numPr>
        <w:rPr>
          <w:rFonts w:ascii="Times New Roman" w:hAnsi="Times New Roman"/>
          <w:sz w:val="24"/>
          <w:szCs w:val="24"/>
        </w:rPr>
      </w:pPr>
      <w:proofErr w:type="gramStart"/>
      <w:r>
        <w:rPr>
          <w:rFonts w:ascii="Times New Roman" w:hAnsi="Times New Roman"/>
          <w:sz w:val="24"/>
          <w:szCs w:val="24"/>
        </w:rPr>
        <w:t>if</w:t>
      </w:r>
      <w:proofErr w:type="gramEnd"/>
      <w:r>
        <w:rPr>
          <w:rFonts w:ascii="Times New Roman" w:hAnsi="Times New Roman"/>
          <w:sz w:val="24"/>
          <w:szCs w:val="24"/>
        </w:rPr>
        <w:t xml:space="preserve"> a final decision</w:t>
      </w:r>
      <w:r w:rsidR="001F2B70" w:rsidRPr="001F2B70">
        <w:rPr>
          <w:rFonts w:ascii="Times New Roman" w:hAnsi="Times New Roman"/>
          <w:sz w:val="24"/>
          <w:szCs w:val="24"/>
        </w:rPr>
        <w:t xml:space="preserve"> has not been made by the Panel and become effective in accordance with the Act before Friday 5 June 2015, the maximum prices for water and sewerage services for 2015</w:t>
      </w:r>
      <w:r w:rsidR="001F2B70" w:rsidRPr="001F2B70">
        <w:rPr>
          <w:rFonts w:ascii="Times New Roman" w:hAnsi="Times New Roman"/>
          <w:sz w:val="24"/>
          <w:szCs w:val="24"/>
        </w:rPr>
        <w:noBreakHyphen/>
        <w:t xml:space="preserve">16 will remain at the values applicable for 2014-15 until such prices are determined in accordance with the final </w:t>
      </w:r>
      <w:r>
        <w:rPr>
          <w:rFonts w:ascii="Times New Roman" w:hAnsi="Times New Roman"/>
          <w:sz w:val="24"/>
          <w:szCs w:val="24"/>
        </w:rPr>
        <w:t xml:space="preserve">decision </w:t>
      </w:r>
      <w:r w:rsidR="001F2B70" w:rsidRPr="001F2B70">
        <w:rPr>
          <w:rFonts w:ascii="Times New Roman" w:hAnsi="Times New Roman"/>
          <w:sz w:val="24"/>
          <w:szCs w:val="24"/>
        </w:rPr>
        <w:t xml:space="preserve">of the Panel. </w:t>
      </w:r>
    </w:p>
    <w:p w:rsidR="001F2B70" w:rsidRDefault="001F2B70" w:rsidP="006D3F1F">
      <w:pPr>
        <w:spacing w:after="120"/>
        <w:rPr>
          <w:rFonts w:ascii="Times New Roman" w:hAnsi="Times New Roman" w:cs="Times New Roman"/>
          <w:sz w:val="24"/>
          <w:szCs w:val="24"/>
        </w:rPr>
      </w:pPr>
      <w:r w:rsidRPr="00330F7E">
        <w:rPr>
          <w:rFonts w:ascii="Times New Roman" w:hAnsi="Times New Roman" w:cs="Times New Roman"/>
          <w:sz w:val="24"/>
          <w:szCs w:val="24"/>
        </w:rPr>
        <w:lastRenderedPageBreak/>
        <w:t>This declaration does not affect the implementation of the 2013 Price Direction with respect to the regulation of prices for miscellaneous services.</w:t>
      </w:r>
    </w:p>
    <w:p w:rsidR="00CF5C57" w:rsidRDefault="006D3F1F" w:rsidP="006D3F1F">
      <w:pPr>
        <w:pStyle w:val="Heading2"/>
        <w:spacing w:before="240" w:beforeAutospacing="0" w:after="240" w:afterAutospacing="0"/>
      </w:pPr>
      <w:bookmarkStart w:id="10" w:name="_Toc412033366"/>
      <w:r>
        <w:t>4</w:t>
      </w:r>
      <w:r w:rsidR="00CF5C57" w:rsidRPr="000238A2">
        <w:t xml:space="preserve">. </w:t>
      </w:r>
      <w:r w:rsidR="00CF5C57" w:rsidRPr="000238A2">
        <w:tab/>
      </w:r>
      <w:bookmarkEnd w:id="7"/>
      <w:bookmarkEnd w:id="8"/>
      <w:r w:rsidR="00D225A5">
        <w:t>The Panel’s process</w:t>
      </w:r>
      <w:bookmarkEnd w:id="9"/>
      <w:bookmarkEnd w:id="10"/>
    </w:p>
    <w:p w:rsidR="00397AF7" w:rsidRPr="00AE4699" w:rsidRDefault="006D3F1F" w:rsidP="006D3F1F">
      <w:pPr>
        <w:pStyle w:val="HeadingA"/>
        <w:spacing w:before="0" w:after="120"/>
        <w:rPr>
          <w:sz w:val="28"/>
          <w:szCs w:val="28"/>
        </w:rPr>
      </w:pPr>
      <w:r>
        <w:rPr>
          <w:sz w:val="28"/>
          <w:szCs w:val="28"/>
        </w:rPr>
        <w:t>4</w:t>
      </w:r>
      <w:r w:rsidR="00AE4699" w:rsidRPr="00AE4699">
        <w:rPr>
          <w:sz w:val="28"/>
          <w:szCs w:val="28"/>
        </w:rPr>
        <w:t>.1</w:t>
      </w:r>
      <w:r w:rsidR="00AE4699" w:rsidRPr="00AE4699">
        <w:rPr>
          <w:sz w:val="28"/>
          <w:szCs w:val="28"/>
        </w:rPr>
        <w:tab/>
      </w:r>
      <w:r w:rsidR="00397AF7" w:rsidRPr="00AE4699">
        <w:rPr>
          <w:sz w:val="28"/>
          <w:szCs w:val="28"/>
        </w:rPr>
        <w:t>Decision-making framework</w:t>
      </w:r>
    </w:p>
    <w:p w:rsidR="00865437" w:rsidRPr="00865437" w:rsidRDefault="00865437" w:rsidP="00865437">
      <w:pPr>
        <w:rPr>
          <w:rFonts w:ascii="Times New Roman" w:hAnsi="Times New Roman" w:cs="Times New Roman"/>
          <w:sz w:val="24"/>
          <w:szCs w:val="24"/>
        </w:rPr>
      </w:pPr>
      <w:r w:rsidRPr="00865437">
        <w:rPr>
          <w:rFonts w:ascii="Times New Roman" w:hAnsi="Times New Roman" w:cs="Times New Roman"/>
          <w:sz w:val="24"/>
          <w:szCs w:val="24"/>
        </w:rPr>
        <w:t xml:space="preserve">There is no process outlined in </w:t>
      </w:r>
      <w:r w:rsidR="00194828">
        <w:rPr>
          <w:rFonts w:ascii="Times New Roman" w:hAnsi="Times New Roman" w:cs="Times New Roman"/>
          <w:sz w:val="24"/>
          <w:szCs w:val="24"/>
        </w:rPr>
        <w:t>the Act</w:t>
      </w:r>
      <w:r w:rsidRPr="00865437">
        <w:rPr>
          <w:rFonts w:ascii="Times New Roman" w:hAnsi="Times New Roman" w:cs="Times New Roman"/>
          <w:sz w:val="24"/>
          <w:szCs w:val="24"/>
        </w:rPr>
        <w:t xml:space="preserve"> that requires the Panel to take particular steps in considering an application made under section</w:t>
      </w:r>
      <w:r w:rsidR="00194828">
        <w:rPr>
          <w:rFonts w:ascii="Times New Roman" w:hAnsi="Times New Roman" w:cs="Times New Roman"/>
          <w:sz w:val="24"/>
          <w:szCs w:val="24"/>
        </w:rPr>
        <w:t xml:space="preserve"> 24S</w:t>
      </w:r>
      <w:r w:rsidRPr="00865437">
        <w:rPr>
          <w:rFonts w:ascii="Times New Roman" w:hAnsi="Times New Roman" w:cs="Times New Roman"/>
          <w:sz w:val="24"/>
          <w:szCs w:val="24"/>
        </w:rPr>
        <w:t xml:space="preserve">, nor is there any </w:t>
      </w:r>
      <w:r w:rsidR="00397AF7">
        <w:rPr>
          <w:rFonts w:ascii="Times New Roman" w:hAnsi="Times New Roman" w:cs="Times New Roman"/>
          <w:sz w:val="24"/>
          <w:szCs w:val="24"/>
        </w:rPr>
        <w:t>specified</w:t>
      </w:r>
      <w:r w:rsidRPr="00865437">
        <w:rPr>
          <w:rFonts w:ascii="Times New Roman" w:hAnsi="Times New Roman" w:cs="Times New Roman"/>
          <w:sz w:val="24"/>
          <w:szCs w:val="24"/>
        </w:rPr>
        <w:t xml:space="preserve"> decision-making framework to be adopted by the Pa</w:t>
      </w:r>
      <w:r w:rsidR="00194828">
        <w:rPr>
          <w:rFonts w:ascii="Times New Roman" w:hAnsi="Times New Roman" w:cs="Times New Roman"/>
          <w:sz w:val="24"/>
          <w:szCs w:val="24"/>
        </w:rPr>
        <w:t>nel in assessing an application made pursuant to that section.</w:t>
      </w:r>
    </w:p>
    <w:p w:rsidR="00397AF7" w:rsidRDefault="00397AF7" w:rsidP="00865437">
      <w:pPr>
        <w:rPr>
          <w:rFonts w:ascii="Times New Roman" w:hAnsi="Times New Roman" w:cs="Times New Roman"/>
          <w:sz w:val="24"/>
          <w:szCs w:val="24"/>
        </w:rPr>
      </w:pPr>
      <w:r>
        <w:rPr>
          <w:rFonts w:ascii="Times New Roman" w:hAnsi="Times New Roman" w:cs="Times New Roman"/>
          <w:sz w:val="24"/>
          <w:szCs w:val="24"/>
        </w:rPr>
        <w:t xml:space="preserve">In the absence of any specific legislative directive concerning the Panel's consideration of Icon Water's application, the Panel has </w:t>
      </w:r>
      <w:r w:rsidR="00194828">
        <w:rPr>
          <w:rFonts w:ascii="Times New Roman" w:hAnsi="Times New Roman" w:cs="Times New Roman"/>
          <w:sz w:val="24"/>
          <w:szCs w:val="24"/>
        </w:rPr>
        <w:t xml:space="preserve">endeavoured to adhere </w:t>
      </w:r>
      <w:r>
        <w:rPr>
          <w:rFonts w:ascii="Times New Roman" w:hAnsi="Times New Roman" w:cs="Times New Roman"/>
          <w:sz w:val="24"/>
          <w:szCs w:val="24"/>
        </w:rPr>
        <w:t xml:space="preserve">to the general legislative </w:t>
      </w:r>
      <w:r w:rsidR="00D6285A">
        <w:rPr>
          <w:rFonts w:ascii="Times New Roman" w:hAnsi="Times New Roman" w:cs="Times New Roman"/>
          <w:sz w:val="24"/>
          <w:szCs w:val="24"/>
        </w:rPr>
        <w:t xml:space="preserve">purpose of the Act, </w:t>
      </w:r>
      <w:r>
        <w:rPr>
          <w:rFonts w:ascii="Times New Roman" w:hAnsi="Times New Roman" w:cs="Times New Roman"/>
          <w:sz w:val="24"/>
          <w:szCs w:val="24"/>
        </w:rPr>
        <w:t>and taken into account principles of general administrative law, best practice in administrative decision-making, and its own Charter</w:t>
      </w:r>
      <w:r w:rsidRPr="00865437">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865437">
        <w:rPr>
          <w:rFonts w:ascii="Times New Roman" w:hAnsi="Times New Roman" w:cs="Times New Roman"/>
          <w:sz w:val="24"/>
          <w:szCs w:val="24"/>
        </w:rPr>
        <w:t xml:space="preserve"> </w:t>
      </w:r>
    </w:p>
    <w:p w:rsidR="00865437" w:rsidRPr="00865437" w:rsidRDefault="00865437" w:rsidP="006D3F1F">
      <w:pPr>
        <w:spacing w:after="120"/>
        <w:rPr>
          <w:rFonts w:ascii="Times New Roman" w:hAnsi="Times New Roman" w:cs="Times New Roman"/>
          <w:sz w:val="24"/>
          <w:szCs w:val="24"/>
        </w:rPr>
      </w:pPr>
      <w:r w:rsidRPr="00865437">
        <w:rPr>
          <w:rFonts w:ascii="Times New Roman" w:hAnsi="Times New Roman" w:cs="Times New Roman"/>
          <w:sz w:val="24"/>
          <w:szCs w:val="24"/>
        </w:rPr>
        <w:t>The Panel considered Icon Water’s application expeditiously because:</w:t>
      </w:r>
    </w:p>
    <w:p w:rsidR="00865437" w:rsidRPr="00865437" w:rsidRDefault="00865437" w:rsidP="00010376">
      <w:pPr>
        <w:pStyle w:val="ListParagraph"/>
        <w:numPr>
          <w:ilvl w:val="0"/>
          <w:numId w:val="8"/>
        </w:numPr>
        <w:spacing w:after="120"/>
        <w:ind w:left="567" w:hanging="567"/>
        <w:rPr>
          <w:rFonts w:ascii="Times New Roman" w:hAnsi="Times New Roman"/>
          <w:sz w:val="24"/>
          <w:szCs w:val="24"/>
        </w:rPr>
      </w:pPr>
      <w:r w:rsidRPr="00865437">
        <w:rPr>
          <w:rFonts w:ascii="Times New Roman" w:hAnsi="Times New Roman"/>
          <w:sz w:val="24"/>
          <w:szCs w:val="24"/>
        </w:rPr>
        <w:t>it was mindful that the costs associated with considering a section 24S application are recouped from Icon Water and ultimat</w:t>
      </w:r>
      <w:r w:rsidR="00194828">
        <w:rPr>
          <w:rFonts w:ascii="Times New Roman" w:hAnsi="Times New Roman"/>
          <w:sz w:val="24"/>
          <w:szCs w:val="24"/>
        </w:rPr>
        <w:t xml:space="preserve">ely borne by the ACT community; </w:t>
      </w:r>
      <w:r w:rsidRPr="00865437">
        <w:rPr>
          <w:rFonts w:ascii="Times New Roman" w:hAnsi="Times New Roman"/>
          <w:sz w:val="24"/>
          <w:szCs w:val="24"/>
        </w:rPr>
        <w:t>and</w:t>
      </w:r>
    </w:p>
    <w:p w:rsidR="00865437" w:rsidRPr="00865437" w:rsidRDefault="0049569D" w:rsidP="00010376">
      <w:pPr>
        <w:pStyle w:val="ListParagraph"/>
        <w:numPr>
          <w:ilvl w:val="0"/>
          <w:numId w:val="8"/>
        </w:numPr>
        <w:spacing w:after="120"/>
        <w:ind w:left="567" w:hanging="567"/>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light of the advanced stage of the Panel's</w:t>
      </w:r>
      <w:r w:rsidR="00865437" w:rsidRPr="00865437">
        <w:rPr>
          <w:rFonts w:ascii="Times New Roman" w:hAnsi="Times New Roman"/>
          <w:sz w:val="24"/>
          <w:szCs w:val="24"/>
        </w:rPr>
        <w:t xml:space="preserve"> process in reviewing </w:t>
      </w:r>
      <w:r>
        <w:rPr>
          <w:rFonts w:ascii="Times New Roman" w:hAnsi="Times New Roman"/>
          <w:sz w:val="24"/>
          <w:szCs w:val="24"/>
        </w:rPr>
        <w:t xml:space="preserve">the 2013 Price Direction, it was appropriate to </w:t>
      </w:r>
      <w:r w:rsidR="000520E0">
        <w:rPr>
          <w:rFonts w:ascii="Times New Roman" w:hAnsi="Times New Roman"/>
          <w:sz w:val="24"/>
          <w:szCs w:val="24"/>
        </w:rPr>
        <w:t>address the application expeditiously</w:t>
      </w:r>
      <w:r>
        <w:rPr>
          <w:rFonts w:ascii="Times New Roman" w:hAnsi="Times New Roman"/>
          <w:sz w:val="24"/>
          <w:szCs w:val="24"/>
        </w:rPr>
        <w:t>.</w:t>
      </w:r>
    </w:p>
    <w:p w:rsidR="0049569D" w:rsidRPr="00AE4699" w:rsidRDefault="006D3F1F" w:rsidP="006D3F1F">
      <w:pPr>
        <w:pStyle w:val="HeadingA"/>
        <w:spacing w:before="240" w:after="120"/>
        <w:rPr>
          <w:sz w:val="24"/>
          <w:szCs w:val="24"/>
        </w:rPr>
      </w:pPr>
      <w:r>
        <w:rPr>
          <w:sz w:val="28"/>
          <w:szCs w:val="28"/>
        </w:rPr>
        <w:t>4</w:t>
      </w:r>
      <w:r w:rsidR="00AE4699">
        <w:rPr>
          <w:sz w:val="28"/>
          <w:szCs w:val="28"/>
        </w:rPr>
        <w:t>.2</w:t>
      </w:r>
      <w:r w:rsidR="00AE4699">
        <w:rPr>
          <w:sz w:val="28"/>
          <w:szCs w:val="28"/>
        </w:rPr>
        <w:tab/>
      </w:r>
      <w:r w:rsidR="0049569D" w:rsidRPr="00AE4699">
        <w:rPr>
          <w:sz w:val="28"/>
          <w:szCs w:val="28"/>
        </w:rPr>
        <w:t xml:space="preserve">Consultation </w:t>
      </w:r>
    </w:p>
    <w:p w:rsidR="00865437" w:rsidRPr="00865437" w:rsidRDefault="0049569D" w:rsidP="006D3F1F">
      <w:pPr>
        <w:spacing w:after="120"/>
        <w:rPr>
          <w:rFonts w:ascii="Times New Roman" w:hAnsi="Times New Roman" w:cs="Times New Roman"/>
          <w:sz w:val="24"/>
          <w:szCs w:val="24"/>
        </w:rPr>
      </w:pPr>
      <w:r>
        <w:rPr>
          <w:rFonts w:ascii="Times New Roman" w:hAnsi="Times New Roman" w:cs="Times New Roman"/>
          <w:sz w:val="24"/>
          <w:szCs w:val="24"/>
        </w:rPr>
        <w:t>There is</w:t>
      </w:r>
      <w:r w:rsidR="00865437" w:rsidRPr="00865437">
        <w:rPr>
          <w:rFonts w:ascii="Times New Roman" w:hAnsi="Times New Roman" w:cs="Times New Roman"/>
          <w:sz w:val="24"/>
          <w:szCs w:val="24"/>
        </w:rPr>
        <w:t xml:space="preserve"> no formal consultation process required under the Act for </w:t>
      </w:r>
      <w:r>
        <w:rPr>
          <w:rFonts w:ascii="Times New Roman" w:hAnsi="Times New Roman" w:cs="Times New Roman"/>
          <w:sz w:val="24"/>
          <w:szCs w:val="24"/>
        </w:rPr>
        <w:t>decid</w:t>
      </w:r>
      <w:r w:rsidR="00D6285A">
        <w:rPr>
          <w:rFonts w:ascii="Times New Roman" w:hAnsi="Times New Roman" w:cs="Times New Roman"/>
          <w:sz w:val="24"/>
          <w:szCs w:val="24"/>
        </w:rPr>
        <w:t xml:space="preserve">ing a section 24S application. </w:t>
      </w:r>
      <w:r>
        <w:rPr>
          <w:rFonts w:ascii="Times New Roman" w:hAnsi="Times New Roman" w:cs="Times New Roman"/>
          <w:sz w:val="24"/>
          <w:szCs w:val="24"/>
        </w:rPr>
        <w:t>However</w:t>
      </w:r>
      <w:r w:rsidR="00865437" w:rsidRPr="00865437">
        <w:rPr>
          <w:rFonts w:ascii="Times New Roman" w:hAnsi="Times New Roman" w:cs="Times New Roman"/>
          <w:sz w:val="24"/>
          <w:szCs w:val="24"/>
        </w:rPr>
        <w:t>, in the interests of procedural fairness, the Panel ensure</w:t>
      </w:r>
      <w:r>
        <w:rPr>
          <w:rFonts w:ascii="Times New Roman" w:hAnsi="Times New Roman" w:cs="Times New Roman"/>
          <w:sz w:val="24"/>
          <w:szCs w:val="24"/>
        </w:rPr>
        <w:t xml:space="preserve">d </w:t>
      </w:r>
      <w:r w:rsidR="00865437" w:rsidRPr="00865437">
        <w:rPr>
          <w:rFonts w:ascii="Times New Roman" w:hAnsi="Times New Roman" w:cs="Times New Roman"/>
          <w:sz w:val="24"/>
          <w:szCs w:val="24"/>
        </w:rPr>
        <w:t>that persons who</w:t>
      </w:r>
      <w:r>
        <w:rPr>
          <w:rFonts w:ascii="Times New Roman" w:hAnsi="Times New Roman" w:cs="Times New Roman"/>
          <w:sz w:val="24"/>
          <w:szCs w:val="24"/>
        </w:rPr>
        <w:t>se</w:t>
      </w:r>
      <w:r w:rsidR="00865437" w:rsidRPr="00865437">
        <w:rPr>
          <w:rFonts w:ascii="Times New Roman" w:hAnsi="Times New Roman" w:cs="Times New Roman"/>
          <w:sz w:val="24"/>
          <w:szCs w:val="24"/>
        </w:rPr>
        <w:t xml:space="preserve"> interests may be affected by the Panel’s decision were given a reasonable opportunity to </w:t>
      </w:r>
      <w:r>
        <w:rPr>
          <w:rFonts w:ascii="Times New Roman" w:hAnsi="Times New Roman" w:cs="Times New Roman"/>
          <w:sz w:val="24"/>
          <w:szCs w:val="24"/>
        </w:rPr>
        <w:t>comment on Icon Water's application</w:t>
      </w:r>
      <w:r w:rsidR="00865437" w:rsidRPr="00865437">
        <w:rPr>
          <w:rFonts w:ascii="Times New Roman" w:hAnsi="Times New Roman" w:cs="Times New Roman"/>
          <w:sz w:val="24"/>
          <w:szCs w:val="24"/>
        </w:rPr>
        <w:t xml:space="preserve">. </w:t>
      </w:r>
    </w:p>
    <w:p w:rsidR="00865437" w:rsidRPr="00865437" w:rsidRDefault="00865437" w:rsidP="00865437">
      <w:pPr>
        <w:rPr>
          <w:rFonts w:ascii="Times New Roman" w:hAnsi="Times New Roman" w:cs="Times New Roman"/>
          <w:sz w:val="24"/>
          <w:szCs w:val="24"/>
        </w:rPr>
      </w:pPr>
      <w:r w:rsidRPr="00865437">
        <w:rPr>
          <w:rFonts w:ascii="Times New Roman" w:hAnsi="Times New Roman" w:cs="Times New Roman"/>
          <w:sz w:val="24"/>
          <w:szCs w:val="24"/>
        </w:rPr>
        <w:t xml:space="preserve">The Panel provided Icon Water’s application to the ACT Treasurer, and those persons who notified their interest in the Panel’s ongoing review of the </w:t>
      </w:r>
      <w:r w:rsidR="000520E0">
        <w:rPr>
          <w:rFonts w:ascii="Times New Roman" w:hAnsi="Times New Roman" w:cs="Times New Roman"/>
          <w:sz w:val="24"/>
          <w:szCs w:val="24"/>
        </w:rPr>
        <w:t xml:space="preserve">2013 </w:t>
      </w:r>
      <w:r w:rsidRPr="00865437">
        <w:rPr>
          <w:rFonts w:ascii="Times New Roman" w:hAnsi="Times New Roman" w:cs="Times New Roman"/>
          <w:sz w:val="24"/>
          <w:szCs w:val="24"/>
        </w:rPr>
        <w:t>Price Direction.</w:t>
      </w:r>
      <w:r w:rsidR="00A41532">
        <w:rPr>
          <w:rStyle w:val="FootnoteReference"/>
          <w:rFonts w:ascii="Times New Roman" w:hAnsi="Times New Roman" w:cs="Times New Roman"/>
          <w:sz w:val="24"/>
          <w:szCs w:val="24"/>
        </w:rPr>
        <w:footnoteReference w:id="4"/>
      </w:r>
      <w:r w:rsidR="00D6285A">
        <w:rPr>
          <w:rFonts w:ascii="Times New Roman" w:hAnsi="Times New Roman" w:cs="Times New Roman"/>
          <w:sz w:val="24"/>
          <w:szCs w:val="24"/>
        </w:rPr>
        <w:t xml:space="preserve"> T</w:t>
      </w:r>
      <w:r w:rsidRPr="00865437">
        <w:rPr>
          <w:rFonts w:ascii="Times New Roman" w:hAnsi="Times New Roman" w:cs="Times New Roman"/>
          <w:sz w:val="24"/>
          <w:szCs w:val="24"/>
        </w:rPr>
        <w:t xml:space="preserve">he Panel indicated it would accept written submissions from these persons until 4 February 2015. A copy of </w:t>
      </w:r>
      <w:r w:rsidR="0049569D">
        <w:rPr>
          <w:rFonts w:ascii="Times New Roman" w:hAnsi="Times New Roman" w:cs="Times New Roman"/>
          <w:sz w:val="24"/>
          <w:szCs w:val="24"/>
        </w:rPr>
        <w:t>Icon Water's</w:t>
      </w:r>
      <w:r w:rsidRPr="00865437">
        <w:rPr>
          <w:rFonts w:ascii="Times New Roman" w:hAnsi="Times New Roman" w:cs="Times New Roman"/>
          <w:sz w:val="24"/>
          <w:szCs w:val="24"/>
        </w:rPr>
        <w:t xml:space="preserve"> application was also uploaded to the Panel’s public website.</w:t>
      </w:r>
    </w:p>
    <w:p w:rsidR="00ED29EE" w:rsidRDefault="00865437" w:rsidP="00865437">
      <w:pPr>
        <w:rPr>
          <w:rFonts w:ascii="Times New Roman" w:hAnsi="Times New Roman" w:cs="Times New Roman"/>
          <w:sz w:val="24"/>
          <w:szCs w:val="24"/>
        </w:rPr>
      </w:pPr>
      <w:r w:rsidRPr="00865437">
        <w:rPr>
          <w:rFonts w:ascii="Times New Roman" w:hAnsi="Times New Roman" w:cs="Times New Roman"/>
          <w:sz w:val="24"/>
          <w:szCs w:val="24"/>
        </w:rPr>
        <w:t>The</w:t>
      </w:r>
      <w:r w:rsidR="0049569D">
        <w:rPr>
          <w:rFonts w:ascii="Times New Roman" w:hAnsi="Times New Roman" w:cs="Times New Roman"/>
          <w:sz w:val="24"/>
          <w:szCs w:val="24"/>
        </w:rPr>
        <w:t xml:space="preserve"> Panel received one submission in response to Icon Water's </w:t>
      </w:r>
      <w:r w:rsidRPr="00865437">
        <w:rPr>
          <w:rFonts w:ascii="Times New Roman" w:hAnsi="Times New Roman" w:cs="Times New Roman"/>
          <w:sz w:val="24"/>
          <w:szCs w:val="24"/>
        </w:rPr>
        <w:t>application from Dr</w:t>
      </w:r>
      <w:r w:rsidR="00D6285A">
        <w:rPr>
          <w:rFonts w:ascii="Times New Roman" w:hAnsi="Times New Roman" w:cs="Times New Roman"/>
          <w:sz w:val="24"/>
          <w:szCs w:val="24"/>
        </w:rPr>
        <w:t xml:space="preserve"> Terence Dwyer. </w:t>
      </w:r>
      <w:r w:rsidR="0049569D">
        <w:rPr>
          <w:rFonts w:ascii="Times New Roman" w:hAnsi="Times New Roman" w:cs="Times New Roman"/>
          <w:sz w:val="24"/>
          <w:szCs w:val="24"/>
        </w:rPr>
        <w:t>Dr Dwyer</w:t>
      </w:r>
      <w:r w:rsidRPr="00865437">
        <w:rPr>
          <w:rFonts w:ascii="Times New Roman" w:hAnsi="Times New Roman" w:cs="Times New Roman"/>
          <w:sz w:val="24"/>
          <w:szCs w:val="24"/>
        </w:rPr>
        <w:t xml:space="preserve"> called for the Panel to dismiss the applic</w:t>
      </w:r>
      <w:r w:rsidR="00ED29EE">
        <w:rPr>
          <w:rFonts w:ascii="Times New Roman" w:hAnsi="Times New Roman" w:cs="Times New Roman"/>
          <w:sz w:val="24"/>
          <w:szCs w:val="24"/>
        </w:rPr>
        <w:t>ation, claiming Icon Water was</w:t>
      </w:r>
      <w:r w:rsidRPr="00865437">
        <w:rPr>
          <w:rFonts w:ascii="Times New Roman" w:hAnsi="Times New Roman" w:cs="Times New Roman"/>
          <w:sz w:val="24"/>
          <w:szCs w:val="24"/>
        </w:rPr>
        <w:t xml:space="preserve"> being “disingenuous” in seeking to avoid costs associated with the biennial </w:t>
      </w:r>
      <w:r w:rsidR="00194828">
        <w:rPr>
          <w:rFonts w:ascii="Times New Roman" w:hAnsi="Times New Roman" w:cs="Times New Roman"/>
          <w:sz w:val="24"/>
          <w:szCs w:val="24"/>
        </w:rPr>
        <w:t xml:space="preserve">recalibration </w:t>
      </w:r>
      <w:r w:rsidR="00D6285A">
        <w:rPr>
          <w:rFonts w:ascii="Times New Roman" w:hAnsi="Times New Roman" w:cs="Times New Roman"/>
          <w:sz w:val="24"/>
          <w:szCs w:val="24"/>
        </w:rPr>
        <w:t xml:space="preserve">process. </w:t>
      </w:r>
      <w:r w:rsidRPr="00865437">
        <w:rPr>
          <w:rFonts w:ascii="Times New Roman" w:hAnsi="Times New Roman" w:cs="Times New Roman"/>
          <w:sz w:val="24"/>
          <w:szCs w:val="24"/>
        </w:rPr>
        <w:t xml:space="preserve">The submission </w:t>
      </w:r>
      <w:r w:rsidR="00ED29EE">
        <w:rPr>
          <w:rFonts w:ascii="Times New Roman" w:hAnsi="Times New Roman" w:cs="Times New Roman"/>
          <w:sz w:val="24"/>
          <w:szCs w:val="24"/>
        </w:rPr>
        <w:t>asked</w:t>
      </w:r>
      <w:r w:rsidR="00701CD0">
        <w:rPr>
          <w:rFonts w:ascii="Times New Roman" w:hAnsi="Times New Roman" w:cs="Times New Roman"/>
          <w:sz w:val="24"/>
          <w:szCs w:val="24"/>
        </w:rPr>
        <w:t>:</w:t>
      </w:r>
      <w:r w:rsidR="00ED29EE">
        <w:rPr>
          <w:rFonts w:ascii="Times New Roman" w:hAnsi="Times New Roman" w:cs="Times New Roman"/>
          <w:sz w:val="24"/>
          <w:szCs w:val="24"/>
        </w:rPr>
        <w:t xml:space="preserve"> </w:t>
      </w:r>
    </w:p>
    <w:p w:rsidR="00865437" w:rsidRPr="00ED29EE" w:rsidRDefault="00865437" w:rsidP="00ED29EE">
      <w:pPr>
        <w:ind w:left="720"/>
        <w:rPr>
          <w:rFonts w:ascii="Times New Roman" w:hAnsi="Times New Roman" w:cs="Times New Roman"/>
        </w:rPr>
      </w:pPr>
      <w:r w:rsidRPr="00ED29EE">
        <w:rPr>
          <w:rFonts w:ascii="Times New Roman" w:hAnsi="Times New Roman" w:cs="Times New Roman"/>
        </w:rPr>
        <w:t>“</w:t>
      </w:r>
      <w:proofErr w:type="gramStart"/>
      <w:r w:rsidRPr="00ED29EE">
        <w:rPr>
          <w:rFonts w:ascii="Times New Roman" w:hAnsi="Times New Roman" w:cs="Times New Roman"/>
        </w:rPr>
        <w:t>why</w:t>
      </w:r>
      <w:proofErr w:type="gramEnd"/>
      <w:r w:rsidRPr="00ED29EE">
        <w:rPr>
          <w:rFonts w:ascii="Times New Roman" w:hAnsi="Times New Roman" w:cs="Times New Roman"/>
        </w:rPr>
        <w:t xml:space="preserve"> should we care about [Icon Water’s] convenience? Or take any notice of any professed concerns about the costs it even now wants to ramp up in </w:t>
      </w:r>
      <w:proofErr w:type="gramStart"/>
      <w:r w:rsidRPr="00ED29EE">
        <w:rPr>
          <w:rFonts w:ascii="Times New Roman" w:hAnsi="Times New Roman" w:cs="Times New Roman"/>
        </w:rPr>
        <w:t>perpetuity</w:t>
      </w:r>
      <w:r w:rsidR="00ED29EE" w:rsidRPr="00ED29EE">
        <w:rPr>
          <w:rFonts w:ascii="Times New Roman" w:hAnsi="Times New Roman" w:cs="Times New Roman"/>
        </w:rPr>
        <w:t>[</w:t>
      </w:r>
      <w:proofErr w:type="gramEnd"/>
      <w:r w:rsidR="00ED29EE" w:rsidRPr="00ED29EE">
        <w:rPr>
          <w:rFonts w:ascii="Times New Roman" w:hAnsi="Times New Roman" w:cs="Times New Roman"/>
        </w:rPr>
        <w:t>?]</w:t>
      </w:r>
      <w:r w:rsidRPr="00ED29EE">
        <w:rPr>
          <w:rFonts w:ascii="Times New Roman" w:hAnsi="Times New Roman" w:cs="Times New Roman"/>
        </w:rPr>
        <w:t>”.</w:t>
      </w:r>
      <w:r w:rsidR="00A82115" w:rsidRPr="00ED29EE">
        <w:rPr>
          <w:rStyle w:val="FootnoteReference"/>
          <w:rFonts w:ascii="Times New Roman" w:hAnsi="Times New Roman" w:cs="Times New Roman"/>
        </w:rPr>
        <w:footnoteReference w:id="5"/>
      </w:r>
      <w:r w:rsidRPr="00ED29EE">
        <w:rPr>
          <w:rFonts w:ascii="Times New Roman" w:hAnsi="Times New Roman" w:cs="Times New Roman"/>
        </w:rPr>
        <w:t xml:space="preserve">  </w:t>
      </w:r>
    </w:p>
    <w:p w:rsidR="00865437" w:rsidRPr="00865437" w:rsidRDefault="00865437" w:rsidP="00865437">
      <w:pPr>
        <w:rPr>
          <w:rFonts w:ascii="Times New Roman" w:hAnsi="Times New Roman" w:cs="Times New Roman"/>
          <w:sz w:val="24"/>
          <w:szCs w:val="24"/>
        </w:rPr>
      </w:pPr>
      <w:r w:rsidRPr="00865437">
        <w:rPr>
          <w:rFonts w:ascii="Times New Roman" w:hAnsi="Times New Roman" w:cs="Times New Roman"/>
          <w:sz w:val="24"/>
          <w:szCs w:val="24"/>
        </w:rPr>
        <w:lastRenderedPageBreak/>
        <w:t xml:space="preserve">The Panel also requested </w:t>
      </w:r>
      <w:r w:rsidR="00ED29EE">
        <w:rPr>
          <w:rFonts w:ascii="Times New Roman" w:hAnsi="Times New Roman" w:cs="Times New Roman"/>
          <w:sz w:val="24"/>
          <w:szCs w:val="24"/>
        </w:rPr>
        <w:t>and received</w:t>
      </w:r>
      <w:r w:rsidR="000B70D0">
        <w:rPr>
          <w:rFonts w:ascii="Times New Roman" w:hAnsi="Times New Roman" w:cs="Times New Roman"/>
          <w:sz w:val="24"/>
          <w:szCs w:val="24"/>
        </w:rPr>
        <w:t xml:space="preserve"> </w:t>
      </w:r>
      <w:r w:rsidRPr="00865437">
        <w:rPr>
          <w:rFonts w:ascii="Times New Roman" w:hAnsi="Times New Roman" w:cs="Times New Roman"/>
          <w:sz w:val="24"/>
          <w:szCs w:val="24"/>
        </w:rPr>
        <w:t>the assistance of the ICRC in relation to identifying any issues associated with the implementation of its declaration.</w:t>
      </w:r>
      <w:r w:rsidR="00F53D1C">
        <w:rPr>
          <w:rStyle w:val="FootnoteReference"/>
          <w:rFonts w:ascii="Times New Roman" w:hAnsi="Times New Roman" w:cs="Times New Roman"/>
          <w:sz w:val="24"/>
          <w:szCs w:val="24"/>
        </w:rPr>
        <w:footnoteReference w:id="6"/>
      </w:r>
      <w:r w:rsidRPr="00865437">
        <w:rPr>
          <w:rFonts w:ascii="Times New Roman" w:hAnsi="Times New Roman" w:cs="Times New Roman"/>
          <w:sz w:val="24"/>
          <w:szCs w:val="24"/>
        </w:rPr>
        <w:t xml:space="preserve"> </w:t>
      </w:r>
    </w:p>
    <w:p w:rsidR="007E22C9" w:rsidRPr="000238A2" w:rsidRDefault="006D3F1F" w:rsidP="00DD6B96">
      <w:pPr>
        <w:pStyle w:val="Heading2"/>
      </w:pPr>
      <w:bookmarkStart w:id="11" w:name="_Toc391540022"/>
      <w:bookmarkStart w:id="12" w:name="_Toc391540084"/>
      <w:bookmarkStart w:id="13" w:name="_Toc411420160"/>
      <w:bookmarkStart w:id="14" w:name="_Toc412033367"/>
      <w:r>
        <w:t>5</w:t>
      </w:r>
      <w:r w:rsidR="009D1B51" w:rsidRPr="000238A2">
        <w:t>.</w:t>
      </w:r>
      <w:r w:rsidR="009D1B51" w:rsidRPr="000238A2">
        <w:tab/>
      </w:r>
      <w:bookmarkEnd w:id="11"/>
      <w:bookmarkEnd w:id="12"/>
      <w:r w:rsidR="00F53D1C">
        <w:t>The Panel’s assessment</w:t>
      </w:r>
      <w:bookmarkEnd w:id="13"/>
      <w:bookmarkEnd w:id="14"/>
    </w:p>
    <w:p w:rsidR="00AE4699" w:rsidRPr="00DD6B96" w:rsidRDefault="006D3F1F" w:rsidP="005957BD">
      <w:pPr>
        <w:rPr>
          <w:rFonts w:ascii="Times New Roman" w:hAnsi="Times New Roman" w:cs="Times New Roman"/>
          <w:b/>
          <w:sz w:val="24"/>
          <w:szCs w:val="24"/>
        </w:rPr>
      </w:pPr>
      <w:r>
        <w:rPr>
          <w:rFonts w:ascii="Times New Roman" w:hAnsi="Times New Roman" w:cs="Times New Roman"/>
          <w:b/>
          <w:sz w:val="24"/>
          <w:szCs w:val="24"/>
        </w:rPr>
        <w:t>5</w:t>
      </w:r>
      <w:r w:rsidR="00DD6B96">
        <w:rPr>
          <w:rFonts w:ascii="Times New Roman" w:hAnsi="Times New Roman" w:cs="Times New Roman"/>
          <w:b/>
          <w:sz w:val="24"/>
          <w:szCs w:val="24"/>
        </w:rPr>
        <w:t>.1</w:t>
      </w:r>
      <w:r w:rsidR="00DD6B96">
        <w:rPr>
          <w:rFonts w:ascii="Times New Roman" w:hAnsi="Times New Roman" w:cs="Times New Roman"/>
          <w:b/>
          <w:sz w:val="24"/>
          <w:szCs w:val="24"/>
        </w:rPr>
        <w:tab/>
        <w:t>Analysis</w:t>
      </w:r>
    </w:p>
    <w:p w:rsidR="005957BD" w:rsidRPr="005957BD" w:rsidRDefault="00ED29EE" w:rsidP="005957BD">
      <w:pPr>
        <w:rPr>
          <w:rFonts w:ascii="Times New Roman" w:hAnsi="Times New Roman" w:cs="Times New Roman"/>
          <w:sz w:val="24"/>
          <w:szCs w:val="24"/>
        </w:rPr>
      </w:pPr>
      <w:r>
        <w:rPr>
          <w:rFonts w:ascii="Times New Roman" w:hAnsi="Times New Roman" w:cs="Times New Roman"/>
          <w:sz w:val="24"/>
          <w:szCs w:val="24"/>
        </w:rPr>
        <w:t>As</w:t>
      </w:r>
      <w:r w:rsidR="005957BD" w:rsidRPr="005957BD">
        <w:rPr>
          <w:rFonts w:ascii="Times New Roman" w:hAnsi="Times New Roman" w:cs="Times New Roman"/>
          <w:sz w:val="24"/>
          <w:szCs w:val="24"/>
        </w:rPr>
        <w:t xml:space="preserve"> the Act does not specify criteria under which </w:t>
      </w:r>
      <w:r>
        <w:rPr>
          <w:rFonts w:ascii="Times New Roman" w:hAnsi="Times New Roman" w:cs="Times New Roman"/>
          <w:sz w:val="24"/>
          <w:szCs w:val="24"/>
        </w:rPr>
        <w:t xml:space="preserve">a section 24S application </w:t>
      </w:r>
      <w:r w:rsidR="005957BD" w:rsidRPr="005957BD">
        <w:rPr>
          <w:rFonts w:ascii="Times New Roman" w:hAnsi="Times New Roman" w:cs="Times New Roman"/>
          <w:sz w:val="24"/>
          <w:szCs w:val="24"/>
        </w:rPr>
        <w:t xml:space="preserve">should be assessed, the Panel established its own decision-making framework to consider Icon Water’s request. </w:t>
      </w:r>
    </w:p>
    <w:p w:rsidR="005957BD" w:rsidRPr="005957BD" w:rsidRDefault="005957BD" w:rsidP="005957BD">
      <w:pPr>
        <w:rPr>
          <w:rFonts w:ascii="Times New Roman" w:hAnsi="Times New Roman" w:cs="Times New Roman"/>
          <w:sz w:val="24"/>
          <w:szCs w:val="24"/>
        </w:rPr>
      </w:pPr>
      <w:r w:rsidRPr="005957BD">
        <w:rPr>
          <w:rFonts w:ascii="Times New Roman" w:hAnsi="Times New Roman" w:cs="Times New Roman"/>
          <w:sz w:val="24"/>
          <w:szCs w:val="24"/>
        </w:rPr>
        <w:t xml:space="preserve">The Panel decided to assess the merits of the arguments presented by Icon Water </w:t>
      </w:r>
      <w:r w:rsidR="00ED29EE">
        <w:rPr>
          <w:rFonts w:ascii="Times New Roman" w:hAnsi="Times New Roman" w:cs="Times New Roman"/>
          <w:sz w:val="24"/>
          <w:szCs w:val="24"/>
        </w:rPr>
        <w:t xml:space="preserve">in its </w:t>
      </w:r>
      <w:r w:rsidRPr="005957BD">
        <w:rPr>
          <w:rFonts w:ascii="Times New Roman" w:hAnsi="Times New Roman" w:cs="Times New Roman"/>
          <w:sz w:val="24"/>
          <w:szCs w:val="24"/>
        </w:rPr>
        <w:t>application, having regard to the following</w:t>
      </w:r>
      <w:r w:rsidR="00ED29EE">
        <w:rPr>
          <w:rFonts w:ascii="Times New Roman" w:hAnsi="Times New Roman" w:cs="Times New Roman"/>
          <w:sz w:val="24"/>
          <w:szCs w:val="24"/>
        </w:rPr>
        <w:t xml:space="preserve"> overarching</w:t>
      </w:r>
      <w:r w:rsidRPr="005957BD">
        <w:rPr>
          <w:rFonts w:ascii="Times New Roman" w:hAnsi="Times New Roman" w:cs="Times New Roman"/>
          <w:sz w:val="24"/>
          <w:szCs w:val="24"/>
        </w:rPr>
        <w:t xml:space="preserve"> principles: </w:t>
      </w:r>
    </w:p>
    <w:p w:rsidR="005957BD" w:rsidRPr="005957BD" w:rsidRDefault="005957BD" w:rsidP="005957BD">
      <w:pPr>
        <w:pStyle w:val="ListParagraph"/>
        <w:numPr>
          <w:ilvl w:val="0"/>
          <w:numId w:val="8"/>
        </w:numPr>
        <w:spacing w:after="120"/>
        <w:ind w:left="567" w:hanging="567"/>
        <w:rPr>
          <w:rFonts w:ascii="Times New Roman" w:hAnsi="Times New Roman"/>
          <w:sz w:val="24"/>
          <w:szCs w:val="24"/>
        </w:rPr>
      </w:pPr>
      <w:r w:rsidRPr="005957BD">
        <w:rPr>
          <w:rFonts w:ascii="Times New Roman" w:hAnsi="Times New Roman"/>
          <w:sz w:val="24"/>
          <w:szCs w:val="24"/>
        </w:rPr>
        <w:t xml:space="preserve">the importance of maintaining the integrity of the regulatory system, particularly in </w:t>
      </w:r>
      <w:r w:rsidR="00ED29EE">
        <w:rPr>
          <w:rFonts w:ascii="Times New Roman" w:hAnsi="Times New Roman"/>
          <w:sz w:val="24"/>
          <w:szCs w:val="24"/>
        </w:rPr>
        <w:t>relation to</w:t>
      </w:r>
      <w:r w:rsidRPr="005957BD">
        <w:rPr>
          <w:rFonts w:ascii="Times New Roman" w:hAnsi="Times New Roman"/>
          <w:sz w:val="24"/>
          <w:szCs w:val="24"/>
        </w:rPr>
        <w:t xml:space="preserve"> maintaining public confidence in re</w:t>
      </w:r>
      <w:r w:rsidR="00194828">
        <w:rPr>
          <w:rFonts w:ascii="Times New Roman" w:hAnsi="Times New Roman"/>
          <w:sz w:val="24"/>
          <w:szCs w:val="24"/>
        </w:rPr>
        <w:t>gulatory processes and outcomes;</w:t>
      </w:r>
    </w:p>
    <w:p w:rsidR="005957BD" w:rsidRPr="005957BD" w:rsidRDefault="005957BD" w:rsidP="00EC21DB">
      <w:pPr>
        <w:pStyle w:val="ListParagraph"/>
        <w:keepNext/>
        <w:keepLines/>
        <w:numPr>
          <w:ilvl w:val="0"/>
          <w:numId w:val="8"/>
        </w:numPr>
        <w:spacing w:after="120"/>
        <w:ind w:left="567" w:hanging="567"/>
        <w:rPr>
          <w:rFonts w:ascii="Times New Roman" w:hAnsi="Times New Roman"/>
          <w:sz w:val="24"/>
          <w:szCs w:val="24"/>
        </w:rPr>
      </w:pPr>
      <w:r w:rsidRPr="005957BD">
        <w:rPr>
          <w:rFonts w:ascii="Times New Roman" w:hAnsi="Times New Roman"/>
          <w:sz w:val="24"/>
          <w:szCs w:val="24"/>
        </w:rPr>
        <w:t xml:space="preserve">minimising the burden of regulation, being mindful that the costs associated with the water and sewerage pricing framework (incurred by both Icon Water and </w:t>
      </w:r>
      <w:r w:rsidR="00ED29EE">
        <w:rPr>
          <w:rFonts w:ascii="Times New Roman" w:hAnsi="Times New Roman"/>
          <w:sz w:val="24"/>
          <w:szCs w:val="24"/>
        </w:rPr>
        <w:t>the ICRC</w:t>
      </w:r>
      <w:r w:rsidRPr="005957BD">
        <w:rPr>
          <w:rFonts w:ascii="Times New Roman" w:hAnsi="Times New Roman"/>
          <w:sz w:val="24"/>
          <w:szCs w:val="24"/>
        </w:rPr>
        <w:t xml:space="preserve">) are ultimately </w:t>
      </w:r>
      <w:r w:rsidR="00ED29EE">
        <w:rPr>
          <w:rFonts w:ascii="Times New Roman" w:hAnsi="Times New Roman"/>
          <w:sz w:val="24"/>
          <w:szCs w:val="24"/>
        </w:rPr>
        <w:t>recouped from the ACT community;</w:t>
      </w:r>
      <w:r w:rsidRPr="005957BD">
        <w:rPr>
          <w:rFonts w:ascii="Times New Roman" w:hAnsi="Times New Roman"/>
          <w:sz w:val="24"/>
          <w:szCs w:val="24"/>
        </w:rPr>
        <w:t xml:space="preserve"> and </w:t>
      </w:r>
    </w:p>
    <w:p w:rsidR="005957BD" w:rsidRPr="005957BD" w:rsidRDefault="005957BD" w:rsidP="00EC21DB">
      <w:pPr>
        <w:pStyle w:val="ListParagraph"/>
        <w:keepNext/>
        <w:keepLines/>
        <w:numPr>
          <w:ilvl w:val="0"/>
          <w:numId w:val="8"/>
        </w:numPr>
        <w:spacing w:after="120"/>
        <w:ind w:left="567" w:hanging="567"/>
        <w:rPr>
          <w:rFonts w:ascii="Times New Roman" w:hAnsi="Times New Roman"/>
          <w:sz w:val="24"/>
          <w:szCs w:val="24"/>
        </w:rPr>
      </w:pPr>
      <w:proofErr w:type="gramStart"/>
      <w:r w:rsidRPr="005957BD">
        <w:rPr>
          <w:rFonts w:ascii="Times New Roman" w:hAnsi="Times New Roman"/>
          <w:sz w:val="24"/>
          <w:szCs w:val="24"/>
        </w:rPr>
        <w:t>best</w:t>
      </w:r>
      <w:proofErr w:type="gramEnd"/>
      <w:r w:rsidRPr="005957BD">
        <w:rPr>
          <w:rFonts w:ascii="Times New Roman" w:hAnsi="Times New Roman"/>
          <w:sz w:val="24"/>
          <w:szCs w:val="24"/>
        </w:rPr>
        <w:t xml:space="preserve"> practice regulatory principles</w:t>
      </w:r>
      <w:r w:rsidR="00ED29EE">
        <w:rPr>
          <w:rFonts w:ascii="Times New Roman" w:hAnsi="Times New Roman"/>
          <w:sz w:val="24"/>
          <w:szCs w:val="24"/>
        </w:rPr>
        <w:t xml:space="preserve"> (discussed in further detail at Table 2</w:t>
      </w:r>
      <w:r w:rsidR="00194828">
        <w:rPr>
          <w:rFonts w:ascii="Times New Roman" w:hAnsi="Times New Roman"/>
          <w:sz w:val="24"/>
          <w:szCs w:val="24"/>
        </w:rPr>
        <w:t>)</w:t>
      </w:r>
      <w:r w:rsidRPr="005957BD">
        <w:rPr>
          <w:rFonts w:ascii="Times New Roman" w:hAnsi="Times New Roman"/>
          <w:sz w:val="24"/>
          <w:szCs w:val="24"/>
        </w:rPr>
        <w:t xml:space="preserve">. </w:t>
      </w:r>
    </w:p>
    <w:p w:rsidR="005957BD" w:rsidRPr="005957BD" w:rsidRDefault="005957BD" w:rsidP="005957BD">
      <w:pPr>
        <w:rPr>
          <w:rFonts w:ascii="Times New Roman" w:hAnsi="Times New Roman" w:cs="Times New Roman"/>
          <w:sz w:val="24"/>
          <w:szCs w:val="24"/>
        </w:rPr>
      </w:pPr>
      <w:r w:rsidRPr="005957BD">
        <w:rPr>
          <w:rFonts w:ascii="Times New Roman" w:hAnsi="Times New Roman" w:cs="Times New Roman"/>
          <w:sz w:val="24"/>
          <w:szCs w:val="24"/>
        </w:rPr>
        <w:t xml:space="preserve">In </w:t>
      </w:r>
      <w:r w:rsidR="00686BB7">
        <w:rPr>
          <w:rFonts w:ascii="Times New Roman" w:hAnsi="Times New Roman" w:cs="Times New Roman"/>
          <w:sz w:val="24"/>
          <w:szCs w:val="24"/>
        </w:rPr>
        <w:t>assessing the costs and benefits</w:t>
      </w:r>
      <w:r w:rsidRPr="005957BD">
        <w:rPr>
          <w:rFonts w:ascii="Times New Roman" w:hAnsi="Times New Roman" w:cs="Times New Roman"/>
          <w:sz w:val="24"/>
          <w:szCs w:val="24"/>
        </w:rPr>
        <w:t xml:space="preserve"> of Icon Water’s application </w:t>
      </w:r>
      <w:r w:rsidR="00ED29EE">
        <w:rPr>
          <w:rFonts w:ascii="Times New Roman" w:hAnsi="Times New Roman" w:cs="Times New Roman"/>
          <w:sz w:val="24"/>
          <w:szCs w:val="24"/>
        </w:rPr>
        <w:t>in the context of</w:t>
      </w:r>
      <w:r w:rsidRPr="005957BD">
        <w:rPr>
          <w:rFonts w:ascii="Times New Roman" w:hAnsi="Times New Roman" w:cs="Times New Roman"/>
          <w:sz w:val="24"/>
          <w:szCs w:val="24"/>
        </w:rPr>
        <w:t xml:space="preserve"> these principles, the Panel </w:t>
      </w:r>
      <w:r w:rsidR="00ED29EE">
        <w:rPr>
          <w:rFonts w:ascii="Times New Roman" w:hAnsi="Times New Roman" w:cs="Times New Roman"/>
          <w:sz w:val="24"/>
          <w:szCs w:val="24"/>
        </w:rPr>
        <w:t>also h</w:t>
      </w:r>
      <w:r w:rsidRPr="005957BD">
        <w:rPr>
          <w:rFonts w:ascii="Times New Roman" w:hAnsi="Times New Roman" w:cs="Times New Roman"/>
          <w:sz w:val="24"/>
          <w:szCs w:val="24"/>
        </w:rPr>
        <w:t xml:space="preserve">ad regard to the status of its review of </w:t>
      </w:r>
      <w:r w:rsidR="00F57E9F">
        <w:rPr>
          <w:rFonts w:ascii="Times New Roman" w:hAnsi="Times New Roman" w:cs="Times New Roman"/>
          <w:sz w:val="24"/>
          <w:szCs w:val="24"/>
        </w:rPr>
        <w:t>the 2013 Price Direction</w:t>
      </w:r>
      <w:r w:rsidR="00D6285A">
        <w:rPr>
          <w:rFonts w:ascii="Times New Roman" w:hAnsi="Times New Roman" w:cs="Times New Roman"/>
          <w:sz w:val="24"/>
          <w:szCs w:val="24"/>
        </w:rPr>
        <w:t xml:space="preserve">. </w:t>
      </w:r>
      <w:r w:rsidR="00ED29EE">
        <w:rPr>
          <w:rFonts w:ascii="Times New Roman" w:hAnsi="Times New Roman" w:cs="Times New Roman"/>
          <w:sz w:val="24"/>
          <w:szCs w:val="24"/>
        </w:rPr>
        <w:t>In particular, the Panel kept in mi</w:t>
      </w:r>
      <w:r w:rsidR="00002722">
        <w:rPr>
          <w:rFonts w:ascii="Times New Roman" w:hAnsi="Times New Roman" w:cs="Times New Roman"/>
          <w:sz w:val="24"/>
          <w:szCs w:val="24"/>
        </w:rPr>
        <w:t>nd the following considerations.</w:t>
      </w:r>
    </w:p>
    <w:p w:rsidR="005957BD" w:rsidRPr="005957BD" w:rsidRDefault="00002722" w:rsidP="002A424A">
      <w:pPr>
        <w:pStyle w:val="ListParagraph"/>
        <w:numPr>
          <w:ilvl w:val="0"/>
          <w:numId w:val="8"/>
        </w:numPr>
        <w:spacing w:before="120" w:after="120"/>
        <w:ind w:left="567" w:hanging="567"/>
        <w:contextualSpacing w:val="0"/>
        <w:rPr>
          <w:rFonts w:ascii="Times New Roman" w:hAnsi="Times New Roman"/>
          <w:sz w:val="24"/>
          <w:szCs w:val="24"/>
        </w:rPr>
      </w:pPr>
      <w:r>
        <w:rPr>
          <w:rFonts w:ascii="Times New Roman" w:hAnsi="Times New Roman"/>
          <w:sz w:val="24"/>
          <w:szCs w:val="24"/>
        </w:rPr>
        <w:t>T</w:t>
      </w:r>
      <w:r w:rsidR="005957BD" w:rsidRPr="005957BD">
        <w:rPr>
          <w:rFonts w:ascii="Times New Roman" w:hAnsi="Times New Roman"/>
          <w:sz w:val="24"/>
          <w:szCs w:val="24"/>
        </w:rPr>
        <w:t>he</w:t>
      </w:r>
      <w:r w:rsidR="00ED29EE">
        <w:rPr>
          <w:rFonts w:ascii="Times New Roman" w:hAnsi="Times New Roman"/>
          <w:sz w:val="24"/>
          <w:szCs w:val="24"/>
        </w:rPr>
        <w:t xml:space="preserve"> current timeline</w:t>
      </w:r>
      <w:r w:rsidR="005957BD" w:rsidRPr="005957BD">
        <w:rPr>
          <w:rFonts w:ascii="Times New Roman" w:hAnsi="Times New Roman"/>
          <w:sz w:val="24"/>
          <w:szCs w:val="24"/>
        </w:rPr>
        <w:t xml:space="preserve"> for the Panel's review of </w:t>
      </w:r>
      <w:r w:rsidR="00F57E9F">
        <w:rPr>
          <w:rFonts w:ascii="Times New Roman" w:hAnsi="Times New Roman"/>
          <w:sz w:val="24"/>
          <w:szCs w:val="24"/>
        </w:rPr>
        <w:t>the 2013 Price Direction</w:t>
      </w:r>
      <w:r w:rsidR="005957BD" w:rsidRPr="005957BD">
        <w:rPr>
          <w:rFonts w:ascii="Times New Roman" w:hAnsi="Times New Roman"/>
          <w:sz w:val="24"/>
          <w:szCs w:val="24"/>
        </w:rPr>
        <w:t xml:space="preserve"> anticipate</w:t>
      </w:r>
      <w:r w:rsidR="00ED29EE">
        <w:rPr>
          <w:rFonts w:ascii="Times New Roman" w:hAnsi="Times New Roman"/>
          <w:sz w:val="24"/>
          <w:szCs w:val="24"/>
        </w:rPr>
        <w:t>s</w:t>
      </w:r>
      <w:r w:rsidR="005957BD" w:rsidRPr="005957BD">
        <w:rPr>
          <w:rFonts w:ascii="Times New Roman" w:hAnsi="Times New Roman"/>
          <w:sz w:val="24"/>
          <w:szCs w:val="24"/>
        </w:rPr>
        <w:t xml:space="preserve"> a final decision being made and becoming effective in time for implementation from 1 July 2015.</w:t>
      </w:r>
      <w:r>
        <w:rPr>
          <w:rFonts w:ascii="Times New Roman" w:hAnsi="Times New Roman"/>
          <w:sz w:val="24"/>
          <w:szCs w:val="24"/>
        </w:rPr>
        <w:t xml:space="preserve"> </w:t>
      </w:r>
      <w:r w:rsidR="005957BD" w:rsidRPr="005957BD">
        <w:rPr>
          <w:rFonts w:ascii="Times New Roman" w:hAnsi="Times New Roman"/>
          <w:sz w:val="24"/>
          <w:szCs w:val="24"/>
        </w:rPr>
        <w:t xml:space="preserve">Nevertheless, it is prudent for any declaration to provide for default prices </w:t>
      </w:r>
      <w:r w:rsidR="005957BD" w:rsidRPr="001F2B70">
        <w:rPr>
          <w:rFonts w:ascii="Times New Roman" w:hAnsi="Times New Roman"/>
          <w:sz w:val="24"/>
          <w:szCs w:val="24"/>
        </w:rPr>
        <w:t xml:space="preserve">to apply from </w:t>
      </w:r>
      <w:r w:rsidR="00361ED2" w:rsidRPr="001F2B70">
        <w:rPr>
          <w:rFonts w:ascii="Times New Roman" w:hAnsi="Times New Roman"/>
          <w:sz w:val="24"/>
          <w:szCs w:val="24"/>
        </w:rPr>
        <w:t>5 June 2015</w:t>
      </w:r>
      <w:r w:rsidR="001F2B70" w:rsidRPr="001F2B70">
        <w:rPr>
          <w:rFonts w:ascii="Times New Roman" w:hAnsi="Times New Roman"/>
          <w:sz w:val="24"/>
          <w:szCs w:val="24"/>
        </w:rPr>
        <w:t xml:space="preserve"> </w:t>
      </w:r>
      <w:r w:rsidRPr="001F2B70">
        <w:rPr>
          <w:rFonts w:ascii="Times New Roman" w:hAnsi="Times New Roman"/>
          <w:sz w:val="24"/>
          <w:szCs w:val="24"/>
        </w:rPr>
        <w:t>in order</w:t>
      </w:r>
      <w:r w:rsidR="005957BD" w:rsidRPr="001F2B70">
        <w:rPr>
          <w:rFonts w:ascii="Times New Roman" w:hAnsi="Times New Roman"/>
          <w:sz w:val="24"/>
          <w:szCs w:val="24"/>
        </w:rPr>
        <w:t xml:space="preserve"> to</w:t>
      </w:r>
      <w:r w:rsidR="005957BD" w:rsidRPr="005957BD">
        <w:rPr>
          <w:rFonts w:ascii="Times New Roman" w:hAnsi="Times New Roman"/>
          <w:sz w:val="24"/>
          <w:szCs w:val="24"/>
        </w:rPr>
        <w:t xml:space="preserve"> deal with the possibility of unforeseen circumstances resulting </w:t>
      </w:r>
      <w:r w:rsidR="00194828">
        <w:rPr>
          <w:rFonts w:ascii="Times New Roman" w:hAnsi="Times New Roman"/>
          <w:sz w:val="24"/>
          <w:szCs w:val="24"/>
        </w:rPr>
        <w:t>in a delay to</w:t>
      </w:r>
      <w:r w:rsidR="005957BD" w:rsidRPr="005957BD">
        <w:rPr>
          <w:rFonts w:ascii="Times New Roman" w:hAnsi="Times New Roman"/>
          <w:sz w:val="24"/>
          <w:szCs w:val="24"/>
        </w:rPr>
        <w:t xml:space="preserve"> the Panel’s final decision becoming effective, and </w:t>
      </w:r>
      <w:r>
        <w:rPr>
          <w:rFonts w:ascii="Times New Roman" w:hAnsi="Times New Roman"/>
          <w:sz w:val="24"/>
          <w:szCs w:val="24"/>
        </w:rPr>
        <w:t xml:space="preserve">to allow </w:t>
      </w:r>
      <w:r w:rsidR="00701CD0">
        <w:rPr>
          <w:rFonts w:ascii="Times New Roman" w:hAnsi="Times New Roman"/>
          <w:sz w:val="24"/>
          <w:szCs w:val="24"/>
        </w:rPr>
        <w:t xml:space="preserve">sufficient </w:t>
      </w:r>
      <w:r>
        <w:rPr>
          <w:rFonts w:ascii="Times New Roman" w:hAnsi="Times New Roman"/>
          <w:sz w:val="24"/>
          <w:szCs w:val="24"/>
        </w:rPr>
        <w:t xml:space="preserve">time </w:t>
      </w:r>
      <w:r w:rsidR="00701CD0">
        <w:rPr>
          <w:rFonts w:ascii="Times New Roman" w:hAnsi="Times New Roman"/>
          <w:sz w:val="24"/>
          <w:szCs w:val="24"/>
        </w:rPr>
        <w:t>for</w:t>
      </w:r>
      <w:r>
        <w:rPr>
          <w:rFonts w:ascii="Times New Roman" w:hAnsi="Times New Roman"/>
          <w:sz w:val="24"/>
          <w:szCs w:val="24"/>
        </w:rPr>
        <w:t xml:space="preserve"> </w:t>
      </w:r>
      <w:r w:rsidR="00701CD0">
        <w:rPr>
          <w:rFonts w:ascii="Times New Roman" w:hAnsi="Times New Roman"/>
          <w:sz w:val="24"/>
          <w:szCs w:val="24"/>
        </w:rPr>
        <w:t xml:space="preserve">processes necessary for </w:t>
      </w:r>
      <w:r>
        <w:rPr>
          <w:rFonts w:ascii="Times New Roman" w:hAnsi="Times New Roman"/>
          <w:sz w:val="24"/>
          <w:szCs w:val="24"/>
        </w:rPr>
        <w:t>adjust</w:t>
      </w:r>
      <w:r w:rsidR="00701CD0">
        <w:rPr>
          <w:rFonts w:ascii="Times New Roman" w:hAnsi="Times New Roman"/>
          <w:sz w:val="24"/>
          <w:szCs w:val="24"/>
        </w:rPr>
        <w:t xml:space="preserve">ments to </w:t>
      </w:r>
      <w:r>
        <w:rPr>
          <w:rFonts w:ascii="Times New Roman" w:hAnsi="Times New Roman"/>
          <w:sz w:val="24"/>
          <w:szCs w:val="24"/>
        </w:rPr>
        <w:t>customer contracts</w:t>
      </w:r>
      <w:r w:rsidR="00D6285A">
        <w:rPr>
          <w:rFonts w:ascii="Times New Roman" w:hAnsi="Times New Roman"/>
          <w:sz w:val="24"/>
          <w:szCs w:val="24"/>
        </w:rPr>
        <w:t>.</w:t>
      </w:r>
      <w:r>
        <w:rPr>
          <w:rFonts w:ascii="Times New Roman" w:hAnsi="Times New Roman"/>
          <w:sz w:val="24"/>
          <w:szCs w:val="24"/>
        </w:rPr>
        <w:t xml:space="preserve"> </w:t>
      </w:r>
    </w:p>
    <w:p w:rsidR="005957BD" w:rsidRPr="005957BD" w:rsidRDefault="00002722" w:rsidP="002A424A">
      <w:pPr>
        <w:pStyle w:val="ListParagraph"/>
        <w:numPr>
          <w:ilvl w:val="0"/>
          <w:numId w:val="8"/>
        </w:numPr>
        <w:spacing w:before="120" w:after="240"/>
        <w:ind w:left="567" w:hanging="567"/>
        <w:contextualSpacing w:val="0"/>
        <w:rPr>
          <w:rFonts w:ascii="Times New Roman" w:hAnsi="Times New Roman"/>
          <w:sz w:val="24"/>
          <w:szCs w:val="24"/>
        </w:rPr>
      </w:pPr>
      <w:r>
        <w:rPr>
          <w:rFonts w:ascii="Times New Roman" w:hAnsi="Times New Roman"/>
          <w:sz w:val="24"/>
          <w:szCs w:val="24"/>
        </w:rPr>
        <w:t>W</w:t>
      </w:r>
      <w:r w:rsidR="005957BD" w:rsidRPr="005957BD">
        <w:rPr>
          <w:rFonts w:ascii="Times New Roman" w:hAnsi="Times New Roman"/>
          <w:sz w:val="24"/>
          <w:szCs w:val="24"/>
        </w:rPr>
        <w:t xml:space="preserve">hile it cannot be ruled out until the Panel’s final decision is made, the likelihood of the final decision requiring the first biennial recalibration process to be completed for the purpose of setting 2015-16 prices is low, having regard to </w:t>
      </w:r>
      <w:r>
        <w:rPr>
          <w:rFonts w:ascii="Times New Roman" w:hAnsi="Times New Roman"/>
          <w:sz w:val="24"/>
          <w:szCs w:val="24"/>
        </w:rPr>
        <w:t xml:space="preserve">the </w:t>
      </w:r>
      <w:r w:rsidR="00D6285A">
        <w:rPr>
          <w:rFonts w:ascii="Times New Roman" w:hAnsi="Times New Roman"/>
          <w:sz w:val="24"/>
          <w:szCs w:val="24"/>
        </w:rPr>
        <w:t xml:space="preserve">Panel's </w:t>
      </w:r>
      <w:r>
        <w:rPr>
          <w:rFonts w:ascii="Times New Roman" w:hAnsi="Times New Roman"/>
          <w:sz w:val="24"/>
          <w:szCs w:val="24"/>
        </w:rPr>
        <w:t xml:space="preserve">preliminary findings in </w:t>
      </w:r>
      <w:r w:rsidR="00D6285A">
        <w:rPr>
          <w:rFonts w:ascii="Times New Roman" w:hAnsi="Times New Roman"/>
          <w:sz w:val="24"/>
          <w:szCs w:val="24"/>
        </w:rPr>
        <w:t>its</w:t>
      </w:r>
      <w:r w:rsidR="005957BD" w:rsidRPr="005957BD">
        <w:rPr>
          <w:rFonts w:ascii="Times New Roman" w:hAnsi="Times New Roman"/>
          <w:sz w:val="24"/>
          <w:szCs w:val="24"/>
        </w:rPr>
        <w:t xml:space="preserve"> draft decisi</w:t>
      </w:r>
      <w:r>
        <w:rPr>
          <w:rFonts w:ascii="Times New Roman" w:hAnsi="Times New Roman"/>
          <w:sz w:val="24"/>
          <w:szCs w:val="24"/>
        </w:rPr>
        <w:t xml:space="preserve">on and to submissions received in response to the </w:t>
      </w:r>
      <w:r w:rsidR="005957BD" w:rsidRPr="005957BD">
        <w:rPr>
          <w:rFonts w:ascii="Times New Roman" w:hAnsi="Times New Roman"/>
          <w:sz w:val="24"/>
          <w:szCs w:val="24"/>
        </w:rPr>
        <w:t xml:space="preserve">draft decision. The draft decision </w:t>
      </w:r>
      <w:r>
        <w:rPr>
          <w:rFonts w:ascii="Times New Roman" w:hAnsi="Times New Roman"/>
          <w:sz w:val="24"/>
          <w:szCs w:val="24"/>
        </w:rPr>
        <w:t>currently</w:t>
      </w:r>
      <w:r w:rsidR="005957BD" w:rsidRPr="005957BD">
        <w:rPr>
          <w:rFonts w:ascii="Times New Roman" w:hAnsi="Times New Roman"/>
          <w:sz w:val="24"/>
          <w:szCs w:val="24"/>
        </w:rPr>
        <w:t xml:space="preserve"> substitute</w:t>
      </w:r>
      <w:r>
        <w:rPr>
          <w:rFonts w:ascii="Times New Roman" w:hAnsi="Times New Roman"/>
          <w:sz w:val="24"/>
          <w:szCs w:val="24"/>
        </w:rPr>
        <w:t>s</w:t>
      </w:r>
      <w:r w:rsidR="005957BD" w:rsidRPr="005957BD">
        <w:rPr>
          <w:rFonts w:ascii="Times New Roman" w:hAnsi="Times New Roman"/>
          <w:sz w:val="24"/>
          <w:szCs w:val="24"/>
        </w:rPr>
        <w:t xml:space="preserve"> a new price direction that </w:t>
      </w:r>
      <w:r>
        <w:rPr>
          <w:rFonts w:ascii="Times New Roman" w:hAnsi="Times New Roman"/>
          <w:sz w:val="24"/>
          <w:szCs w:val="24"/>
        </w:rPr>
        <w:t>fixes</w:t>
      </w:r>
      <w:r w:rsidR="005957BD" w:rsidRPr="005957BD">
        <w:rPr>
          <w:rFonts w:ascii="Times New Roman" w:hAnsi="Times New Roman"/>
          <w:sz w:val="24"/>
          <w:szCs w:val="24"/>
        </w:rPr>
        <w:t xml:space="preserve"> prices until 30 June 2018, without the need for a</w:t>
      </w:r>
      <w:r>
        <w:rPr>
          <w:rFonts w:ascii="Times New Roman" w:hAnsi="Times New Roman"/>
          <w:sz w:val="24"/>
          <w:szCs w:val="24"/>
        </w:rPr>
        <w:t>ny</w:t>
      </w:r>
      <w:r w:rsidR="005957BD" w:rsidRPr="005957BD">
        <w:rPr>
          <w:rFonts w:ascii="Times New Roman" w:hAnsi="Times New Roman"/>
          <w:sz w:val="24"/>
          <w:szCs w:val="24"/>
        </w:rPr>
        <w:t xml:space="preserve"> recalibration process. No submissions have been </w:t>
      </w:r>
      <w:r>
        <w:rPr>
          <w:rFonts w:ascii="Times New Roman" w:hAnsi="Times New Roman"/>
          <w:sz w:val="24"/>
          <w:szCs w:val="24"/>
        </w:rPr>
        <w:t>received by</w:t>
      </w:r>
      <w:r w:rsidR="005957BD" w:rsidRPr="005957BD">
        <w:rPr>
          <w:rFonts w:ascii="Times New Roman" w:hAnsi="Times New Roman"/>
          <w:sz w:val="24"/>
          <w:szCs w:val="24"/>
        </w:rPr>
        <w:t xml:space="preserve"> the Panel, nor new evidence presented, that contend against this </w:t>
      </w:r>
      <w:r w:rsidR="000520E0">
        <w:rPr>
          <w:rFonts w:ascii="Times New Roman" w:hAnsi="Times New Roman"/>
          <w:sz w:val="24"/>
          <w:szCs w:val="24"/>
        </w:rPr>
        <w:t>proposed approach</w:t>
      </w:r>
      <w:r w:rsidR="005957BD" w:rsidRPr="005957BD">
        <w:rPr>
          <w:rFonts w:ascii="Times New Roman" w:hAnsi="Times New Roman"/>
          <w:sz w:val="24"/>
          <w:szCs w:val="24"/>
        </w:rPr>
        <w:t xml:space="preserve">. </w:t>
      </w:r>
    </w:p>
    <w:p w:rsidR="00885CCB" w:rsidRDefault="005957BD" w:rsidP="002A424A">
      <w:pPr>
        <w:spacing w:before="120"/>
        <w:rPr>
          <w:rFonts w:ascii="Times New Roman" w:hAnsi="Times New Roman" w:cs="Times New Roman"/>
          <w:sz w:val="24"/>
          <w:szCs w:val="24"/>
        </w:rPr>
      </w:pPr>
      <w:r w:rsidRPr="005957BD">
        <w:rPr>
          <w:rFonts w:ascii="Times New Roman" w:hAnsi="Times New Roman" w:cs="Times New Roman"/>
          <w:sz w:val="24"/>
          <w:szCs w:val="24"/>
        </w:rPr>
        <w:t>Table 2 below summarises the Panel’s assessment of</w:t>
      </w:r>
      <w:r w:rsidR="00002722">
        <w:rPr>
          <w:rFonts w:ascii="Times New Roman" w:hAnsi="Times New Roman" w:cs="Times New Roman"/>
          <w:sz w:val="24"/>
          <w:szCs w:val="24"/>
        </w:rPr>
        <w:t xml:space="preserve"> issues raised in Icon Water’s section 24S a</w:t>
      </w:r>
      <w:r w:rsidRPr="005957BD">
        <w:rPr>
          <w:rFonts w:ascii="Times New Roman" w:hAnsi="Times New Roman" w:cs="Times New Roman"/>
          <w:sz w:val="24"/>
          <w:szCs w:val="24"/>
        </w:rPr>
        <w:t xml:space="preserve">pplication in support of its request for the Panel to defer or remove the need for the first recalibration process, and </w:t>
      </w:r>
      <w:r w:rsidR="00002722">
        <w:rPr>
          <w:rFonts w:ascii="Times New Roman" w:hAnsi="Times New Roman" w:cs="Times New Roman"/>
          <w:sz w:val="24"/>
          <w:szCs w:val="24"/>
        </w:rPr>
        <w:t xml:space="preserve">the issues raised </w:t>
      </w:r>
      <w:r w:rsidRPr="005957BD">
        <w:rPr>
          <w:rFonts w:ascii="Times New Roman" w:hAnsi="Times New Roman" w:cs="Times New Roman"/>
          <w:sz w:val="24"/>
          <w:szCs w:val="24"/>
        </w:rPr>
        <w:t xml:space="preserve">in the submission </w:t>
      </w:r>
      <w:r w:rsidR="00194828">
        <w:rPr>
          <w:rFonts w:ascii="Times New Roman" w:hAnsi="Times New Roman" w:cs="Times New Roman"/>
          <w:sz w:val="24"/>
          <w:szCs w:val="24"/>
        </w:rPr>
        <w:t xml:space="preserve">of </w:t>
      </w:r>
      <w:r w:rsidRPr="005957BD">
        <w:rPr>
          <w:rFonts w:ascii="Times New Roman" w:hAnsi="Times New Roman" w:cs="Times New Roman"/>
          <w:sz w:val="24"/>
          <w:szCs w:val="24"/>
        </w:rPr>
        <w:t>Dr Dwyer.</w:t>
      </w:r>
      <w:r w:rsidR="00AA0B64" w:rsidRPr="001B5A82">
        <w:rPr>
          <w:rFonts w:ascii="Times New Roman" w:hAnsi="Times New Roman" w:cs="Times New Roman"/>
          <w:sz w:val="24"/>
          <w:szCs w:val="24"/>
        </w:rPr>
        <w:t xml:space="preserve">  </w:t>
      </w:r>
    </w:p>
    <w:p w:rsidR="00005A64" w:rsidRDefault="00005A64" w:rsidP="005957BD">
      <w:pPr>
        <w:rPr>
          <w:rFonts w:ascii="Times New Roman" w:hAnsi="Times New Roman" w:cs="Times New Roman"/>
          <w:sz w:val="24"/>
          <w:szCs w:val="24"/>
        </w:rPr>
        <w:sectPr w:rsidR="00005A64" w:rsidSect="000238A2">
          <w:headerReference w:type="default" r:id="rId11"/>
          <w:footerReference w:type="default" r:id="rId12"/>
          <w:pgSz w:w="11906" w:h="16838"/>
          <w:pgMar w:top="1440" w:right="1440" w:bottom="1440" w:left="1440" w:header="708" w:footer="708" w:gutter="0"/>
          <w:pgNumType w:start="1"/>
          <w:cols w:space="708"/>
          <w:docGrid w:linePitch="360"/>
        </w:sectPr>
      </w:pPr>
    </w:p>
    <w:p w:rsidR="00005A64" w:rsidRPr="00005A64" w:rsidRDefault="00005A64" w:rsidP="00005A64">
      <w:pPr>
        <w:keepNext/>
        <w:keepLines/>
        <w:autoSpaceDE w:val="0"/>
        <w:autoSpaceDN w:val="0"/>
        <w:adjustRightInd w:val="0"/>
        <w:spacing w:after="120"/>
        <w:rPr>
          <w:rFonts w:ascii="Times New Roman" w:hAnsi="Times New Roman" w:cs="Times New Roman"/>
          <w:b/>
          <w:bCs/>
          <w:sz w:val="24"/>
          <w:szCs w:val="24"/>
        </w:rPr>
      </w:pPr>
      <w:r w:rsidRPr="00005A64">
        <w:rPr>
          <w:rFonts w:ascii="Times New Roman" w:hAnsi="Times New Roman" w:cs="Times New Roman"/>
          <w:b/>
          <w:bCs/>
          <w:sz w:val="24"/>
          <w:szCs w:val="24"/>
        </w:rPr>
        <w:lastRenderedPageBreak/>
        <w:t xml:space="preserve">Table 2: </w:t>
      </w:r>
      <w:r w:rsidR="00002722">
        <w:rPr>
          <w:rFonts w:ascii="Times New Roman" w:hAnsi="Times New Roman" w:cs="Times New Roman"/>
          <w:b/>
          <w:bCs/>
          <w:sz w:val="24"/>
          <w:szCs w:val="24"/>
        </w:rPr>
        <w:t>Detailed explanation of the Panel's</w:t>
      </w:r>
      <w:r w:rsidRPr="00005A64">
        <w:rPr>
          <w:rFonts w:ascii="Times New Roman" w:hAnsi="Times New Roman" w:cs="Times New Roman"/>
          <w:b/>
          <w:bCs/>
          <w:sz w:val="24"/>
          <w:szCs w:val="24"/>
        </w:rPr>
        <w:t xml:space="preserve"> assessment </w:t>
      </w:r>
    </w:p>
    <w:tbl>
      <w:tblPr>
        <w:tblStyle w:val="TableGrid"/>
        <w:tblW w:w="14567" w:type="dxa"/>
        <w:tblLook w:val="04A0"/>
      </w:tblPr>
      <w:tblGrid>
        <w:gridCol w:w="4361"/>
        <w:gridCol w:w="10206"/>
      </w:tblGrid>
      <w:tr w:rsidR="00005A64" w:rsidRPr="00005A64" w:rsidTr="00546BF7">
        <w:tc>
          <w:tcPr>
            <w:tcW w:w="4361" w:type="dxa"/>
            <w:shd w:val="clear" w:color="auto" w:fill="BFBFBF" w:themeFill="background1" w:themeFillShade="BF"/>
          </w:tcPr>
          <w:p w:rsidR="00005A64" w:rsidRPr="00005A64" w:rsidRDefault="00194828" w:rsidP="00194828">
            <w:pPr>
              <w:keepNext/>
              <w:keepLines/>
              <w:spacing w:before="120" w:after="120"/>
              <w:rPr>
                <w:rFonts w:ascii="Times New Roman" w:hAnsi="Times New Roman" w:cs="Times New Roman"/>
                <w:b/>
              </w:rPr>
            </w:pPr>
            <w:r>
              <w:rPr>
                <w:rFonts w:ascii="Times New Roman" w:hAnsi="Times New Roman" w:cs="Times New Roman"/>
                <w:b/>
              </w:rPr>
              <w:t>Issue raised by</w:t>
            </w:r>
            <w:r w:rsidR="00005A64" w:rsidRPr="00005A64">
              <w:rPr>
                <w:rFonts w:ascii="Times New Roman" w:hAnsi="Times New Roman" w:cs="Times New Roman"/>
                <w:b/>
              </w:rPr>
              <w:t xml:space="preserve"> Icon Water’s </w:t>
            </w:r>
            <w:r w:rsidR="00002722">
              <w:rPr>
                <w:rFonts w:ascii="Times New Roman" w:hAnsi="Times New Roman" w:cs="Times New Roman"/>
                <w:b/>
              </w:rPr>
              <w:t xml:space="preserve">section 24S </w:t>
            </w:r>
            <w:r w:rsidR="00005A64" w:rsidRPr="00005A64">
              <w:rPr>
                <w:rFonts w:ascii="Times New Roman" w:hAnsi="Times New Roman" w:cs="Times New Roman"/>
                <w:b/>
              </w:rPr>
              <w:t>application</w:t>
            </w:r>
          </w:p>
        </w:tc>
        <w:tc>
          <w:tcPr>
            <w:tcW w:w="10206" w:type="dxa"/>
            <w:shd w:val="clear" w:color="auto" w:fill="BFBFBF" w:themeFill="background1" w:themeFillShade="BF"/>
          </w:tcPr>
          <w:p w:rsidR="00005A64" w:rsidRPr="00005A64" w:rsidRDefault="00701CD0" w:rsidP="00CA72E4">
            <w:pPr>
              <w:keepNext/>
              <w:keepLines/>
              <w:spacing w:before="120" w:after="120"/>
              <w:rPr>
                <w:rFonts w:ascii="Times New Roman" w:hAnsi="Times New Roman" w:cs="Times New Roman"/>
                <w:b/>
              </w:rPr>
            </w:pPr>
            <w:r>
              <w:rPr>
                <w:rFonts w:ascii="Times New Roman" w:hAnsi="Times New Roman" w:cs="Times New Roman"/>
                <w:b/>
              </w:rPr>
              <w:t xml:space="preserve">The </w:t>
            </w:r>
            <w:r w:rsidR="00005A64" w:rsidRPr="00005A64">
              <w:rPr>
                <w:rFonts w:ascii="Times New Roman" w:hAnsi="Times New Roman" w:cs="Times New Roman"/>
                <w:b/>
              </w:rPr>
              <w:t>Panel’s assessment</w:t>
            </w:r>
          </w:p>
        </w:tc>
      </w:tr>
      <w:tr w:rsidR="00005A64" w:rsidRPr="00005A64" w:rsidTr="00546BF7">
        <w:tc>
          <w:tcPr>
            <w:tcW w:w="4361" w:type="dxa"/>
          </w:tcPr>
          <w:p w:rsidR="00005A64" w:rsidRPr="00005A64" w:rsidRDefault="00002722" w:rsidP="00CA72E4">
            <w:pPr>
              <w:keepNext/>
              <w:keepLines/>
              <w:spacing w:before="120" w:after="120"/>
              <w:rPr>
                <w:rFonts w:ascii="Times New Roman" w:hAnsi="Times New Roman" w:cs="Times New Roman"/>
                <w:b/>
              </w:rPr>
            </w:pPr>
            <w:r>
              <w:rPr>
                <w:rFonts w:ascii="Times New Roman" w:hAnsi="Times New Roman" w:cs="Times New Roman"/>
                <w:b/>
              </w:rPr>
              <w:t>Confusion regarding multiple review processes</w:t>
            </w:r>
          </w:p>
          <w:p w:rsidR="00002722" w:rsidRPr="00002722" w:rsidRDefault="00002722" w:rsidP="00002722">
            <w:pPr>
              <w:keepNext/>
              <w:keepLines/>
              <w:spacing w:before="120" w:after="120"/>
              <w:rPr>
                <w:rFonts w:ascii="Times New Roman" w:hAnsi="Times New Roman" w:cs="Times New Roman"/>
              </w:rPr>
            </w:pPr>
            <w:r w:rsidRPr="00002722">
              <w:rPr>
                <w:rFonts w:ascii="Times New Roman" w:hAnsi="Times New Roman" w:cs="Times New Roman"/>
              </w:rPr>
              <w:t>Icon Water’s application asserts that</w:t>
            </w:r>
            <w:r w:rsidR="00D6285A">
              <w:rPr>
                <w:rFonts w:ascii="Times New Roman" w:hAnsi="Times New Roman" w:cs="Times New Roman"/>
              </w:rPr>
              <w:t xml:space="preserve"> the continuation of dual price-</w:t>
            </w:r>
            <w:r w:rsidRPr="00002722">
              <w:rPr>
                <w:rFonts w:ascii="Times New Roman" w:hAnsi="Times New Roman" w:cs="Times New Roman"/>
              </w:rPr>
              <w:t>setting processes over the next few months (</w:t>
            </w:r>
            <w:proofErr w:type="spellStart"/>
            <w:r w:rsidRPr="00002722">
              <w:rPr>
                <w:rFonts w:ascii="Times New Roman" w:hAnsi="Times New Roman" w:cs="Times New Roman"/>
              </w:rPr>
              <w:t>ie</w:t>
            </w:r>
            <w:proofErr w:type="spellEnd"/>
            <w:r w:rsidRPr="00002722">
              <w:rPr>
                <w:rFonts w:ascii="Times New Roman" w:hAnsi="Times New Roman" w:cs="Times New Roman"/>
              </w:rPr>
              <w:t>, the finalisation of the Panel’s review of the 2013 Price Direction, and the ICRC’s first biennial recalibration) may "negatively impact on public confidence in the regulatory system”.</w:t>
            </w:r>
          </w:p>
          <w:p w:rsidR="00005A64" w:rsidRPr="00005A64" w:rsidRDefault="00002722" w:rsidP="00002722">
            <w:pPr>
              <w:keepNext/>
              <w:keepLines/>
              <w:spacing w:before="120" w:after="120"/>
              <w:rPr>
                <w:rFonts w:ascii="Times New Roman" w:hAnsi="Times New Roman" w:cs="Times New Roman"/>
                <w:b/>
              </w:rPr>
            </w:pPr>
            <w:r w:rsidRPr="00002722">
              <w:rPr>
                <w:rFonts w:ascii="Times New Roman" w:hAnsi="Times New Roman" w:cs="Times New Roman"/>
              </w:rPr>
              <w:t>Icon Water notes “the large number of reviews and enquiries with respect to water and sewerage prices in recent years together with their associated public engagement”. Given that the Panel’s review of the 2013 Price Direction and the ICRC’s first recalibration are now taking place concurrently, Icon Water’s view is that “the continuation of two parallel processes at this time would cause unnecessary confusion and uncertainty." Icon Water contends that this confusion would be further exacerbated if different approaches are taken by each of the Panel and the ICRC or if differe</w:t>
            </w:r>
            <w:r w:rsidR="00194828">
              <w:rPr>
                <w:rFonts w:ascii="Times New Roman" w:hAnsi="Times New Roman" w:cs="Times New Roman"/>
              </w:rPr>
              <w:t>nt outcomes were to be reached.</w:t>
            </w:r>
          </w:p>
        </w:tc>
        <w:tc>
          <w:tcPr>
            <w:tcW w:w="10206" w:type="dxa"/>
          </w:tcPr>
          <w:p w:rsidR="00002722" w:rsidRPr="00002722" w:rsidRDefault="00002722" w:rsidP="00002722">
            <w:pPr>
              <w:keepNext/>
              <w:keepLines/>
              <w:spacing w:before="120" w:after="120"/>
              <w:rPr>
                <w:rFonts w:ascii="Times New Roman" w:hAnsi="Times New Roman" w:cs="Times New Roman"/>
              </w:rPr>
            </w:pPr>
            <w:r w:rsidRPr="00002722">
              <w:rPr>
                <w:rFonts w:ascii="Times New Roman" w:hAnsi="Times New Roman" w:cs="Times New Roman"/>
              </w:rPr>
              <w:t>The Panel recognises that the price regulation of water and sewerage services is a complex area. The continuation</w:t>
            </w:r>
            <w:r w:rsidR="00D6285A">
              <w:rPr>
                <w:rFonts w:ascii="Times New Roman" w:hAnsi="Times New Roman" w:cs="Times New Roman"/>
              </w:rPr>
              <w:t xml:space="preserve"> of two different price-</w:t>
            </w:r>
            <w:r w:rsidRPr="00002722">
              <w:rPr>
                <w:rFonts w:ascii="Times New Roman" w:hAnsi="Times New Roman" w:cs="Times New Roman"/>
              </w:rPr>
              <w:t>setting processes in parallel runs the risk of reducing the clarity of price-setting arrangements, and increasing uncertainty among businesses and the public, particularly if the t</w:t>
            </w:r>
            <w:r w:rsidR="000520E0">
              <w:rPr>
                <w:rFonts w:ascii="Times New Roman" w:hAnsi="Times New Roman" w:cs="Times New Roman"/>
              </w:rPr>
              <w:t>wo processes yield inconsistent</w:t>
            </w:r>
            <w:r w:rsidRPr="00002722">
              <w:rPr>
                <w:rFonts w:ascii="Times New Roman" w:hAnsi="Times New Roman" w:cs="Times New Roman"/>
              </w:rPr>
              <w:t xml:space="preserve"> outcomes. </w:t>
            </w:r>
          </w:p>
          <w:p w:rsidR="00002722" w:rsidRPr="00002722" w:rsidRDefault="00002722" w:rsidP="00002722">
            <w:pPr>
              <w:keepNext/>
              <w:keepLines/>
              <w:spacing w:before="120" w:after="120"/>
              <w:rPr>
                <w:rFonts w:ascii="Times New Roman" w:hAnsi="Times New Roman" w:cs="Times New Roman"/>
              </w:rPr>
            </w:pPr>
            <w:r w:rsidRPr="00002722">
              <w:rPr>
                <w:rFonts w:ascii="Times New Roman" w:hAnsi="Times New Roman" w:cs="Times New Roman"/>
              </w:rPr>
              <w:t>The timeframes for the ICRC's biennial recalibration (as specified in Table 1 above), overlap with the Panel’s ongoing review of the 2013 Price Direction. The Panel released its draft decision on 4 December 2014; invited written submissions on this draft decision by 23 January 2015; and held a public hearing on 6 February 2015. The Panel is now undertaking further analysis and consideration of public submissions with a view to reaching its final decision and releasing a final report.</w:t>
            </w:r>
          </w:p>
          <w:p w:rsidR="00002722" w:rsidRPr="00002722" w:rsidRDefault="00002722" w:rsidP="00002722">
            <w:pPr>
              <w:keepNext/>
              <w:keepLines/>
              <w:spacing w:before="120" w:after="120"/>
              <w:rPr>
                <w:rFonts w:ascii="Times New Roman" w:hAnsi="Times New Roman" w:cs="Times New Roman"/>
              </w:rPr>
            </w:pPr>
            <w:r w:rsidRPr="00002722">
              <w:rPr>
                <w:rFonts w:ascii="Times New Roman" w:hAnsi="Times New Roman" w:cs="Times New Roman"/>
              </w:rPr>
              <w:t>The Panel is aware that the ACT community has been asked to engage in multiple review processes about water and sewerage prices in recent times. In addition to the problem of consultation ‘fatigue’ (which may result in a lack of engagement in future processes), the Panel recognises the costs stakeholders incur by participating in such reviews (</w:t>
            </w:r>
            <w:proofErr w:type="spellStart"/>
            <w:r w:rsidRPr="00002722">
              <w:rPr>
                <w:rFonts w:ascii="Times New Roman" w:hAnsi="Times New Roman" w:cs="Times New Roman"/>
              </w:rPr>
              <w:t>eg</w:t>
            </w:r>
            <w:proofErr w:type="spellEnd"/>
            <w:r w:rsidRPr="00002722">
              <w:rPr>
                <w:rFonts w:ascii="Times New Roman" w:hAnsi="Times New Roman" w:cs="Times New Roman"/>
              </w:rPr>
              <w:t>, the time taken to prepare submissions and/or attend public hearings).</w:t>
            </w:r>
          </w:p>
          <w:p w:rsidR="00002722" w:rsidRPr="00002722" w:rsidRDefault="00002722" w:rsidP="00701CD0">
            <w:pPr>
              <w:keepNext/>
              <w:keepLines/>
              <w:spacing w:before="120" w:after="60"/>
              <w:rPr>
                <w:rFonts w:ascii="Times New Roman" w:hAnsi="Times New Roman" w:cs="Times New Roman"/>
              </w:rPr>
            </w:pPr>
            <w:r w:rsidRPr="00002722">
              <w:rPr>
                <w:rFonts w:ascii="Times New Roman" w:hAnsi="Times New Roman" w:cs="Times New Roman"/>
              </w:rPr>
              <w:t xml:space="preserve">The Panel also considers that two separate price-setting processes being undertaken concurrently </w:t>
            </w:r>
            <w:proofErr w:type="gramStart"/>
            <w:r w:rsidRPr="00002722">
              <w:rPr>
                <w:rFonts w:ascii="Times New Roman" w:hAnsi="Times New Roman" w:cs="Times New Roman"/>
              </w:rPr>
              <w:t>is</w:t>
            </w:r>
            <w:proofErr w:type="gramEnd"/>
            <w:r w:rsidRPr="00002722">
              <w:rPr>
                <w:rFonts w:ascii="Times New Roman" w:hAnsi="Times New Roman" w:cs="Times New Roman"/>
              </w:rPr>
              <w:t xml:space="preserve"> not consistent with best practice regulatory principles. Generally speaking, these principles are that: </w:t>
            </w:r>
          </w:p>
          <w:p w:rsidR="00002722" w:rsidRPr="00002722" w:rsidRDefault="00002722" w:rsidP="00701CD0">
            <w:pPr>
              <w:keepNext/>
              <w:keepLines/>
              <w:numPr>
                <w:ilvl w:val="0"/>
                <w:numId w:val="30"/>
              </w:numPr>
              <w:spacing w:before="60" w:after="60"/>
              <w:ind w:left="357" w:hanging="357"/>
              <w:rPr>
                <w:rFonts w:ascii="Times New Roman" w:hAnsi="Times New Roman" w:cs="Times New Roman"/>
              </w:rPr>
            </w:pPr>
            <w:r w:rsidRPr="00002722">
              <w:rPr>
                <w:rFonts w:ascii="Times New Roman" w:hAnsi="Times New Roman" w:cs="Times New Roman"/>
              </w:rPr>
              <w:t>regulation should be cost-effective – the benefits to customers should exceed the costs</w:t>
            </w:r>
          </w:p>
          <w:p w:rsidR="00002722" w:rsidRPr="00002722" w:rsidRDefault="00002722" w:rsidP="00701CD0">
            <w:pPr>
              <w:keepNext/>
              <w:keepLines/>
              <w:numPr>
                <w:ilvl w:val="0"/>
                <w:numId w:val="30"/>
              </w:numPr>
              <w:spacing w:before="60" w:after="60"/>
              <w:ind w:left="357" w:hanging="357"/>
              <w:rPr>
                <w:rFonts w:ascii="Times New Roman" w:hAnsi="Times New Roman" w:cs="Times New Roman"/>
              </w:rPr>
            </w:pPr>
            <w:r w:rsidRPr="00002722">
              <w:rPr>
                <w:rFonts w:ascii="Times New Roman" w:hAnsi="Times New Roman" w:cs="Times New Roman"/>
              </w:rPr>
              <w:t>regulation should be proportionate – regulators should only intervene when necessary</w:t>
            </w:r>
          </w:p>
          <w:p w:rsidR="00002722" w:rsidRPr="00002722" w:rsidRDefault="00002722" w:rsidP="00701CD0">
            <w:pPr>
              <w:keepNext/>
              <w:keepLines/>
              <w:numPr>
                <w:ilvl w:val="0"/>
                <w:numId w:val="30"/>
              </w:numPr>
              <w:spacing w:before="60" w:after="60"/>
              <w:ind w:left="357" w:hanging="357"/>
              <w:rPr>
                <w:rFonts w:ascii="Times New Roman" w:hAnsi="Times New Roman" w:cs="Times New Roman"/>
              </w:rPr>
            </w:pPr>
            <w:r w:rsidRPr="00002722">
              <w:rPr>
                <w:rFonts w:ascii="Times New Roman" w:hAnsi="Times New Roman" w:cs="Times New Roman"/>
              </w:rPr>
              <w:t>regulation can adapt, but it should be predictable – while regulation should have the capacity to respond to changing circumstances, it should provide a stable and predictable environment and avoid adding undue uncertainty</w:t>
            </w:r>
            <w:r w:rsidR="00E57E5B">
              <w:rPr>
                <w:rFonts w:ascii="Times New Roman" w:hAnsi="Times New Roman" w:cs="Times New Roman"/>
              </w:rPr>
              <w:t>,</w:t>
            </w:r>
            <w:r w:rsidRPr="00002722">
              <w:rPr>
                <w:rFonts w:ascii="Times New Roman" w:hAnsi="Times New Roman" w:cs="Times New Roman"/>
              </w:rPr>
              <w:t xml:space="preserve"> and</w:t>
            </w:r>
          </w:p>
          <w:p w:rsidR="00002722" w:rsidRPr="00002722" w:rsidRDefault="00002722" w:rsidP="00701CD0">
            <w:pPr>
              <w:keepNext/>
              <w:keepLines/>
              <w:numPr>
                <w:ilvl w:val="0"/>
                <w:numId w:val="30"/>
              </w:numPr>
              <w:spacing w:before="60" w:after="60"/>
              <w:ind w:left="357" w:hanging="357"/>
              <w:rPr>
                <w:rFonts w:ascii="Times New Roman" w:hAnsi="Times New Roman" w:cs="Times New Roman"/>
              </w:rPr>
            </w:pPr>
            <w:proofErr w:type="gramStart"/>
            <w:r w:rsidRPr="00002722">
              <w:rPr>
                <w:rFonts w:ascii="Times New Roman" w:hAnsi="Times New Roman" w:cs="Times New Roman"/>
              </w:rPr>
              <w:t>regulation</w:t>
            </w:r>
            <w:proofErr w:type="gramEnd"/>
            <w:r w:rsidRPr="00002722">
              <w:rPr>
                <w:rFonts w:ascii="Times New Roman" w:hAnsi="Times New Roman" w:cs="Times New Roman"/>
              </w:rPr>
              <w:t xml:space="preserve"> should be practical, pragmatic and feasible.</w:t>
            </w:r>
            <w:r w:rsidRPr="00002722">
              <w:rPr>
                <w:rFonts w:ascii="Times New Roman" w:hAnsi="Times New Roman" w:cs="Times New Roman"/>
                <w:vertAlign w:val="superscript"/>
              </w:rPr>
              <w:footnoteReference w:id="7"/>
            </w:r>
          </w:p>
          <w:p w:rsidR="00005A64" w:rsidRPr="00005A64" w:rsidRDefault="00002722" w:rsidP="00701CD0">
            <w:pPr>
              <w:keepNext/>
              <w:keepLines/>
              <w:spacing w:before="60" w:after="120"/>
              <w:rPr>
                <w:rFonts w:ascii="Times New Roman" w:hAnsi="Times New Roman" w:cs="Times New Roman"/>
              </w:rPr>
            </w:pPr>
            <w:r w:rsidRPr="00002722">
              <w:rPr>
                <w:rFonts w:ascii="Times New Roman" w:hAnsi="Times New Roman" w:cs="Times New Roman"/>
              </w:rPr>
              <w:t>Taking into account these principles, the Panel concludes there is a strong case to suspend the operation of the ICRC's first biennial recalibration process, on the basis that parallel price-setting processes undermine confidence in the regulatory system.</w:t>
            </w:r>
          </w:p>
        </w:tc>
      </w:tr>
      <w:tr w:rsidR="00005A64" w:rsidRPr="00005A64" w:rsidTr="00546BF7">
        <w:tc>
          <w:tcPr>
            <w:tcW w:w="4361" w:type="dxa"/>
          </w:tcPr>
          <w:p w:rsidR="00005A64" w:rsidRPr="00005A64" w:rsidRDefault="00005A64" w:rsidP="00CA72E4">
            <w:pPr>
              <w:keepNext/>
              <w:keepLines/>
              <w:spacing w:before="120" w:after="120"/>
              <w:rPr>
                <w:rFonts w:ascii="Times New Roman" w:hAnsi="Times New Roman" w:cs="Times New Roman"/>
                <w:b/>
              </w:rPr>
            </w:pPr>
            <w:r w:rsidRPr="00005A64">
              <w:rPr>
                <w:rFonts w:ascii="Times New Roman" w:hAnsi="Times New Roman" w:cs="Times New Roman"/>
                <w:b/>
              </w:rPr>
              <w:lastRenderedPageBreak/>
              <w:t>Cost of the biennial recalibration process</w:t>
            </w:r>
          </w:p>
          <w:p w:rsidR="00002722" w:rsidRPr="00002722" w:rsidRDefault="00002722" w:rsidP="00002722">
            <w:pPr>
              <w:keepNext/>
              <w:keepLines/>
              <w:spacing w:before="120" w:after="120"/>
              <w:rPr>
                <w:rFonts w:ascii="Times New Roman" w:hAnsi="Times New Roman" w:cs="Times New Roman"/>
              </w:rPr>
            </w:pPr>
            <w:r w:rsidRPr="00002722">
              <w:rPr>
                <w:rFonts w:ascii="Times New Roman" w:hAnsi="Times New Roman" w:cs="Times New Roman"/>
              </w:rPr>
              <w:t>Icon Water submits that “further costs to be incurred by Icon Water and the ICRC in relation to continuation of the biennial review process would be up to $1 million”.</w:t>
            </w:r>
          </w:p>
          <w:p w:rsidR="00002722" w:rsidRPr="00002722" w:rsidRDefault="00002722" w:rsidP="00002722">
            <w:pPr>
              <w:keepNext/>
              <w:keepLines/>
              <w:spacing w:before="120" w:after="120"/>
              <w:rPr>
                <w:rFonts w:ascii="Times New Roman" w:hAnsi="Times New Roman" w:cs="Times New Roman"/>
              </w:rPr>
            </w:pPr>
            <w:r w:rsidRPr="00002722">
              <w:rPr>
                <w:rFonts w:ascii="Times New Roman" w:hAnsi="Times New Roman" w:cs="Times New Roman"/>
              </w:rPr>
              <w:t>Icon Water suggests that, given the Panel’s draft decision, it is “most likely” that the Panel’s final decision will substitute a price direction that fixes prices for 2015</w:t>
            </w:r>
            <w:r w:rsidRPr="00002722">
              <w:rPr>
                <w:rFonts w:ascii="Times New Roman" w:hAnsi="Times New Roman" w:cs="Times New Roman"/>
              </w:rPr>
              <w:noBreakHyphen/>
              <w:t>16 and 2016-17, without the need for a recalibration process. This would mean that “the current biennial review would not be required and the further time and resources spent on the process by both Icon Water and the ICRC would provide no real value to customers”.</w:t>
            </w:r>
          </w:p>
          <w:p w:rsidR="00005A64" w:rsidRPr="00005A64" w:rsidRDefault="00005A64" w:rsidP="00CA72E4">
            <w:pPr>
              <w:keepNext/>
              <w:keepLines/>
              <w:spacing w:before="120" w:after="120"/>
              <w:rPr>
                <w:rFonts w:ascii="Times New Roman" w:hAnsi="Times New Roman" w:cs="Times New Roman"/>
              </w:rPr>
            </w:pPr>
          </w:p>
        </w:tc>
        <w:tc>
          <w:tcPr>
            <w:tcW w:w="10206" w:type="dxa"/>
          </w:tcPr>
          <w:p w:rsidR="00002722" w:rsidRPr="00002722" w:rsidRDefault="00002722" w:rsidP="00002722">
            <w:pPr>
              <w:keepNext/>
              <w:keepLines/>
              <w:spacing w:before="60" w:after="60"/>
              <w:rPr>
                <w:rFonts w:ascii="Times New Roman" w:hAnsi="Times New Roman" w:cs="Times New Roman"/>
              </w:rPr>
            </w:pPr>
            <w:r w:rsidRPr="00002722">
              <w:rPr>
                <w:rFonts w:ascii="Times New Roman" w:hAnsi="Times New Roman" w:cs="Times New Roman"/>
              </w:rPr>
              <w:t>Th</w:t>
            </w:r>
            <w:r w:rsidR="000520E0">
              <w:rPr>
                <w:rFonts w:ascii="Times New Roman" w:hAnsi="Times New Roman" w:cs="Times New Roman"/>
              </w:rPr>
              <w:t>e Panel is aware there is some uncertainty</w:t>
            </w:r>
            <w:r w:rsidRPr="00002722">
              <w:rPr>
                <w:rFonts w:ascii="Times New Roman" w:hAnsi="Times New Roman" w:cs="Times New Roman"/>
              </w:rPr>
              <w:t xml:space="preserve"> as to </w:t>
            </w:r>
            <w:r w:rsidR="00194828">
              <w:rPr>
                <w:rFonts w:ascii="Times New Roman" w:hAnsi="Times New Roman" w:cs="Times New Roman"/>
              </w:rPr>
              <w:t xml:space="preserve">the </w:t>
            </w:r>
            <w:r w:rsidRPr="00002722">
              <w:rPr>
                <w:rFonts w:ascii="Times New Roman" w:hAnsi="Times New Roman" w:cs="Times New Roman"/>
              </w:rPr>
              <w:t>costs payable by Icon Water for its continued participation in the first b</w:t>
            </w:r>
            <w:r w:rsidR="00D6285A">
              <w:rPr>
                <w:rFonts w:ascii="Times New Roman" w:hAnsi="Times New Roman" w:cs="Times New Roman"/>
              </w:rPr>
              <w:t xml:space="preserve">iennial recalibration process. </w:t>
            </w:r>
            <w:r w:rsidRPr="00002722">
              <w:rPr>
                <w:rFonts w:ascii="Times New Roman" w:hAnsi="Times New Roman" w:cs="Times New Roman"/>
              </w:rPr>
              <w:t>In a media release dated 3 February 2015, the ICRC disputed Icon Water's estimate, stating that the estimate is "wildly at odds with the Commission's own estimates of the cos</w:t>
            </w:r>
            <w:r w:rsidR="00D6285A">
              <w:rPr>
                <w:rFonts w:ascii="Times New Roman" w:hAnsi="Times New Roman" w:cs="Times New Roman"/>
              </w:rPr>
              <w:t xml:space="preserve">ts of completing the process." </w:t>
            </w:r>
            <w:r w:rsidRPr="00002722">
              <w:rPr>
                <w:rFonts w:ascii="Times New Roman" w:hAnsi="Times New Roman" w:cs="Times New Roman"/>
              </w:rPr>
              <w:t xml:space="preserve">The ICRC estimated that Icon Water's costs in completing the </w:t>
            </w:r>
            <w:r w:rsidR="00194828">
              <w:rPr>
                <w:rFonts w:ascii="Times New Roman" w:hAnsi="Times New Roman" w:cs="Times New Roman"/>
              </w:rPr>
              <w:t xml:space="preserve">first biennial </w:t>
            </w:r>
            <w:r w:rsidRPr="00002722">
              <w:rPr>
                <w:rFonts w:ascii="Times New Roman" w:hAnsi="Times New Roman" w:cs="Times New Roman"/>
              </w:rPr>
              <w:t xml:space="preserve">recalibration process would be in the order of less than $250,000. </w:t>
            </w:r>
          </w:p>
          <w:p w:rsidR="00002722" w:rsidRPr="00002722" w:rsidRDefault="00002722" w:rsidP="00002722">
            <w:pPr>
              <w:keepNext/>
              <w:keepLines/>
              <w:spacing w:before="60" w:after="60"/>
              <w:rPr>
                <w:rFonts w:ascii="Times New Roman" w:hAnsi="Times New Roman" w:cs="Times New Roman"/>
              </w:rPr>
            </w:pPr>
            <w:r w:rsidRPr="00002722">
              <w:rPr>
                <w:rFonts w:ascii="Times New Roman" w:hAnsi="Times New Roman" w:cs="Times New Roman"/>
              </w:rPr>
              <w:t xml:space="preserve">While the Panel is not in a position to verify, in an expeditious way, the total amount of the regulatory costs likely to be incurred as a result of the continuation of the </w:t>
            </w:r>
            <w:r w:rsidR="00194828">
              <w:rPr>
                <w:rFonts w:ascii="Times New Roman" w:hAnsi="Times New Roman" w:cs="Times New Roman"/>
              </w:rPr>
              <w:t xml:space="preserve">first </w:t>
            </w:r>
            <w:r w:rsidRPr="00002722">
              <w:rPr>
                <w:rFonts w:ascii="Times New Roman" w:hAnsi="Times New Roman" w:cs="Times New Roman"/>
              </w:rPr>
              <w:t xml:space="preserve">biennial recalibration process, it accepts that they will be material. Irrespective of any conjecture as to the total amount that may be incurred, any funds directed towards the continued recalibration process may prove </w:t>
            </w:r>
            <w:proofErr w:type="gramStart"/>
            <w:r w:rsidRPr="00002722">
              <w:rPr>
                <w:rFonts w:ascii="Times New Roman" w:hAnsi="Times New Roman" w:cs="Times New Roman"/>
              </w:rPr>
              <w:t>redundant,</w:t>
            </w:r>
            <w:proofErr w:type="gramEnd"/>
            <w:r w:rsidRPr="00002722">
              <w:rPr>
                <w:rFonts w:ascii="Times New Roman" w:hAnsi="Times New Roman" w:cs="Times New Roman"/>
              </w:rPr>
              <w:t xml:space="preserve"> and therefore inexpedient for Icon Water and ultimately, its customers, to bear. </w:t>
            </w:r>
          </w:p>
          <w:p w:rsidR="00002722" w:rsidRPr="00002722" w:rsidRDefault="00002722" w:rsidP="00002722">
            <w:pPr>
              <w:keepNext/>
              <w:keepLines/>
              <w:spacing w:before="60" w:after="60"/>
              <w:rPr>
                <w:rFonts w:ascii="Times New Roman" w:hAnsi="Times New Roman" w:cs="Times New Roman"/>
              </w:rPr>
            </w:pPr>
            <w:r w:rsidRPr="00002722">
              <w:rPr>
                <w:rFonts w:ascii="Times New Roman" w:hAnsi="Times New Roman" w:cs="Times New Roman"/>
              </w:rPr>
              <w:t xml:space="preserve">The Panel </w:t>
            </w:r>
            <w:r w:rsidR="00194828">
              <w:rPr>
                <w:rFonts w:ascii="Times New Roman" w:hAnsi="Times New Roman" w:cs="Times New Roman"/>
              </w:rPr>
              <w:t xml:space="preserve">understands </w:t>
            </w:r>
            <w:r w:rsidRPr="00002722">
              <w:rPr>
                <w:rFonts w:ascii="Times New Roman" w:hAnsi="Times New Roman" w:cs="Times New Roman"/>
              </w:rPr>
              <w:t xml:space="preserve">that if the current recalibration process continues, at least the following future costs will arise in undertaking the remaining steps to complete the process (as set out in Table 1 above):  </w:t>
            </w:r>
          </w:p>
          <w:p w:rsidR="00002722" w:rsidRPr="00002722" w:rsidRDefault="00002722" w:rsidP="00002722">
            <w:pPr>
              <w:keepNext/>
              <w:keepLines/>
              <w:numPr>
                <w:ilvl w:val="0"/>
                <w:numId w:val="30"/>
              </w:numPr>
              <w:spacing w:before="60" w:after="60"/>
              <w:rPr>
                <w:rFonts w:ascii="Times New Roman" w:hAnsi="Times New Roman" w:cs="Times New Roman"/>
              </w:rPr>
            </w:pPr>
            <w:r w:rsidRPr="00002722">
              <w:rPr>
                <w:rFonts w:ascii="Times New Roman" w:hAnsi="Times New Roman" w:cs="Times New Roman"/>
              </w:rPr>
              <w:t>Icon Water will incur costs in responding to the ICRC’s technical paper on water demand forecasting</w:t>
            </w:r>
            <w:r w:rsidRPr="00002722">
              <w:rPr>
                <w:rFonts w:ascii="Times New Roman" w:hAnsi="Times New Roman" w:cs="Times New Roman"/>
                <w:vertAlign w:val="superscript"/>
              </w:rPr>
              <w:footnoteReference w:id="8"/>
            </w:r>
            <w:r w:rsidRPr="00002722">
              <w:rPr>
                <w:rFonts w:ascii="Times New Roman" w:hAnsi="Times New Roman" w:cs="Times New Roman"/>
              </w:rPr>
              <w:t>, and in making a submis</w:t>
            </w:r>
            <w:r w:rsidR="00E57E5B">
              <w:rPr>
                <w:rFonts w:ascii="Times New Roman" w:hAnsi="Times New Roman" w:cs="Times New Roman"/>
              </w:rPr>
              <w:t>sion to the ICRC's draft report,</w:t>
            </w:r>
            <w:r w:rsidRPr="00002722">
              <w:rPr>
                <w:rFonts w:ascii="Times New Roman" w:hAnsi="Times New Roman" w:cs="Times New Roman"/>
              </w:rPr>
              <w:t xml:space="preserve"> and </w:t>
            </w:r>
          </w:p>
          <w:p w:rsidR="00002722" w:rsidRPr="00002722" w:rsidRDefault="00002722" w:rsidP="00002722">
            <w:pPr>
              <w:keepNext/>
              <w:keepLines/>
              <w:numPr>
                <w:ilvl w:val="0"/>
                <w:numId w:val="30"/>
              </w:numPr>
              <w:spacing w:before="60" w:after="60"/>
              <w:rPr>
                <w:rFonts w:ascii="Times New Roman" w:hAnsi="Times New Roman" w:cs="Times New Roman"/>
              </w:rPr>
            </w:pPr>
            <w:proofErr w:type="gramStart"/>
            <w:r w:rsidRPr="00002722">
              <w:rPr>
                <w:rFonts w:ascii="Times New Roman" w:hAnsi="Times New Roman" w:cs="Times New Roman"/>
              </w:rPr>
              <w:t>the</w:t>
            </w:r>
            <w:proofErr w:type="gramEnd"/>
            <w:r w:rsidRPr="00002722">
              <w:rPr>
                <w:rFonts w:ascii="Times New Roman" w:hAnsi="Times New Roman" w:cs="Times New Roman"/>
              </w:rPr>
              <w:t xml:space="preserve"> ICRC will incur costs in analysing submissions, and in preparing its draft and final reports.</w:t>
            </w:r>
          </w:p>
          <w:p w:rsidR="00002722" w:rsidRPr="00002722" w:rsidRDefault="00002722" w:rsidP="00002722">
            <w:pPr>
              <w:keepNext/>
              <w:keepLines/>
              <w:spacing w:before="60" w:after="60"/>
              <w:rPr>
                <w:rFonts w:ascii="Times New Roman" w:hAnsi="Times New Roman" w:cs="Times New Roman"/>
              </w:rPr>
            </w:pPr>
            <w:r w:rsidRPr="00002722">
              <w:rPr>
                <w:rFonts w:ascii="Times New Roman" w:hAnsi="Times New Roman" w:cs="Times New Roman"/>
              </w:rPr>
              <w:t>Given the fact that regulatory costs associated with the regulation of water and sewerage services (</w:t>
            </w:r>
            <w:proofErr w:type="spellStart"/>
            <w:r w:rsidRPr="00002722">
              <w:rPr>
                <w:rFonts w:ascii="Times New Roman" w:hAnsi="Times New Roman" w:cs="Times New Roman"/>
              </w:rPr>
              <w:t>ie</w:t>
            </w:r>
            <w:proofErr w:type="spellEnd"/>
            <w:r w:rsidRPr="00002722">
              <w:rPr>
                <w:rFonts w:ascii="Times New Roman" w:hAnsi="Times New Roman" w:cs="Times New Roman"/>
              </w:rPr>
              <w:t xml:space="preserve">, incurred by both the regulated water entity and the regulator) are ultimately recouped from the ACT community, the Panel considers it important </w:t>
            </w:r>
            <w:r w:rsidR="00AE4699">
              <w:rPr>
                <w:rFonts w:ascii="Times New Roman" w:hAnsi="Times New Roman" w:cs="Times New Roman"/>
              </w:rPr>
              <w:t>that these costs be reasonable and necessary to the achievement of the regulatory objective.</w:t>
            </w:r>
          </w:p>
          <w:p w:rsidR="00002722" w:rsidRPr="00002722" w:rsidRDefault="00002722" w:rsidP="00002722">
            <w:pPr>
              <w:keepNext/>
              <w:keepLines/>
              <w:spacing w:before="60" w:after="60"/>
              <w:rPr>
                <w:rFonts w:ascii="Times New Roman" w:hAnsi="Times New Roman" w:cs="Times New Roman"/>
              </w:rPr>
            </w:pPr>
            <w:r w:rsidRPr="00002722">
              <w:rPr>
                <w:rFonts w:ascii="Times New Roman" w:hAnsi="Times New Roman" w:cs="Times New Roman"/>
              </w:rPr>
              <w:t xml:space="preserve">The costs of the first biennial recalibration will be unnecessary if the Panel’s final decision </w:t>
            </w:r>
            <w:r w:rsidR="00D6285A">
              <w:rPr>
                <w:rFonts w:ascii="Times New Roman" w:hAnsi="Times New Roman" w:cs="Times New Roman"/>
              </w:rPr>
              <w:t>resulting from</w:t>
            </w:r>
            <w:r w:rsidRPr="00002722">
              <w:rPr>
                <w:rFonts w:ascii="Times New Roman" w:hAnsi="Times New Roman" w:cs="Times New Roman"/>
              </w:rPr>
              <w:t xml:space="preserve"> its review of the 2013 Price Direction:</w:t>
            </w:r>
          </w:p>
          <w:p w:rsidR="00002722" w:rsidRPr="00002722" w:rsidRDefault="00002722" w:rsidP="00002722">
            <w:pPr>
              <w:keepNext/>
              <w:keepLines/>
              <w:numPr>
                <w:ilvl w:val="0"/>
                <w:numId w:val="30"/>
              </w:numPr>
              <w:spacing w:before="60" w:after="60"/>
              <w:rPr>
                <w:rFonts w:ascii="Times New Roman" w:hAnsi="Times New Roman" w:cs="Times New Roman"/>
              </w:rPr>
            </w:pPr>
            <w:r w:rsidRPr="00002722">
              <w:rPr>
                <w:rFonts w:ascii="Times New Roman" w:hAnsi="Times New Roman" w:cs="Times New Roman"/>
              </w:rPr>
              <w:t>becomes effective in time for implementation by the start of the 2015-16 regulatory year</w:t>
            </w:r>
            <w:r w:rsidR="00194828">
              <w:rPr>
                <w:rFonts w:ascii="Times New Roman" w:hAnsi="Times New Roman" w:cs="Times New Roman"/>
              </w:rPr>
              <w:t xml:space="preserve"> (</w:t>
            </w:r>
            <w:proofErr w:type="spellStart"/>
            <w:r w:rsidR="00194828">
              <w:rPr>
                <w:rFonts w:ascii="Times New Roman" w:hAnsi="Times New Roman" w:cs="Times New Roman"/>
              </w:rPr>
              <w:t>ie</w:t>
            </w:r>
            <w:proofErr w:type="spellEnd"/>
            <w:r w:rsidR="00194828">
              <w:rPr>
                <w:rFonts w:ascii="Times New Roman" w:hAnsi="Times New Roman" w:cs="Times New Roman"/>
              </w:rPr>
              <w:t>, 1 July 2015)</w:t>
            </w:r>
            <w:r w:rsidR="00E57E5B">
              <w:rPr>
                <w:rFonts w:ascii="Times New Roman" w:hAnsi="Times New Roman" w:cs="Times New Roman"/>
              </w:rPr>
              <w:t>,</w:t>
            </w:r>
            <w:r w:rsidRPr="00002722">
              <w:rPr>
                <w:rFonts w:ascii="Times New Roman" w:hAnsi="Times New Roman" w:cs="Times New Roman"/>
              </w:rPr>
              <w:t xml:space="preserve"> and </w:t>
            </w:r>
          </w:p>
          <w:p w:rsidR="00002722" w:rsidRPr="00002722" w:rsidRDefault="00002722" w:rsidP="00002722">
            <w:pPr>
              <w:keepNext/>
              <w:keepLines/>
              <w:numPr>
                <w:ilvl w:val="0"/>
                <w:numId w:val="30"/>
              </w:numPr>
              <w:spacing w:before="60" w:after="60"/>
              <w:rPr>
                <w:rFonts w:ascii="Times New Roman" w:hAnsi="Times New Roman" w:cs="Times New Roman"/>
              </w:rPr>
            </w:pPr>
            <w:proofErr w:type="gramStart"/>
            <w:r w:rsidRPr="00002722">
              <w:rPr>
                <w:rFonts w:ascii="Times New Roman" w:hAnsi="Times New Roman" w:cs="Times New Roman"/>
              </w:rPr>
              <w:t>substitutes</w:t>
            </w:r>
            <w:proofErr w:type="gramEnd"/>
            <w:r w:rsidRPr="00002722">
              <w:rPr>
                <w:rFonts w:ascii="Times New Roman" w:hAnsi="Times New Roman" w:cs="Times New Roman"/>
              </w:rPr>
              <w:t xml:space="preserve"> a new price direction that does not include a recalibration process to set 2015-16 prices.  </w:t>
            </w:r>
          </w:p>
          <w:p w:rsidR="00005A64" w:rsidRPr="00005A64" w:rsidRDefault="00002722" w:rsidP="000520E0">
            <w:pPr>
              <w:keepNext/>
              <w:keepLines/>
              <w:spacing w:before="120" w:after="120"/>
              <w:rPr>
                <w:rFonts w:ascii="Times New Roman" w:hAnsi="Times New Roman" w:cs="Times New Roman"/>
              </w:rPr>
            </w:pPr>
            <w:r w:rsidRPr="00002722">
              <w:rPr>
                <w:rFonts w:ascii="Times New Roman" w:hAnsi="Times New Roman" w:cs="Times New Roman"/>
              </w:rPr>
              <w:t>As per the Panel's draft report, the Panel anticipates both of these conditions will be met. This being the case, the Panel concludes there is a strong case to suspend the operation of the first biennial recalibration process on the basis that it will mitigate the burden of regulatory cos</w:t>
            </w:r>
            <w:r w:rsidR="00D6285A">
              <w:rPr>
                <w:rFonts w:ascii="Times New Roman" w:hAnsi="Times New Roman" w:cs="Times New Roman"/>
              </w:rPr>
              <w:t>ts imposed on the ACT community. This will be the case</w:t>
            </w:r>
            <w:r w:rsidRPr="00002722">
              <w:rPr>
                <w:rFonts w:ascii="Times New Roman" w:hAnsi="Times New Roman" w:cs="Times New Roman"/>
              </w:rPr>
              <w:t xml:space="preserve"> irrespective of the </w:t>
            </w:r>
            <w:r w:rsidR="000520E0">
              <w:rPr>
                <w:rFonts w:ascii="Times New Roman" w:hAnsi="Times New Roman" w:cs="Times New Roman"/>
              </w:rPr>
              <w:t>accuracy</w:t>
            </w:r>
            <w:r w:rsidRPr="00002722">
              <w:rPr>
                <w:rFonts w:ascii="Times New Roman" w:hAnsi="Times New Roman" w:cs="Times New Roman"/>
              </w:rPr>
              <w:t xml:space="preserve"> of the estimate provided by Icon Water in its </w:t>
            </w:r>
            <w:r w:rsidR="00194828">
              <w:rPr>
                <w:rFonts w:ascii="Times New Roman" w:hAnsi="Times New Roman" w:cs="Times New Roman"/>
              </w:rPr>
              <w:t xml:space="preserve">section 24S </w:t>
            </w:r>
            <w:r w:rsidRPr="00002722">
              <w:rPr>
                <w:rFonts w:ascii="Times New Roman" w:hAnsi="Times New Roman" w:cs="Times New Roman"/>
              </w:rPr>
              <w:t>application.</w:t>
            </w:r>
          </w:p>
        </w:tc>
      </w:tr>
      <w:tr w:rsidR="00005A64" w:rsidRPr="00005A64" w:rsidTr="00546BF7">
        <w:tc>
          <w:tcPr>
            <w:tcW w:w="4361" w:type="dxa"/>
            <w:shd w:val="clear" w:color="auto" w:fill="BFBFBF" w:themeFill="background1" w:themeFillShade="BF"/>
          </w:tcPr>
          <w:p w:rsidR="00005A64" w:rsidRPr="00005A64" w:rsidRDefault="00005A64" w:rsidP="00CA72E4">
            <w:pPr>
              <w:keepNext/>
              <w:keepLines/>
              <w:spacing w:before="120" w:after="120"/>
              <w:rPr>
                <w:rFonts w:ascii="Times New Roman" w:hAnsi="Times New Roman" w:cs="Times New Roman"/>
                <w:b/>
              </w:rPr>
            </w:pPr>
            <w:r w:rsidRPr="00005A64">
              <w:rPr>
                <w:rFonts w:ascii="Times New Roman" w:hAnsi="Times New Roman" w:cs="Times New Roman"/>
                <w:b/>
              </w:rPr>
              <w:lastRenderedPageBreak/>
              <w:t>Issues raised in Dr Dwyer’s submission</w:t>
            </w:r>
          </w:p>
        </w:tc>
        <w:tc>
          <w:tcPr>
            <w:tcW w:w="10206" w:type="dxa"/>
            <w:shd w:val="clear" w:color="auto" w:fill="BFBFBF" w:themeFill="background1" w:themeFillShade="BF"/>
          </w:tcPr>
          <w:p w:rsidR="00005A64" w:rsidRPr="00005A64" w:rsidRDefault="00005A64" w:rsidP="00CA72E4">
            <w:pPr>
              <w:keepNext/>
              <w:keepLines/>
              <w:spacing w:before="120" w:after="120"/>
              <w:rPr>
                <w:rFonts w:ascii="Times New Roman" w:hAnsi="Times New Roman" w:cs="Times New Roman"/>
                <w:b/>
              </w:rPr>
            </w:pPr>
            <w:r w:rsidRPr="00005A64">
              <w:rPr>
                <w:rFonts w:ascii="Times New Roman" w:hAnsi="Times New Roman" w:cs="Times New Roman"/>
                <w:b/>
              </w:rPr>
              <w:t>The Panel’s assessment</w:t>
            </w:r>
          </w:p>
        </w:tc>
      </w:tr>
      <w:tr w:rsidR="00005A64" w:rsidRPr="00005A64" w:rsidTr="00546BF7">
        <w:tc>
          <w:tcPr>
            <w:tcW w:w="4361" w:type="dxa"/>
          </w:tcPr>
          <w:p w:rsidR="00AE4699" w:rsidRPr="00AE4699" w:rsidRDefault="00AE4699" w:rsidP="00AE4699">
            <w:pPr>
              <w:keepNext/>
              <w:keepLines/>
              <w:spacing w:before="120" w:after="120"/>
              <w:rPr>
                <w:rFonts w:ascii="Times New Roman" w:hAnsi="Times New Roman" w:cs="Times New Roman"/>
                <w:b/>
              </w:rPr>
            </w:pPr>
            <w:r w:rsidRPr="00AE4699">
              <w:rPr>
                <w:rFonts w:ascii="Times New Roman" w:hAnsi="Times New Roman" w:cs="Times New Roman"/>
                <w:b/>
              </w:rPr>
              <w:t>Icon Water is not serious about saving regulatory expenses, and costs should not be passed</w:t>
            </w:r>
            <w:r w:rsidR="00194828">
              <w:rPr>
                <w:rFonts w:ascii="Times New Roman" w:hAnsi="Times New Roman" w:cs="Times New Roman"/>
                <w:b/>
              </w:rPr>
              <w:t xml:space="preserve"> on</w:t>
            </w:r>
            <w:r w:rsidRPr="00AE4699">
              <w:rPr>
                <w:rFonts w:ascii="Times New Roman" w:hAnsi="Times New Roman" w:cs="Times New Roman"/>
                <w:b/>
              </w:rPr>
              <w:t xml:space="preserve"> to consumers</w:t>
            </w:r>
          </w:p>
          <w:p w:rsidR="00005A64" w:rsidRPr="00AE4699" w:rsidRDefault="00194828" w:rsidP="00D6285A">
            <w:pPr>
              <w:keepNext/>
              <w:keepLines/>
              <w:spacing w:before="120" w:after="120"/>
              <w:rPr>
                <w:rFonts w:ascii="Times New Roman" w:hAnsi="Times New Roman" w:cs="Times New Roman"/>
              </w:rPr>
            </w:pPr>
            <w:r>
              <w:rPr>
                <w:rFonts w:ascii="Times New Roman" w:hAnsi="Times New Roman" w:cs="Times New Roman"/>
              </w:rPr>
              <w:t>Dr</w:t>
            </w:r>
            <w:r w:rsidR="00AE4699" w:rsidRPr="00AE4699">
              <w:rPr>
                <w:rFonts w:ascii="Times New Roman" w:hAnsi="Times New Roman" w:cs="Times New Roman"/>
              </w:rPr>
              <w:t xml:space="preserve"> Dwyer submit</w:t>
            </w:r>
            <w:r w:rsidR="00D6285A">
              <w:rPr>
                <w:rFonts w:ascii="Times New Roman" w:hAnsi="Times New Roman" w:cs="Times New Roman"/>
              </w:rPr>
              <w:t>s</w:t>
            </w:r>
            <w:r w:rsidR="00AE4699" w:rsidRPr="00AE4699">
              <w:rPr>
                <w:rFonts w:ascii="Times New Roman" w:hAnsi="Times New Roman" w:cs="Times New Roman"/>
              </w:rPr>
              <w:t xml:space="preserve"> that Icon Water should “pay the costs and not be reimbursed at [customers’] expense”, and that the Panel should not be concerned about Icon Water's "convenience".</w:t>
            </w:r>
          </w:p>
        </w:tc>
        <w:tc>
          <w:tcPr>
            <w:tcW w:w="10206" w:type="dxa"/>
          </w:tcPr>
          <w:p w:rsidR="00AE4699" w:rsidRPr="00AE4699" w:rsidRDefault="00AE4699" w:rsidP="00AE4699">
            <w:pPr>
              <w:keepNext/>
              <w:keepLines/>
              <w:spacing w:before="120" w:after="60"/>
              <w:rPr>
                <w:rFonts w:ascii="Times New Roman" w:hAnsi="Times New Roman" w:cs="Times New Roman"/>
              </w:rPr>
            </w:pPr>
            <w:r w:rsidRPr="00AE4699">
              <w:rPr>
                <w:rFonts w:ascii="Times New Roman" w:hAnsi="Times New Roman" w:cs="Times New Roman"/>
              </w:rPr>
              <w:t>The Panel had difficulty in interpreting this submission, although its main point appears to be concern about costs being passed on to consumers. The Panel notes that it is inevitable that the costs of the biennial recalibration process will ultimately be borne by the ACT community, either by:</w:t>
            </w:r>
          </w:p>
          <w:p w:rsidR="00AE4699" w:rsidRPr="00AE4699" w:rsidRDefault="00AE4699" w:rsidP="00AE4699">
            <w:pPr>
              <w:keepNext/>
              <w:keepLines/>
              <w:numPr>
                <w:ilvl w:val="0"/>
                <w:numId w:val="31"/>
              </w:numPr>
              <w:spacing w:before="120" w:after="60"/>
              <w:rPr>
                <w:rFonts w:ascii="Times New Roman" w:hAnsi="Times New Roman" w:cs="Times New Roman"/>
              </w:rPr>
            </w:pPr>
            <w:r w:rsidRPr="00AE4699">
              <w:rPr>
                <w:rFonts w:ascii="Times New Roman" w:hAnsi="Times New Roman" w:cs="Times New Roman"/>
              </w:rPr>
              <w:t xml:space="preserve">customers of water and sewerage services, since the costs of regulation represent a form of operating expenditure, which </w:t>
            </w:r>
            <w:r w:rsidR="00E57E5B">
              <w:rPr>
                <w:rFonts w:ascii="Times New Roman" w:hAnsi="Times New Roman" w:cs="Times New Roman"/>
              </w:rPr>
              <w:t>may be passed on through prices,</w:t>
            </w:r>
            <w:r w:rsidRPr="00AE4699">
              <w:rPr>
                <w:rFonts w:ascii="Times New Roman" w:hAnsi="Times New Roman" w:cs="Times New Roman"/>
              </w:rPr>
              <w:t xml:space="preserve"> or</w:t>
            </w:r>
          </w:p>
          <w:p w:rsidR="001F2B70" w:rsidRPr="001F2B70" w:rsidRDefault="001F2B70" w:rsidP="001F2B70">
            <w:pPr>
              <w:pStyle w:val="ListParagraph"/>
              <w:keepNext/>
              <w:keepLines/>
              <w:numPr>
                <w:ilvl w:val="0"/>
                <w:numId w:val="31"/>
              </w:numPr>
              <w:spacing w:before="60" w:after="60"/>
              <w:ind w:left="357" w:hanging="357"/>
              <w:rPr>
                <w:rFonts w:ascii="Times New Roman" w:hAnsi="Times New Roman"/>
              </w:rPr>
            </w:pPr>
            <w:r w:rsidRPr="00005A64">
              <w:rPr>
                <w:rFonts w:ascii="Times New Roman" w:hAnsi="Times New Roman"/>
              </w:rPr>
              <w:t>ACT taxpayers, given that any regulatory costs not recouped through prices would be reflected in lower dividends and tax-equivalent payments being paid to the ACT government by Icon Water.</w:t>
            </w:r>
          </w:p>
          <w:p w:rsidR="00005A64" w:rsidRPr="00005A64" w:rsidRDefault="00AE4699" w:rsidP="00194828">
            <w:pPr>
              <w:keepNext/>
              <w:keepLines/>
              <w:spacing w:before="120" w:after="120"/>
              <w:rPr>
                <w:rFonts w:ascii="Times New Roman" w:hAnsi="Times New Roman" w:cs="Times New Roman"/>
              </w:rPr>
            </w:pPr>
            <w:r w:rsidRPr="00AE4699">
              <w:rPr>
                <w:rFonts w:ascii="Times New Roman" w:hAnsi="Times New Roman" w:cs="Times New Roman"/>
              </w:rPr>
              <w:t>The Panel’s view is that measures should be taken to minimise the burden of re</w:t>
            </w:r>
            <w:r w:rsidR="00D6285A">
              <w:rPr>
                <w:rFonts w:ascii="Times New Roman" w:hAnsi="Times New Roman" w:cs="Times New Roman"/>
              </w:rPr>
              <w:t xml:space="preserve">gulation on the ACT community. </w:t>
            </w:r>
            <w:r w:rsidRPr="00AE4699">
              <w:rPr>
                <w:rFonts w:ascii="Times New Roman" w:hAnsi="Times New Roman" w:cs="Times New Roman"/>
              </w:rPr>
              <w:t xml:space="preserve">The suspension of the </w:t>
            </w:r>
            <w:r w:rsidR="00D6285A">
              <w:rPr>
                <w:rFonts w:ascii="Times New Roman" w:hAnsi="Times New Roman" w:cs="Times New Roman"/>
              </w:rPr>
              <w:t xml:space="preserve">biennial </w:t>
            </w:r>
            <w:r w:rsidRPr="00AE4699">
              <w:rPr>
                <w:rFonts w:ascii="Times New Roman" w:hAnsi="Times New Roman" w:cs="Times New Roman"/>
              </w:rPr>
              <w:t xml:space="preserve">recalibration process now, before further costs are incurred, will </w:t>
            </w:r>
            <w:proofErr w:type="gramStart"/>
            <w:r w:rsidRPr="00AE4699">
              <w:rPr>
                <w:rFonts w:ascii="Times New Roman" w:hAnsi="Times New Roman" w:cs="Times New Roman"/>
              </w:rPr>
              <w:t>mitigate</w:t>
            </w:r>
            <w:proofErr w:type="gramEnd"/>
            <w:r w:rsidRPr="00AE4699">
              <w:rPr>
                <w:rFonts w:ascii="Times New Roman" w:hAnsi="Times New Roman" w:cs="Times New Roman"/>
              </w:rPr>
              <w:t xml:space="preserve"> against unnecessary costs being incurred by the community. </w:t>
            </w:r>
          </w:p>
        </w:tc>
      </w:tr>
    </w:tbl>
    <w:p w:rsidR="00B56E6E" w:rsidRDefault="00B56E6E" w:rsidP="005957BD">
      <w:pPr>
        <w:rPr>
          <w:rFonts w:ascii="Times New Roman" w:hAnsi="Times New Roman" w:cs="Times New Roman"/>
          <w:sz w:val="24"/>
          <w:szCs w:val="24"/>
        </w:rPr>
        <w:sectPr w:rsidR="00B56E6E" w:rsidSect="005E0334">
          <w:footerReference w:type="default" r:id="rId13"/>
          <w:pgSz w:w="16838" w:h="11906" w:orient="landscape"/>
          <w:pgMar w:top="1440" w:right="1440" w:bottom="1440" w:left="1440" w:header="708" w:footer="708" w:gutter="0"/>
          <w:cols w:space="708"/>
          <w:docGrid w:linePitch="360"/>
        </w:sectPr>
      </w:pPr>
    </w:p>
    <w:p w:rsidR="00AE4699" w:rsidRPr="00AE4699" w:rsidRDefault="001D75E9" w:rsidP="00A768A4">
      <w:pPr>
        <w:rPr>
          <w:rFonts w:ascii="Times New Roman" w:hAnsi="Times New Roman" w:cs="Times New Roman"/>
          <w:b/>
          <w:sz w:val="28"/>
          <w:szCs w:val="28"/>
        </w:rPr>
      </w:pPr>
      <w:bookmarkStart w:id="15" w:name="_Toc391540024"/>
      <w:bookmarkStart w:id="16" w:name="_Toc391540086"/>
      <w:r>
        <w:rPr>
          <w:rFonts w:ascii="Times New Roman" w:hAnsi="Times New Roman" w:cs="Times New Roman"/>
          <w:b/>
          <w:sz w:val="28"/>
          <w:szCs w:val="28"/>
        </w:rPr>
        <w:lastRenderedPageBreak/>
        <w:t>5</w:t>
      </w:r>
      <w:r w:rsidR="00DD6B96">
        <w:rPr>
          <w:rFonts w:ascii="Times New Roman" w:hAnsi="Times New Roman" w:cs="Times New Roman"/>
          <w:b/>
          <w:sz w:val="28"/>
          <w:szCs w:val="28"/>
        </w:rPr>
        <w:t>.2</w:t>
      </w:r>
      <w:r w:rsidR="00DD6B96">
        <w:rPr>
          <w:rFonts w:ascii="Times New Roman" w:hAnsi="Times New Roman" w:cs="Times New Roman"/>
          <w:b/>
          <w:sz w:val="28"/>
          <w:szCs w:val="28"/>
        </w:rPr>
        <w:tab/>
      </w:r>
      <w:r w:rsidR="00AE4699" w:rsidRPr="00AE4699">
        <w:rPr>
          <w:rFonts w:ascii="Times New Roman" w:hAnsi="Times New Roman" w:cs="Times New Roman"/>
          <w:b/>
          <w:sz w:val="28"/>
          <w:szCs w:val="28"/>
        </w:rPr>
        <w:t>Interim measures</w:t>
      </w:r>
    </w:p>
    <w:p w:rsidR="00AE4699" w:rsidRPr="00AE4699" w:rsidRDefault="00AE4699" w:rsidP="00AE4699">
      <w:pPr>
        <w:rPr>
          <w:rFonts w:ascii="Times New Roman" w:hAnsi="Times New Roman" w:cs="Times New Roman"/>
          <w:bCs/>
          <w:sz w:val="24"/>
          <w:szCs w:val="24"/>
        </w:rPr>
      </w:pPr>
      <w:r w:rsidRPr="00AE4699">
        <w:rPr>
          <w:rFonts w:ascii="Times New Roman" w:hAnsi="Times New Roman" w:cs="Times New Roman"/>
          <w:bCs/>
          <w:sz w:val="24"/>
          <w:szCs w:val="24"/>
        </w:rPr>
        <w:t>The Panel has considered and recognises that there are theoretical benefits from allowing the first biennial recalibration to continue – specifically, it would facilitate a smooth pricing transition in the event that the Panel’s final decision in reviewing the 2013 Price Direction is to confirm the original price setting regime (including the recalibration process). However, the Panel does not consider it likely that this theoretical benefit will arise in practice. And, in any case, the Panel’s view is that the disadvantages of continuing with the recalibration (as summarised in Table 2) outweigh the benefits.</w:t>
      </w:r>
    </w:p>
    <w:p w:rsidR="00E1363B" w:rsidRDefault="00A768A4" w:rsidP="00A768A4">
      <w:pPr>
        <w:rPr>
          <w:rFonts w:ascii="Times New Roman" w:hAnsi="Times New Roman" w:cs="Times New Roman"/>
          <w:sz w:val="24"/>
          <w:szCs w:val="24"/>
        </w:rPr>
      </w:pPr>
      <w:r w:rsidRPr="00A768A4">
        <w:rPr>
          <w:rFonts w:ascii="Times New Roman" w:hAnsi="Times New Roman" w:cs="Times New Roman"/>
          <w:sz w:val="24"/>
          <w:szCs w:val="24"/>
        </w:rPr>
        <w:t xml:space="preserve">Despite the Panel’s expectation that it will complete its review of </w:t>
      </w:r>
      <w:r w:rsidR="00F57E9F">
        <w:rPr>
          <w:rFonts w:ascii="Times New Roman" w:hAnsi="Times New Roman" w:cs="Times New Roman"/>
          <w:sz w:val="24"/>
          <w:szCs w:val="24"/>
        </w:rPr>
        <w:t>the 2013 Price Direction</w:t>
      </w:r>
      <w:r w:rsidRPr="00A768A4">
        <w:rPr>
          <w:rFonts w:ascii="Times New Roman" w:hAnsi="Times New Roman" w:cs="Times New Roman"/>
          <w:sz w:val="24"/>
          <w:szCs w:val="24"/>
        </w:rPr>
        <w:t xml:space="preserve"> in time for its final decision to be implemented </w:t>
      </w:r>
      <w:r w:rsidR="001F2B70">
        <w:rPr>
          <w:rFonts w:ascii="Times New Roman" w:hAnsi="Times New Roman" w:cs="Times New Roman"/>
          <w:sz w:val="24"/>
          <w:szCs w:val="24"/>
        </w:rPr>
        <w:t>by</w:t>
      </w:r>
      <w:r w:rsidRPr="00A768A4">
        <w:rPr>
          <w:rFonts w:ascii="Times New Roman" w:hAnsi="Times New Roman" w:cs="Times New Roman"/>
          <w:sz w:val="24"/>
          <w:szCs w:val="24"/>
        </w:rPr>
        <w:t xml:space="preserve"> the start of the 2015-16 regulatory </w:t>
      </w:r>
      <w:r w:rsidRPr="001F2B70">
        <w:rPr>
          <w:rFonts w:ascii="Times New Roman" w:hAnsi="Times New Roman" w:cs="Times New Roman"/>
          <w:sz w:val="24"/>
          <w:szCs w:val="24"/>
        </w:rPr>
        <w:t>year, the Panel nevertheless consider</w:t>
      </w:r>
      <w:r w:rsidR="00AE4699" w:rsidRPr="001F2B70">
        <w:rPr>
          <w:rFonts w:ascii="Times New Roman" w:hAnsi="Times New Roman" w:cs="Times New Roman"/>
          <w:sz w:val="24"/>
          <w:szCs w:val="24"/>
        </w:rPr>
        <w:t>s</w:t>
      </w:r>
      <w:r w:rsidRPr="001F2B70">
        <w:rPr>
          <w:rFonts w:ascii="Times New Roman" w:hAnsi="Times New Roman" w:cs="Times New Roman"/>
          <w:sz w:val="24"/>
          <w:szCs w:val="24"/>
        </w:rPr>
        <w:t xml:space="preserve"> it prudent to provide for default prices to apply from </w:t>
      </w:r>
      <w:r w:rsidR="001F2B70" w:rsidRPr="001F2B70">
        <w:rPr>
          <w:rFonts w:ascii="Times New Roman" w:hAnsi="Times New Roman"/>
          <w:sz w:val="24"/>
          <w:szCs w:val="24"/>
        </w:rPr>
        <w:t>5 June 2015</w:t>
      </w:r>
      <w:r w:rsidR="00361ED2">
        <w:rPr>
          <w:rFonts w:ascii="Times New Roman" w:hAnsi="Times New Roman" w:cs="Times New Roman"/>
          <w:iCs/>
          <w:sz w:val="24"/>
          <w:szCs w:val="24"/>
        </w:rPr>
        <w:t xml:space="preserve"> </w:t>
      </w:r>
      <w:r w:rsidRPr="00A768A4">
        <w:rPr>
          <w:rFonts w:ascii="Times New Roman" w:hAnsi="Times New Roman" w:cs="Times New Roman"/>
          <w:sz w:val="24"/>
          <w:szCs w:val="24"/>
        </w:rPr>
        <w:t>to deal with the possibility of unforeseen circumstances resulting in a delay of its final decision being implemented</w:t>
      </w:r>
      <w:r w:rsidR="001F2B70" w:rsidRPr="005957BD">
        <w:rPr>
          <w:rFonts w:ascii="Times New Roman" w:hAnsi="Times New Roman"/>
          <w:sz w:val="24"/>
          <w:szCs w:val="24"/>
        </w:rPr>
        <w:t xml:space="preserve">, and </w:t>
      </w:r>
      <w:r w:rsidR="001F2B70">
        <w:rPr>
          <w:rFonts w:ascii="Times New Roman" w:hAnsi="Times New Roman"/>
          <w:sz w:val="24"/>
          <w:szCs w:val="24"/>
        </w:rPr>
        <w:t>to allow time for Icon Water to adjust its customer contracts.</w:t>
      </w:r>
    </w:p>
    <w:p w:rsidR="00A768A4" w:rsidRPr="00A768A4" w:rsidRDefault="00A768A4" w:rsidP="00A768A4">
      <w:pPr>
        <w:rPr>
          <w:rFonts w:ascii="Times New Roman" w:hAnsi="Times New Roman" w:cs="Times New Roman"/>
          <w:sz w:val="24"/>
          <w:szCs w:val="24"/>
        </w:rPr>
      </w:pPr>
      <w:r w:rsidRPr="00361ED2">
        <w:rPr>
          <w:rFonts w:ascii="Times New Roman" w:hAnsi="Times New Roman" w:cs="Times New Roman"/>
          <w:sz w:val="24"/>
          <w:szCs w:val="24"/>
        </w:rPr>
        <w:t xml:space="preserve">The Panel </w:t>
      </w:r>
      <w:r w:rsidR="001F2B70">
        <w:rPr>
          <w:rFonts w:ascii="Times New Roman" w:hAnsi="Times New Roman" w:cs="Times New Roman"/>
          <w:sz w:val="24"/>
          <w:szCs w:val="24"/>
        </w:rPr>
        <w:t xml:space="preserve">has </w:t>
      </w:r>
      <w:r w:rsidR="00361ED2" w:rsidRPr="00361ED2">
        <w:rPr>
          <w:rFonts w:ascii="Times New Roman" w:hAnsi="Times New Roman" w:cs="Times New Roman"/>
          <w:sz w:val="24"/>
          <w:szCs w:val="24"/>
        </w:rPr>
        <w:t>considered</w:t>
      </w:r>
      <w:r w:rsidR="00E1363B" w:rsidRPr="00361ED2">
        <w:rPr>
          <w:rFonts w:ascii="Times New Roman" w:hAnsi="Times New Roman" w:cs="Times New Roman"/>
          <w:sz w:val="24"/>
          <w:szCs w:val="24"/>
        </w:rPr>
        <w:t xml:space="preserve"> </w:t>
      </w:r>
      <w:r w:rsidRPr="00361ED2">
        <w:rPr>
          <w:rFonts w:ascii="Times New Roman" w:hAnsi="Times New Roman" w:cs="Times New Roman"/>
          <w:sz w:val="24"/>
          <w:szCs w:val="24"/>
        </w:rPr>
        <w:t>Icon Water’s proposal that current prices be changed in line with the consumer price index</w:t>
      </w:r>
      <w:r w:rsidR="00E1363B" w:rsidRPr="00361ED2">
        <w:rPr>
          <w:rFonts w:ascii="Times New Roman" w:hAnsi="Times New Roman" w:cs="Times New Roman"/>
          <w:sz w:val="24"/>
          <w:szCs w:val="24"/>
        </w:rPr>
        <w:t xml:space="preserve"> (</w:t>
      </w:r>
      <w:r w:rsidR="00361ED2" w:rsidRPr="00361ED2">
        <w:rPr>
          <w:rFonts w:ascii="Times New Roman" w:hAnsi="Times New Roman" w:cs="Times New Roman"/>
          <w:sz w:val="24"/>
          <w:szCs w:val="24"/>
        </w:rPr>
        <w:t>'</w:t>
      </w:r>
      <w:r w:rsidR="00E1363B" w:rsidRPr="00361ED2">
        <w:rPr>
          <w:rFonts w:ascii="Times New Roman" w:hAnsi="Times New Roman" w:cs="Times New Roman"/>
          <w:sz w:val="24"/>
          <w:szCs w:val="24"/>
        </w:rPr>
        <w:t>CPI</w:t>
      </w:r>
      <w:r w:rsidR="00361ED2" w:rsidRPr="00361ED2">
        <w:rPr>
          <w:rFonts w:ascii="Times New Roman" w:hAnsi="Times New Roman" w:cs="Times New Roman"/>
          <w:sz w:val="24"/>
          <w:szCs w:val="24"/>
        </w:rPr>
        <w:t>'</w:t>
      </w:r>
      <w:r w:rsidR="00E1363B" w:rsidRPr="00361ED2">
        <w:rPr>
          <w:rFonts w:ascii="Times New Roman" w:hAnsi="Times New Roman" w:cs="Times New Roman"/>
          <w:sz w:val="24"/>
          <w:szCs w:val="24"/>
        </w:rPr>
        <w:t xml:space="preserve">), but </w:t>
      </w:r>
      <w:r w:rsidR="00D6285A">
        <w:rPr>
          <w:rFonts w:ascii="Times New Roman" w:hAnsi="Times New Roman" w:cs="Times New Roman"/>
          <w:sz w:val="24"/>
          <w:szCs w:val="24"/>
        </w:rPr>
        <w:t>believes</w:t>
      </w:r>
      <w:r w:rsidR="00E1363B" w:rsidRPr="00361ED2">
        <w:rPr>
          <w:rFonts w:ascii="Times New Roman" w:hAnsi="Times New Roman" w:cs="Times New Roman"/>
          <w:sz w:val="24"/>
          <w:szCs w:val="24"/>
        </w:rPr>
        <w:t xml:space="preserve"> that this </w:t>
      </w:r>
      <w:r w:rsidR="00361ED2" w:rsidRPr="00361ED2">
        <w:rPr>
          <w:rFonts w:ascii="Times New Roman" w:hAnsi="Times New Roman" w:cs="Times New Roman"/>
          <w:sz w:val="24"/>
          <w:szCs w:val="24"/>
        </w:rPr>
        <w:t xml:space="preserve">method </w:t>
      </w:r>
      <w:r w:rsidR="00E1363B" w:rsidRPr="00361ED2">
        <w:rPr>
          <w:rFonts w:ascii="Times New Roman" w:hAnsi="Times New Roman" w:cs="Times New Roman"/>
          <w:sz w:val="24"/>
          <w:szCs w:val="24"/>
        </w:rPr>
        <w:t xml:space="preserve">could potentially result in price volatility and uncertainty if prices were to rise in line with the CPI, and then change again following the implementation of </w:t>
      </w:r>
      <w:r w:rsidR="00C228BA" w:rsidRPr="00361ED2">
        <w:rPr>
          <w:rFonts w:ascii="Times New Roman" w:hAnsi="Times New Roman" w:cs="Times New Roman"/>
          <w:sz w:val="24"/>
          <w:szCs w:val="24"/>
        </w:rPr>
        <w:t xml:space="preserve">a substituted price direction </w:t>
      </w:r>
      <w:r w:rsidR="00686BB7">
        <w:rPr>
          <w:rFonts w:ascii="Times New Roman" w:hAnsi="Times New Roman" w:cs="Times New Roman"/>
          <w:sz w:val="24"/>
          <w:szCs w:val="24"/>
        </w:rPr>
        <w:t xml:space="preserve">to be </w:t>
      </w:r>
      <w:r w:rsidR="00C228BA" w:rsidRPr="00361ED2">
        <w:rPr>
          <w:rFonts w:ascii="Times New Roman" w:hAnsi="Times New Roman" w:cs="Times New Roman"/>
          <w:sz w:val="24"/>
          <w:szCs w:val="24"/>
        </w:rPr>
        <w:t>made by the Panel</w:t>
      </w:r>
      <w:r w:rsidR="00E1363B" w:rsidRPr="00361ED2">
        <w:rPr>
          <w:rFonts w:ascii="Times New Roman" w:hAnsi="Times New Roman" w:cs="Times New Roman"/>
          <w:sz w:val="24"/>
          <w:szCs w:val="24"/>
        </w:rPr>
        <w:t>.</w:t>
      </w:r>
      <w:r w:rsidR="00C228BA" w:rsidRPr="00361ED2">
        <w:rPr>
          <w:rFonts w:ascii="Times New Roman" w:hAnsi="Times New Roman" w:cs="Times New Roman"/>
          <w:sz w:val="24"/>
          <w:szCs w:val="24"/>
        </w:rPr>
        <w:t xml:space="preserve"> To avoid this situation, the Panel </w:t>
      </w:r>
      <w:r w:rsidR="001F2B70">
        <w:rPr>
          <w:rFonts w:ascii="Times New Roman" w:hAnsi="Times New Roman" w:cs="Times New Roman"/>
          <w:sz w:val="24"/>
          <w:szCs w:val="24"/>
        </w:rPr>
        <w:t xml:space="preserve">has </w:t>
      </w:r>
      <w:r w:rsidR="00C228BA" w:rsidRPr="00361ED2">
        <w:rPr>
          <w:rFonts w:ascii="Times New Roman" w:hAnsi="Times New Roman" w:cs="Times New Roman"/>
          <w:sz w:val="24"/>
          <w:szCs w:val="24"/>
        </w:rPr>
        <w:t xml:space="preserve">decided that </w:t>
      </w:r>
      <w:r w:rsidR="000520E0">
        <w:rPr>
          <w:rFonts w:ascii="Times New Roman" w:hAnsi="Times New Roman" w:cs="Times New Roman"/>
          <w:sz w:val="24"/>
          <w:szCs w:val="24"/>
        </w:rPr>
        <w:t xml:space="preserve">prices should </w:t>
      </w:r>
      <w:r w:rsidR="00C228BA" w:rsidRPr="00361ED2">
        <w:rPr>
          <w:rFonts w:ascii="Times New Roman" w:hAnsi="Times New Roman" w:cs="Times New Roman"/>
          <w:sz w:val="24"/>
          <w:szCs w:val="24"/>
        </w:rPr>
        <w:t xml:space="preserve">remain unchanged at current levels, pending the release of the Panel’s </w:t>
      </w:r>
      <w:r w:rsidR="00686BB7">
        <w:rPr>
          <w:rFonts w:ascii="Times New Roman" w:hAnsi="Times New Roman" w:cs="Times New Roman"/>
          <w:sz w:val="24"/>
          <w:szCs w:val="24"/>
        </w:rPr>
        <w:t xml:space="preserve">final </w:t>
      </w:r>
      <w:r w:rsidR="00C228BA" w:rsidRPr="00361ED2">
        <w:rPr>
          <w:rFonts w:ascii="Times New Roman" w:hAnsi="Times New Roman" w:cs="Times New Roman"/>
          <w:sz w:val="24"/>
          <w:szCs w:val="24"/>
        </w:rPr>
        <w:t>deci</w:t>
      </w:r>
      <w:r w:rsidR="001F2B70">
        <w:rPr>
          <w:rFonts w:ascii="Times New Roman" w:hAnsi="Times New Roman" w:cs="Times New Roman"/>
          <w:sz w:val="24"/>
          <w:szCs w:val="24"/>
        </w:rPr>
        <w:t>sion. While the Panel recognises</w:t>
      </w:r>
      <w:r w:rsidR="00C228BA" w:rsidRPr="00361ED2">
        <w:rPr>
          <w:rFonts w:ascii="Times New Roman" w:hAnsi="Times New Roman" w:cs="Times New Roman"/>
          <w:sz w:val="24"/>
          <w:szCs w:val="24"/>
        </w:rPr>
        <w:t xml:space="preserve"> that this could have adverse </w:t>
      </w:r>
      <w:r w:rsidR="000520E0">
        <w:rPr>
          <w:rFonts w:ascii="Times New Roman" w:hAnsi="Times New Roman" w:cs="Times New Roman"/>
          <w:sz w:val="24"/>
          <w:szCs w:val="24"/>
        </w:rPr>
        <w:t xml:space="preserve">financial </w:t>
      </w:r>
      <w:r w:rsidR="00C228BA" w:rsidRPr="00361ED2">
        <w:rPr>
          <w:rFonts w:ascii="Times New Roman" w:hAnsi="Times New Roman" w:cs="Times New Roman"/>
          <w:sz w:val="24"/>
          <w:szCs w:val="24"/>
        </w:rPr>
        <w:t xml:space="preserve">implications </w:t>
      </w:r>
      <w:r w:rsidR="0060075F">
        <w:rPr>
          <w:rFonts w:ascii="Times New Roman" w:hAnsi="Times New Roman" w:cs="Times New Roman"/>
          <w:sz w:val="24"/>
          <w:szCs w:val="24"/>
        </w:rPr>
        <w:t>on</w:t>
      </w:r>
      <w:r w:rsidR="00C228BA" w:rsidRPr="00361ED2">
        <w:rPr>
          <w:rFonts w:ascii="Times New Roman" w:hAnsi="Times New Roman" w:cs="Times New Roman"/>
          <w:sz w:val="24"/>
          <w:szCs w:val="24"/>
        </w:rPr>
        <w:t xml:space="preserve"> Icon Water, it consider</w:t>
      </w:r>
      <w:r w:rsidR="001F2B70">
        <w:rPr>
          <w:rFonts w:ascii="Times New Roman" w:hAnsi="Times New Roman" w:cs="Times New Roman"/>
          <w:sz w:val="24"/>
          <w:szCs w:val="24"/>
        </w:rPr>
        <w:t>s</w:t>
      </w:r>
      <w:r w:rsidR="00C228BA" w:rsidRPr="00361ED2">
        <w:rPr>
          <w:rFonts w:ascii="Times New Roman" w:hAnsi="Times New Roman" w:cs="Times New Roman"/>
          <w:sz w:val="24"/>
          <w:szCs w:val="24"/>
        </w:rPr>
        <w:t xml:space="preserve"> the risk of the default prices coming into effect as very low. Moreover, if there is a significant unforseen delay to the completion</w:t>
      </w:r>
      <w:r w:rsidR="00361ED2">
        <w:rPr>
          <w:rFonts w:ascii="Times New Roman" w:hAnsi="Times New Roman" w:cs="Times New Roman"/>
          <w:sz w:val="24"/>
          <w:szCs w:val="24"/>
        </w:rPr>
        <w:t xml:space="preserve"> of the Panel's</w:t>
      </w:r>
      <w:r w:rsidR="00BC023B" w:rsidRPr="00361ED2">
        <w:rPr>
          <w:rFonts w:ascii="Times New Roman" w:hAnsi="Times New Roman" w:cs="Times New Roman"/>
          <w:sz w:val="24"/>
          <w:szCs w:val="24"/>
        </w:rPr>
        <w:t xml:space="preserve"> final decision </w:t>
      </w:r>
      <w:r w:rsidR="00D6285A">
        <w:rPr>
          <w:rFonts w:ascii="Times New Roman" w:hAnsi="Times New Roman" w:cs="Times New Roman"/>
          <w:sz w:val="24"/>
          <w:szCs w:val="24"/>
        </w:rPr>
        <w:t>resulting in</w:t>
      </w:r>
      <w:r w:rsidR="00BC023B" w:rsidRPr="00361ED2">
        <w:rPr>
          <w:rFonts w:ascii="Times New Roman" w:hAnsi="Times New Roman" w:cs="Times New Roman"/>
          <w:sz w:val="24"/>
          <w:szCs w:val="24"/>
        </w:rPr>
        <w:t xml:space="preserve"> the unchanged default prices </w:t>
      </w:r>
      <w:r w:rsidR="00D6285A" w:rsidRPr="00D6285A">
        <w:rPr>
          <w:rFonts w:ascii="Times New Roman" w:hAnsi="Times New Roman" w:cs="Times New Roman"/>
          <w:sz w:val="24"/>
          <w:szCs w:val="24"/>
        </w:rPr>
        <w:t>taking effect</w:t>
      </w:r>
      <w:r w:rsidR="00BC023B" w:rsidRPr="00361ED2">
        <w:rPr>
          <w:rFonts w:ascii="Times New Roman" w:hAnsi="Times New Roman" w:cs="Times New Roman"/>
          <w:sz w:val="24"/>
          <w:szCs w:val="24"/>
        </w:rPr>
        <w:t xml:space="preserve">, the Panel </w:t>
      </w:r>
      <w:r w:rsidR="00361ED2">
        <w:rPr>
          <w:rFonts w:ascii="Times New Roman" w:hAnsi="Times New Roman" w:cs="Times New Roman"/>
          <w:sz w:val="24"/>
          <w:szCs w:val="24"/>
        </w:rPr>
        <w:t>c</w:t>
      </w:r>
      <w:r w:rsidR="00BC023B" w:rsidRPr="00361ED2">
        <w:rPr>
          <w:rFonts w:ascii="Times New Roman" w:hAnsi="Times New Roman" w:cs="Times New Roman"/>
          <w:sz w:val="24"/>
          <w:szCs w:val="24"/>
        </w:rPr>
        <w:t>ould take into account the</w:t>
      </w:r>
      <w:r w:rsidR="0060075F">
        <w:rPr>
          <w:rFonts w:ascii="Times New Roman" w:hAnsi="Times New Roman" w:cs="Times New Roman"/>
          <w:sz w:val="24"/>
          <w:szCs w:val="24"/>
        </w:rPr>
        <w:t xml:space="preserve"> delay in revised prices coming into effect</w:t>
      </w:r>
      <w:r w:rsidR="00BC023B" w:rsidRPr="00361ED2">
        <w:rPr>
          <w:rFonts w:ascii="Times New Roman" w:hAnsi="Times New Roman" w:cs="Times New Roman"/>
          <w:sz w:val="24"/>
          <w:szCs w:val="24"/>
        </w:rPr>
        <w:t xml:space="preserve"> when making its final decision.</w:t>
      </w:r>
    </w:p>
    <w:p w:rsidR="00A768A4" w:rsidRPr="00A768A4" w:rsidRDefault="00AE4699" w:rsidP="00A768A4">
      <w:pPr>
        <w:rPr>
          <w:rFonts w:ascii="Times New Roman" w:hAnsi="Times New Roman" w:cs="Times New Roman"/>
          <w:sz w:val="24"/>
          <w:szCs w:val="24"/>
        </w:rPr>
      </w:pPr>
      <w:r w:rsidRPr="00AE4699">
        <w:rPr>
          <w:rFonts w:ascii="Times New Roman" w:hAnsi="Times New Roman" w:cs="Times New Roman"/>
          <w:bCs/>
          <w:sz w:val="24"/>
          <w:szCs w:val="24"/>
        </w:rPr>
        <w:t xml:space="preserve">In the unlikely event that the Panel arrives at a final decision that requires the first biennial recalibration to be completed, the Panel's decision could specify revised timelines for the recalibration process and deal with the transition from the default prices set by this section 24S declaration to the new prices determined in accordance with the Panel's </w:t>
      </w:r>
      <w:r>
        <w:rPr>
          <w:rFonts w:ascii="Times New Roman" w:hAnsi="Times New Roman" w:cs="Times New Roman"/>
          <w:bCs/>
          <w:sz w:val="24"/>
          <w:szCs w:val="24"/>
        </w:rPr>
        <w:t>final decision</w:t>
      </w:r>
      <w:r w:rsidR="00A768A4" w:rsidRPr="00A768A4">
        <w:rPr>
          <w:rFonts w:ascii="Times New Roman" w:hAnsi="Times New Roman" w:cs="Times New Roman"/>
          <w:sz w:val="24"/>
          <w:szCs w:val="24"/>
        </w:rPr>
        <w:t>.</w:t>
      </w:r>
    </w:p>
    <w:p w:rsidR="005A7C55" w:rsidRDefault="001D75E9" w:rsidP="00DD6B96">
      <w:pPr>
        <w:pStyle w:val="Heading2"/>
      </w:pPr>
      <w:bookmarkStart w:id="17" w:name="_Toc412033368"/>
      <w:r>
        <w:t>6</w:t>
      </w:r>
      <w:r w:rsidR="00AE4699">
        <w:t>.</w:t>
      </w:r>
      <w:r w:rsidR="005A7C55" w:rsidRPr="00A768A4">
        <w:tab/>
      </w:r>
      <w:bookmarkEnd w:id="15"/>
      <w:bookmarkEnd w:id="16"/>
      <w:r w:rsidR="00A768A4" w:rsidRPr="00A768A4">
        <w:t>Summary of reasons</w:t>
      </w:r>
      <w:bookmarkEnd w:id="17"/>
    </w:p>
    <w:p w:rsidR="00DD6B96" w:rsidRPr="00DD6B96" w:rsidRDefault="00DD6B96" w:rsidP="00DD6B96">
      <w:pPr>
        <w:spacing w:before="120" w:after="120"/>
        <w:rPr>
          <w:rFonts w:ascii="Times New Roman" w:hAnsi="Times New Roman"/>
          <w:sz w:val="24"/>
          <w:szCs w:val="24"/>
        </w:rPr>
      </w:pPr>
      <w:r w:rsidRPr="00DD6B96">
        <w:rPr>
          <w:rFonts w:ascii="Times New Roman" w:hAnsi="Times New Roman"/>
          <w:sz w:val="24"/>
          <w:szCs w:val="24"/>
        </w:rPr>
        <w:t xml:space="preserve">The primary reasons underpinning the Panel’s decision to </w:t>
      </w:r>
      <w:r w:rsidR="00686BB7">
        <w:rPr>
          <w:rFonts w:ascii="Times New Roman" w:hAnsi="Times New Roman"/>
          <w:sz w:val="24"/>
          <w:szCs w:val="24"/>
        </w:rPr>
        <w:t xml:space="preserve">suspend </w:t>
      </w:r>
      <w:r w:rsidRPr="00DD6B96">
        <w:rPr>
          <w:rFonts w:ascii="Times New Roman" w:hAnsi="Times New Roman"/>
          <w:sz w:val="24"/>
          <w:szCs w:val="24"/>
        </w:rPr>
        <w:t xml:space="preserve">the first biennial recalibration process </w:t>
      </w:r>
      <w:r w:rsidR="001F2B70">
        <w:rPr>
          <w:rFonts w:ascii="Times New Roman" w:hAnsi="Times New Roman"/>
          <w:sz w:val="24"/>
          <w:szCs w:val="24"/>
        </w:rPr>
        <w:t>ar</w:t>
      </w:r>
      <w:r w:rsidRPr="00DD6B96">
        <w:rPr>
          <w:rFonts w:ascii="Times New Roman" w:hAnsi="Times New Roman"/>
          <w:sz w:val="24"/>
          <w:szCs w:val="24"/>
        </w:rPr>
        <w:t xml:space="preserve">e summarised as follows: </w:t>
      </w:r>
    </w:p>
    <w:p w:rsidR="00DD6B96" w:rsidRPr="00DD6B96" w:rsidRDefault="00DD6B96" w:rsidP="00E57E5B">
      <w:pPr>
        <w:pStyle w:val="ListParagraph"/>
        <w:numPr>
          <w:ilvl w:val="0"/>
          <w:numId w:val="8"/>
        </w:numPr>
        <w:spacing w:after="240"/>
        <w:ind w:left="567" w:hanging="567"/>
        <w:contextualSpacing w:val="0"/>
        <w:rPr>
          <w:rFonts w:ascii="Times New Roman" w:hAnsi="Times New Roman"/>
          <w:sz w:val="24"/>
          <w:szCs w:val="24"/>
        </w:rPr>
      </w:pPr>
      <w:r w:rsidRPr="00DD6B96">
        <w:rPr>
          <w:rFonts w:ascii="Times New Roman" w:hAnsi="Times New Roman"/>
          <w:b/>
          <w:sz w:val="24"/>
          <w:szCs w:val="24"/>
        </w:rPr>
        <w:t xml:space="preserve">Allowing two price-setting processes to continue </w:t>
      </w:r>
      <w:r w:rsidR="00D6285A">
        <w:rPr>
          <w:rFonts w:ascii="Times New Roman" w:hAnsi="Times New Roman"/>
          <w:b/>
          <w:sz w:val="24"/>
          <w:szCs w:val="24"/>
        </w:rPr>
        <w:t xml:space="preserve">to operate </w:t>
      </w:r>
      <w:r w:rsidRPr="00DD6B96">
        <w:rPr>
          <w:rFonts w:ascii="Times New Roman" w:hAnsi="Times New Roman"/>
          <w:b/>
          <w:sz w:val="24"/>
          <w:szCs w:val="24"/>
        </w:rPr>
        <w:t>in parallel threatens to undermine confidence in the regulatory system for the pricing of water and sewerage services</w:t>
      </w:r>
      <w:r w:rsidR="001F2B70">
        <w:rPr>
          <w:rFonts w:ascii="Times New Roman" w:hAnsi="Times New Roman"/>
          <w:b/>
          <w:sz w:val="24"/>
          <w:szCs w:val="24"/>
        </w:rPr>
        <w:t xml:space="preserve"> in the ACT</w:t>
      </w:r>
      <w:r w:rsidRPr="00DD6B96">
        <w:rPr>
          <w:rFonts w:ascii="Times New Roman" w:hAnsi="Times New Roman"/>
          <w:b/>
          <w:sz w:val="24"/>
          <w:szCs w:val="24"/>
        </w:rPr>
        <w:t xml:space="preserve">. </w:t>
      </w:r>
      <w:r w:rsidRPr="00DD6B96">
        <w:rPr>
          <w:rFonts w:ascii="Times New Roman" w:hAnsi="Times New Roman"/>
          <w:sz w:val="24"/>
          <w:szCs w:val="24"/>
        </w:rPr>
        <w:t xml:space="preserve">The ICRC’s first biennial recalibration is currently proceeding concurrently with the finalisation of the Panel’s review of the 2013 Price Direction, potentially causing confusion and uncertainty about water and sewerage pricing among the ACT community. The Panel also recognises that consultation </w:t>
      </w:r>
      <w:r w:rsidRPr="00DD6B96">
        <w:rPr>
          <w:rFonts w:ascii="Times New Roman" w:hAnsi="Times New Roman"/>
          <w:sz w:val="24"/>
          <w:szCs w:val="24"/>
        </w:rPr>
        <w:lastRenderedPageBreak/>
        <w:t>‘fatigue’, and the costs incurred by participants in engaging in dual price-setting processes, could reduce future community engagement in such processes. In addition, the Panel’s view is that the current situation is inconsistent with best practice regulatory principles, such as cost-effectiveness, proportionality, predictability and pragmatism.</w:t>
      </w:r>
    </w:p>
    <w:p w:rsidR="009240D8" w:rsidRDefault="00DD6B96" w:rsidP="00DD6B96">
      <w:pPr>
        <w:pStyle w:val="ListParagraph"/>
        <w:numPr>
          <w:ilvl w:val="0"/>
          <w:numId w:val="8"/>
        </w:numPr>
        <w:spacing w:before="120" w:after="120"/>
        <w:ind w:left="567" w:hanging="567"/>
        <w:contextualSpacing w:val="0"/>
        <w:rPr>
          <w:rFonts w:ascii="Times New Roman" w:hAnsi="Times New Roman"/>
          <w:sz w:val="24"/>
          <w:szCs w:val="24"/>
        </w:rPr>
      </w:pPr>
      <w:r w:rsidRPr="00DD6B96">
        <w:rPr>
          <w:rFonts w:ascii="Times New Roman" w:eastAsiaTheme="minorEastAsia" w:hAnsi="Times New Roman"/>
          <w:b/>
          <w:sz w:val="24"/>
          <w:szCs w:val="24"/>
        </w:rPr>
        <w:t xml:space="preserve">The first biennial recalibration is imposing unnecessary regulatory costs on the </w:t>
      </w:r>
      <w:r w:rsidR="001F2B70">
        <w:rPr>
          <w:rFonts w:ascii="Times New Roman" w:eastAsiaTheme="minorEastAsia" w:hAnsi="Times New Roman"/>
          <w:b/>
          <w:sz w:val="24"/>
          <w:szCs w:val="24"/>
        </w:rPr>
        <w:t xml:space="preserve">ACT </w:t>
      </w:r>
      <w:r w:rsidRPr="00DD6B96">
        <w:rPr>
          <w:rFonts w:ascii="Times New Roman" w:eastAsiaTheme="minorEastAsia" w:hAnsi="Times New Roman"/>
          <w:b/>
          <w:sz w:val="24"/>
          <w:szCs w:val="24"/>
        </w:rPr>
        <w:t>community.</w:t>
      </w:r>
      <w:r w:rsidRPr="00DD6B96">
        <w:rPr>
          <w:rFonts w:ascii="Times New Roman" w:eastAsiaTheme="minorEastAsia" w:hAnsi="Times New Roman"/>
          <w:sz w:val="24"/>
          <w:szCs w:val="24"/>
        </w:rPr>
        <w:t xml:space="preserve"> No submissions have been received, nor new evidence presented, that will likely cause the Panel to alter its draft decision to set water and sewerage prices until 3</w:t>
      </w:r>
      <w:r w:rsidR="00D6285A">
        <w:rPr>
          <w:rFonts w:ascii="Times New Roman" w:eastAsiaTheme="minorEastAsia" w:hAnsi="Times New Roman"/>
          <w:sz w:val="24"/>
          <w:szCs w:val="24"/>
        </w:rPr>
        <w:t>0</w:t>
      </w:r>
      <w:r w:rsidRPr="00DD6B96">
        <w:rPr>
          <w:rFonts w:ascii="Times New Roman" w:eastAsiaTheme="minorEastAsia" w:hAnsi="Times New Roman"/>
          <w:sz w:val="24"/>
          <w:szCs w:val="24"/>
        </w:rPr>
        <w:t xml:space="preserve"> June 2018 without the need for a biennial recalibration process. Given the Panel expects it will finalise its review of the 2013 Price Direction in time for it to be implemented by the start of the 2015-16 regulatory year, the regulatory costs associated with the first biennial recalibration appear unnecessary and, in the Panel’s view, represent an unreasonable burden on the ACT community since these regulatory costs are ultimatel</w:t>
      </w:r>
      <w:r w:rsidR="00D6285A">
        <w:rPr>
          <w:rFonts w:ascii="Times New Roman" w:eastAsiaTheme="minorEastAsia" w:hAnsi="Times New Roman"/>
          <w:sz w:val="24"/>
          <w:szCs w:val="24"/>
        </w:rPr>
        <w:t>y recouped from water customers or taxpayers.</w:t>
      </w:r>
    </w:p>
    <w:p w:rsidR="005D60AF" w:rsidRDefault="009240D8">
      <w:pPr>
        <w:rPr>
          <w:rFonts w:ascii="Times New Roman" w:hAnsi="Times New Roman"/>
          <w:sz w:val="24"/>
          <w:szCs w:val="24"/>
        </w:rPr>
      </w:pPr>
      <w:r>
        <w:rPr>
          <w:rFonts w:ascii="Times New Roman" w:hAnsi="Times New Roman"/>
          <w:sz w:val="24"/>
          <w:szCs w:val="24"/>
        </w:rPr>
        <w:br w:type="page"/>
      </w:r>
      <w:r w:rsidR="005D60AF">
        <w:rPr>
          <w:rFonts w:ascii="Times New Roman" w:hAnsi="Times New Roman"/>
          <w:sz w:val="24"/>
          <w:szCs w:val="24"/>
        </w:rPr>
        <w:lastRenderedPageBreak/>
        <w:br w:type="page"/>
      </w:r>
    </w:p>
    <w:p w:rsidR="00BA5527" w:rsidRPr="00DD6B96" w:rsidRDefault="00BA5527" w:rsidP="00DD6B96">
      <w:pPr>
        <w:rPr>
          <w:rFonts w:ascii="Times New Roman" w:eastAsia="Calibri" w:hAnsi="Times New Roman" w:cs="Times New Roman"/>
          <w:sz w:val="24"/>
          <w:szCs w:val="24"/>
        </w:rPr>
      </w:pPr>
    </w:p>
    <w:p w:rsidR="00DD6B96" w:rsidRDefault="00DD6B96" w:rsidP="00BA5527">
      <w:pPr>
        <w:spacing w:before="120" w:after="120"/>
        <w:jc w:val="center"/>
        <w:rPr>
          <w:rFonts w:ascii="Times New Roman" w:hAnsi="Times New Roman"/>
          <w:b/>
          <w:sz w:val="36"/>
          <w:szCs w:val="36"/>
        </w:rPr>
      </w:pPr>
    </w:p>
    <w:p w:rsidR="001C4F00" w:rsidRDefault="001C4F00" w:rsidP="00DD6B96">
      <w:pPr>
        <w:pStyle w:val="Heading2"/>
        <w:jc w:val="center"/>
      </w:pPr>
    </w:p>
    <w:p w:rsidR="001C4F00" w:rsidRDefault="001C4F00" w:rsidP="00DD6B96">
      <w:pPr>
        <w:pStyle w:val="Heading2"/>
        <w:jc w:val="center"/>
      </w:pPr>
    </w:p>
    <w:p w:rsidR="001C4F00" w:rsidRDefault="001C4F00" w:rsidP="00DD6B96">
      <w:pPr>
        <w:pStyle w:val="Heading2"/>
        <w:jc w:val="center"/>
      </w:pPr>
    </w:p>
    <w:p w:rsidR="001C4F00" w:rsidRDefault="001C4F00" w:rsidP="00DD6B96">
      <w:pPr>
        <w:pStyle w:val="Heading2"/>
        <w:jc w:val="center"/>
      </w:pPr>
    </w:p>
    <w:p w:rsidR="001C4F00" w:rsidRDefault="001C4F00" w:rsidP="00DD6B96">
      <w:pPr>
        <w:pStyle w:val="Heading2"/>
        <w:jc w:val="center"/>
      </w:pPr>
    </w:p>
    <w:p w:rsidR="00CA72E4" w:rsidRDefault="009C7A46" w:rsidP="00DD6B96">
      <w:pPr>
        <w:pStyle w:val="Heading2"/>
        <w:jc w:val="center"/>
        <w:sectPr w:rsidR="00CA72E4" w:rsidSect="005E0334">
          <w:pgSz w:w="11906" w:h="16838"/>
          <w:pgMar w:top="1440" w:right="1440" w:bottom="1440" w:left="1440" w:header="708" w:footer="708" w:gutter="0"/>
          <w:cols w:space="708"/>
          <w:docGrid w:linePitch="360"/>
        </w:sectPr>
      </w:pPr>
      <w:bookmarkStart w:id="18" w:name="_Toc412033369"/>
      <w:r w:rsidRPr="009C7A46">
        <w:t xml:space="preserve">Appendix: Icon Water’s </w:t>
      </w:r>
      <w:r w:rsidR="00DD6B96">
        <w:t xml:space="preserve">section 24S </w:t>
      </w:r>
      <w:r w:rsidRPr="009C7A46">
        <w:t>application</w:t>
      </w:r>
      <w:bookmarkEnd w:id="18"/>
    </w:p>
    <w:bookmarkStart w:id="19" w:name="_MON_1485168562"/>
    <w:bookmarkEnd w:id="19"/>
    <w:p w:rsidR="009C7A46" w:rsidRPr="009C7A46" w:rsidRDefault="00C97B21" w:rsidP="00771667">
      <w:pPr>
        <w:spacing w:before="120" w:after="120"/>
        <w:ind w:left="-851"/>
        <w:rPr>
          <w:rFonts w:ascii="Times New Roman" w:hAnsi="Times New Roman"/>
          <w:b/>
          <w:sz w:val="36"/>
          <w:szCs w:val="36"/>
        </w:rPr>
      </w:pPr>
      <w:r w:rsidRPr="00091184">
        <w:rPr>
          <w:rFonts w:ascii="Times New Roman" w:hAnsi="Times New Roman"/>
          <w:b/>
          <w:sz w:val="36"/>
          <w:szCs w:val="36"/>
        </w:rPr>
        <w:object w:dxaOrig="11471" w:dyaOrig="15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tter from ACTEW Corporation" style="width:573.75pt;height:780.75pt" o:ole="">
            <v:imagedata r:id="rId14" o:title=""/>
          </v:shape>
          <o:OLEObject Type="Embed" ProgID="Word.Document.12" ShapeID="_x0000_i1025" DrawAspect="Content" ObjectID="_1486197003" r:id="rId15">
            <o:FieldCodes>\s</o:FieldCodes>
          </o:OLEObject>
        </w:object>
      </w:r>
      <w:bookmarkStart w:id="20" w:name="_MON_1485168585"/>
      <w:bookmarkEnd w:id="20"/>
      <w:r w:rsidRPr="00091184">
        <w:rPr>
          <w:rFonts w:ascii="Times New Roman" w:hAnsi="Times New Roman"/>
          <w:b/>
          <w:sz w:val="36"/>
          <w:szCs w:val="36"/>
        </w:rPr>
        <w:object w:dxaOrig="10200" w:dyaOrig="15742">
          <v:shape id="_x0000_i1026" type="#_x0000_t75" alt="Letter from Actew Corporation&#10;" style="width:509.25pt;height:786.75pt" o:ole="">
            <v:imagedata r:id="rId16" o:title=""/>
          </v:shape>
          <o:OLEObject Type="Embed" ProgID="Word.Document.12" ShapeID="_x0000_i1026" DrawAspect="Content" ObjectID="_1486197004" r:id="rId17">
            <o:FieldCodes>\s</o:FieldCodes>
          </o:OLEObject>
        </w:object>
      </w:r>
    </w:p>
    <w:sectPr w:rsidR="009C7A46" w:rsidRPr="009C7A46" w:rsidSect="00621F37">
      <w:headerReference w:type="default" r:id="rId18"/>
      <w:footerReference w:type="default" r:id="rId19"/>
      <w:pgSz w:w="11906" w:h="16838"/>
      <w:pgMar w:top="426" w:right="1440" w:bottom="1440" w:left="1440" w:header="18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797" w:rsidRDefault="00AB4797" w:rsidP="00C35CEF">
      <w:pPr>
        <w:spacing w:after="0" w:line="240" w:lineRule="auto"/>
      </w:pPr>
      <w:r>
        <w:separator/>
      </w:r>
    </w:p>
  </w:endnote>
  <w:endnote w:type="continuationSeparator" w:id="0">
    <w:p w:rsidR="00AB4797" w:rsidRDefault="00AB4797" w:rsidP="00C35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DD9" w:rsidRDefault="005E6DD9">
    <w:pPr>
      <w:pStyle w:val="Footer"/>
      <w:jc w:val="right"/>
    </w:pPr>
  </w:p>
  <w:p w:rsidR="005E6DD9" w:rsidRDefault="005E6D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0535"/>
      <w:docPartObj>
        <w:docPartGallery w:val="Page Numbers (Bottom of Page)"/>
        <w:docPartUnique/>
      </w:docPartObj>
    </w:sdtPr>
    <w:sdtEndPr>
      <w:rPr>
        <w:rFonts w:ascii="Times New Roman" w:hAnsi="Times New Roman" w:cs="Times New Roman"/>
        <w:sz w:val="20"/>
        <w:szCs w:val="20"/>
      </w:rPr>
    </w:sdtEndPr>
    <w:sdtContent>
      <w:p w:rsidR="005E6DD9" w:rsidRPr="000238A2" w:rsidRDefault="005D1FBD">
        <w:pPr>
          <w:pStyle w:val="Footer"/>
          <w:jc w:val="right"/>
          <w:rPr>
            <w:rFonts w:ascii="Times New Roman" w:hAnsi="Times New Roman" w:cs="Times New Roman"/>
            <w:sz w:val="20"/>
            <w:szCs w:val="20"/>
          </w:rPr>
        </w:pPr>
        <w:r w:rsidRPr="000238A2">
          <w:rPr>
            <w:rFonts w:ascii="Times New Roman" w:hAnsi="Times New Roman" w:cs="Times New Roman"/>
            <w:sz w:val="20"/>
            <w:szCs w:val="20"/>
          </w:rPr>
          <w:fldChar w:fldCharType="begin"/>
        </w:r>
        <w:r w:rsidR="005E6DD9" w:rsidRPr="000238A2">
          <w:rPr>
            <w:rFonts w:ascii="Times New Roman" w:hAnsi="Times New Roman" w:cs="Times New Roman"/>
            <w:sz w:val="20"/>
            <w:szCs w:val="20"/>
          </w:rPr>
          <w:instrText xml:space="preserve"> PAGE   \* MERGEFORMAT </w:instrText>
        </w:r>
        <w:r w:rsidRPr="000238A2">
          <w:rPr>
            <w:rFonts w:ascii="Times New Roman" w:hAnsi="Times New Roman" w:cs="Times New Roman"/>
            <w:sz w:val="20"/>
            <w:szCs w:val="20"/>
          </w:rPr>
          <w:fldChar w:fldCharType="separate"/>
        </w:r>
        <w:r w:rsidR="007F10E2">
          <w:rPr>
            <w:rFonts w:ascii="Times New Roman" w:hAnsi="Times New Roman" w:cs="Times New Roman"/>
            <w:noProof/>
            <w:sz w:val="20"/>
            <w:szCs w:val="20"/>
          </w:rPr>
          <w:t>ii</w:t>
        </w:r>
        <w:r w:rsidRPr="000238A2">
          <w:rPr>
            <w:rFonts w:ascii="Times New Roman" w:hAnsi="Times New Roman" w:cs="Times New Roman"/>
            <w:sz w:val="20"/>
            <w:szCs w:val="20"/>
          </w:rPr>
          <w:fldChar w:fldCharType="end"/>
        </w:r>
      </w:p>
    </w:sdtContent>
  </w:sdt>
  <w:p w:rsidR="005E6DD9" w:rsidRDefault="005E6D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2461"/>
      <w:docPartObj>
        <w:docPartGallery w:val="Page Numbers (Bottom of Page)"/>
        <w:docPartUnique/>
      </w:docPartObj>
    </w:sdtPr>
    <w:sdtContent>
      <w:p w:rsidR="005E6DD9" w:rsidRDefault="005D1FBD">
        <w:pPr>
          <w:pStyle w:val="Footer"/>
          <w:jc w:val="right"/>
        </w:pPr>
        <w:r>
          <w:fldChar w:fldCharType="begin"/>
        </w:r>
        <w:r w:rsidR="00080995">
          <w:instrText xml:space="preserve"> PAGE   \* MERGEFORMAT </w:instrText>
        </w:r>
        <w:r>
          <w:fldChar w:fldCharType="separate"/>
        </w:r>
        <w:r w:rsidR="007F10E2">
          <w:rPr>
            <w:noProof/>
          </w:rPr>
          <w:t>3</w:t>
        </w:r>
        <w:r>
          <w:rPr>
            <w:noProof/>
          </w:rPr>
          <w:fldChar w:fldCharType="end"/>
        </w:r>
      </w:p>
    </w:sdtContent>
  </w:sdt>
  <w:p w:rsidR="005E6DD9" w:rsidRDefault="005E6DD9" w:rsidP="008848BC">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2462"/>
      <w:docPartObj>
        <w:docPartGallery w:val="Page Numbers (Bottom of Page)"/>
        <w:docPartUnique/>
      </w:docPartObj>
    </w:sdtPr>
    <w:sdtContent>
      <w:p w:rsidR="005E6DD9" w:rsidRDefault="005D1FBD">
        <w:pPr>
          <w:pStyle w:val="Footer"/>
          <w:jc w:val="right"/>
        </w:pPr>
        <w:r w:rsidRPr="00BD449A">
          <w:rPr>
            <w:rFonts w:ascii="Times New Roman" w:hAnsi="Times New Roman" w:cs="Times New Roman"/>
          </w:rPr>
          <w:fldChar w:fldCharType="begin"/>
        </w:r>
        <w:r w:rsidR="005E6DD9" w:rsidRPr="00BD449A">
          <w:rPr>
            <w:rFonts w:ascii="Times New Roman" w:hAnsi="Times New Roman" w:cs="Times New Roman"/>
          </w:rPr>
          <w:instrText xml:space="preserve"> PAGE   \* MERGEFORMAT </w:instrText>
        </w:r>
        <w:r w:rsidRPr="00BD449A">
          <w:rPr>
            <w:rFonts w:ascii="Times New Roman" w:hAnsi="Times New Roman" w:cs="Times New Roman"/>
          </w:rPr>
          <w:fldChar w:fldCharType="separate"/>
        </w:r>
        <w:r w:rsidR="007F10E2">
          <w:rPr>
            <w:rFonts w:ascii="Times New Roman" w:hAnsi="Times New Roman" w:cs="Times New Roman"/>
            <w:noProof/>
          </w:rPr>
          <w:t>11</w:t>
        </w:r>
        <w:r w:rsidRPr="00BD449A">
          <w:rPr>
            <w:rFonts w:ascii="Times New Roman" w:hAnsi="Times New Roman" w:cs="Times New Roman"/>
          </w:rPr>
          <w:fldChar w:fldCharType="end"/>
        </w:r>
      </w:p>
    </w:sdtContent>
  </w:sdt>
  <w:p w:rsidR="005E6DD9" w:rsidRDefault="005E6DD9" w:rsidP="008848BC">
    <w:pPr>
      <w:pStyle w:val="Footer"/>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DD9" w:rsidRDefault="005E6DD9">
    <w:pPr>
      <w:pStyle w:val="Footer"/>
      <w:jc w:val="right"/>
    </w:pPr>
  </w:p>
  <w:p w:rsidR="005E6DD9" w:rsidRDefault="005E6DD9" w:rsidP="008848B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797" w:rsidRDefault="00AB4797" w:rsidP="00C35CEF">
      <w:pPr>
        <w:spacing w:after="0" w:line="240" w:lineRule="auto"/>
      </w:pPr>
      <w:r>
        <w:separator/>
      </w:r>
    </w:p>
  </w:footnote>
  <w:footnote w:type="continuationSeparator" w:id="0">
    <w:p w:rsidR="00AB4797" w:rsidRDefault="00AB4797" w:rsidP="00C35CEF">
      <w:pPr>
        <w:spacing w:after="0" w:line="240" w:lineRule="auto"/>
      </w:pPr>
      <w:r>
        <w:continuationSeparator/>
      </w:r>
    </w:p>
  </w:footnote>
  <w:footnote w:id="1">
    <w:p w:rsidR="00397AF7" w:rsidRDefault="00397AF7" w:rsidP="00397AF7">
      <w:pPr>
        <w:pStyle w:val="FootnoteText"/>
        <w:ind w:left="284" w:hanging="284"/>
      </w:pPr>
      <w:r>
        <w:rPr>
          <w:rStyle w:val="FootnoteReference"/>
        </w:rPr>
        <w:footnoteRef/>
      </w:r>
      <w:r>
        <w:t xml:space="preserve">     </w:t>
      </w:r>
      <w:r w:rsidRPr="00397AF7">
        <w:rPr>
          <w:rFonts w:ascii="Times New Roman" w:hAnsi="Times New Roman" w:cs="Times New Roman"/>
        </w:rPr>
        <w:t>The Industry Panel was appointed in April 2014 by the ACT Treasurer in accordance with Part 4C and Schedule 3 of the Act, and comprises Mary Anne Hartley QC (presiding member), Sally Farrier and Claire Thomas PSM</w:t>
      </w:r>
      <w:r w:rsidR="0060075F">
        <w:rPr>
          <w:rFonts w:ascii="Times New Roman" w:hAnsi="Times New Roman" w:cs="Times New Roman"/>
        </w:rPr>
        <w:t>.</w:t>
      </w:r>
    </w:p>
  </w:footnote>
  <w:footnote w:id="2">
    <w:p w:rsidR="005E6DD9" w:rsidRDefault="005E6DD9" w:rsidP="000E5C55">
      <w:pPr>
        <w:pStyle w:val="FootnoteText"/>
        <w:tabs>
          <w:tab w:val="left" w:pos="284"/>
        </w:tabs>
      </w:pPr>
      <w:r>
        <w:rPr>
          <w:rStyle w:val="FootnoteReference"/>
        </w:rPr>
        <w:footnoteRef/>
      </w:r>
      <w:r w:rsidR="00397AF7">
        <w:rPr>
          <w:rFonts w:ascii="Times New Roman" w:hAnsi="Times New Roman" w:cs="Times New Roman"/>
        </w:rPr>
        <w:t xml:space="preserve"> </w:t>
      </w:r>
      <w:r w:rsidR="00397AF7">
        <w:rPr>
          <w:rFonts w:ascii="Times New Roman" w:hAnsi="Times New Roman" w:cs="Times New Roman"/>
        </w:rPr>
        <w:tab/>
      </w:r>
      <w:r w:rsidRPr="000E5C55">
        <w:rPr>
          <w:rFonts w:ascii="Times New Roman" w:hAnsi="Times New Roman" w:cs="Times New Roman"/>
        </w:rPr>
        <w:t xml:space="preserve">Industry Panel, </w:t>
      </w:r>
      <w:r w:rsidRPr="000E5C55">
        <w:rPr>
          <w:rFonts w:ascii="Times New Roman" w:hAnsi="Times New Roman" w:cs="Times New Roman"/>
          <w:i/>
        </w:rPr>
        <w:t xml:space="preserve">Review of the Independent Competition and Regulatory Commission’s 2013 Price Direction </w:t>
      </w:r>
      <w:r w:rsidRPr="000E5C55">
        <w:rPr>
          <w:rFonts w:ascii="Times New Roman" w:hAnsi="Times New Roman" w:cs="Times New Roman"/>
          <w:i/>
        </w:rPr>
        <w:tab/>
        <w:t>for Regulated Water and Sewerage Services in the ACT</w:t>
      </w:r>
      <w:r w:rsidRPr="000E5C55">
        <w:rPr>
          <w:rFonts w:ascii="Times New Roman" w:hAnsi="Times New Roman" w:cs="Times New Roman"/>
        </w:rPr>
        <w:t>, Draft Report, December 2014</w:t>
      </w:r>
      <w:r w:rsidRPr="000E5C55">
        <w:t>.</w:t>
      </w:r>
    </w:p>
  </w:footnote>
  <w:footnote w:id="3">
    <w:p w:rsidR="00397AF7" w:rsidRPr="0049569D" w:rsidRDefault="00397AF7" w:rsidP="0049569D">
      <w:pPr>
        <w:pStyle w:val="FootnoteText"/>
        <w:tabs>
          <w:tab w:val="left" w:pos="284"/>
        </w:tabs>
        <w:ind w:left="284" w:hanging="284"/>
        <w:rPr>
          <w:rFonts w:ascii="Times New Roman" w:hAnsi="Times New Roman" w:cs="Times New Roman"/>
        </w:rPr>
      </w:pPr>
      <w:r>
        <w:rPr>
          <w:rStyle w:val="FootnoteReference"/>
        </w:rPr>
        <w:footnoteRef/>
      </w:r>
      <w:r>
        <w:t xml:space="preserve"> </w:t>
      </w:r>
      <w:r>
        <w:tab/>
      </w:r>
      <w:r w:rsidR="0049569D" w:rsidRPr="0049569D">
        <w:rPr>
          <w:rFonts w:ascii="Times New Roman" w:hAnsi="Times New Roman" w:cs="Times New Roman"/>
        </w:rPr>
        <w:t>The Panel's Charter is available at the Panel's website</w:t>
      </w:r>
      <w:r w:rsidR="006C7E8F">
        <w:rPr>
          <w:rFonts w:ascii="Times New Roman" w:hAnsi="Times New Roman" w:cs="Times New Roman"/>
        </w:rPr>
        <w:t xml:space="preserve"> </w:t>
      </w:r>
      <w:r w:rsidR="006C7E8F" w:rsidRPr="00A82115">
        <w:rPr>
          <w:rFonts w:ascii="Times New Roman" w:hAnsi="Times New Roman" w:cs="Times New Roman"/>
        </w:rPr>
        <w:t>(http://apps.treasury.act.gov.au/industrypanel)</w:t>
      </w:r>
      <w:r w:rsidR="006C7E8F">
        <w:rPr>
          <w:rFonts w:ascii="Times New Roman" w:hAnsi="Times New Roman" w:cs="Times New Roman"/>
        </w:rPr>
        <w:t>.</w:t>
      </w:r>
      <w:r w:rsidR="0049569D" w:rsidRPr="0049569D">
        <w:rPr>
          <w:rFonts w:ascii="Times New Roman" w:hAnsi="Times New Roman" w:cs="Times New Roman"/>
        </w:rPr>
        <w:t xml:space="preserve"> </w:t>
      </w:r>
    </w:p>
  </w:footnote>
  <w:footnote w:id="4">
    <w:p w:rsidR="005E6DD9" w:rsidRPr="00A82115" w:rsidRDefault="005E6DD9" w:rsidP="00A82115">
      <w:pPr>
        <w:pStyle w:val="FootnoteText"/>
        <w:tabs>
          <w:tab w:val="left" w:pos="284"/>
          <w:tab w:val="left" w:pos="426"/>
        </w:tabs>
        <w:rPr>
          <w:rFonts w:ascii="Times New Roman" w:hAnsi="Times New Roman" w:cs="Times New Roman"/>
        </w:rPr>
      </w:pPr>
      <w:r>
        <w:rPr>
          <w:rStyle w:val="FootnoteReference"/>
        </w:rPr>
        <w:footnoteRef/>
      </w:r>
      <w:r>
        <w:t xml:space="preserve"> </w:t>
      </w:r>
      <w:r>
        <w:tab/>
      </w:r>
      <w:r w:rsidRPr="00A41532">
        <w:rPr>
          <w:rFonts w:ascii="Times New Roman" w:hAnsi="Times New Roman" w:cs="Times New Roman"/>
        </w:rPr>
        <w:t xml:space="preserve">These persons are those who made a submission to the ICRC’s original price investigation and who </w:t>
      </w:r>
      <w:r w:rsidRPr="00A41532">
        <w:rPr>
          <w:rFonts w:ascii="Times New Roman" w:hAnsi="Times New Roman" w:cs="Times New Roman"/>
        </w:rPr>
        <w:tab/>
        <w:t xml:space="preserve">provided written notification, under section </w:t>
      </w:r>
      <w:proofErr w:type="gramStart"/>
      <w:r w:rsidRPr="00A41532">
        <w:rPr>
          <w:rFonts w:ascii="Times New Roman" w:hAnsi="Times New Roman" w:cs="Times New Roman"/>
        </w:rPr>
        <w:t>24K(</w:t>
      </w:r>
      <w:proofErr w:type="gramEnd"/>
      <w:r w:rsidRPr="00A41532">
        <w:rPr>
          <w:rFonts w:ascii="Times New Roman" w:hAnsi="Times New Roman" w:cs="Times New Roman"/>
        </w:rPr>
        <w:t>3)(a)</w:t>
      </w:r>
      <w:r>
        <w:rPr>
          <w:rFonts w:ascii="Times New Roman" w:hAnsi="Times New Roman" w:cs="Times New Roman"/>
        </w:rPr>
        <w:t xml:space="preserve"> </w:t>
      </w:r>
      <w:r w:rsidRPr="00A41532">
        <w:rPr>
          <w:rFonts w:ascii="Times New Roman" w:hAnsi="Times New Roman" w:cs="Times New Roman"/>
        </w:rPr>
        <w:t xml:space="preserve">of the Act, of their intention to appear as a party to </w:t>
      </w:r>
      <w:r w:rsidRPr="00A41532">
        <w:rPr>
          <w:rFonts w:ascii="Times New Roman" w:hAnsi="Times New Roman" w:cs="Times New Roman"/>
        </w:rPr>
        <w:tab/>
        <w:t>the Panel’s review.</w:t>
      </w:r>
    </w:p>
  </w:footnote>
  <w:footnote w:id="5">
    <w:p w:rsidR="005E6DD9" w:rsidRDefault="005E6DD9" w:rsidP="00F53D1C">
      <w:pPr>
        <w:pStyle w:val="FootnoteText"/>
        <w:tabs>
          <w:tab w:val="left" w:pos="284"/>
        </w:tabs>
      </w:pPr>
      <w:r>
        <w:rPr>
          <w:rStyle w:val="FootnoteReference"/>
        </w:rPr>
        <w:footnoteRef/>
      </w:r>
      <w:r>
        <w:t xml:space="preserve"> </w:t>
      </w:r>
      <w:r>
        <w:tab/>
      </w:r>
      <w:r w:rsidRPr="00A82115">
        <w:rPr>
          <w:rFonts w:ascii="Times New Roman" w:hAnsi="Times New Roman" w:cs="Times New Roman"/>
        </w:rPr>
        <w:t>The</w:t>
      </w:r>
      <w:r>
        <w:t xml:space="preserve"> </w:t>
      </w:r>
      <w:r w:rsidRPr="00A82115">
        <w:rPr>
          <w:rFonts w:ascii="Times New Roman" w:hAnsi="Times New Roman" w:cs="Times New Roman"/>
        </w:rPr>
        <w:t>submission is available on the Panel’s website (http://apps.treasury.act.gov.au/industrypanel)</w:t>
      </w:r>
      <w:r>
        <w:rPr>
          <w:rFonts w:ascii="Times New Roman" w:hAnsi="Times New Roman" w:cs="Times New Roman"/>
        </w:rPr>
        <w:t>.</w:t>
      </w:r>
    </w:p>
  </w:footnote>
  <w:footnote w:id="6">
    <w:p w:rsidR="005E6DD9" w:rsidRPr="00F53D1C" w:rsidRDefault="005E6DD9" w:rsidP="00F53D1C">
      <w:pPr>
        <w:pStyle w:val="FootnoteText"/>
        <w:tabs>
          <w:tab w:val="left" w:pos="284"/>
        </w:tabs>
        <w:rPr>
          <w:rFonts w:ascii="Times New Roman" w:hAnsi="Times New Roman" w:cs="Times New Roman"/>
        </w:rPr>
      </w:pPr>
      <w:r>
        <w:rPr>
          <w:rStyle w:val="FootnoteReference"/>
        </w:rPr>
        <w:footnoteRef/>
      </w:r>
      <w:r>
        <w:t xml:space="preserve"> </w:t>
      </w:r>
      <w:r>
        <w:tab/>
      </w:r>
      <w:r w:rsidRPr="00F53D1C">
        <w:rPr>
          <w:rFonts w:ascii="Times New Roman" w:hAnsi="Times New Roman" w:cs="Times New Roman"/>
        </w:rPr>
        <w:t xml:space="preserve">Section </w:t>
      </w:r>
      <w:proofErr w:type="gramStart"/>
      <w:r w:rsidRPr="00F53D1C">
        <w:rPr>
          <w:rFonts w:ascii="Times New Roman" w:hAnsi="Times New Roman" w:cs="Times New Roman"/>
        </w:rPr>
        <w:t>24U(</w:t>
      </w:r>
      <w:proofErr w:type="gramEnd"/>
      <w:r w:rsidRPr="00F53D1C">
        <w:rPr>
          <w:rFonts w:ascii="Times New Roman" w:hAnsi="Times New Roman" w:cs="Times New Roman"/>
        </w:rPr>
        <w:t>1)</w:t>
      </w:r>
      <w:r>
        <w:rPr>
          <w:rFonts w:ascii="Times New Roman" w:hAnsi="Times New Roman" w:cs="Times New Roman"/>
        </w:rPr>
        <w:t xml:space="preserve"> </w:t>
      </w:r>
      <w:r w:rsidRPr="00F53D1C">
        <w:rPr>
          <w:rFonts w:ascii="Times New Roman" w:hAnsi="Times New Roman" w:cs="Times New Roman"/>
        </w:rPr>
        <w:t xml:space="preserve">of the Act provides that the ICRC must give the Panel any assistance the Panel </w:t>
      </w:r>
      <w:r w:rsidRPr="00F53D1C">
        <w:rPr>
          <w:rFonts w:ascii="Times New Roman" w:hAnsi="Times New Roman" w:cs="Times New Roman"/>
        </w:rPr>
        <w:tab/>
        <w:t>requires.</w:t>
      </w:r>
    </w:p>
    <w:p w:rsidR="005E6DD9" w:rsidRPr="00F53D1C" w:rsidRDefault="005E6DD9">
      <w:pPr>
        <w:pStyle w:val="FootnoteText"/>
        <w:rPr>
          <w:rFonts w:ascii="Times New Roman" w:hAnsi="Times New Roman" w:cs="Times New Roman"/>
        </w:rPr>
      </w:pPr>
    </w:p>
  </w:footnote>
  <w:footnote w:id="7">
    <w:p w:rsidR="00002722" w:rsidRDefault="00002722" w:rsidP="00002722">
      <w:pPr>
        <w:pStyle w:val="FootnoteText"/>
      </w:pPr>
      <w:r>
        <w:rPr>
          <w:rStyle w:val="FootnoteReference"/>
        </w:rPr>
        <w:footnoteRef/>
      </w:r>
      <w:r>
        <w:t xml:space="preserve"> </w:t>
      </w:r>
      <w:r w:rsidRPr="00002722">
        <w:rPr>
          <w:rFonts w:ascii="Times New Roman" w:hAnsi="Times New Roman" w:cs="Times New Roman"/>
        </w:rPr>
        <w:t xml:space="preserve">These best practice principles are discussed in more detail in the Panel's </w:t>
      </w:r>
      <w:r w:rsidRPr="00002722">
        <w:rPr>
          <w:rFonts w:ascii="Times New Roman" w:hAnsi="Times New Roman" w:cs="Times New Roman"/>
          <w:i/>
        </w:rPr>
        <w:t>Review of the Independent Competition and Regulatory Commission’s 2013 Price Direction for Regulated Water and Sewerage Services in the ACT</w:t>
      </w:r>
      <w:r w:rsidRPr="00002722">
        <w:rPr>
          <w:rFonts w:ascii="Times New Roman" w:hAnsi="Times New Roman" w:cs="Times New Roman"/>
        </w:rPr>
        <w:t>, Draft Report, December 2014, Section 4.3.</w:t>
      </w:r>
      <w:r>
        <w:t xml:space="preserve"> </w:t>
      </w:r>
    </w:p>
  </w:footnote>
  <w:footnote w:id="8">
    <w:p w:rsidR="00002722" w:rsidRPr="00194828" w:rsidRDefault="00002722" w:rsidP="00002722">
      <w:pPr>
        <w:tabs>
          <w:tab w:val="left" w:pos="284"/>
        </w:tabs>
        <w:autoSpaceDE w:val="0"/>
        <w:autoSpaceDN w:val="0"/>
        <w:adjustRightInd w:val="0"/>
        <w:spacing w:before="120" w:after="0" w:line="240" w:lineRule="auto"/>
        <w:rPr>
          <w:rFonts w:ascii="Times New Roman" w:hAnsi="Times New Roman" w:cs="Times New Roman"/>
          <w:bCs/>
          <w:sz w:val="18"/>
          <w:szCs w:val="18"/>
        </w:rPr>
      </w:pPr>
      <w:r>
        <w:rPr>
          <w:rStyle w:val="FootnoteReference"/>
        </w:rPr>
        <w:footnoteRef/>
      </w:r>
      <w:r>
        <w:t xml:space="preserve"> </w:t>
      </w:r>
      <w:r>
        <w:tab/>
      </w:r>
      <w:r w:rsidRPr="00194828">
        <w:rPr>
          <w:rFonts w:ascii="Times New Roman" w:hAnsi="Times New Roman" w:cs="Times New Roman"/>
          <w:sz w:val="18"/>
          <w:szCs w:val="18"/>
        </w:rPr>
        <w:t xml:space="preserve">Independent Competition and Regulatory Commission, </w:t>
      </w:r>
      <w:r w:rsidRPr="00194828">
        <w:rPr>
          <w:rFonts w:ascii="Times New Roman" w:hAnsi="Times New Roman" w:cs="Times New Roman"/>
          <w:i/>
          <w:sz w:val="18"/>
          <w:szCs w:val="18"/>
        </w:rPr>
        <w:t xml:space="preserve">Technical paper: Water demand forecasting, </w:t>
      </w:r>
      <w:proofErr w:type="gramStart"/>
      <w:r w:rsidRPr="00194828">
        <w:rPr>
          <w:rFonts w:ascii="Times New Roman" w:hAnsi="Times New Roman" w:cs="Times New Roman"/>
          <w:i/>
          <w:sz w:val="18"/>
          <w:szCs w:val="18"/>
        </w:rPr>
        <w:t>Biennial</w:t>
      </w:r>
      <w:proofErr w:type="gramEnd"/>
      <w:r w:rsidRPr="00194828">
        <w:rPr>
          <w:rFonts w:ascii="Times New Roman" w:hAnsi="Times New Roman" w:cs="Times New Roman"/>
          <w:i/>
          <w:sz w:val="18"/>
          <w:szCs w:val="18"/>
        </w:rPr>
        <w:t xml:space="preserve"> recalibration 2015</w:t>
      </w:r>
      <w:r w:rsidRPr="00194828">
        <w:rPr>
          <w:rFonts w:ascii="Times New Roman" w:hAnsi="Times New Roman" w:cs="Times New Roman"/>
          <w:sz w:val="18"/>
          <w:szCs w:val="18"/>
        </w:rPr>
        <w:t>, Report 1 of 2015, January 2015.</w:t>
      </w:r>
    </w:p>
    <w:p w:rsidR="00002722" w:rsidRDefault="00002722" w:rsidP="00002722">
      <w:pPr>
        <w:pStyle w:val="FootnoteText"/>
        <w:tabs>
          <w:tab w:val="left" w:pos="284"/>
        </w:tabs>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DD9" w:rsidRDefault="005E6DD9" w:rsidP="00B30C65">
    <w:pPr>
      <w:pStyle w:val="Header"/>
      <w:jc w:val="right"/>
    </w:pPr>
    <w:r w:rsidRPr="008848BC">
      <w:rPr>
        <w:rFonts w:ascii="Times New Roman" w:hAnsi="Times New Roman" w:cs="Times New Roman"/>
        <w:i/>
        <w:sz w:val="18"/>
        <w:szCs w:val="18"/>
      </w:rPr>
      <w:t xml:space="preserve">Industry Panel </w:t>
    </w:r>
    <w:r w:rsidR="00D6285A">
      <w:rPr>
        <w:rFonts w:ascii="Times New Roman" w:hAnsi="Times New Roman" w:cs="Times New Roman"/>
        <w:i/>
        <w:sz w:val="18"/>
        <w:szCs w:val="18"/>
      </w:rPr>
      <w:t>D</w:t>
    </w:r>
    <w:r>
      <w:rPr>
        <w:rFonts w:ascii="Times New Roman" w:hAnsi="Times New Roman" w:cs="Times New Roman"/>
        <w:i/>
        <w:sz w:val="18"/>
        <w:szCs w:val="18"/>
      </w:rPr>
      <w:t>eclaration</w:t>
    </w:r>
    <w:r w:rsidR="00D6285A">
      <w:rPr>
        <w:rFonts w:ascii="Times New Roman" w:hAnsi="Times New Roman" w:cs="Times New Roman"/>
        <w:i/>
        <w:sz w:val="18"/>
        <w:szCs w:val="18"/>
      </w:rPr>
      <w:t xml:space="preserve"> and Report</w:t>
    </w:r>
    <w:r>
      <w:rPr>
        <w:rFonts w:ascii="Times New Roman" w:hAnsi="Times New Roman" w:cs="Times New Roman"/>
        <w:i/>
        <w:sz w:val="18"/>
        <w:szCs w:val="18"/>
      </w:rPr>
      <w:t xml:space="preserve">: application made under section 24S of the </w:t>
    </w:r>
    <w:r>
      <w:rPr>
        <w:rFonts w:ascii="Times New Roman" w:hAnsi="Times New Roman" w:cs="Times New Roman"/>
        <w:i/>
        <w:sz w:val="18"/>
        <w:szCs w:val="18"/>
      </w:rPr>
      <w:br/>
      <w:t>Independent Competition and Regulatory Commission Act 1997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DD9" w:rsidRPr="00CA72E4" w:rsidRDefault="005E6DD9" w:rsidP="00CA72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2035"/>
    <w:multiLevelType w:val="hybridMultilevel"/>
    <w:tmpl w:val="56FEDDBA"/>
    <w:lvl w:ilvl="0" w:tplc="0C090017">
      <w:start w:val="1"/>
      <w:numFmt w:val="lowerLetter"/>
      <w:lvlText w:val="%1)"/>
      <w:lvlJc w:val="left"/>
      <w:pPr>
        <w:ind w:left="720"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6E6E45"/>
    <w:multiLevelType w:val="hybridMultilevel"/>
    <w:tmpl w:val="27F40DC4"/>
    <w:lvl w:ilvl="0" w:tplc="2182F4B4">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DF74B3"/>
    <w:multiLevelType w:val="hybridMultilevel"/>
    <w:tmpl w:val="ED043A94"/>
    <w:lvl w:ilvl="0" w:tplc="D5829642">
      <w:start w:val="1"/>
      <w:numFmt w:val="decimal"/>
      <w:lvlText w:val="(%1)"/>
      <w:lvlJc w:val="left"/>
      <w:pPr>
        <w:ind w:left="720" w:hanging="360"/>
      </w:pPr>
      <w:rPr>
        <w:rFonts w:ascii="Times New Roman" w:hAnsi="Times New Roman" w:hint="default"/>
        <w:b w:val="0"/>
        <w:i w:val="0"/>
        <w:sz w:val="20"/>
      </w:rPr>
    </w:lvl>
    <w:lvl w:ilvl="1" w:tplc="9240136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671337A"/>
    <w:multiLevelType w:val="hybridMultilevel"/>
    <w:tmpl w:val="2CE48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BAF50B3"/>
    <w:multiLevelType w:val="hybridMultilevel"/>
    <w:tmpl w:val="D652A4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775EF4"/>
    <w:multiLevelType w:val="hybridMultilevel"/>
    <w:tmpl w:val="3FA61252"/>
    <w:lvl w:ilvl="0" w:tplc="378086F0">
      <w:start w:val="1"/>
      <w:numFmt w:val="lowerLetter"/>
      <w:lvlText w:val="(%1)"/>
      <w:lvlJc w:val="left"/>
      <w:pPr>
        <w:ind w:left="360" w:hanging="360"/>
      </w:pPr>
      <w:rPr>
        <w:rFonts w:ascii="Times New Roman" w:hAnsi="Times New Roman" w:cs="Times New Roman" w:hint="default"/>
        <w:b w:val="0"/>
        <w:i w:val="0"/>
        <w:sz w:val="20"/>
        <w:szCs w:val="20"/>
      </w:rPr>
    </w:lvl>
    <w:lvl w:ilvl="1" w:tplc="19368118">
      <w:start w:val="1"/>
      <w:numFmt w:val="lowerLetter"/>
      <w:lvlText w:val="(%2)"/>
      <w:lvlJc w:val="left"/>
      <w:pPr>
        <w:ind w:left="568"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2025525E"/>
    <w:multiLevelType w:val="hybridMultilevel"/>
    <w:tmpl w:val="33606A08"/>
    <w:lvl w:ilvl="0" w:tplc="0C090017">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2E478F"/>
    <w:multiLevelType w:val="hybridMultilevel"/>
    <w:tmpl w:val="29D07284"/>
    <w:lvl w:ilvl="0" w:tplc="0C090017">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6041504"/>
    <w:multiLevelType w:val="hybridMultilevel"/>
    <w:tmpl w:val="FEF4881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285B75EA"/>
    <w:multiLevelType w:val="hybridMultilevel"/>
    <w:tmpl w:val="AF363E2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9AC7721"/>
    <w:multiLevelType w:val="hybridMultilevel"/>
    <w:tmpl w:val="01B6202C"/>
    <w:lvl w:ilvl="0" w:tplc="2182F4B4">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18D267F"/>
    <w:multiLevelType w:val="hybridMultilevel"/>
    <w:tmpl w:val="088EAF2C"/>
    <w:lvl w:ilvl="0" w:tplc="0C090017">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295517"/>
    <w:multiLevelType w:val="hybridMultilevel"/>
    <w:tmpl w:val="75A4AC0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8BC3541"/>
    <w:multiLevelType w:val="hybridMultilevel"/>
    <w:tmpl w:val="7E7C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7254F3"/>
    <w:multiLevelType w:val="hybridMultilevel"/>
    <w:tmpl w:val="825ED7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AE51710"/>
    <w:multiLevelType w:val="hybridMultilevel"/>
    <w:tmpl w:val="E3E43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B98090D"/>
    <w:multiLevelType w:val="hybridMultilevel"/>
    <w:tmpl w:val="C47A0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2BB324E"/>
    <w:multiLevelType w:val="hybridMultilevel"/>
    <w:tmpl w:val="0D3CFC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46B373D2"/>
    <w:multiLevelType w:val="hybridMultilevel"/>
    <w:tmpl w:val="1F7ADD1A"/>
    <w:lvl w:ilvl="0" w:tplc="0C090017">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EE6085B"/>
    <w:multiLevelType w:val="hybridMultilevel"/>
    <w:tmpl w:val="77B49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1D93430"/>
    <w:multiLevelType w:val="hybridMultilevel"/>
    <w:tmpl w:val="CDA81ECC"/>
    <w:lvl w:ilvl="0" w:tplc="0450E5EA">
      <w:start w:val="1"/>
      <w:numFmt w:val="lowerLetter"/>
      <w:lvlText w:val="(%1)"/>
      <w:lvlJc w:val="left"/>
      <w:pPr>
        <w:ind w:left="1125" w:hanging="7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2455C41"/>
    <w:multiLevelType w:val="hybridMultilevel"/>
    <w:tmpl w:val="01766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3CB5926"/>
    <w:multiLevelType w:val="hybridMultilevel"/>
    <w:tmpl w:val="B5C28280"/>
    <w:lvl w:ilvl="0" w:tplc="2182F4B4">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4DB0D58"/>
    <w:multiLevelType w:val="hybridMultilevel"/>
    <w:tmpl w:val="249E1B4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57F92B34"/>
    <w:multiLevelType w:val="hybridMultilevel"/>
    <w:tmpl w:val="D6EA7188"/>
    <w:lvl w:ilvl="0" w:tplc="D30E456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8B27333"/>
    <w:multiLevelType w:val="hybridMultilevel"/>
    <w:tmpl w:val="75A4AC0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nsid w:val="59392D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9D86FD3"/>
    <w:multiLevelType w:val="hybridMultilevel"/>
    <w:tmpl w:val="85B61748"/>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A885502"/>
    <w:multiLevelType w:val="hybridMultilevel"/>
    <w:tmpl w:val="FAB48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C8358E6"/>
    <w:multiLevelType w:val="hybridMultilevel"/>
    <w:tmpl w:val="7D7219EC"/>
    <w:lvl w:ilvl="0" w:tplc="0C090017">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D1C361B"/>
    <w:multiLevelType w:val="hybridMultilevel"/>
    <w:tmpl w:val="3C38A8E2"/>
    <w:lvl w:ilvl="0" w:tplc="2182F4B4">
      <w:start w:val="1"/>
      <w:numFmt w:val="lowerLetter"/>
      <w:lvlText w:val="(%1)"/>
      <w:lvlJc w:val="left"/>
      <w:pPr>
        <w:ind w:left="1110" w:hanging="7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DCA598D"/>
    <w:multiLevelType w:val="hybridMultilevel"/>
    <w:tmpl w:val="0D945228"/>
    <w:lvl w:ilvl="0" w:tplc="0C090017">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0E0554"/>
    <w:multiLevelType w:val="hybridMultilevel"/>
    <w:tmpl w:val="438A9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AB11EF"/>
    <w:multiLevelType w:val="hybridMultilevel"/>
    <w:tmpl w:val="2F2ABFE6"/>
    <w:lvl w:ilvl="0" w:tplc="9064B3F0">
      <w:start w:val="1"/>
      <w:numFmt w:val="bullet"/>
      <w:pStyle w:val="Bullet1"/>
      <w:lvlText w:val=""/>
      <w:lvlJc w:val="left"/>
      <w:pPr>
        <w:ind w:left="360" w:hanging="360"/>
      </w:pPr>
      <w:rPr>
        <w:rFonts w:ascii="Symbol" w:hAnsi="Symbol" w:hint="default"/>
        <w:b w:val="0"/>
        <w:i w:val="0"/>
        <w:color w:val="auto"/>
        <w:sz w:val="22"/>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4">
    <w:nsid w:val="62B63856"/>
    <w:multiLevelType w:val="hybridMultilevel"/>
    <w:tmpl w:val="0A965D2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39F0E99"/>
    <w:multiLevelType w:val="hybridMultilevel"/>
    <w:tmpl w:val="EC76E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4F84EA1"/>
    <w:multiLevelType w:val="hybridMultilevel"/>
    <w:tmpl w:val="533CA3E6"/>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7">
    <w:nsid w:val="65BA6449"/>
    <w:multiLevelType w:val="hybridMultilevel"/>
    <w:tmpl w:val="1884E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6286604"/>
    <w:multiLevelType w:val="hybridMultilevel"/>
    <w:tmpl w:val="B8947E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C5130FA"/>
    <w:multiLevelType w:val="hybridMultilevel"/>
    <w:tmpl w:val="9FB8BCE2"/>
    <w:lvl w:ilvl="0" w:tplc="D468554C">
      <w:start w:val="1"/>
      <w:numFmt w:val="lowerLetter"/>
      <w:lvlText w:val="(%1)"/>
      <w:lvlJc w:val="left"/>
      <w:pPr>
        <w:ind w:left="360" w:hanging="360"/>
      </w:pPr>
      <w:rPr>
        <w:rFonts w:ascii="Times New Roman" w:hAnsi="Times New Roman" w:cs="Times New Roman" w:hint="default"/>
        <w:b w:val="0"/>
        <w:i w:val="0"/>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6D786D98"/>
    <w:multiLevelType w:val="hybridMultilevel"/>
    <w:tmpl w:val="973A1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8"/>
  </w:num>
  <w:num w:numId="2">
    <w:abstractNumId w:val="40"/>
  </w:num>
  <w:num w:numId="3">
    <w:abstractNumId w:val="0"/>
  </w:num>
  <w:num w:numId="4">
    <w:abstractNumId w:val="37"/>
  </w:num>
  <w:num w:numId="5">
    <w:abstractNumId w:val="13"/>
  </w:num>
  <w:num w:numId="6">
    <w:abstractNumId w:val="35"/>
  </w:num>
  <w:num w:numId="7">
    <w:abstractNumId w:val="32"/>
  </w:num>
  <w:num w:numId="8">
    <w:abstractNumId w:val="36"/>
  </w:num>
  <w:num w:numId="9">
    <w:abstractNumId w:val="28"/>
  </w:num>
  <w:num w:numId="10">
    <w:abstractNumId w:val="9"/>
  </w:num>
  <w:num w:numId="11">
    <w:abstractNumId w:val="16"/>
  </w:num>
  <w:num w:numId="12">
    <w:abstractNumId w:val="26"/>
  </w:num>
  <w:num w:numId="13">
    <w:abstractNumId w:val="34"/>
  </w:num>
  <w:num w:numId="14">
    <w:abstractNumId w:val="11"/>
  </w:num>
  <w:num w:numId="15">
    <w:abstractNumId w:val="31"/>
  </w:num>
  <w:num w:numId="16">
    <w:abstractNumId w:val="6"/>
  </w:num>
  <w:num w:numId="17">
    <w:abstractNumId w:val="29"/>
  </w:num>
  <w:num w:numId="18">
    <w:abstractNumId w:val="7"/>
  </w:num>
  <w:num w:numId="19">
    <w:abstractNumId w:val="27"/>
  </w:num>
  <w:num w:numId="20">
    <w:abstractNumId w:val="8"/>
  </w:num>
  <w:num w:numId="21">
    <w:abstractNumId w:val="23"/>
  </w:num>
  <w:num w:numId="22">
    <w:abstractNumId w:val="25"/>
  </w:num>
  <w:num w:numId="23">
    <w:abstractNumId w:val="12"/>
  </w:num>
  <w:num w:numId="24">
    <w:abstractNumId w:val="2"/>
  </w:num>
  <w:num w:numId="25">
    <w:abstractNumId w:val="5"/>
  </w:num>
  <w:num w:numId="26">
    <w:abstractNumId w:val="3"/>
  </w:num>
  <w:num w:numId="27">
    <w:abstractNumId w:val="39"/>
  </w:num>
  <w:num w:numId="28">
    <w:abstractNumId w:val="14"/>
  </w:num>
  <w:num w:numId="29">
    <w:abstractNumId w:val="17"/>
  </w:num>
  <w:num w:numId="30">
    <w:abstractNumId w:val="19"/>
  </w:num>
  <w:num w:numId="31">
    <w:abstractNumId w:val="21"/>
  </w:num>
  <w:num w:numId="32">
    <w:abstractNumId w:val="15"/>
  </w:num>
  <w:num w:numId="33">
    <w:abstractNumId w:val="33"/>
  </w:num>
  <w:num w:numId="34">
    <w:abstractNumId w:val="18"/>
  </w:num>
  <w:num w:numId="35">
    <w:abstractNumId w:val="30"/>
  </w:num>
  <w:num w:numId="36">
    <w:abstractNumId w:val="22"/>
  </w:num>
  <w:num w:numId="37">
    <w:abstractNumId w:val="10"/>
  </w:num>
  <w:num w:numId="38">
    <w:abstractNumId w:val="20"/>
  </w:num>
  <w:num w:numId="39">
    <w:abstractNumId w:val="1"/>
  </w:num>
  <w:num w:numId="40">
    <w:abstractNumId w:val="24"/>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useFELayout/>
  </w:compat>
  <w:rsids>
    <w:rsidRoot w:val="00972A32"/>
    <w:rsid w:val="00002722"/>
    <w:rsid w:val="00002775"/>
    <w:rsid w:val="000050C8"/>
    <w:rsid w:val="00005A64"/>
    <w:rsid w:val="00010376"/>
    <w:rsid w:val="00012156"/>
    <w:rsid w:val="00015C5A"/>
    <w:rsid w:val="000238A2"/>
    <w:rsid w:val="00025818"/>
    <w:rsid w:val="0002740B"/>
    <w:rsid w:val="0004249C"/>
    <w:rsid w:val="00042CD6"/>
    <w:rsid w:val="00045061"/>
    <w:rsid w:val="000520E0"/>
    <w:rsid w:val="00072E92"/>
    <w:rsid w:val="000758D7"/>
    <w:rsid w:val="00080995"/>
    <w:rsid w:val="00083CE3"/>
    <w:rsid w:val="00083D30"/>
    <w:rsid w:val="00091184"/>
    <w:rsid w:val="000A248F"/>
    <w:rsid w:val="000A6FE4"/>
    <w:rsid w:val="000B70D0"/>
    <w:rsid w:val="000B7CB7"/>
    <w:rsid w:val="000C2B58"/>
    <w:rsid w:val="000C3E97"/>
    <w:rsid w:val="000E5C55"/>
    <w:rsid w:val="000F0706"/>
    <w:rsid w:val="000F5032"/>
    <w:rsid w:val="000F5334"/>
    <w:rsid w:val="00102479"/>
    <w:rsid w:val="001114A5"/>
    <w:rsid w:val="00120A7A"/>
    <w:rsid w:val="001272BF"/>
    <w:rsid w:val="001336FA"/>
    <w:rsid w:val="00133E30"/>
    <w:rsid w:val="001343FA"/>
    <w:rsid w:val="00144BAD"/>
    <w:rsid w:val="001515F0"/>
    <w:rsid w:val="001623A7"/>
    <w:rsid w:val="00165A98"/>
    <w:rsid w:val="00167855"/>
    <w:rsid w:val="00171113"/>
    <w:rsid w:val="0017163A"/>
    <w:rsid w:val="001845FA"/>
    <w:rsid w:val="00192320"/>
    <w:rsid w:val="00194828"/>
    <w:rsid w:val="001A2482"/>
    <w:rsid w:val="001B421D"/>
    <w:rsid w:val="001B5A82"/>
    <w:rsid w:val="001B79A9"/>
    <w:rsid w:val="001B79F0"/>
    <w:rsid w:val="001C12E7"/>
    <w:rsid w:val="001C12EC"/>
    <w:rsid w:val="001C4F00"/>
    <w:rsid w:val="001C77D8"/>
    <w:rsid w:val="001D42DE"/>
    <w:rsid w:val="001D5060"/>
    <w:rsid w:val="001D5383"/>
    <w:rsid w:val="001D75E9"/>
    <w:rsid w:val="001E515F"/>
    <w:rsid w:val="001E725D"/>
    <w:rsid w:val="001F057F"/>
    <w:rsid w:val="001F2B70"/>
    <w:rsid w:val="00215D0C"/>
    <w:rsid w:val="00216BD8"/>
    <w:rsid w:val="00222989"/>
    <w:rsid w:val="002251F1"/>
    <w:rsid w:val="00252D13"/>
    <w:rsid w:val="00271947"/>
    <w:rsid w:val="00272373"/>
    <w:rsid w:val="002729C6"/>
    <w:rsid w:val="0029508C"/>
    <w:rsid w:val="002966BC"/>
    <w:rsid w:val="00296932"/>
    <w:rsid w:val="00296DCE"/>
    <w:rsid w:val="002979E9"/>
    <w:rsid w:val="002A424A"/>
    <w:rsid w:val="002A5FA7"/>
    <w:rsid w:val="002C38BA"/>
    <w:rsid w:val="003052EE"/>
    <w:rsid w:val="00326F1C"/>
    <w:rsid w:val="00327197"/>
    <w:rsid w:val="00330F7E"/>
    <w:rsid w:val="00332881"/>
    <w:rsid w:val="00335C3B"/>
    <w:rsid w:val="00337DBF"/>
    <w:rsid w:val="00342A57"/>
    <w:rsid w:val="00346688"/>
    <w:rsid w:val="003513A3"/>
    <w:rsid w:val="00357365"/>
    <w:rsid w:val="00360C47"/>
    <w:rsid w:val="00361515"/>
    <w:rsid w:val="00361ED2"/>
    <w:rsid w:val="00373C0F"/>
    <w:rsid w:val="0037476E"/>
    <w:rsid w:val="0038388D"/>
    <w:rsid w:val="00386185"/>
    <w:rsid w:val="003908DA"/>
    <w:rsid w:val="00391229"/>
    <w:rsid w:val="00392112"/>
    <w:rsid w:val="003959AF"/>
    <w:rsid w:val="00397685"/>
    <w:rsid w:val="00397AF7"/>
    <w:rsid w:val="003A1554"/>
    <w:rsid w:val="003B0851"/>
    <w:rsid w:val="003C1F15"/>
    <w:rsid w:val="003E1DF7"/>
    <w:rsid w:val="0040031F"/>
    <w:rsid w:val="004006E2"/>
    <w:rsid w:val="00412F9E"/>
    <w:rsid w:val="0041488F"/>
    <w:rsid w:val="00417DBF"/>
    <w:rsid w:val="004340D5"/>
    <w:rsid w:val="004352D4"/>
    <w:rsid w:val="004360D7"/>
    <w:rsid w:val="00440462"/>
    <w:rsid w:val="004427D2"/>
    <w:rsid w:val="0045004E"/>
    <w:rsid w:val="00465274"/>
    <w:rsid w:val="00480D1C"/>
    <w:rsid w:val="0048393D"/>
    <w:rsid w:val="00486C66"/>
    <w:rsid w:val="004926AA"/>
    <w:rsid w:val="0049569D"/>
    <w:rsid w:val="0049661A"/>
    <w:rsid w:val="004A07B7"/>
    <w:rsid w:val="004B026E"/>
    <w:rsid w:val="004B20C6"/>
    <w:rsid w:val="004B27B7"/>
    <w:rsid w:val="004B4FA4"/>
    <w:rsid w:val="004C6B62"/>
    <w:rsid w:val="004E1429"/>
    <w:rsid w:val="004E2573"/>
    <w:rsid w:val="004E4AD2"/>
    <w:rsid w:val="004F1CF3"/>
    <w:rsid w:val="004F72BF"/>
    <w:rsid w:val="00506F85"/>
    <w:rsid w:val="005123B9"/>
    <w:rsid w:val="00521028"/>
    <w:rsid w:val="00521E30"/>
    <w:rsid w:val="00531015"/>
    <w:rsid w:val="005317B5"/>
    <w:rsid w:val="00535C55"/>
    <w:rsid w:val="005429B8"/>
    <w:rsid w:val="00546BF7"/>
    <w:rsid w:val="00553B0A"/>
    <w:rsid w:val="005569D2"/>
    <w:rsid w:val="00566448"/>
    <w:rsid w:val="0058587B"/>
    <w:rsid w:val="005957BD"/>
    <w:rsid w:val="005A3477"/>
    <w:rsid w:val="005A4257"/>
    <w:rsid w:val="005A7C55"/>
    <w:rsid w:val="005D1FBD"/>
    <w:rsid w:val="005D36D1"/>
    <w:rsid w:val="005D48E7"/>
    <w:rsid w:val="005D4D00"/>
    <w:rsid w:val="005D60AF"/>
    <w:rsid w:val="005E0334"/>
    <w:rsid w:val="005E5E42"/>
    <w:rsid w:val="005E6B86"/>
    <w:rsid w:val="005E6DD9"/>
    <w:rsid w:val="005F6A36"/>
    <w:rsid w:val="0060075F"/>
    <w:rsid w:val="0061360D"/>
    <w:rsid w:val="00621F37"/>
    <w:rsid w:val="006228D5"/>
    <w:rsid w:val="006252B1"/>
    <w:rsid w:val="006258DE"/>
    <w:rsid w:val="0062747B"/>
    <w:rsid w:val="00632386"/>
    <w:rsid w:val="0064638A"/>
    <w:rsid w:val="006531BC"/>
    <w:rsid w:val="00656F98"/>
    <w:rsid w:val="00686759"/>
    <w:rsid w:val="00686BB7"/>
    <w:rsid w:val="00695C92"/>
    <w:rsid w:val="006976AC"/>
    <w:rsid w:val="006A562D"/>
    <w:rsid w:val="006C7E8F"/>
    <w:rsid w:val="006D3F1F"/>
    <w:rsid w:val="006D5454"/>
    <w:rsid w:val="006E2F05"/>
    <w:rsid w:val="006E75D3"/>
    <w:rsid w:val="006F1B46"/>
    <w:rsid w:val="006F1D6C"/>
    <w:rsid w:val="00700B05"/>
    <w:rsid w:val="00701CD0"/>
    <w:rsid w:val="0070390C"/>
    <w:rsid w:val="00703C59"/>
    <w:rsid w:val="00706B9D"/>
    <w:rsid w:val="00713ADC"/>
    <w:rsid w:val="00723D16"/>
    <w:rsid w:val="0073245F"/>
    <w:rsid w:val="00733AA9"/>
    <w:rsid w:val="00735C31"/>
    <w:rsid w:val="00745BF7"/>
    <w:rsid w:val="00771667"/>
    <w:rsid w:val="00773548"/>
    <w:rsid w:val="00792E7F"/>
    <w:rsid w:val="00795212"/>
    <w:rsid w:val="007A2922"/>
    <w:rsid w:val="007A4C26"/>
    <w:rsid w:val="007B07FB"/>
    <w:rsid w:val="007C60C2"/>
    <w:rsid w:val="007D60A3"/>
    <w:rsid w:val="007E00A9"/>
    <w:rsid w:val="007E22C9"/>
    <w:rsid w:val="007F10E2"/>
    <w:rsid w:val="007F2664"/>
    <w:rsid w:val="007F2C20"/>
    <w:rsid w:val="007F3D42"/>
    <w:rsid w:val="007F41CB"/>
    <w:rsid w:val="007F5C41"/>
    <w:rsid w:val="007F6707"/>
    <w:rsid w:val="008022B8"/>
    <w:rsid w:val="00804DEF"/>
    <w:rsid w:val="00817E96"/>
    <w:rsid w:val="00820524"/>
    <w:rsid w:val="008209CE"/>
    <w:rsid w:val="00821F39"/>
    <w:rsid w:val="00823548"/>
    <w:rsid w:val="00824DDA"/>
    <w:rsid w:val="008313FC"/>
    <w:rsid w:val="008336FF"/>
    <w:rsid w:val="00853C26"/>
    <w:rsid w:val="00855EF4"/>
    <w:rsid w:val="00862747"/>
    <w:rsid w:val="00865437"/>
    <w:rsid w:val="008672A7"/>
    <w:rsid w:val="00877ED3"/>
    <w:rsid w:val="0088330E"/>
    <w:rsid w:val="008848BC"/>
    <w:rsid w:val="00885CCB"/>
    <w:rsid w:val="008A2F0C"/>
    <w:rsid w:val="008B1100"/>
    <w:rsid w:val="008B2B75"/>
    <w:rsid w:val="008B375B"/>
    <w:rsid w:val="008C6F33"/>
    <w:rsid w:val="008D7110"/>
    <w:rsid w:val="008E1037"/>
    <w:rsid w:val="008E2679"/>
    <w:rsid w:val="008E366E"/>
    <w:rsid w:val="008E7241"/>
    <w:rsid w:val="00901CA8"/>
    <w:rsid w:val="00906878"/>
    <w:rsid w:val="009240D8"/>
    <w:rsid w:val="00925031"/>
    <w:rsid w:val="009346F1"/>
    <w:rsid w:val="00935D81"/>
    <w:rsid w:val="009370B1"/>
    <w:rsid w:val="00937E4C"/>
    <w:rsid w:val="00940965"/>
    <w:rsid w:val="00944DDD"/>
    <w:rsid w:val="00954231"/>
    <w:rsid w:val="00955299"/>
    <w:rsid w:val="009655D8"/>
    <w:rsid w:val="00972A32"/>
    <w:rsid w:val="00977449"/>
    <w:rsid w:val="0098136E"/>
    <w:rsid w:val="009845D4"/>
    <w:rsid w:val="009B14A8"/>
    <w:rsid w:val="009B1A01"/>
    <w:rsid w:val="009B417D"/>
    <w:rsid w:val="009B539E"/>
    <w:rsid w:val="009B53FB"/>
    <w:rsid w:val="009B58C9"/>
    <w:rsid w:val="009B6870"/>
    <w:rsid w:val="009C7A46"/>
    <w:rsid w:val="009D1B51"/>
    <w:rsid w:val="009D6105"/>
    <w:rsid w:val="009E62FE"/>
    <w:rsid w:val="009E71B7"/>
    <w:rsid w:val="00A07831"/>
    <w:rsid w:val="00A147DB"/>
    <w:rsid w:val="00A169BA"/>
    <w:rsid w:val="00A220AD"/>
    <w:rsid w:val="00A26717"/>
    <w:rsid w:val="00A30734"/>
    <w:rsid w:val="00A346D4"/>
    <w:rsid w:val="00A41532"/>
    <w:rsid w:val="00A41A63"/>
    <w:rsid w:val="00A538AB"/>
    <w:rsid w:val="00A655DA"/>
    <w:rsid w:val="00A768A4"/>
    <w:rsid w:val="00A7740A"/>
    <w:rsid w:val="00A82115"/>
    <w:rsid w:val="00A87CC4"/>
    <w:rsid w:val="00AA0900"/>
    <w:rsid w:val="00AA0B64"/>
    <w:rsid w:val="00AA2A26"/>
    <w:rsid w:val="00AB2AB5"/>
    <w:rsid w:val="00AB39E6"/>
    <w:rsid w:val="00AB4797"/>
    <w:rsid w:val="00AC08FE"/>
    <w:rsid w:val="00AC2D5A"/>
    <w:rsid w:val="00AC6CFC"/>
    <w:rsid w:val="00AC6E0C"/>
    <w:rsid w:val="00AE2A08"/>
    <w:rsid w:val="00AE3EA4"/>
    <w:rsid w:val="00AE4699"/>
    <w:rsid w:val="00AF2DC1"/>
    <w:rsid w:val="00B04891"/>
    <w:rsid w:val="00B06292"/>
    <w:rsid w:val="00B06372"/>
    <w:rsid w:val="00B15D6E"/>
    <w:rsid w:val="00B17563"/>
    <w:rsid w:val="00B30C65"/>
    <w:rsid w:val="00B35EAC"/>
    <w:rsid w:val="00B377A1"/>
    <w:rsid w:val="00B43015"/>
    <w:rsid w:val="00B45252"/>
    <w:rsid w:val="00B46FE0"/>
    <w:rsid w:val="00B47FC5"/>
    <w:rsid w:val="00B56E6E"/>
    <w:rsid w:val="00B60288"/>
    <w:rsid w:val="00B62DB6"/>
    <w:rsid w:val="00B72455"/>
    <w:rsid w:val="00B72DF7"/>
    <w:rsid w:val="00B72E64"/>
    <w:rsid w:val="00B92145"/>
    <w:rsid w:val="00B94896"/>
    <w:rsid w:val="00B95E11"/>
    <w:rsid w:val="00B96F98"/>
    <w:rsid w:val="00BA2EBD"/>
    <w:rsid w:val="00BA5527"/>
    <w:rsid w:val="00BB1558"/>
    <w:rsid w:val="00BB2227"/>
    <w:rsid w:val="00BC023B"/>
    <w:rsid w:val="00BD0C9D"/>
    <w:rsid w:val="00BD34F5"/>
    <w:rsid w:val="00BD449A"/>
    <w:rsid w:val="00BD50B5"/>
    <w:rsid w:val="00BE1AED"/>
    <w:rsid w:val="00BE2781"/>
    <w:rsid w:val="00BE51A6"/>
    <w:rsid w:val="00BF41B4"/>
    <w:rsid w:val="00C03913"/>
    <w:rsid w:val="00C0563B"/>
    <w:rsid w:val="00C13161"/>
    <w:rsid w:val="00C154C7"/>
    <w:rsid w:val="00C15EA7"/>
    <w:rsid w:val="00C17E1C"/>
    <w:rsid w:val="00C222D4"/>
    <w:rsid w:val="00C228BA"/>
    <w:rsid w:val="00C35CEF"/>
    <w:rsid w:val="00C36946"/>
    <w:rsid w:val="00C40BB1"/>
    <w:rsid w:val="00C45C59"/>
    <w:rsid w:val="00C466BA"/>
    <w:rsid w:val="00C50B87"/>
    <w:rsid w:val="00C604BB"/>
    <w:rsid w:val="00C62DCE"/>
    <w:rsid w:val="00C70356"/>
    <w:rsid w:val="00C87473"/>
    <w:rsid w:val="00C9167E"/>
    <w:rsid w:val="00C92C0D"/>
    <w:rsid w:val="00C93016"/>
    <w:rsid w:val="00C97B21"/>
    <w:rsid w:val="00CA1783"/>
    <w:rsid w:val="00CA72E4"/>
    <w:rsid w:val="00CB0121"/>
    <w:rsid w:val="00CE38D8"/>
    <w:rsid w:val="00CF02CD"/>
    <w:rsid w:val="00CF475D"/>
    <w:rsid w:val="00CF5C57"/>
    <w:rsid w:val="00D00464"/>
    <w:rsid w:val="00D04701"/>
    <w:rsid w:val="00D07AAC"/>
    <w:rsid w:val="00D107DA"/>
    <w:rsid w:val="00D135CE"/>
    <w:rsid w:val="00D17399"/>
    <w:rsid w:val="00D2146B"/>
    <w:rsid w:val="00D225A5"/>
    <w:rsid w:val="00D2328F"/>
    <w:rsid w:val="00D35AA6"/>
    <w:rsid w:val="00D47735"/>
    <w:rsid w:val="00D47AF8"/>
    <w:rsid w:val="00D516D8"/>
    <w:rsid w:val="00D56AED"/>
    <w:rsid w:val="00D60EEF"/>
    <w:rsid w:val="00D6285A"/>
    <w:rsid w:val="00D715B2"/>
    <w:rsid w:val="00D72F67"/>
    <w:rsid w:val="00D760B2"/>
    <w:rsid w:val="00D81008"/>
    <w:rsid w:val="00DA466B"/>
    <w:rsid w:val="00DC2740"/>
    <w:rsid w:val="00DC41D1"/>
    <w:rsid w:val="00DD1594"/>
    <w:rsid w:val="00DD4103"/>
    <w:rsid w:val="00DD559A"/>
    <w:rsid w:val="00DD687F"/>
    <w:rsid w:val="00DD6B96"/>
    <w:rsid w:val="00DF0B23"/>
    <w:rsid w:val="00DF4049"/>
    <w:rsid w:val="00DF76A8"/>
    <w:rsid w:val="00E10BF5"/>
    <w:rsid w:val="00E1363B"/>
    <w:rsid w:val="00E20DF4"/>
    <w:rsid w:val="00E312F4"/>
    <w:rsid w:val="00E32B7D"/>
    <w:rsid w:val="00E34720"/>
    <w:rsid w:val="00E45A7F"/>
    <w:rsid w:val="00E53AF5"/>
    <w:rsid w:val="00E56D72"/>
    <w:rsid w:val="00E57576"/>
    <w:rsid w:val="00E57E5B"/>
    <w:rsid w:val="00E612CD"/>
    <w:rsid w:val="00E90C96"/>
    <w:rsid w:val="00E92D34"/>
    <w:rsid w:val="00E943BD"/>
    <w:rsid w:val="00E97CC9"/>
    <w:rsid w:val="00EB5A52"/>
    <w:rsid w:val="00EB5ABE"/>
    <w:rsid w:val="00EC21DB"/>
    <w:rsid w:val="00EC333B"/>
    <w:rsid w:val="00ED29EE"/>
    <w:rsid w:val="00ED3191"/>
    <w:rsid w:val="00ED3FFB"/>
    <w:rsid w:val="00EE52CE"/>
    <w:rsid w:val="00EF3FC3"/>
    <w:rsid w:val="00F0553F"/>
    <w:rsid w:val="00F1042A"/>
    <w:rsid w:val="00F16B7C"/>
    <w:rsid w:val="00F256CC"/>
    <w:rsid w:val="00F40C23"/>
    <w:rsid w:val="00F47838"/>
    <w:rsid w:val="00F5275C"/>
    <w:rsid w:val="00F53D1C"/>
    <w:rsid w:val="00F57E9F"/>
    <w:rsid w:val="00F70E4C"/>
    <w:rsid w:val="00F77496"/>
    <w:rsid w:val="00F8294D"/>
    <w:rsid w:val="00F835E3"/>
    <w:rsid w:val="00F84CD2"/>
    <w:rsid w:val="00F854F7"/>
    <w:rsid w:val="00F876E8"/>
    <w:rsid w:val="00F912EA"/>
    <w:rsid w:val="00FA09FC"/>
    <w:rsid w:val="00FA3ACD"/>
    <w:rsid w:val="00FB6DBD"/>
    <w:rsid w:val="00FB7691"/>
    <w:rsid w:val="00FD1F1C"/>
    <w:rsid w:val="00FD3E13"/>
    <w:rsid w:val="00FD4443"/>
    <w:rsid w:val="00FE792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60D"/>
  </w:style>
  <w:style w:type="paragraph" w:styleId="Heading1">
    <w:name w:val="heading 1"/>
    <w:basedOn w:val="HeadingA"/>
    <w:next w:val="Normal"/>
    <w:link w:val="Heading1Char"/>
    <w:uiPriority w:val="9"/>
    <w:qFormat/>
    <w:rsid w:val="005429B8"/>
    <w:pPr>
      <w:spacing w:before="480" w:after="0"/>
      <w:outlineLvl w:val="0"/>
    </w:pPr>
    <w:rPr>
      <w:rFonts w:asciiTheme="majorHAnsi" w:eastAsiaTheme="majorEastAsia" w:hAnsiTheme="majorHAnsi" w:cstheme="majorBidi"/>
      <w:bCs/>
      <w:sz w:val="28"/>
      <w:szCs w:val="28"/>
    </w:rPr>
  </w:style>
  <w:style w:type="paragraph" w:styleId="Heading2">
    <w:name w:val="heading 2"/>
    <w:basedOn w:val="Normal"/>
    <w:link w:val="Heading2Char"/>
    <w:uiPriority w:val="9"/>
    <w:qFormat/>
    <w:rsid w:val="00B062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E5E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B6870"/>
    <w:rPr>
      <w:sz w:val="16"/>
      <w:szCs w:val="16"/>
    </w:rPr>
  </w:style>
  <w:style w:type="paragraph" w:styleId="ListParagraph">
    <w:name w:val="List Paragraph"/>
    <w:basedOn w:val="Normal"/>
    <w:uiPriority w:val="34"/>
    <w:qFormat/>
    <w:rsid w:val="009B6870"/>
    <w:pPr>
      <w:ind w:left="720"/>
      <w:contextualSpacing/>
    </w:pPr>
    <w:rPr>
      <w:rFonts w:ascii="Calibri" w:eastAsia="Calibri" w:hAnsi="Calibri" w:cs="Times New Roman"/>
    </w:rPr>
  </w:style>
  <w:style w:type="paragraph" w:styleId="Header">
    <w:name w:val="header"/>
    <w:basedOn w:val="Normal"/>
    <w:link w:val="HeaderChar"/>
    <w:uiPriority w:val="99"/>
    <w:unhideWhenUsed/>
    <w:rsid w:val="00C35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CEF"/>
  </w:style>
  <w:style w:type="paragraph" w:styleId="Footer">
    <w:name w:val="footer"/>
    <w:basedOn w:val="Normal"/>
    <w:link w:val="FooterChar"/>
    <w:uiPriority w:val="99"/>
    <w:unhideWhenUsed/>
    <w:rsid w:val="00C35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CEF"/>
  </w:style>
  <w:style w:type="character" w:customStyle="1" w:styleId="Heading2Char">
    <w:name w:val="Heading 2 Char"/>
    <w:basedOn w:val="DefaultParagraphFont"/>
    <w:link w:val="Heading2"/>
    <w:uiPriority w:val="9"/>
    <w:rsid w:val="00B06292"/>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B0629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06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6292"/>
    <w:rPr>
      <w:color w:val="0000FF" w:themeColor="hyperlink"/>
      <w:u w:val="single"/>
    </w:rPr>
  </w:style>
  <w:style w:type="paragraph" w:styleId="FootnoteText">
    <w:name w:val="footnote text"/>
    <w:aliases w:val="AR Footnote Text,ALTS FOOTNOTE,ALTS FOOTNOTE Char,fn Char,Footnote Text Char1 Char,Footnote Text Char Char Char,ALTS FOOTNOTE Char Char Char,fn Char Char Char,Footnote Text Char2 Char Char Char,fn,(NECG) Footnote Text,Footnote Text Char2"/>
    <w:basedOn w:val="Normal"/>
    <w:link w:val="FootnoteTextChar"/>
    <w:unhideWhenUsed/>
    <w:qFormat/>
    <w:rsid w:val="009B539E"/>
    <w:pPr>
      <w:spacing w:after="0" w:line="240" w:lineRule="auto"/>
    </w:pPr>
    <w:rPr>
      <w:sz w:val="20"/>
      <w:szCs w:val="20"/>
    </w:rPr>
  </w:style>
  <w:style w:type="character" w:customStyle="1" w:styleId="FootnoteTextChar">
    <w:name w:val="Footnote Text Char"/>
    <w:aliases w:val="AR Footnote Text Char,ALTS FOOTNOTE Char1,ALTS FOOTNOTE Char Char,fn Char Char,Footnote Text Char1 Char Char,Footnote Text Char Char Char Char,ALTS FOOTNOTE Char Char Char Char,fn Char Char Char Char,fn Char1,(NECG) Footnote Text Char"/>
    <w:basedOn w:val="DefaultParagraphFont"/>
    <w:link w:val="FootnoteText"/>
    <w:rsid w:val="009B539E"/>
    <w:rPr>
      <w:sz w:val="20"/>
      <w:szCs w:val="20"/>
    </w:rPr>
  </w:style>
  <w:style w:type="character" w:styleId="FootnoteReference">
    <w:name w:val="footnote reference"/>
    <w:aliases w:val="(NECG) Footnote Reference"/>
    <w:basedOn w:val="DefaultParagraphFont"/>
    <w:unhideWhenUsed/>
    <w:rsid w:val="009B539E"/>
    <w:rPr>
      <w:vertAlign w:val="superscript"/>
    </w:rPr>
  </w:style>
  <w:style w:type="paragraph" w:customStyle="1" w:styleId="Tableheading">
    <w:name w:val="Table heading"/>
    <w:basedOn w:val="Normal"/>
    <w:rsid w:val="00C45C59"/>
    <w:pPr>
      <w:spacing w:after="0" w:line="240" w:lineRule="atLeast"/>
      <w:jc w:val="center"/>
    </w:pPr>
    <w:rPr>
      <w:rFonts w:ascii="Arial" w:eastAsia="Times New Roman" w:hAnsi="Arial" w:cs="Times New Roman"/>
      <w:b/>
      <w:sz w:val="18"/>
      <w:szCs w:val="20"/>
    </w:rPr>
  </w:style>
  <w:style w:type="character" w:customStyle="1" w:styleId="Heading1Char">
    <w:name w:val="Heading 1 Char"/>
    <w:basedOn w:val="DefaultParagraphFont"/>
    <w:link w:val="Heading1"/>
    <w:uiPriority w:val="9"/>
    <w:rsid w:val="005429B8"/>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38388D"/>
    <w:pPr>
      <w:outlineLvl w:val="9"/>
    </w:pPr>
    <w:rPr>
      <w:lang w:val="en-US"/>
    </w:rPr>
  </w:style>
  <w:style w:type="paragraph" w:styleId="BalloonText">
    <w:name w:val="Balloon Text"/>
    <w:basedOn w:val="Normal"/>
    <w:link w:val="BalloonTextChar"/>
    <w:uiPriority w:val="99"/>
    <w:semiHidden/>
    <w:unhideWhenUsed/>
    <w:rsid w:val="00383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8D"/>
    <w:rPr>
      <w:rFonts w:ascii="Tahoma" w:hAnsi="Tahoma" w:cs="Tahoma"/>
      <w:sz w:val="16"/>
      <w:szCs w:val="16"/>
    </w:rPr>
  </w:style>
  <w:style w:type="paragraph" w:customStyle="1" w:styleId="Style1">
    <w:name w:val="Style1"/>
    <w:basedOn w:val="Normal"/>
    <w:link w:val="Style1Char"/>
    <w:qFormat/>
    <w:rsid w:val="0038388D"/>
    <w:rPr>
      <w:b/>
      <w:sz w:val="36"/>
      <w:szCs w:val="36"/>
    </w:rPr>
  </w:style>
  <w:style w:type="character" w:customStyle="1" w:styleId="Style1Char">
    <w:name w:val="Style1 Char"/>
    <w:basedOn w:val="DefaultParagraphFont"/>
    <w:link w:val="Style1"/>
    <w:rsid w:val="0038388D"/>
    <w:rPr>
      <w:b/>
      <w:sz w:val="36"/>
      <w:szCs w:val="36"/>
    </w:rPr>
  </w:style>
  <w:style w:type="paragraph" w:customStyle="1" w:styleId="HeadingA">
    <w:name w:val="HeadingA"/>
    <w:basedOn w:val="Normal"/>
    <w:link w:val="HeadingAChar"/>
    <w:qFormat/>
    <w:rsid w:val="00B17563"/>
    <w:pPr>
      <w:keepNext/>
      <w:keepLines/>
      <w:spacing w:before="360" w:after="240" w:line="240" w:lineRule="auto"/>
    </w:pPr>
    <w:rPr>
      <w:rFonts w:ascii="Times New Roman" w:hAnsi="Times New Roman" w:cs="Times New Roman"/>
      <w:b/>
      <w:sz w:val="36"/>
      <w:szCs w:val="36"/>
    </w:rPr>
  </w:style>
  <w:style w:type="paragraph" w:styleId="TOC2">
    <w:name w:val="toc 2"/>
    <w:basedOn w:val="Normal"/>
    <w:next w:val="Normal"/>
    <w:autoRedefine/>
    <w:uiPriority w:val="39"/>
    <w:unhideWhenUsed/>
    <w:qFormat/>
    <w:rsid w:val="00B17563"/>
    <w:pPr>
      <w:spacing w:before="240" w:after="0"/>
    </w:pPr>
    <w:rPr>
      <w:b/>
      <w:bCs/>
      <w:sz w:val="20"/>
      <w:szCs w:val="20"/>
    </w:rPr>
  </w:style>
  <w:style w:type="character" w:customStyle="1" w:styleId="HeadingAChar">
    <w:name w:val="HeadingA Char"/>
    <w:basedOn w:val="DefaultParagraphFont"/>
    <w:link w:val="HeadingA"/>
    <w:rsid w:val="00B17563"/>
    <w:rPr>
      <w:rFonts w:ascii="Times New Roman" w:hAnsi="Times New Roman" w:cs="Times New Roman"/>
      <w:b/>
      <w:sz w:val="36"/>
      <w:szCs w:val="36"/>
    </w:rPr>
  </w:style>
  <w:style w:type="paragraph" w:styleId="TOC1">
    <w:name w:val="toc 1"/>
    <w:basedOn w:val="Normal"/>
    <w:next w:val="Normal"/>
    <w:autoRedefine/>
    <w:uiPriority w:val="39"/>
    <w:unhideWhenUsed/>
    <w:qFormat/>
    <w:rsid w:val="00F77496"/>
    <w:pPr>
      <w:tabs>
        <w:tab w:val="left" w:pos="426"/>
        <w:tab w:val="left" w:pos="660"/>
        <w:tab w:val="right" w:pos="9016"/>
      </w:tabs>
      <w:spacing w:before="120" w:after="120" w:line="240" w:lineRule="auto"/>
    </w:pPr>
    <w:rPr>
      <w:rFonts w:ascii="Times New Roman" w:hAnsi="Times New Roman" w:cs="Times New Roman"/>
      <w:b/>
      <w:bCs/>
      <w:caps/>
      <w:sz w:val="24"/>
      <w:szCs w:val="24"/>
    </w:rPr>
  </w:style>
  <w:style w:type="paragraph" w:styleId="TOC3">
    <w:name w:val="toc 3"/>
    <w:basedOn w:val="Normal"/>
    <w:next w:val="Normal"/>
    <w:autoRedefine/>
    <w:uiPriority w:val="39"/>
    <w:unhideWhenUsed/>
    <w:qFormat/>
    <w:rsid w:val="00B17563"/>
    <w:pPr>
      <w:spacing w:after="0"/>
      <w:ind w:left="220"/>
    </w:pPr>
    <w:rPr>
      <w:sz w:val="20"/>
      <w:szCs w:val="20"/>
    </w:rPr>
  </w:style>
  <w:style w:type="character" w:customStyle="1" w:styleId="Heading3Char">
    <w:name w:val="Heading 3 Char"/>
    <w:basedOn w:val="DefaultParagraphFont"/>
    <w:link w:val="Heading3"/>
    <w:uiPriority w:val="9"/>
    <w:semiHidden/>
    <w:rsid w:val="005E5E42"/>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E5E42"/>
    <w:pPr>
      <w:spacing w:after="0"/>
      <w:ind w:left="440"/>
    </w:pPr>
    <w:rPr>
      <w:sz w:val="20"/>
      <w:szCs w:val="20"/>
    </w:rPr>
  </w:style>
  <w:style w:type="paragraph" w:styleId="TOC5">
    <w:name w:val="toc 5"/>
    <w:basedOn w:val="Normal"/>
    <w:next w:val="Normal"/>
    <w:autoRedefine/>
    <w:uiPriority w:val="39"/>
    <w:unhideWhenUsed/>
    <w:rsid w:val="005E5E42"/>
    <w:pPr>
      <w:spacing w:after="0"/>
      <w:ind w:left="660"/>
    </w:pPr>
    <w:rPr>
      <w:sz w:val="20"/>
      <w:szCs w:val="20"/>
    </w:rPr>
  </w:style>
  <w:style w:type="paragraph" w:styleId="TOC6">
    <w:name w:val="toc 6"/>
    <w:basedOn w:val="Normal"/>
    <w:next w:val="Normal"/>
    <w:autoRedefine/>
    <w:uiPriority w:val="39"/>
    <w:unhideWhenUsed/>
    <w:rsid w:val="005E5E42"/>
    <w:pPr>
      <w:spacing w:after="0"/>
      <w:ind w:left="880"/>
    </w:pPr>
    <w:rPr>
      <w:sz w:val="20"/>
      <w:szCs w:val="20"/>
    </w:rPr>
  </w:style>
  <w:style w:type="paragraph" w:styleId="TOC7">
    <w:name w:val="toc 7"/>
    <w:basedOn w:val="Normal"/>
    <w:next w:val="Normal"/>
    <w:autoRedefine/>
    <w:uiPriority w:val="39"/>
    <w:unhideWhenUsed/>
    <w:rsid w:val="005E5E42"/>
    <w:pPr>
      <w:spacing w:after="0"/>
      <w:ind w:left="1100"/>
    </w:pPr>
    <w:rPr>
      <w:sz w:val="20"/>
      <w:szCs w:val="20"/>
    </w:rPr>
  </w:style>
  <w:style w:type="paragraph" w:styleId="TOC8">
    <w:name w:val="toc 8"/>
    <w:basedOn w:val="Normal"/>
    <w:next w:val="Normal"/>
    <w:autoRedefine/>
    <w:uiPriority w:val="39"/>
    <w:unhideWhenUsed/>
    <w:rsid w:val="005E5E42"/>
    <w:pPr>
      <w:spacing w:after="0"/>
      <w:ind w:left="1320"/>
    </w:pPr>
    <w:rPr>
      <w:sz w:val="20"/>
      <w:szCs w:val="20"/>
    </w:rPr>
  </w:style>
  <w:style w:type="paragraph" w:styleId="TOC9">
    <w:name w:val="toc 9"/>
    <w:basedOn w:val="Normal"/>
    <w:next w:val="Normal"/>
    <w:autoRedefine/>
    <w:uiPriority w:val="39"/>
    <w:unhideWhenUsed/>
    <w:rsid w:val="005E5E42"/>
    <w:pPr>
      <w:spacing w:after="0"/>
      <w:ind w:left="1540"/>
    </w:pPr>
    <w:rPr>
      <w:sz w:val="20"/>
      <w:szCs w:val="20"/>
    </w:rPr>
  </w:style>
  <w:style w:type="paragraph" w:customStyle="1" w:styleId="ecxmsonormal">
    <w:name w:val="ecxmsonormal"/>
    <w:basedOn w:val="Normal"/>
    <w:rsid w:val="00965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allensheading3">
    <w:name w:val="ecxallensheading3"/>
    <w:basedOn w:val="Normal"/>
    <w:rsid w:val="00965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allensheading5">
    <w:name w:val="ecxallensheading5"/>
    <w:basedOn w:val="Normal"/>
    <w:rsid w:val="009655D8"/>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E10BF5"/>
    <w:pPr>
      <w:spacing w:line="240" w:lineRule="auto"/>
    </w:pPr>
    <w:rPr>
      <w:sz w:val="20"/>
      <w:szCs w:val="20"/>
    </w:rPr>
  </w:style>
  <w:style w:type="character" w:customStyle="1" w:styleId="CommentTextChar">
    <w:name w:val="Comment Text Char"/>
    <w:basedOn w:val="DefaultParagraphFont"/>
    <w:link w:val="CommentText"/>
    <w:uiPriority w:val="99"/>
    <w:semiHidden/>
    <w:rsid w:val="00E10BF5"/>
    <w:rPr>
      <w:sz w:val="20"/>
      <w:szCs w:val="20"/>
    </w:rPr>
  </w:style>
  <w:style w:type="paragraph" w:styleId="CommentSubject">
    <w:name w:val="annotation subject"/>
    <w:basedOn w:val="CommentText"/>
    <w:next w:val="CommentText"/>
    <w:link w:val="CommentSubjectChar"/>
    <w:uiPriority w:val="99"/>
    <w:semiHidden/>
    <w:unhideWhenUsed/>
    <w:rsid w:val="00E10BF5"/>
    <w:rPr>
      <w:b/>
      <w:bCs/>
    </w:rPr>
  </w:style>
  <w:style w:type="character" w:customStyle="1" w:styleId="CommentSubjectChar">
    <w:name w:val="Comment Subject Char"/>
    <w:basedOn w:val="CommentTextChar"/>
    <w:link w:val="CommentSubject"/>
    <w:uiPriority w:val="99"/>
    <w:semiHidden/>
    <w:rsid w:val="00E10BF5"/>
    <w:rPr>
      <w:b/>
      <w:bCs/>
      <w:sz w:val="20"/>
      <w:szCs w:val="20"/>
    </w:rPr>
  </w:style>
  <w:style w:type="paragraph" w:customStyle="1" w:styleId="Bullet1">
    <w:name w:val="Bullet 1"/>
    <w:basedOn w:val="Normal"/>
    <w:qFormat/>
    <w:rsid w:val="00DD6B96"/>
    <w:pPr>
      <w:numPr>
        <w:numId w:val="33"/>
      </w:numPr>
      <w:spacing w:after="120" w:line="264" w:lineRule="auto"/>
      <w:jc w:val="both"/>
    </w:pPr>
    <w:rPr>
      <w:rFonts w:ascii="Times New Roman" w:eastAsia="Cambria" w:hAnsi="Times New Roman" w:cs="Times New Roman"/>
      <w:sz w:val="24"/>
      <w:szCs w:val="24"/>
      <w:lang w:val="en-GB"/>
    </w:rPr>
  </w:style>
  <w:style w:type="paragraph" w:styleId="Revision">
    <w:name w:val="Revision"/>
    <w:hidden/>
    <w:uiPriority w:val="99"/>
    <w:semiHidden/>
    <w:rsid w:val="00D6285A"/>
    <w:pPr>
      <w:spacing w:after="0" w:line="240" w:lineRule="auto"/>
    </w:pPr>
  </w:style>
</w:styles>
</file>

<file path=word/webSettings.xml><?xml version="1.0" encoding="utf-8"?>
<w:webSettings xmlns:r="http://schemas.openxmlformats.org/officeDocument/2006/relationships" xmlns:w="http://schemas.openxmlformats.org/wordprocessingml/2006/main">
  <w:divs>
    <w:div w:id="382145647">
      <w:bodyDiv w:val="1"/>
      <w:marLeft w:val="0"/>
      <w:marRight w:val="0"/>
      <w:marTop w:val="0"/>
      <w:marBottom w:val="0"/>
      <w:divBdr>
        <w:top w:val="none" w:sz="0" w:space="0" w:color="auto"/>
        <w:left w:val="none" w:sz="0" w:space="0" w:color="auto"/>
        <w:bottom w:val="none" w:sz="0" w:space="0" w:color="auto"/>
        <w:right w:val="none" w:sz="0" w:space="0" w:color="auto"/>
      </w:divBdr>
    </w:div>
    <w:div w:id="1072894004">
      <w:bodyDiv w:val="1"/>
      <w:marLeft w:val="0"/>
      <w:marRight w:val="0"/>
      <w:marTop w:val="0"/>
      <w:marBottom w:val="0"/>
      <w:divBdr>
        <w:top w:val="none" w:sz="0" w:space="0" w:color="auto"/>
        <w:left w:val="none" w:sz="0" w:space="0" w:color="auto"/>
        <w:bottom w:val="none" w:sz="0" w:space="0" w:color="auto"/>
        <w:right w:val="none" w:sz="0" w:space="0" w:color="auto"/>
      </w:divBdr>
      <w:divsChild>
        <w:div w:id="597833066">
          <w:marLeft w:val="0"/>
          <w:marRight w:val="0"/>
          <w:marTop w:val="0"/>
          <w:marBottom w:val="0"/>
          <w:divBdr>
            <w:top w:val="none" w:sz="0" w:space="0" w:color="auto"/>
            <w:left w:val="none" w:sz="0" w:space="0" w:color="auto"/>
            <w:bottom w:val="none" w:sz="0" w:space="0" w:color="auto"/>
            <w:right w:val="none" w:sz="0" w:space="0" w:color="auto"/>
          </w:divBdr>
        </w:div>
        <w:div w:id="1182277595">
          <w:marLeft w:val="0"/>
          <w:marRight w:val="0"/>
          <w:marTop w:val="0"/>
          <w:marBottom w:val="0"/>
          <w:divBdr>
            <w:top w:val="none" w:sz="0" w:space="0" w:color="auto"/>
            <w:left w:val="none" w:sz="0" w:space="0" w:color="auto"/>
            <w:bottom w:val="none" w:sz="0" w:space="0" w:color="auto"/>
            <w:right w:val="none" w:sz="0" w:space="0" w:color="auto"/>
          </w:divBdr>
        </w:div>
        <w:div w:id="1198660118">
          <w:marLeft w:val="0"/>
          <w:marRight w:val="0"/>
          <w:marTop w:val="0"/>
          <w:marBottom w:val="0"/>
          <w:divBdr>
            <w:top w:val="none" w:sz="0" w:space="0" w:color="auto"/>
            <w:left w:val="none" w:sz="0" w:space="0" w:color="auto"/>
            <w:bottom w:val="none" w:sz="0" w:space="0" w:color="auto"/>
            <w:right w:val="none" w:sz="0" w:space="0" w:color="auto"/>
          </w:divBdr>
        </w:div>
      </w:divsChild>
    </w:div>
    <w:div w:id="18982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ustrypanel@act.gov.au" TargetMode="External"/><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package" Target="embeddings/Microsoft_Office_Word_Document2.doc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Office_Word_Document1.docx"/><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84261-296F-44C0-B798-76FCAD966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3577</Words>
  <Characters>20393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 S24S Application by Icon Water</dc:title>
  <dc:subject>S24S Application - final report by the Industry Panel</dc:subject>
  <dc:creator>Industry Panel Secretariat</dc:creator>
  <cp:keywords/>
  <dc:description/>
  <cp:lastModifiedBy/>
  <cp:revision>1</cp:revision>
  <dcterms:created xsi:type="dcterms:W3CDTF">2015-02-18T02:44:00Z</dcterms:created>
  <dcterms:modified xsi:type="dcterms:W3CDTF">2015-02-23T00:44:00Z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aihm A0132105358v3 120492149 </vt:lpwstr>
  </property>
  <property fmtid="{D5CDD505-2E9C-101B-9397-08002B2CF9AE}" pid="3" name="DOCSDocNumber">
    <vt:lpwstr>32105358</vt:lpwstr>
  </property>
  <property fmtid="{D5CDD505-2E9C-101B-9397-08002B2CF9AE}" pid="4" name="DOCSDocumentID">
    <vt:lpwstr>A0132105358</vt:lpwstr>
  </property>
  <property fmtid="{D5CDD505-2E9C-101B-9397-08002B2CF9AE}" pid="5" name="DOCSDocName">
    <vt:lpwstr>Industry Panel s 24S Declaration and Report 16 Feb 2015</vt:lpwstr>
  </property>
  <property fmtid="{D5CDD505-2E9C-101B-9397-08002B2CF9AE}" pid="6" name="DOCSAuthorID">
    <vt:lpwstr>aihm</vt:lpwstr>
  </property>
  <property fmtid="{D5CDD505-2E9C-101B-9397-08002B2CF9AE}" pid="7" name="DOCSAuthorName">
    <vt:lpwstr>Hanscombe, Amelia</vt:lpwstr>
  </property>
  <property fmtid="{D5CDD505-2E9C-101B-9397-08002B2CF9AE}" pid="8" name="DOCSMatterID">
    <vt:lpwstr>120492149</vt:lpwstr>
  </property>
  <property fmtid="{D5CDD505-2E9C-101B-9397-08002B2CF9AE}" pid="9" name="DOCSMatterName">
    <vt:lpwstr>Industry Panel - Draft Price Determination</vt:lpwstr>
  </property>
  <property fmtid="{D5CDD505-2E9C-101B-9397-08002B2CF9AE}" pid="10" name="DOCSTypistID">
    <vt:lpwstr>aihm</vt:lpwstr>
  </property>
  <property fmtid="{D5CDD505-2E9C-101B-9397-08002B2CF9AE}" pid="11" name="DOCSTypistName">
    <vt:lpwstr>Hanscombe, Amelia</vt:lpwstr>
  </property>
  <property fmtid="{D5CDD505-2E9C-101B-9397-08002B2CF9AE}" pid="12" name="DOCSDocTypeID">
    <vt:lpwstr>Document</vt:lpwstr>
  </property>
  <property fmtid="{D5CDD505-2E9C-101B-9397-08002B2CF9AE}" pid="13" name="DOCSCreationDate">
    <vt:filetime>2015-02-15T22:45:09Z</vt:filetime>
  </property>
  <property fmtid="{D5CDD505-2E9C-101B-9397-08002B2CF9AE}" pid="14" name="DOCSLastEditDate">
    <vt:filetime>2015-02-16T02:00:37Z</vt:filetime>
  </property>
  <property fmtid="{D5CDD505-2E9C-101B-9397-08002B2CF9AE}" pid="15" name="DOCSClientID">
    <vt:lpwstr>1174919</vt:lpwstr>
  </property>
  <property fmtid="{D5CDD505-2E9C-101B-9397-08002B2CF9AE}" pid="16" name="DOCSClientName">
    <vt:lpwstr>ACT Government</vt:lpwstr>
  </property>
  <property fmtid="{D5CDD505-2E9C-101B-9397-08002B2CF9AE}" pid="17" name="DOCSPrecedentID">
    <vt:lpwstr/>
  </property>
  <property fmtid="{D5CDD505-2E9C-101B-9397-08002B2CF9AE}" pid="18" name="DOCSProjectName">
    <vt:lpwstr/>
  </property>
  <property fmtid="{D5CDD505-2E9C-101B-9397-08002B2CF9AE}" pid="19" name="DOCSVersionNumber">
    <vt:lpwstr>3</vt:lpwstr>
  </property>
  <property fmtid="{D5CDD505-2E9C-101B-9397-08002B2CF9AE}" pid="20" name="WS_TRACKING_ID">
    <vt:lpwstr>8f457ba2-97eb-4447-8c63-7c02d93d339e</vt:lpwstr>
  </property>
</Properties>
</file>