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FF7" w:rsidRPr="001B2FCA" w:rsidRDefault="00E54133" w:rsidP="008569CC">
      <w:pPr>
        <w:rPr>
          <w:b/>
          <w:u w:val="single"/>
        </w:rPr>
      </w:pPr>
      <w:r>
        <w:rPr>
          <w:b/>
          <w:u w:val="single"/>
        </w:rPr>
        <w:t>S</w:t>
      </w:r>
      <w:r w:rsidR="000C657D" w:rsidRPr="001B2FCA">
        <w:rPr>
          <w:b/>
          <w:u w:val="single"/>
        </w:rPr>
        <w:t xml:space="preserve">ubmission </w:t>
      </w:r>
      <w:r w:rsidR="00817FF7" w:rsidRPr="001B2FCA">
        <w:rPr>
          <w:b/>
          <w:u w:val="single"/>
        </w:rPr>
        <w:t xml:space="preserve">to the Industry Panel </w:t>
      </w:r>
      <w:r w:rsidR="00B72643">
        <w:rPr>
          <w:b/>
          <w:u w:val="single"/>
        </w:rPr>
        <w:t>in response to the Industry Panel’s December 2014 draft report</w:t>
      </w:r>
    </w:p>
    <w:p w:rsidR="007228D2" w:rsidRDefault="003927E4" w:rsidP="008569CC">
      <w:r>
        <w:t xml:space="preserve">Thank you for this opportunity to make a submission </w:t>
      </w:r>
      <w:r w:rsidR="00B72643">
        <w:t xml:space="preserve">in response to the ‘Industry </w:t>
      </w:r>
      <w:r w:rsidR="00B72643" w:rsidRPr="00B72643">
        <w:t>Panel Review of the Independent Competition and Regulatory Commission's 2013 Price Direction for Regulated Water and Sewerage Services in the ACT: Draft Report – December 2014</w:t>
      </w:r>
      <w:r w:rsidR="00B72643">
        <w:t>’</w:t>
      </w:r>
      <w:r>
        <w:t>.</w:t>
      </w:r>
    </w:p>
    <w:p w:rsidR="00CC23FC" w:rsidRPr="00CC23FC" w:rsidRDefault="00CC23FC" w:rsidP="008569CC">
      <w:pPr>
        <w:rPr>
          <w:u w:val="single"/>
        </w:rPr>
      </w:pPr>
      <w:r w:rsidRPr="00CC23FC">
        <w:rPr>
          <w:u w:val="single"/>
        </w:rPr>
        <w:t>CPI</w:t>
      </w:r>
      <w:r w:rsidRPr="00CC23FC">
        <w:rPr>
          <w:u w:val="single"/>
          <w:vertAlign w:val="subscript"/>
        </w:rPr>
        <w:t>t</w:t>
      </w:r>
      <w:r w:rsidRPr="00CC23FC">
        <w:rPr>
          <w:u w:val="single"/>
        </w:rPr>
        <w:t xml:space="preserve"> definition</w:t>
      </w:r>
    </w:p>
    <w:p w:rsidR="009A5B7A" w:rsidRDefault="00CC23FC" w:rsidP="008569CC">
      <w:r>
        <w:t xml:space="preserve">The </w:t>
      </w:r>
      <w:r w:rsidRPr="00CC23FC">
        <w:t>CPI</w:t>
      </w:r>
      <w:r w:rsidRPr="00CC23FC">
        <w:rPr>
          <w:vertAlign w:val="subscript"/>
        </w:rPr>
        <w:t>t</w:t>
      </w:r>
      <w:r>
        <w:t xml:space="preserve"> definition on page 5 of the Draft substituted price direction (towards the end of the draft report) </w:t>
      </w:r>
      <w:r w:rsidR="00367C0E">
        <w:t>does not seem to produce the result I think the Panel is looking for and should be replaced</w:t>
      </w:r>
      <w:r w:rsidR="008A1B1B">
        <w:t xml:space="preserve"> with a relevant definition</w:t>
      </w:r>
      <w:r w:rsidR="00367C0E">
        <w:t xml:space="preserve">. As it currently stands for that page 5, </w:t>
      </w:r>
      <w:r w:rsidR="00367C0E" w:rsidRPr="00CC23FC">
        <w:t>CPI</w:t>
      </w:r>
      <w:r w:rsidR="00367C0E" w:rsidRPr="00CC23FC">
        <w:rPr>
          <w:vertAlign w:val="subscript"/>
        </w:rPr>
        <w:t>t</w:t>
      </w:r>
      <w:r w:rsidR="00367C0E">
        <w:t xml:space="preserve">’s value for any given constant rate of inflation (be it 2.5%, 10% or some other constant rate) would appear to be 1.0. </w:t>
      </w:r>
      <w:r w:rsidR="008A1B1B">
        <w:t xml:space="preserve">In </w:t>
      </w:r>
      <w:r w:rsidR="009A5B7A">
        <w:t xml:space="preserve">producing </w:t>
      </w:r>
      <w:r w:rsidR="008A1B1B">
        <w:t xml:space="preserve">its </w:t>
      </w:r>
      <w:r w:rsidR="008A1B1B" w:rsidRPr="00CC23FC">
        <w:t>CPI</w:t>
      </w:r>
      <w:r w:rsidR="008A1B1B" w:rsidRPr="00CC23FC">
        <w:rPr>
          <w:vertAlign w:val="subscript"/>
        </w:rPr>
        <w:t>t</w:t>
      </w:r>
      <w:r w:rsidR="008A1B1B">
        <w:t xml:space="preserve"> definition</w:t>
      </w:r>
      <w:r w:rsidR="009A5B7A">
        <w:t>,</w:t>
      </w:r>
      <w:r w:rsidR="008A1B1B">
        <w:t xml:space="preserve"> the Panel should be aware of and understand why adding </w:t>
      </w:r>
      <w:r w:rsidR="009A5B7A">
        <w:t xml:space="preserve">up </w:t>
      </w:r>
      <w:r w:rsidR="008A1B1B">
        <w:t xml:space="preserve">four </w:t>
      </w:r>
      <w:r w:rsidR="009A5B7A">
        <w:t>consecutive quarters’ worth</w:t>
      </w:r>
      <w:r w:rsidR="008A1B1B">
        <w:t xml:space="preserve"> of ‘percentage change from previous quarter’ </w:t>
      </w:r>
      <w:r w:rsidR="009A5B7A">
        <w:t xml:space="preserve">Consumer Price Index </w:t>
      </w:r>
      <w:r w:rsidR="008A1B1B">
        <w:t xml:space="preserve">(CPI) </w:t>
      </w:r>
      <w:r w:rsidR="009A5B7A">
        <w:t>values does not always produce an accurate ‘percentage change from previous year’ CPI value for the entire relevant year.</w:t>
      </w:r>
    </w:p>
    <w:p w:rsidR="00623F50" w:rsidRPr="00CC23FC" w:rsidRDefault="00623F50" w:rsidP="00623F50">
      <w:pPr>
        <w:rPr>
          <w:u w:val="single"/>
        </w:rPr>
      </w:pPr>
      <w:r>
        <w:rPr>
          <w:u w:val="single"/>
        </w:rPr>
        <w:t xml:space="preserve">Further </w:t>
      </w:r>
      <w:r w:rsidRPr="00CC23FC">
        <w:rPr>
          <w:u w:val="single"/>
        </w:rPr>
        <w:t>CPI d</w:t>
      </w:r>
      <w:r>
        <w:rPr>
          <w:u w:val="single"/>
        </w:rPr>
        <w:t>istinctions and the fixtures charge</w:t>
      </w:r>
    </w:p>
    <w:p w:rsidR="009A5B7A" w:rsidRDefault="009A5B7A" w:rsidP="008569CC">
      <w:r>
        <w:t>Also on page 5 of the Draft substituted price direction, the Panel may wish to confirm</w:t>
      </w:r>
      <w:r w:rsidR="00623F50" w:rsidRPr="00623F50">
        <w:t xml:space="preserve"> </w:t>
      </w:r>
      <w:r w:rsidR="00623F50">
        <w:t>if</w:t>
      </w:r>
      <w:r>
        <w:t>:</w:t>
      </w:r>
    </w:p>
    <w:p w:rsidR="009A5B7A" w:rsidRDefault="009A5B7A" w:rsidP="009A5B7A">
      <w:pPr>
        <w:pStyle w:val="ListParagraph"/>
        <w:numPr>
          <w:ilvl w:val="0"/>
          <w:numId w:val="4"/>
        </w:numPr>
      </w:pPr>
      <w:r>
        <w:t>its CPI measure relates to the All Groups CPI for ‘Canberra’ or to the All Groups CPI for ‘Weighted average of eight capital cities’; and</w:t>
      </w:r>
    </w:p>
    <w:p w:rsidR="009A5B7A" w:rsidRDefault="00623F50" w:rsidP="009A5B7A">
      <w:pPr>
        <w:pStyle w:val="ListParagraph"/>
        <w:numPr>
          <w:ilvl w:val="0"/>
          <w:numId w:val="4"/>
        </w:numPr>
      </w:pPr>
      <w:r>
        <w:t>the ‘Fixtures charge’ in Table 15.7 relates to ‘non-residential’ only.</w:t>
      </w:r>
    </w:p>
    <w:p w:rsidR="00BD63BF" w:rsidRDefault="00BD63BF" w:rsidP="00450E1C">
      <w:r>
        <w:t>Scott Crawford</w:t>
      </w:r>
    </w:p>
    <w:p w:rsidR="00BD63BF" w:rsidRPr="00BD63BF" w:rsidRDefault="00623F50" w:rsidP="00450E1C">
      <w:r>
        <w:t>23</w:t>
      </w:r>
      <w:r w:rsidR="00BD63BF">
        <w:t> </w:t>
      </w:r>
      <w:r>
        <w:t>January 2015</w:t>
      </w:r>
    </w:p>
    <w:sectPr w:rsidR="00BD63BF" w:rsidRPr="00BD63BF" w:rsidSect="00E971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04A" w:rsidRDefault="004E304A" w:rsidP="008569CC">
      <w:pPr>
        <w:spacing w:after="0" w:line="240" w:lineRule="auto"/>
      </w:pPr>
      <w:r>
        <w:separator/>
      </w:r>
    </w:p>
  </w:endnote>
  <w:endnote w:type="continuationSeparator" w:id="0">
    <w:p w:rsidR="004E304A" w:rsidRDefault="004E304A" w:rsidP="0085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04A" w:rsidRDefault="004E304A" w:rsidP="008569CC">
      <w:pPr>
        <w:spacing w:after="0" w:line="240" w:lineRule="auto"/>
      </w:pPr>
      <w:r>
        <w:separator/>
      </w:r>
    </w:p>
  </w:footnote>
  <w:footnote w:type="continuationSeparator" w:id="0">
    <w:p w:rsidR="004E304A" w:rsidRDefault="004E304A" w:rsidP="00856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70DE"/>
    <w:multiLevelType w:val="hybridMultilevel"/>
    <w:tmpl w:val="8EC8131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010B4"/>
    <w:multiLevelType w:val="hybridMultilevel"/>
    <w:tmpl w:val="8EC8131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25B79"/>
    <w:multiLevelType w:val="hybridMultilevel"/>
    <w:tmpl w:val="AE86B55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B55BA4"/>
    <w:multiLevelType w:val="hybridMultilevel"/>
    <w:tmpl w:val="1D5214A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1F4D"/>
    <w:rsid w:val="00002116"/>
    <w:rsid w:val="00012559"/>
    <w:rsid w:val="00037B8D"/>
    <w:rsid w:val="00086D5B"/>
    <w:rsid w:val="00090477"/>
    <w:rsid w:val="00090D11"/>
    <w:rsid w:val="00090F91"/>
    <w:rsid w:val="000A0D12"/>
    <w:rsid w:val="000C1751"/>
    <w:rsid w:val="000C3D41"/>
    <w:rsid w:val="000C657D"/>
    <w:rsid w:val="00105D61"/>
    <w:rsid w:val="001251C1"/>
    <w:rsid w:val="001348C0"/>
    <w:rsid w:val="00155598"/>
    <w:rsid w:val="0017783B"/>
    <w:rsid w:val="001B1A45"/>
    <w:rsid w:val="001B2FCA"/>
    <w:rsid w:val="001B5DA9"/>
    <w:rsid w:val="001B7A51"/>
    <w:rsid w:val="001F4622"/>
    <w:rsid w:val="00212331"/>
    <w:rsid w:val="002A2A7D"/>
    <w:rsid w:val="002E180B"/>
    <w:rsid w:val="003271B2"/>
    <w:rsid w:val="00332C20"/>
    <w:rsid w:val="003456FF"/>
    <w:rsid w:val="00346C7C"/>
    <w:rsid w:val="00367C0E"/>
    <w:rsid w:val="003833DF"/>
    <w:rsid w:val="003927E4"/>
    <w:rsid w:val="003B5620"/>
    <w:rsid w:val="003C64FB"/>
    <w:rsid w:val="003D3F43"/>
    <w:rsid w:val="003D7FFD"/>
    <w:rsid w:val="003F2877"/>
    <w:rsid w:val="00410A61"/>
    <w:rsid w:val="00450E1C"/>
    <w:rsid w:val="004621E8"/>
    <w:rsid w:val="00486553"/>
    <w:rsid w:val="004B3193"/>
    <w:rsid w:val="004C640E"/>
    <w:rsid w:val="004E304A"/>
    <w:rsid w:val="004E7120"/>
    <w:rsid w:val="004E714D"/>
    <w:rsid w:val="00503FFE"/>
    <w:rsid w:val="005174E1"/>
    <w:rsid w:val="005246DF"/>
    <w:rsid w:val="00545D33"/>
    <w:rsid w:val="005A216A"/>
    <w:rsid w:val="005B56E4"/>
    <w:rsid w:val="00623F50"/>
    <w:rsid w:val="00644103"/>
    <w:rsid w:val="00653704"/>
    <w:rsid w:val="006C6377"/>
    <w:rsid w:val="006E7DC3"/>
    <w:rsid w:val="007228D2"/>
    <w:rsid w:val="00737D21"/>
    <w:rsid w:val="007507F7"/>
    <w:rsid w:val="00770C15"/>
    <w:rsid w:val="007910D2"/>
    <w:rsid w:val="007E40DD"/>
    <w:rsid w:val="00817FF7"/>
    <w:rsid w:val="008569CC"/>
    <w:rsid w:val="00897C40"/>
    <w:rsid w:val="008A1B1B"/>
    <w:rsid w:val="008A5741"/>
    <w:rsid w:val="008B5B36"/>
    <w:rsid w:val="00934BA3"/>
    <w:rsid w:val="00950A5E"/>
    <w:rsid w:val="00980A89"/>
    <w:rsid w:val="00981701"/>
    <w:rsid w:val="009870C3"/>
    <w:rsid w:val="009973D7"/>
    <w:rsid w:val="009A5B7A"/>
    <w:rsid w:val="009F2634"/>
    <w:rsid w:val="00A22AAE"/>
    <w:rsid w:val="00A32263"/>
    <w:rsid w:val="00A36424"/>
    <w:rsid w:val="00A8065C"/>
    <w:rsid w:val="00AB6A90"/>
    <w:rsid w:val="00AB7D29"/>
    <w:rsid w:val="00AE6D51"/>
    <w:rsid w:val="00B03A4D"/>
    <w:rsid w:val="00B504D8"/>
    <w:rsid w:val="00B72643"/>
    <w:rsid w:val="00B75B1A"/>
    <w:rsid w:val="00B97504"/>
    <w:rsid w:val="00BC7189"/>
    <w:rsid w:val="00BD63BF"/>
    <w:rsid w:val="00C01685"/>
    <w:rsid w:val="00C114E1"/>
    <w:rsid w:val="00C16B9E"/>
    <w:rsid w:val="00C35E29"/>
    <w:rsid w:val="00C41E1C"/>
    <w:rsid w:val="00C61F4D"/>
    <w:rsid w:val="00C710AD"/>
    <w:rsid w:val="00C95516"/>
    <w:rsid w:val="00CA584E"/>
    <w:rsid w:val="00CC23FC"/>
    <w:rsid w:val="00CD328B"/>
    <w:rsid w:val="00D570B4"/>
    <w:rsid w:val="00D57F89"/>
    <w:rsid w:val="00D66F33"/>
    <w:rsid w:val="00D70654"/>
    <w:rsid w:val="00D71876"/>
    <w:rsid w:val="00D75ACD"/>
    <w:rsid w:val="00D83BFB"/>
    <w:rsid w:val="00DB0B48"/>
    <w:rsid w:val="00DC5293"/>
    <w:rsid w:val="00DD51D8"/>
    <w:rsid w:val="00E37E67"/>
    <w:rsid w:val="00E4081E"/>
    <w:rsid w:val="00E47693"/>
    <w:rsid w:val="00E54133"/>
    <w:rsid w:val="00E73728"/>
    <w:rsid w:val="00E97134"/>
    <w:rsid w:val="00EA16D2"/>
    <w:rsid w:val="00EF5409"/>
    <w:rsid w:val="00F171FA"/>
    <w:rsid w:val="00F179AA"/>
    <w:rsid w:val="00F534FA"/>
    <w:rsid w:val="00FB0A70"/>
    <w:rsid w:val="00FB5DC1"/>
    <w:rsid w:val="00FD2DC3"/>
    <w:rsid w:val="00FE3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A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51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69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69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69C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22AA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40BC7-4C49-48D6-BCAE-C92D702E9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2014-08-15T00:55:00Z</cp:lastPrinted>
  <dcterms:created xsi:type="dcterms:W3CDTF">2015-01-23T12:52:00Z</dcterms:created>
  <dcterms:modified xsi:type="dcterms:W3CDTF">2015-01-23T12:52:00Z</dcterms:modified>
</cp:coreProperties>
</file>