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AD" w:rsidRDefault="005373AD">
      <w:pPr>
        <w:pStyle w:val="Heading1"/>
      </w:pPr>
      <w:r>
        <w:t>INDEPENDENT COMPETITION AND REGULATORY COMMISSION</w:t>
      </w:r>
    </w:p>
    <w:p w:rsidR="005373AD" w:rsidRPr="0027569E" w:rsidRDefault="005373AD" w:rsidP="006E15A7">
      <w:pPr>
        <w:pStyle w:val="Heading3"/>
        <w:spacing w:after="120"/>
      </w:pPr>
      <w:r w:rsidRPr="0027569E">
        <w:t>Purpose</w:t>
      </w:r>
    </w:p>
    <w:p w:rsidR="00444E5E" w:rsidRDefault="00261155" w:rsidP="00444E5E">
      <w:pPr>
        <w:spacing w:before="120" w:after="120"/>
        <w:jc w:val="both"/>
        <w:rPr>
          <w:rFonts w:cs="Arial"/>
        </w:rPr>
      </w:pPr>
      <w:r>
        <w:rPr>
          <w:rFonts w:cs="Arial"/>
        </w:rPr>
        <w:t xml:space="preserve">The Independent Competition and Regulatory Commission (the Commission) </w:t>
      </w:r>
      <w:proofErr w:type="gramStart"/>
      <w:r>
        <w:rPr>
          <w:rFonts w:cs="Arial"/>
        </w:rPr>
        <w:t>has</w:t>
      </w:r>
      <w:r w:rsidR="00B4512C" w:rsidRPr="00B938C0">
        <w:rPr>
          <w:rFonts w:cs="Arial"/>
        </w:rPr>
        <w:t xml:space="preserve">  responsibilit</w:t>
      </w:r>
      <w:r w:rsidR="00B45CF0">
        <w:rPr>
          <w:rFonts w:cs="Arial"/>
        </w:rPr>
        <w:t>y</w:t>
      </w:r>
      <w:proofErr w:type="gramEnd"/>
      <w:r w:rsidR="00B45CF0">
        <w:rPr>
          <w:rFonts w:cs="Arial"/>
        </w:rPr>
        <w:t xml:space="preserve"> </w:t>
      </w:r>
      <w:r w:rsidR="00B4512C" w:rsidRPr="00B938C0">
        <w:rPr>
          <w:rFonts w:cs="Arial"/>
        </w:rPr>
        <w:t>for a broad range of regulatory</w:t>
      </w:r>
      <w:r w:rsidR="00B45CF0">
        <w:rPr>
          <w:rFonts w:cs="Arial"/>
        </w:rPr>
        <w:t xml:space="preserve"> and utility </w:t>
      </w:r>
      <w:r w:rsidR="00B4512C" w:rsidRPr="00B938C0">
        <w:rPr>
          <w:rFonts w:cs="Arial"/>
        </w:rPr>
        <w:t>administrative matters.</w:t>
      </w:r>
      <w:r w:rsidR="00AC4048">
        <w:rPr>
          <w:rFonts w:cs="Arial"/>
        </w:rPr>
        <w:t xml:space="preserve"> </w:t>
      </w:r>
      <w:r w:rsidR="00B4512C" w:rsidRPr="00B938C0">
        <w:rPr>
          <w:rFonts w:cs="Arial"/>
        </w:rPr>
        <w:t xml:space="preserve"> </w:t>
      </w:r>
      <w:r w:rsidR="00DD1955">
        <w:rPr>
          <w:rFonts w:cs="Arial"/>
        </w:rPr>
        <w:t xml:space="preserve">The Commission has </w:t>
      </w:r>
      <w:r w:rsidR="00B4512C" w:rsidRPr="00B938C0">
        <w:rPr>
          <w:rFonts w:cs="Arial"/>
        </w:rPr>
        <w:t xml:space="preserve">responsibility under the </w:t>
      </w:r>
      <w:r w:rsidR="00444E5E" w:rsidRPr="00444E5E">
        <w:rPr>
          <w:rFonts w:cs="Arial"/>
          <w:i/>
        </w:rPr>
        <w:t xml:space="preserve">Independent Competition and  Regulatory Commission Act 1997 </w:t>
      </w:r>
      <w:r w:rsidR="00B4512C" w:rsidRPr="00B938C0">
        <w:rPr>
          <w:rFonts w:cs="Arial"/>
        </w:rPr>
        <w:t>(ICRC Act) for regulating and advising government about pricing and other matters for monopoly, near-monopoly and ministerially declared regulated industries,  providing  advice  on  competitive  neutrality  complaints  and  government-regulated  activities</w:t>
      </w:r>
      <w:r w:rsidR="00403FCB">
        <w:rPr>
          <w:rFonts w:cs="Arial"/>
        </w:rPr>
        <w:t>,</w:t>
      </w:r>
      <w:r w:rsidR="00B73B9C">
        <w:rPr>
          <w:rFonts w:cs="Arial"/>
        </w:rPr>
        <w:t xml:space="preserve"> and </w:t>
      </w:r>
      <w:r w:rsidR="00B4512C" w:rsidRPr="00B938C0">
        <w:rPr>
          <w:rFonts w:cs="Arial"/>
        </w:rPr>
        <w:t>arbitrating infrastructure access disputes under the ICRC Act.</w:t>
      </w:r>
      <w:r w:rsidR="00AC4048">
        <w:rPr>
          <w:rFonts w:cs="Arial"/>
        </w:rPr>
        <w:t xml:space="preserve"> </w:t>
      </w:r>
      <w:r w:rsidR="00B4512C">
        <w:rPr>
          <w:rFonts w:cs="Arial"/>
        </w:rPr>
        <w:t xml:space="preserve">  </w:t>
      </w:r>
    </w:p>
    <w:p w:rsidR="00444E5E" w:rsidRDefault="00DD1955" w:rsidP="00444E5E">
      <w:pPr>
        <w:spacing w:before="120" w:after="120"/>
        <w:jc w:val="both"/>
        <w:rPr>
          <w:rFonts w:cs="Arial"/>
        </w:rPr>
      </w:pPr>
      <w:r>
        <w:rPr>
          <w:rFonts w:cs="Arial"/>
        </w:rPr>
        <w:t xml:space="preserve">The </w:t>
      </w:r>
      <w:r w:rsidR="00B4512C" w:rsidRPr="00B938C0">
        <w:rPr>
          <w:rFonts w:cs="Arial"/>
        </w:rPr>
        <w:t xml:space="preserve">objectives </w:t>
      </w:r>
      <w:r>
        <w:rPr>
          <w:rFonts w:cs="Arial"/>
        </w:rPr>
        <w:t xml:space="preserve">of the Commission </w:t>
      </w:r>
      <w:r w:rsidR="00B4512C" w:rsidRPr="00B938C0">
        <w:rPr>
          <w:rFonts w:cs="Arial"/>
        </w:rPr>
        <w:t xml:space="preserve">are set out in section 7 of the ICRC Act and section 3 of the </w:t>
      </w:r>
      <w:r w:rsidR="00444E5E" w:rsidRPr="00B45CF0">
        <w:rPr>
          <w:rFonts w:cs="Arial"/>
          <w:i/>
        </w:rPr>
        <w:t>Utilities Act 2000</w:t>
      </w:r>
      <w:r>
        <w:rPr>
          <w:rFonts w:cs="Arial"/>
        </w:rPr>
        <w:t xml:space="preserve"> (Utilities Act)</w:t>
      </w:r>
      <w:r w:rsidR="00B4512C" w:rsidRPr="00B938C0">
        <w:rPr>
          <w:rFonts w:cs="Arial"/>
        </w:rPr>
        <w:t>.</w:t>
      </w:r>
    </w:p>
    <w:p w:rsidR="00444E5E" w:rsidRDefault="00DC4BDF" w:rsidP="00444E5E">
      <w:pPr>
        <w:spacing w:before="120" w:after="120"/>
        <w:jc w:val="both"/>
        <w:rPr>
          <w:rFonts w:cs="Arial"/>
        </w:rPr>
      </w:pPr>
      <w:r>
        <w:rPr>
          <w:rFonts w:cs="Arial"/>
        </w:rPr>
        <w:t>Section 7 of the ICRC Act sets out the Commission’s objectives as:</w:t>
      </w:r>
    </w:p>
    <w:p w:rsidR="00444E5E" w:rsidRPr="00391019" w:rsidRDefault="00B73B9C" w:rsidP="0095712B">
      <w:pPr>
        <w:pStyle w:val="BodyTextIndent"/>
        <w:keepNext w:val="0"/>
        <w:keepLines w:val="0"/>
        <w:numPr>
          <w:ilvl w:val="0"/>
          <w:numId w:val="28"/>
        </w:numPr>
        <w:ind w:left="357" w:hanging="357"/>
      </w:pPr>
      <w:r w:rsidRPr="00391019">
        <w:t>promoting effective competition in the interests of consumers;</w:t>
      </w:r>
    </w:p>
    <w:p w:rsidR="00444E5E" w:rsidRPr="00391019" w:rsidRDefault="00B73B9C" w:rsidP="0095712B">
      <w:pPr>
        <w:pStyle w:val="BodyTextIndent"/>
        <w:keepNext w:val="0"/>
        <w:keepLines w:val="0"/>
        <w:numPr>
          <w:ilvl w:val="0"/>
          <w:numId w:val="28"/>
        </w:numPr>
        <w:ind w:left="357" w:hanging="357"/>
      </w:pPr>
      <w:r w:rsidRPr="00391019">
        <w:t>facilitating an appropriate balance between efficiency, environmental and social considerations; and</w:t>
      </w:r>
    </w:p>
    <w:p w:rsidR="00444E5E" w:rsidRPr="00391019" w:rsidRDefault="00B73B9C" w:rsidP="0095712B">
      <w:pPr>
        <w:pStyle w:val="BodyTextIndent"/>
        <w:keepNext w:val="0"/>
        <w:keepLines w:val="0"/>
        <w:numPr>
          <w:ilvl w:val="0"/>
          <w:numId w:val="28"/>
        </w:numPr>
        <w:ind w:left="357" w:hanging="357"/>
      </w:pPr>
      <w:proofErr w:type="gramStart"/>
      <w:r w:rsidRPr="00391019">
        <w:t>ensuring</w:t>
      </w:r>
      <w:proofErr w:type="gramEnd"/>
      <w:r w:rsidRPr="00391019">
        <w:t xml:space="preserve"> non-discriminatory access to monopoly and near-monopoly infrastructure.</w:t>
      </w:r>
    </w:p>
    <w:p w:rsidR="00444E5E" w:rsidRDefault="00EF5A44" w:rsidP="00444E5E">
      <w:pPr>
        <w:spacing w:before="120" w:after="120"/>
        <w:jc w:val="both"/>
        <w:rPr>
          <w:rFonts w:cs="Arial"/>
        </w:rPr>
      </w:pPr>
      <w:r>
        <w:rPr>
          <w:rFonts w:cs="Arial"/>
        </w:rPr>
        <w:t>The Utilities Act provides for the regulation of electricity, natural gas, water and sewerage utility services.  In discharging its responsibilities under this legislation, the Commission’s objectives are to:</w:t>
      </w:r>
    </w:p>
    <w:p w:rsidR="00444E5E" w:rsidRPr="00391019" w:rsidRDefault="00EF5A44" w:rsidP="0095712B">
      <w:pPr>
        <w:pStyle w:val="BodyTextIndent"/>
        <w:keepNext w:val="0"/>
        <w:keepLines w:val="0"/>
        <w:numPr>
          <w:ilvl w:val="0"/>
          <w:numId w:val="28"/>
        </w:numPr>
      </w:pPr>
      <w:r w:rsidRPr="00391019">
        <w:t>encourage the provision of safe, reliable, efficient and high-quality utility services at reasonable prices;</w:t>
      </w:r>
    </w:p>
    <w:p w:rsidR="00444E5E" w:rsidRPr="00391019" w:rsidRDefault="00EF5A44" w:rsidP="0095712B">
      <w:pPr>
        <w:pStyle w:val="BodyTextIndent"/>
        <w:keepNext w:val="0"/>
        <w:keepLines w:val="0"/>
        <w:numPr>
          <w:ilvl w:val="0"/>
          <w:numId w:val="28"/>
        </w:numPr>
      </w:pPr>
      <w:r w:rsidRPr="00391019">
        <w:t>minimise the potential for misuse of monopoly power and promote competition in the provision of utility services;</w:t>
      </w:r>
    </w:p>
    <w:p w:rsidR="00444E5E" w:rsidRPr="00391019" w:rsidRDefault="00EF5A44" w:rsidP="0095712B">
      <w:pPr>
        <w:pStyle w:val="BodyTextIndent"/>
        <w:keepNext w:val="0"/>
        <w:keepLines w:val="0"/>
        <w:numPr>
          <w:ilvl w:val="0"/>
          <w:numId w:val="28"/>
        </w:numPr>
      </w:pPr>
      <w:r w:rsidRPr="00391019">
        <w:t>encourage long term investment, growth and employment in utility services; and</w:t>
      </w:r>
    </w:p>
    <w:p w:rsidR="00444E5E" w:rsidRPr="00391019" w:rsidRDefault="00EF5A44" w:rsidP="0095712B">
      <w:pPr>
        <w:pStyle w:val="BodyTextIndent"/>
        <w:keepNext w:val="0"/>
        <w:keepLines w:val="0"/>
        <w:numPr>
          <w:ilvl w:val="0"/>
          <w:numId w:val="28"/>
        </w:numPr>
        <w:ind w:left="357" w:hanging="357"/>
      </w:pPr>
      <w:proofErr w:type="gramStart"/>
      <w:r w:rsidRPr="00391019">
        <w:t>protect</w:t>
      </w:r>
      <w:proofErr w:type="gramEnd"/>
      <w:r w:rsidRPr="00391019">
        <w:t xml:space="preserve"> the interests of consumers.</w:t>
      </w:r>
    </w:p>
    <w:p w:rsidR="00444E5E" w:rsidRDefault="00080C8B" w:rsidP="00444E5E">
      <w:pPr>
        <w:spacing w:before="120" w:after="120"/>
        <w:jc w:val="both"/>
        <w:rPr>
          <w:rFonts w:cs="Arial"/>
        </w:rPr>
      </w:pPr>
      <w:r>
        <w:rPr>
          <w:rFonts w:cs="Arial"/>
        </w:rPr>
        <w:t xml:space="preserve">The </w:t>
      </w:r>
      <w:r w:rsidR="00444E5E" w:rsidRPr="00444E5E">
        <w:rPr>
          <w:rFonts w:cs="Arial"/>
          <w:i/>
        </w:rPr>
        <w:t>Electricity (Greenhouse Gas Emissions) Act 2004</w:t>
      </w:r>
      <w:r>
        <w:rPr>
          <w:rFonts w:cs="Arial"/>
        </w:rPr>
        <w:t xml:space="preserve"> requires the Commission to produce reports to the Minister for Environment and Sustainable Development by 30 June each year</w:t>
      </w:r>
      <w:r w:rsidR="00F152C6">
        <w:rPr>
          <w:rFonts w:cs="Arial"/>
        </w:rPr>
        <w:t xml:space="preserve"> on whether participants have achieved their greenhouse gas benchmark</w:t>
      </w:r>
      <w:r>
        <w:rPr>
          <w:rFonts w:cs="Arial"/>
        </w:rPr>
        <w:t>.</w:t>
      </w:r>
    </w:p>
    <w:p w:rsidR="00444E5E" w:rsidRDefault="00080C8B" w:rsidP="00444E5E">
      <w:pPr>
        <w:spacing w:before="120" w:after="120"/>
        <w:jc w:val="both"/>
        <w:rPr>
          <w:rFonts w:cs="Arial"/>
        </w:rPr>
      </w:pPr>
      <w:r>
        <w:rPr>
          <w:rFonts w:cs="Arial"/>
        </w:rPr>
        <w:t xml:space="preserve">Under the provisions of the </w:t>
      </w:r>
      <w:r w:rsidR="00444E5E" w:rsidRPr="00444E5E">
        <w:rPr>
          <w:rFonts w:cs="Arial"/>
          <w:i/>
        </w:rPr>
        <w:t>Electricity Feed-in (Renewable Energy Premium) Act 2008</w:t>
      </w:r>
      <w:r>
        <w:rPr>
          <w:rFonts w:cs="Arial"/>
        </w:rPr>
        <w:t xml:space="preserve">, the </w:t>
      </w:r>
      <w:r w:rsidR="00916B4F">
        <w:rPr>
          <w:rFonts w:cs="Arial"/>
        </w:rPr>
        <w:t>Commission can advise the Minister for the Environment</w:t>
      </w:r>
      <w:r w:rsidR="00537181">
        <w:rPr>
          <w:rFonts w:cs="Arial"/>
        </w:rPr>
        <w:t xml:space="preserve"> and Sustainable Development</w:t>
      </w:r>
      <w:r w:rsidR="00B45CF0">
        <w:rPr>
          <w:rFonts w:cs="Arial"/>
        </w:rPr>
        <w:t xml:space="preserve"> to assist</w:t>
      </w:r>
      <w:r w:rsidR="00537181">
        <w:rPr>
          <w:rFonts w:cs="Arial"/>
        </w:rPr>
        <w:t xml:space="preserve"> in determining the premium rate to be paid for electricity supplied by compliant renewable energy generators to the distribution network</w:t>
      </w:r>
      <w:r w:rsidR="00B45CF0">
        <w:rPr>
          <w:rFonts w:cs="Arial"/>
        </w:rPr>
        <w:t>,</w:t>
      </w:r>
      <w:r w:rsidR="00537181">
        <w:rPr>
          <w:rFonts w:cs="Arial"/>
        </w:rPr>
        <w:t xml:space="preserve"> and </w:t>
      </w:r>
      <w:r w:rsidR="00B45CF0">
        <w:rPr>
          <w:rFonts w:cs="Arial"/>
        </w:rPr>
        <w:t xml:space="preserve">the Commission </w:t>
      </w:r>
      <w:r w:rsidR="00537181">
        <w:rPr>
          <w:rFonts w:cs="Arial"/>
        </w:rPr>
        <w:t>will continue to do so in 2013-14.</w:t>
      </w:r>
    </w:p>
    <w:p w:rsidR="005373AD" w:rsidRDefault="004970BE" w:rsidP="0027569E">
      <w:pPr>
        <w:pStyle w:val="Heading3"/>
      </w:pPr>
      <w:r>
        <w:lastRenderedPageBreak/>
        <w:t>201</w:t>
      </w:r>
      <w:r w:rsidR="00E04F49">
        <w:t>3</w:t>
      </w:r>
      <w:r>
        <w:t>-1</w:t>
      </w:r>
      <w:r w:rsidR="00E04F49">
        <w:t>4</w:t>
      </w:r>
      <w:r w:rsidR="005373AD">
        <w:t xml:space="preserve"> Priorities</w:t>
      </w:r>
    </w:p>
    <w:p w:rsidR="005373AD" w:rsidRDefault="005373AD">
      <w:pPr>
        <w:pStyle w:val="BodyText"/>
      </w:pPr>
      <w:r>
        <w:t>The strategic and operation</w:t>
      </w:r>
      <w:r w:rsidR="00B4512C">
        <w:t>al issues to be pursued in 2013</w:t>
      </w:r>
      <w:r w:rsidR="00A744D3">
        <w:noBreakHyphen/>
      </w:r>
      <w:r>
        <w:t>1</w:t>
      </w:r>
      <w:r w:rsidR="00B4512C">
        <w:t>4</w:t>
      </w:r>
      <w:r>
        <w:t xml:space="preserve"> include:</w:t>
      </w:r>
    </w:p>
    <w:p w:rsidR="00444E5E" w:rsidRDefault="00DD1955" w:rsidP="00444E5E">
      <w:pPr>
        <w:pStyle w:val="BodyTextIndent"/>
        <w:ind w:left="357" w:hanging="357"/>
      </w:pPr>
      <w:r>
        <w:t>o</w:t>
      </w:r>
      <w:r w:rsidR="00B4512C">
        <w:t xml:space="preserve">verseeing the pricing arrangements for </w:t>
      </w:r>
      <w:r w:rsidR="00B4512C" w:rsidRPr="0027569E">
        <w:t>water and wastewater services from 1 July 2013</w:t>
      </w:r>
      <w:r w:rsidR="00AC4048">
        <w:t>;</w:t>
      </w:r>
    </w:p>
    <w:p w:rsidR="00444E5E" w:rsidRDefault="005373AD" w:rsidP="00444E5E">
      <w:pPr>
        <w:pStyle w:val="BodyTextIndent"/>
        <w:ind w:left="357" w:hanging="357"/>
      </w:pPr>
      <w:r w:rsidRPr="0027569E">
        <w:t>overseeing pricing arrangements for retail electricity for fran</w:t>
      </w:r>
      <w:r w:rsidR="004970BE" w:rsidRPr="0027569E">
        <w:t>chise customers</w:t>
      </w:r>
      <w:r w:rsidR="00EF3B23">
        <w:t xml:space="preserve"> for the period from 1 July 2013</w:t>
      </w:r>
      <w:r w:rsidR="004970BE" w:rsidRPr="0027569E">
        <w:t xml:space="preserve"> to 30 June 2014</w:t>
      </w:r>
      <w:r w:rsidRPr="0027569E">
        <w:t>;</w:t>
      </w:r>
    </w:p>
    <w:p w:rsidR="00444E5E" w:rsidRDefault="005373AD" w:rsidP="00444E5E">
      <w:pPr>
        <w:pStyle w:val="BodyTextIndent"/>
        <w:ind w:left="357" w:hanging="357"/>
      </w:pPr>
      <w:r w:rsidRPr="0027569E">
        <w:t>overseeing the regulatory regime established under the Utilities Act</w:t>
      </w:r>
      <w:r w:rsidR="009E50E2" w:rsidRPr="0027569E">
        <w:t>, including licensing and</w:t>
      </w:r>
      <w:r w:rsidRPr="0027569E">
        <w:t xml:space="preserve"> compliance monitoring and reporting on utility compliance and performance;</w:t>
      </w:r>
    </w:p>
    <w:p w:rsidR="00444E5E" w:rsidRDefault="005373AD" w:rsidP="00444E5E">
      <w:pPr>
        <w:pStyle w:val="BodyTextIndent"/>
        <w:ind w:left="357" w:hanging="357"/>
      </w:pPr>
      <w:r w:rsidRPr="0027569E">
        <w:t xml:space="preserve">responding to the Government’s requirements for advice on competition policy matters, and discharging the Commission’s statutory role in competitive neutrality complaints handling; </w:t>
      </w:r>
    </w:p>
    <w:p w:rsidR="00444E5E" w:rsidRDefault="009E50E2" w:rsidP="00444E5E">
      <w:pPr>
        <w:pStyle w:val="BodyTextIndent"/>
        <w:ind w:left="357" w:hanging="357"/>
      </w:pPr>
      <w:r w:rsidRPr="0027569E">
        <w:t xml:space="preserve">producing and publishing </w:t>
      </w:r>
      <w:r w:rsidR="005373AD" w:rsidRPr="0027569E">
        <w:t xml:space="preserve">the Commission’s </w:t>
      </w:r>
      <w:r w:rsidR="005C74BC">
        <w:t>third</w:t>
      </w:r>
      <w:r w:rsidR="0052141C">
        <w:t xml:space="preserve"> ACT G</w:t>
      </w:r>
      <w:r w:rsidRPr="0027569E">
        <w:t xml:space="preserve">reenhouse </w:t>
      </w:r>
      <w:r w:rsidR="0052141C">
        <w:t>G</w:t>
      </w:r>
      <w:r w:rsidRPr="0027569E">
        <w:t xml:space="preserve">as </w:t>
      </w:r>
      <w:r w:rsidR="0052141C">
        <w:t>I</w:t>
      </w:r>
      <w:r w:rsidRPr="0027569E">
        <w:t>nventory, to advi</w:t>
      </w:r>
      <w:r w:rsidR="00A1617A">
        <w:t>s</w:t>
      </w:r>
      <w:r w:rsidRPr="0027569E">
        <w:t xml:space="preserve">e on and assist with meeting the challenges raised by the ACT’s commitment to addressing </w:t>
      </w:r>
      <w:r w:rsidR="005373AD" w:rsidRPr="0027569E">
        <w:t>climate change; and</w:t>
      </w:r>
    </w:p>
    <w:p w:rsidR="00444E5E" w:rsidRDefault="009E50E2" w:rsidP="00444E5E">
      <w:pPr>
        <w:pStyle w:val="BodyTextIndent"/>
        <w:ind w:left="357" w:hanging="357"/>
      </w:pPr>
      <w:proofErr w:type="gramStart"/>
      <w:r w:rsidRPr="0027569E">
        <w:t>cooperating</w:t>
      </w:r>
      <w:proofErr w:type="gramEnd"/>
      <w:r w:rsidRPr="0027569E">
        <w:t xml:space="preserve"> </w:t>
      </w:r>
      <w:r w:rsidR="005373AD" w:rsidRPr="0027569E">
        <w:t>with the national regulatory body, the Australian Energy Regulator, and relevant ACT Government policy agencies</w:t>
      </w:r>
      <w:r w:rsidR="0052141C">
        <w:t>,</w:t>
      </w:r>
      <w:r w:rsidR="005373AD" w:rsidRPr="0027569E">
        <w:t xml:space="preserve"> to </w:t>
      </w:r>
      <w:r w:rsidRPr="0027569E">
        <w:t xml:space="preserve">implement the changes arising from the </w:t>
      </w:r>
      <w:r w:rsidR="005373AD" w:rsidRPr="0027569E">
        <w:t xml:space="preserve">transfer </w:t>
      </w:r>
      <w:r w:rsidRPr="0027569E">
        <w:t xml:space="preserve">from 1 July 2012 </w:t>
      </w:r>
      <w:r w:rsidR="005373AD" w:rsidRPr="0027569E">
        <w:t xml:space="preserve">of regulatory responsibilities in the energy sector as agreed </w:t>
      </w:r>
      <w:r w:rsidR="00474A8A" w:rsidRPr="0027569E">
        <w:t xml:space="preserve">by the ACT as a party to </w:t>
      </w:r>
      <w:r w:rsidR="005373AD" w:rsidRPr="0027569E">
        <w:t>the Council of Australian Governments’ Australian Energy Market Agreement.</w:t>
      </w:r>
    </w:p>
    <w:p w:rsidR="005373AD" w:rsidRPr="00BC4754" w:rsidRDefault="005373AD">
      <w:pPr>
        <w:pStyle w:val="Heading3"/>
      </w:pPr>
      <w:r w:rsidRPr="00BC4754">
        <w:t>Estimated Employment Level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31"/>
        <w:gridCol w:w="2537"/>
        <w:gridCol w:w="1633"/>
        <w:gridCol w:w="1633"/>
        <w:gridCol w:w="1638"/>
      </w:tblGrid>
      <w:tr w:rsidR="005373AD" w:rsidRPr="00BC4754" w:rsidTr="009577AC">
        <w:trPr>
          <w:trHeight w:hRule="exact" w:val="510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73AD" w:rsidRPr="00BC4754" w:rsidRDefault="00A40F4C" w:rsidP="006E15A7">
            <w:pPr>
              <w:pStyle w:val="Heading6"/>
            </w:pPr>
            <w:r w:rsidRPr="00BC4754">
              <w:t>201</w:t>
            </w:r>
            <w:r w:rsidR="005E3650">
              <w:t>1</w:t>
            </w:r>
            <w:r w:rsidR="004970BE" w:rsidRPr="00BC4754">
              <w:t>-1</w:t>
            </w:r>
            <w:r w:rsidR="005E3650">
              <w:t>2</w:t>
            </w:r>
          </w:p>
          <w:p w:rsidR="005373AD" w:rsidRPr="00BC4754" w:rsidRDefault="005373AD" w:rsidP="006E15A7">
            <w:pPr>
              <w:pStyle w:val="Heading6"/>
            </w:pPr>
            <w:r w:rsidRPr="00BC4754">
              <w:t>Actual Outcome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5373AD" w:rsidRPr="00BC4754" w:rsidRDefault="005373AD" w:rsidP="006E15A7">
            <w:pPr>
              <w:pStyle w:val="TableTextRightBold-BP410pt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73AD" w:rsidRPr="00BC4754" w:rsidRDefault="00A40F4C" w:rsidP="006E15A7">
            <w:pPr>
              <w:pStyle w:val="Heading6"/>
            </w:pPr>
            <w:r w:rsidRPr="00BC4754">
              <w:t>201</w:t>
            </w:r>
            <w:r w:rsidR="005E3650">
              <w:t>2</w:t>
            </w:r>
            <w:r w:rsidR="005373AD" w:rsidRPr="00BC4754">
              <w:t>-1</w:t>
            </w:r>
            <w:r w:rsidR="005E3650">
              <w:t>3</w:t>
            </w:r>
          </w:p>
          <w:p w:rsidR="005373AD" w:rsidRPr="00BC4754" w:rsidRDefault="005373AD" w:rsidP="006E15A7">
            <w:pPr>
              <w:pStyle w:val="Heading6"/>
            </w:pPr>
            <w:r w:rsidRPr="00BC4754">
              <w:t>Budget</w:t>
            </w:r>
          </w:p>
          <w:p w:rsidR="005373AD" w:rsidRPr="00BC4754" w:rsidRDefault="005373AD" w:rsidP="006E15A7">
            <w:pPr>
              <w:pStyle w:val="Heading6"/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73AD" w:rsidRPr="00BC4754" w:rsidRDefault="00A40F4C" w:rsidP="006E15A7">
            <w:pPr>
              <w:pStyle w:val="Heading6"/>
            </w:pPr>
            <w:r w:rsidRPr="00BC4754">
              <w:t>201</w:t>
            </w:r>
            <w:r w:rsidR="005E3650">
              <w:t>2</w:t>
            </w:r>
            <w:r w:rsidR="005373AD" w:rsidRPr="00BC4754">
              <w:t>-1</w:t>
            </w:r>
            <w:r w:rsidR="005E3650">
              <w:t>3</w:t>
            </w:r>
          </w:p>
          <w:p w:rsidR="005373AD" w:rsidRPr="00BC4754" w:rsidRDefault="005373AD" w:rsidP="006E15A7">
            <w:pPr>
              <w:pStyle w:val="Heading6"/>
            </w:pPr>
            <w:r w:rsidRPr="00BC4754">
              <w:t>Est. Outcome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5373AD" w:rsidRPr="00BC4754" w:rsidRDefault="00A40F4C" w:rsidP="006E15A7">
            <w:pPr>
              <w:pStyle w:val="Heading6"/>
            </w:pPr>
            <w:r w:rsidRPr="00BC4754">
              <w:t>201</w:t>
            </w:r>
            <w:r w:rsidR="005E3650">
              <w:t>3</w:t>
            </w:r>
            <w:r w:rsidRPr="00BC4754">
              <w:t>-1</w:t>
            </w:r>
            <w:r w:rsidR="005E3650">
              <w:t>4</w:t>
            </w:r>
          </w:p>
          <w:p w:rsidR="005373AD" w:rsidRPr="00BC4754" w:rsidRDefault="005373AD" w:rsidP="006E15A7">
            <w:pPr>
              <w:pStyle w:val="Heading6"/>
            </w:pPr>
            <w:r w:rsidRPr="00BC4754">
              <w:t>Budget</w:t>
            </w:r>
          </w:p>
          <w:p w:rsidR="005373AD" w:rsidRPr="00BC4754" w:rsidRDefault="005373AD" w:rsidP="006E15A7">
            <w:pPr>
              <w:pStyle w:val="Heading6"/>
            </w:pPr>
          </w:p>
        </w:tc>
      </w:tr>
      <w:tr w:rsidR="005373AD" w:rsidRPr="00BC4754" w:rsidTr="009577AC">
        <w:trPr>
          <w:trHeight w:val="392"/>
        </w:trPr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73AD" w:rsidRPr="00BC4754" w:rsidRDefault="0041424A" w:rsidP="006E15A7">
            <w:pPr>
              <w:pStyle w:val="TableTextRight-BP410pt"/>
            </w:pPr>
            <w:r>
              <w:t>8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8" w:type="dxa"/>
              <w:left w:w="421" w:type="dxa"/>
              <w:bottom w:w="0" w:type="dxa"/>
              <w:right w:w="18" w:type="dxa"/>
            </w:tcMar>
            <w:vAlign w:val="center"/>
          </w:tcPr>
          <w:p w:rsidR="005373AD" w:rsidRPr="006A2FED" w:rsidRDefault="005373AD" w:rsidP="006E15A7">
            <w:pPr>
              <w:pStyle w:val="Heading7"/>
              <w:rPr>
                <w:vertAlign w:val="superscript"/>
              </w:rPr>
            </w:pPr>
            <w:r w:rsidRPr="006A2FED">
              <w:t xml:space="preserve">Staffing (FTE) 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73AD" w:rsidRPr="00BC4754" w:rsidRDefault="00BC4754" w:rsidP="006E15A7">
            <w:pPr>
              <w:pStyle w:val="TableTextRight-BP410pt"/>
            </w:pPr>
            <w:r w:rsidRPr="00BC4754"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373AD" w:rsidRPr="0052141C" w:rsidRDefault="0041424A" w:rsidP="006E15A7">
            <w:pPr>
              <w:pStyle w:val="TableTextRight-BP410pt"/>
              <w:rPr>
                <w:vertAlign w:val="superscript"/>
              </w:rPr>
            </w:pPr>
            <w:r>
              <w:t>9</w:t>
            </w:r>
            <w:r w:rsidR="0052141C">
              <w:rPr>
                <w:vertAlign w:val="superscript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5373AD" w:rsidRPr="00EA3962" w:rsidRDefault="00BC4754" w:rsidP="006E15A7">
            <w:pPr>
              <w:pStyle w:val="TableTextRight-BP410pt"/>
              <w:rPr>
                <w:vertAlign w:val="superscript"/>
              </w:rPr>
            </w:pPr>
            <w:r w:rsidRPr="00BC4754">
              <w:t>6</w:t>
            </w:r>
            <w:r w:rsidR="0052141C" w:rsidRPr="0052141C">
              <w:rPr>
                <w:vertAlign w:val="superscript"/>
              </w:rPr>
              <w:t>2</w:t>
            </w:r>
          </w:p>
        </w:tc>
      </w:tr>
    </w:tbl>
    <w:p w:rsidR="00F42EFD" w:rsidRPr="004279C4" w:rsidRDefault="00EA3962" w:rsidP="0027569E">
      <w:pPr>
        <w:pStyle w:val="NoteHeading0"/>
      </w:pPr>
      <w:r w:rsidRPr="004279C4">
        <w:t>Note</w:t>
      </w:r>
      <w:r w:rsidR="00E82959" w:rsidRPr="004279C4">
        <w:t>s</w:t>
      </w:r>
      <w:r w:rsidRPr="004279C4">
        <w:t>:</w:t>
      </w:r>
    </w:p>
    <w:p w:rsidR="00444E5E" w:rsidRDefault="00F42EFD" w:rsidP="0095712B">
      <w:pPr>
        <w:pStyle w:val="AINotes"/>
      </w:pPr>
      <w:r w:rsidRPr="0027569E">
        <w:t xml:space="preserve">The increase of </w:t>
      </w:r>
      <w:r w:rsidR="0041424A" w:rsidRPr="0027569E">
        <w:t xml:space="preserve">3 </w:t>
      </w:r>
      <w:r w:rsidRPr="0027569E">
        <w:t xml:space="preserve">FTE in the estimated outcome from the original budget reflects the </w:t>
      </w:r>
      <w:r w:rsidR="007C6C9E" w:rsidRPr="0027569E">
        <w:t>Commission’s</w:t>
      </w:r>
      <w:r w:rsidRPr="0027569E">
        <w:t xml:space="preserve"> decision to meet its </w:t>
      </w:r>
      <w:r w:rsidR="007C6C9E" w:rsidRPr="0027569E">
        <w:t>no</w:t>
      </w:r>
      <w:r w:rsidR="0041424A" w:rsidRPr="0027569E">
        <w:t>n</w:t>
      </w:r>
      <w:r w:rsidR="00B45CF0">
        <w:t xml:space="preserve"> </w:t>
      </w:r>
      <w:r w:rsidR="0041424A" w:rsidRPr="0027569E">
        <w:t>r</w:t>
      </w:r>
      <w:r w:rsidR="007C6C9E" w:rsidRPr="0027569E">
        <w:t>ecurrent</w:t>
      </w:r>
      <w:r w:rsidRPr="0027569E">
        <w:t xml:space="preserve"> workload by appointing temporary staff rather than using external contractors and consultants.</w:t>
      </w:r>
    </w:p>
    <w:p w:rsidR="00444E5E" w:rsidRDefault="0052141C" w:rsidP="0095712B">
      <w:pPr>
        <w:pStyle w:val="AINotes"/>
      </w:pPr>
      <w:r>
        <w:t xml:space="preserve">The </w:t>
      </w:r>
      <w:r w:rsidR="009F2F79">
        <w:t>decrease of 3 FTE in the 2013-14 Budget from the 2012-13</w:t>
      </w:r>
      <w:r>
        <w:t xml:space="preserve"> estimated </w:t>
      </w:r>
      <w:proofErr w:type="gramStart"/>
      <w:r>
        <w:t>outcome</w:t>
      </w:r>
      <w:proofErr w:type="gramEnd"/>
      <w:r>
        <w:t xml:space="preserve"> reflects the Commission’s </w:t>
      </w:r>
      <w:r w:rsidR="002D070E">
        <w:t xml:space="preserve">expected </w:t>
      </w:r>
      <w:r>
        <w:t>staffing levels.</w:t>
      </w:r>
    </w:p>
    <w:p w:rsidR="00822711" w:rsidRPr="00822711" w:rsidRDefault="00822711" w:rsidP="00822711">
      <w:pPr>
        <w:pStyle w:val="Heading3"/>
      </w:pPr>
      <w:r>
        <w:t>Changes to Appropriation</w:t>
      </w:r>
    </w:p>
    <w:tbl>
      <w:tblPr>
        <w:tblW w:w="9072" w:type="dxa"/>
        <w:tblInd w:w="108" w:type="dxa"/>
        <w:tblLook w:val="04A0"/>
      </w:tblPr>
      <w:tblGrid>
        <w:gridCol w:w="4167"/>
        <w:gridCol w:w="981"/>
        <w:gridCol w:w="981"/>
        <w:gridCol w:w="981"/>
        <w:gridCol w:w="981"/>
        <w:gridCol w:w="981"/>
      </w:tblGrid>
      <w:tr w:rsidR="00822711" w:rsidRPr="00E65978" w:rsidTr="002046EB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Chan</w:t>
            </w:r>
            <w:r w:rsidR="0095712B">
              <w:rPr>
                <w:b/>
                <w:bCs/>
                <w:sz w:val="18"/>
                <w:szCs w:val="18"/>
                <w:lang w:eastAsia="en-AU"/>
              </w:rPr>
              <w:t xml:space="preserve">ges to Appropriation – </w:t>
            </w:r>
            <w:r w:rsidRPr="00E65978">
              <w:rPr>
                <w:b/>
                <w:bCs/>
                <w:sz w:val="18"/>
                <w:szCs w:val="18"/>
                <w:lang w:eastAsia="en-AU"/>
              </w:rPr>
              <w:t>Controlled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22711" w:rsidRPr="00E65978" w:rsidTr="0095712B">
        <w:trPr>
          <w:trHeight w:val="113"/>
        </w:trPr>
        <w:tc>
          <w:tcPr>
            <w:tcW w:w="44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2012-13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2013-14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2014-15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2015-16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2016-17</w:t>
            </w:r>
          </w:p>
        </w:tc>
      </w:tr>
      <w:tr w:rsidR="00822711" w:rsidRPr="00E65978" w:rsidTr="0095712B">
        <w:trPr>
          <w:trHeight w:val="126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Government Payment for Outputs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11" w:rsidRPr="00E65978" w:rsidRDefault="00822711" w:rsidP="0095712B">
            <w:pPr>
              <w:spacing w:after="20"/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Est. Out.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11" w:rsidRPr="00E65978" w:rsidRDefault="00822711" w:rsidP="0095712B">
            <w:pPr>
              <w:spacing w:after="20"/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Budget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11" w:rsidRPr="00E65978" w:rsidRDefault="00822711" w:rsidP="0095712B">
            <w:pPr>
              <w:spacing w:after="20"/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11" w:rsidRPr="00E65978" w:rsidRDefault="00822711" w:rsidP="0095712B">
            <w:pPr>
              <w:spacing w:after="20"/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711" w:rsidRPr="00E65978" w:rsidRDefault="00822711" w:rsidP="0095712B">
            <w:pPr>
              <w:spacing w:after="20"/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Estimate</w:t>
            </w:r>
          </w:p>
        </w:tc>
      </w:tr>
      <w:tr w:rsidR="00822711" w:rsidRPr="00E65978" w:rsidTr="0095712B">
        <w:trPr>
          <w:trHeight w:val="229"/>
        </w:trPr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$'000</w:t>
            </w:r>
          </w:p>
        </w:tc>
      </w:tr>
      <w:tr w:rsidR="00822711" w:rsidRPr="00E65978" w:rsidTr="002046EB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22711" w:rsidRPr="00E65978" w:rsidTr="002046EB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2012-13 Budget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527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537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559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559</w:t>
            </w:r>
          </w:p>
        </w:tc>
      </w:tr>
      <w:tr w:rsidR="00822711" w:rsidRPr="00E65978" w:rsidTr="002046EB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22711" w:rsidRPr="00E65978" w:rsidTr="002046EB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2013-14 Budget Technical Adjustments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22711" w:rsidRPr="00E65978" w:rsidTr="002046EB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>Revised Indexation Parameters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 xml:space="preserve">-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>(1)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>(1)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>(1)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 xml:space="preserve">10 </w:t>
            </w:r>
          </w:p>
        </w:tc>
      </w:tr>
      <w:tr w:rsidR="00822711" w:rsidRPr="00E65978" w:rsidTr="002046EB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>Revised Superannuation Parameters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>(9)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>(10)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>(10)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>(10)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>(10)</w:t>
            </w:r>
          </w:p>
        </w:tc>
      </w:tr>
      <w:tr w:rsidR="00822711" w:rsidRPr="00E65978" w:rsidTr="002046EB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>Revised Superannuation Guarantee Rate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 xml:space="preserve">-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 xml:space="preserve">-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 xml:space="preserve">1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 xml:space="preserve">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  <w:r w:rsidRPr="00E65978">
              <w:rPr>
                <w:sz w:val="18"/>
                <w:szCs w:val="18"/>
                <w:lang w:eastAsia="en-AU"/>
              </w:rPr>
              <w:t xml:space="preserve">3 </w:t>
            </w:r>
          </w:p>
        </w:tc>
      </w:tr>
      <w:tr w:rsidR="00822711" w:rsidRPr="00E65978" w:rsidTr="002046EB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sz w:val="18"/>
                <w:szCs w:val="18"/>
                <w:lang w:eastAsia="en-AU"/>
              </w:rPr>
            </w:pPr>
          </w:p>
        </w:tc>
      </w:tr>
      <w:tr w:rsidR="00822711" w:rsidRPr="00E65978" w:rsidTr="002046EB">
        <w:trPr>
          <w:trHeight w:val="300"/>
        </w:trPr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22711" w:rsidRPr="00E65978" w:rsidRDefault="00822711" w:rsidP="002046EB">
            <w:pPr>
              <w:ind w:left="-108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2013-14 Budget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518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526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539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550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2711" w:rsidRPr="00E65978" w:rsidRDefault="00822711" w:rsidP="002046EB">
            <w:pPr>
              <w:jc w:val="right"/>
              <w:rPr>
                <w:b/>
                <w:bCs/>
                <w:sz w:val="18"/>
                <w:szCs w:val="18"/>
                <w:lang w:eastAsia="en-AU"/>
              </w:rPr>
            </w:pPr>
            <w:r w:rsidRPr="00E65978">
              <w:rPr>
                <w:b/>
                <w:bCs/>
                <w:sz w:val="18"/>
                <w:szCs w:val="18"/>
                <w:lang w:eastAsia="en-AU"/>
              </w:rPr>
              <w:t>562</w:t>
            </w:r>
          </w:p>
        </w:tc>
      </w:tr>
    </w:tbl>
    <w:p w:rsidR="00A97FB6" w:rsidRPr="008C6BF1" w:rsidRDefault="00956E3F" w:rsidP="004D7EC1">
      <w:pPr>
        <w:pStyle w:val="Heading3Centred"/>
      </w:pPr>
      <w:r>
        <w:rPr>
          <w:sz w:val="16"/>
          <w:szCs w:val="16"/>
        </w:rPr>
        <w:br w:type="page"/>
      </w:r>
    </w:p>
    <w:tbl>
      <w:tblPr>
        <w:tblW w:w="9356" w:type="dxa"/>
        <w:tblLook w:val="04A0"/>
      </w:tblPr>
      <w:tblGrid>
        <w:gridCol w:w="1050"/>
        <w:gridCol w:w="2319"/>
        <w:gridCol w:w="1167"/>
        <w:gridCol w:w="1049"/>
        <w:gridCol w:w="621"/>
        <w:gridCol w:w="1050"/>
        <w:gridCol w:w="1050"/>
        <w:gridCol w:w="1050"/>
      </w:tblGrid>
      <w:tr w:rsidR="00A97FB6" w:rsidTr="00F86952">
        <w:trPr>
          <w:tblHeader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Pr="00E65978" w:rsidRDefault="00A97FB6" w:rsidP="00F86952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0" w:name="RANGE!A1:H31"/>
            <w:r w:rsidRPr="00E65978">
              <w:rPr>
                <w:rFonts w:ascii="Arial" w:hAnsi="Arial" w:cs="Arial"/>
                <w:b/>
                <w:bCs/>
                <w:szCs w:val="24"/>
              </w:rPr>
              <w:lastRenderedPageBreak/>
              <w:t>Independent Competition and Regulatory Commission</w:t>
            </w:r>
            <w:bookmarkEnd w:id="0"/>
          </w:p>
        </w:tc>
      </w:tr>
      <w:tr w:rsidR="00A97FB6" w:rsidTr="00F86952">
        <w:trPr>
          <w:tblHeader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Pr="00E65978" w:rsidRDefault="00A97FB6" w:rsidP="00F86952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65978">
              <w:rPr>
                <w:rFonts w:ascii="Arial" w:hAnsi="Arial" w:cs="Arial"/>
                <w:b/>
                <w:bCs/>
                <w:szCs w:val="24"/>
              </w:rPr>
              <w:t>Operating Statement</w:t>
            </w:r>
          </w:p>
        </w:tc>
      </w:tr>
      <w:tr w:rsidR="00A97FB6" w:rsidTr="00F86952">
        <w:trPr>
          <w:tblHeader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A97FB6" w:rsidTr="00F86952">
        <w:trPr>
          <w:tblHeader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A97FB6" w:rsidTr="00F86952">
        <w:trPr>
          <w:tblHeader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A97FB6" w:rsidTr="00F86952">
        <w:trPr>
          <w:tblHeader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Income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Revenue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Government Payment for </w:t>
            </w:r>
            <w:r>
              <w:rPr>
                <w:sz w:val="18"/>
                <w:szCs w:val="18"/>
              </w:rPr>
              <w:br/>
              <w:t xml:space="preserve">   Outputs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Taxes, Fees and Fines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-35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164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User Charges </w:t>
            </w:r>
            <w:r w:rsidR="00164F41">
              <w:rPr>
                <w:bCs/>
                <w:sz w:val="18"/>
                <w:szCs w:val="18"/>
                <w:lang w:eastAsia="en-AU"/>
              </w:rPr>
              <w:t>—</w:t>
            </w:r>
            <w:r w:rsidR="00164F41">
              <w:rPr>
                <w:b/>
                <w:bCs/>
                <w:sz w:val="18"/>
                <w:szCs w:val="18"/>
                <w:lang w:eastAsia="en-AU"/>
              </w:rPr>
              <w:t xml:space="preserve"> </w:t>
            </w:r>
            <w:r>
              <w:rPr>
                <w:sz w:val="18"/>
                <w:szCs w:val="18"/>
              </w:rPr>
              <w:t xml:space="preserve">ACT </w:t>
            </w:r>
            <w:r>
              <w:rPr>
                <w:sz w:val="18"/>
                <w:szCs w:val="18"/>
              </w:rPr>
              <w:br/>
              <w:t xml:space="preserve">   Government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-51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1,146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1,062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2,106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Revenue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3,732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2,281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2,301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2,106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Income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3,732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2,281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-39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2,301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Expenses 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Expenses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1,379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Superannuation Expenses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-57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1,247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Supplies and Services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1,714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1,301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1,403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Depreciation and </w:t>
            </w:r>
            <w:r>
              <w:rPr>
                <w:sz w:val="18"/>
                <w:szCs w:val="18"/>
              </w:rPr>
              <w:br/>
              <w:t xml:space="preserve">   Amortisation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2,087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r w:rsidR="001F75BA">
              <w:rPr>
                <w:b/>
                <w:bCs/>
                <w:sz w:val="18"/>
                <w:szCs w:val="18"/>
              </w:rPr>
              <w:t xml:space="preserve">Ordinary </w:t>
            </w:r>
            <w:r>
              <w:rPr>
                <w:b/>
                <w:bCs/>
                <w:sz w:val="18"/>
                <w:szCs w:val="18"/>
              </w:rPr>
              <w:t>Expenses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3,295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2,163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-34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2,286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Result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-73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A97FB6" w:rsidTr="00F86952"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97FB6" w:rsidRDefault="00A97FB6" w:rsidP="00F86952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4D7EC1" w:rsidRPr="00474A8A" w:rsidRDefault="005373AD" w:rsidP="004D7EC1">
      <w:pPr>
        <w:pStyle w:val="Heading3Centred"/>
        <w:rPr>
          <w:highlight w:val="yellow"/>
        </w:rPr>
      </w:pPr>
      <w:r w:rsidRPr="008C6BF1">
        <w:br w:type="page"/>
      </w:r>
    </w:p>
    <w:tbl>
      <w:tblPr>
        <w:tblW w:w="9356" w:type="dxa"/>
        <w:tblLook w:val="04A0"/>
      </w:tblPr>
      <w:tblGrid>
        <w:gridCol w:w="1054"/>
        <w:gridCol w:w="2392"/>
        <w:gridCol w:w="1106"/>
        <w:gridCol w:w="1054"/>
        <w:gridCol w:w="624"/>
        <w:gridCol w:w="1054"/>
        <w:gridCol w:w="1054"/>
        <w:gridCol w:w="1054"/>
      </w:tblGrid>
      <w:tr w:rsidR="001F75BA" w:rsidTr="00396FF9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Pr="00E65978" w:rsidRDefault="001F75BA" w:rsidP="00396FF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1" w:name="RANGE!A1:H42"/>
            <w:r w:rsidRPr="00E65978">
              <w:rPr>
                <w:rFonts w:ascii="Arial" w:hAnsi="Arial" w:cs="Arial"/>
                <w:b/>
                <w:bCs/>
                <w:szCs w:val="24"/>
              </w:rPr>
              <w:lastRenderedPageBreak/>
              <w:t>Independent Competition and Regulatory Commission</w:t>
            </w:r>
            <w:bookmarkEnd w:id="1"/>
          </w:p>
        </w:tc>
      </w:tr>
      <w:tr w:rsidR="001F75BA" w:rsidTr="00396FF9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Pr="00E65978" w:rsidRDefault="001F75BA" w:rsidP="00396FF9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65978">
              <w:rPr>
                <w:rFonts w:ascii="Arial" w:hAnsi="Arial" w:cs="Arial"/>
                <w:b/>
                <w:bCs/>
                <w:szCs w:val="24"/>
              </w:rPr>
              <w:t>Balance Sheet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F75BA" w:rsidRDefault="001F75BA" w:rsidP="00396F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Default="001F75BA" w:rsidP="00396FF9">
            <w:pPr>
              <w:ind w:left="-283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1,869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and Cash</w:t>
            </w:r>
            <w:r>
              <w:rPr>
                <w:sz w:val="18"/>
                <w:szCs w:val="18"/>
              </w:rPr>
              <w:br/>
              <w:t xml:space="preserve">   Equivalents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2,252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2,395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Receivables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1,030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1,912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3,135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3,353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3,425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Property, Plant and</w:t>
            </w:r>
            <w:r>
              <w:rPr>
                <w:sz w:val="18"/>
                <w:szCs w:val="18"/>
              </w:rPr>
              <w:br/>
              <w:t xml:space="preserve">   Equipment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-10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1,912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3,635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3,660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3,682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3,703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3,725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Payables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Benefits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-15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1,926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1,625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1,625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Non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Benefits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Non Current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761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LIABILITIES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1,997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1,904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-5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1,808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1,723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1,151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ASSETS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1,987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2,002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REPRESENTED BY FUNDS EMPLOYED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1,151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Accumulated Funds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2,002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1,151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FUNDS EMPLOYED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1,987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2,002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1F75BA" w:rsidRDefault="002F7EE2">
      <w:pPr>
        <w:rPr>
          <w:rFonts w:ascii="Times New Roman" w:hAnsi="Times New Roman"/>
          <w:sz w:val="20"/>
          <w:lang w:eastAsia="en-AU"/>
        </w:rPr>
      </w:pPr>
      <w:r>
        <w:rPr>
          <w:rFonts w:ascii="Times New Roman" w:hAnsi="Times New Roman"/>
          <w:sz w:val="20"/>
          <w:lang w:eastAsia="en-AU"/>
        </w:rPr>
        <w:br w:type="page"/>
      </w:r>
    </w:p>
    <w:tbl>
      <w:tblPr>
        <w:tblW w:w="9356" w:type="dxa"/>
        <w:tblLook w:val="04A0"/>
      </w:tblPr>
      <w:tblGrid>
        <w:gridCol w:w="1054"/>
        <w:gridCol w:w="2314"/>
        <w:gridCol w:w="1184"/>
        <w:gridCol w:w="1054"/>
        <w:gridCol w:w="624"/>
        <w:gridCol w:w="1054"/>
        <w:gridCol w:w="1054"/>
        <w:gridCol w:w="1054"/>
      </w:tblGrid>
      <w:tr w:rsidR="001F75BA" w:rsidTr="00396FF9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Pr="00E65978" w:rsidRDefault="001F75BA" w:rsidP="00396FF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2" w:name="RANGE!A1:H27"/>
            <w:r w:rsidRPr="00E65978">
              <w:rPr>
                <w:rFonts w:ascii="Arial" w:hAnsi="Arial" w:cs="Arial"/>
                <w:b/>
                <w:bCs/>
                <w:szCs w:val="24"/>
              </w:rPr>
              <w:lastRenderedPageBreak/>
              <w:t>Independent Competition and Regulatory Commission</w:t>
            </w:r>
            <w:bookmarkEnd w:id="2"/>
          </w:p>
        </w:tc>
      </w:tr>
      <w:tr w:rsidR="001F75BA" w:rsidTr="00396FF9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Pr="00E65978" w:rsidRDefault="001F75BA" w:rsidP="00396FF9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65978">
              <w:rPr>
                <w:rFonts w:ascii="Arial" w:hAnsi="Arial" w:cs="Arial"/>
                <w:b/>
                <w:bCs/>
                <w:szCs w:val="24"/>
              </w:rPr>
              <w:t>Statement of Changes in Equity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 at 30/6/17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Opening Equity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1,132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Accumulated Funds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1,987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1,132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Start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1,201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1,756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1,987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Comprehensive Income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Operating Result for the</w:t>
            </w:r>
            <w:r>
              <w:rPr>
                <w:sz w:val="18"/>
                <w:szCs w:val="18"/>
              </w:rPr>
              <w:br/>
              <w:t xml:space="preserve">   Period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-73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Comprehensive</w:t>
            </w:r>
            <w:r>
              <w:rPr>
                <w:b/>
                <w:bCs/>
                <w:sz w:val="18"/>
                <w:szCs w:val="18"/>
              </w:rPr>
              <w:br/>
              <w:t xml:space="preserve">   Income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-73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Movement in</w:t>
            </w:r>
            <w:r w:rsidR="00B45CF0">
              <w:rPr>
                <w:b/>
                <w:bCs/>
                <w:sz w:val="18"/>
                <w:szCs w:val="18"/>
              </w:rPr>
              <w:br/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Reserves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Closing Equity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1,151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Accumulated Funds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1,987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2,002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1,151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Balance at the End of the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1,638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1,874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1,987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2,002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1F75BA" w:rsidRDefault="001F75BA">
      <w:pPr>
        <w:rPr>
          <w:rFonts w:ascii="Times New Roman" w:hAnsi="Times New Roman"/>
          <w:b/>
          <w:bCs/>
          <w:sz w:val="20"/>
          <w:szCs w:val="26"/>
          <w:lang w:eastAsia="en-AU"/>
        </w:rPr>
      </w:pPr>
      <w:r>
        <w:rPr>
          <w:rFonts w:ascii="Times New Roman" w:hAnsi="Times New Roman"/>
          <w:sz w:val="20"/>
          <w:lang w:eastAsia="en-AU"/>
        </w:rPr>
        <w:br w:type="page"/>
      </w:r>
    </w:p>
    <w:tbl>
      <w:tblPr>
        <w:tblW w:w="9356" w:type="dxa"/>
        <w:tblLook w:val="04A0"/>
      </w:tblPr>
      <w:tblGrid>
        <w:gridCol w:w="1054"/>
        <w:gridCol w:w="2314"/>
        <w:gridCol w:w="1184"/>
        <w:gridCol w:w="1054"/>
        <w:gridCol w:w="624"/>
        <w:gridCol w:w="1054"/>
        <w:gridCol w:w="1054"/>
        <w:gridCol w:w="1054"/>
      </w:tblGrid>
      <w:tr w:rsidR="001F75BA" w:rsidTr="00396FF9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Pr="00E65978" w:rsidRDefault="001F75BA" w:rsidP="00396FF9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3" w:name="RANGE!A1:H30"/>
            <w:r w:rsidRPr="00E65978">
              <w:rPr>
                <w:rFonts w:ascii="Arial" w:hAnsi="Arial" w:cs="Arial"/>
                <w:b/>
                <w:bCs/>
                <w:szCs w:val="24"/>
              </w:rPr>
              <w:lastRenderedPageBreak/>
              <w:t>Independent Competition and Regulatory Commission</w:t>
            </w:r>
            <w:bookmarkEnd w:id="3"/>
          </w:p>
        </w:tc>
      </w:tr>
      <w:tr w:rsidR="001F75BA" w:rsidTr="00396FF9">
        <w:trPr>
          <w:tblHeader/>
        </w:trPr>
        <w:tc>
          <w:tcPr>
            <w:tcW w:w="93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5BA" w:rsidRPr="00E65978" w:rsidRDefault="001F75BA" w:rsidP="00396FF9">
            <w:pPr>
              <w:spacing w:after="6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E65978">
              <w:rPr>
                <w:rFonts w:ascii="Arial" w:hAnsi="Arial" w:cs="Arial"/>
                <w:b/>
                <w:bCs/>
                <w:szCs w:val="24"/>
              </w:rPr>
              <w:t>Cash Flow Statement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2012-13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2013-14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2014-15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2015-16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2016-17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Est. Outcome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Budget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Var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Estimate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$'000</w:t>
            </w:r>
          </w:p>
        </w:tc>
      </w:tr>
      <w:tr w:rsidR="001F75BA" w:rsidTr="00396FF9">
        <w:trPr>
          <w:tblHeader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FLOWS FROM OPERATING ACTIVITIES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Cash from Government</w:t>
            </w:r>
            <w:r>
              <w:rPr>
                <w:sz w:val="18"/>
                <w:szCs w:val="18"/>
              </w:rPr>
              <w:br/>
              <w:t xml:space="preserve">   for Outputs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Taxes, Fees and Fines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User Charges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-58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1,034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1,048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1,062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Interest Received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2,192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Receipts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3,610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2,267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-37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2,337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2,388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Employees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1,376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-46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Superannuation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-56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1,232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Related to Supplies and</w:t>
            </w:r>
            <w:r>
              <w:rPr>
                <w:sz w:val="18"/>
                <w:szCs w:val="18"/>
              </w:rPr>
              <w:br/>
              <w:t xml:space="preserve">   Services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1,641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1,286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-22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1,347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1,370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1,388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2,165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Operating Payments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3,265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2,192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-33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2,265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2,289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2,316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CASH INFLOW/</w:t>
            </w:r>
            <w:r>
              <w:rPr>
                <w:b/>
                <w:bCs/>
                <w:sz w:val="18"/>
                <w:szCs w:val="18"/>
              </w:rPr>
              <w:br/>
              <w:t xml:space="preserve">   (OUTFLOW) FROM</w:t>
            </w:r>
            <w:r>
              <w:rPr>
                <w:b/>
                <w:bCs/>
                <w:sz w:val="18"/>
                <w:szCs w:val="18"/>
              </w:rPr>
              <w:br/>
              <w:t xml:space="preserve">   OPERATING ACTIVITIES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-78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45CF0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NET INCREASE /</w:t>
            </w:r>
          </w:p>
          <w:p w:rsidR="001F75BA" w:rsidRDefault="00B45CF0" w:rsidP="00B45C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1F75BA">
              <w:rPr>
                <w:b/>
                <w:bCs/>
                <w:sz w:val="18"/>
                <w:szCs w:val="18"/>
              </w:rPr>
              <w:t xml:space="preserve"> (DECREASE)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1F75BA">
              <w:rPr>
                <w:b/>
                <w:bCs/>
                <w:sz w:val="18"/>
                <w:szCs w:val="18"/>
              </w:rPr>
              <w:t>IN CASH HELD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-78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1,842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B45CF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BEGINNING</w:t>
            </w:r>
            <w:r w:rsidR="00B45CF0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B45CF0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OF</w:t>
            </w:r>
            <w:r w:rsidR="00B45CF0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REPORTING PERIOD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1,760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2,105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2,180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2,323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1,869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CASH AT THE END OF</w:t>
            </w:r>
            <w:r>
              <w:rPr>
                <w:b/>
                <w:bCs/>
                <w:sz w:val="18"/>
                <w:szCs w:val="18"/>
              </w:rPr>
              <w:br/>
              <w:t xml:space="preserve">   REPORTING PERIOD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2,105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2,180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2,252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2,323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2,395</w:t>
            </w:r>
          </w:p>
        </w:tc>
      </w:tr>
      <w:tr w:rsidR="001F75BA" w:rsidTr="00396FF9"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F75BA" w:rsidRDefault="001F75BA" w:rsidP="00396FF9">
            <w:pPr>
              <w:ind w:left="-28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1F75BA" w:rsidRDefault="001F75BA"/>
    <w:p w:rsidR="001F75BA" w:rsidRDefault="001F75BA">
      <w:pPr>
        <w:rPr>
          <w:rFonts w:ascii="Arial" w:hAnsi="Arial"/>
          <w:b/>
          <w:bCs/>
          <w:szCs w:val="26"/>
        </w:rPr>
      </w:pPr>
      <w:r>
        <w:br w:type="page"/>
      </w:r>
    </w:p>
    <w:p w:rsidR="005373AD" w:rsidRPr="00095644" w:rsidRDefault="005373AD" w:rsidP="004D7EC1">
      <w:pPr>
        <w:pStyle w:val="Heading3"/>
      </w:pPr>
      <w:r w:rsidRPr="00095644">
        <w:lastRenderedPageBreak/>
        <w:t>Notes to the Budget Statements</w:t>
      </w:r>
    </w:p>
    <w:p w:rsidR="005373AD" w:rsidRPr="00095644" w:rsidRDefault="005373AD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095644">
        <w:t>Significant variations are as follows:</w:t>
      </w:r>
    </w:p>
    <w:p w:rsidR="004B612A" w:rsidRDefault="004B612A" w:rsidP="004B612A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Operating Statement</w:t>
      </w:r>
    </w:p>
    <w:p w:rsidR="004B612A" w:rsidRDefault="004B612A" w:rsidP="004B612A">
      <w:pPr>
        <w:pStyle w:val="BodyTextIndent"/>
        <w:numPr>
          <w:ilvl w:val="0"/>
          <w:numId w:val="1"/>
        </w:numPr>
      </w:pPr>
      <w:r>
        <w:t>taxes, fees and fines:</w:t>
      </w:r>
    </w:p>
    <w:p w:rsidR="004B612A" w:rsidRDefault="004B612A" w:rsidP="004B612A">
      <w:pPr>
        <w:pStyle w:val="BodyTextIndent2"/>
        <w:keepNext w:val="0"/>
        <w:keepLines w:val="0"/>
        <w:numPr>
          <w:ilvl w:val="0"/>
          <w:numId w:val="2"/>
        </w:numPr>
        <w:tabs>
          <w:tab w:val="left" w:pos="7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  <w:r>
        <w:t xml:space="preserve">the increase of $0.315 million in the 2012-13 estimated outcome from the original budget is due to increased </w:t>
      </w:r>
      <w:r w:rsidR="00ED6625">
        <w:t xml:space="preserve">revenues resulting from reviewing utility regulations introduced by </w:t>
      </w:r>
      <w:r>
        <w:t>the Environment and Sust</w:t>
      </w:r>
      <w:r w:rsidR="0088523B">
        <w:t>ainable Development Directorate</w:t>
      </w:r>
      <w:r w:rsidR="00ED6625">
        <w:t xml:space="preserve"> (ESDD)</w:t>
      </w:r>
      <w:r>
        <w:t>; and</w:t>
      </w:r>
    </w:p>
    <w:p w:rsidR="004B612A" w:rsidRDefault="004B612A" w:rsidP="004B612A">
      <w:pPr>
        <w:pStyle w:val="BodyTextIndent2"/>
        <w:keepNext w:val="0"/>
        <w:keepLines w:val="0"/>
        <w:numPr>
          <w:ilvl w:val="0"/>
          <w:numId w:val="2"/>
        </w:numPr>
        <w:tabs>
          <w:tab w:val="left" w:pos="7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decrease of $0.319 million in the 2013-14 Budget from the 2012-13 estimated outcome </w:t>
      </w:r>
      <w:r w:rsidR="0088523B">
        <w:t xml:space="preserve">reflects </w:t>
      </w:r>
      <w:r w:rsidR="00C22DA7">
        <w:t xml:space="preserve">an expected return to </w:t>
      </w:r>
      <w:r w:rsidR="0088523B">
        <w:t>the Commission’s historical base budget</w:t>
      </w:r>
      <w:r>
        <w:t>.</w:t>
      </w:r>
    </w:p>
    <w:p w:rsidR="004B612A" w:rsidRPr="00F05603" w:rsidRDefault="00301DEB" w:rsidP="004B612A">
      <w:pPr>
        <w:pStyle w:val="BodyTextIndent"/>
        <w:numPr>
          <w:ilvl w:val="0"/>
          <w:numId w:val="1"/>
        </w:numPr>
      </w:pPr>
      <w:r>
        <w:t xml:space="preserve">user charges – </w:t>
      </w:r>
      <w:r w:rsidR="004B612A" w:rsidRPr="00F05603">
        <w:t>ACT Government:</w:t>
      </w:r>
    </w:p>
    <w:p w:rsidR="007B38B1" w:rsidRDefault="004B612A" w:rsidP="004B612A">
      <w:pPr>
        <w:pStyle w:val="BodyTextIndent2"/>
        <w:keepNext w:val="0"/>
        <w:keepLines w:val="0"/>
        <w:numPr>
          <w:ilvl w:val="0"/>
          <w:numId w:val="2"/>
        </w:numPr>
        <w:tabs>
          <w:tab w:val="left" w:pos="7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  <w:r w:rsidRPr="00F05603">
        <w:t xml:space="preserve">the increase of $1.330 million in the 2012-13 estimated outcome from the original budget is due to the </w:t>
      </w:r>
      <w:r w:rsidR="00396FF9">
        <w:t xml:space="preserve">cost recovery </w:t>
      </w:r>
      <w:r w:rsidR="00ED6625">
        <w:t>for</w:t>
      </w:r>
      <w:r w:rsidR="00396FF9">
        <w:t xml:space="preserve"> the </w:t>
      </w:r>
      <w:r w:rsidR="00ED6625">
        <w:t>five</w:t>
      </w:r>
      <w:r w:rsidRPr="00F05603">
        <w:t xml:space="preserve"> year water pricing review</w:t>
      </w:r>
      <w:r w:rsidR="009577AC">
        <w:t>; and</w:t>
      </w:r>
    </w:p>
    <w:p w:rsidR="004B612A" w:rsidRDefault="004B612A" w:rsidP="004B612A">
      <w:pPr>
        <w:pStyle w:val="BodyTextIndent2"/>
        <w:keepNext w:val="0"/>
        <w:keepLines w:val="0"/>
        <w:numPr>
          <w:ilvl w:val="0"/>
          <w:numId w:val="2"/>
        </w:numPr>
        <w:tabs>
          <w:tab w:val="left" w:pos="71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  <w:proofErr w:type="gramStart"/>
      <w:r>
        <w:t>the</w:t>
      </w:r>
      <w:proofErr w:type="gramEnd"/>
      <w:r>
        <w:t xml:space="preserve"> decrease of $1.150 million in the 2013-14 Budget from the 2012-13 estimated outcome reflects the completion of the </w:t>
      </w:r>
      <w:r w:rsidR="00ED6625">
        <w:t xml:space="preserve">five </w:t>
      </w:r>
      <w:r>
        <w:t xml:space="preserve">year water pricing review. </w:t>
      </w:r>
    </w:p>
    <w:p w:rsidR="004B612A" w:rsidRDefault="004B612A" w:rsidP="004B612A">
      <w:pPr>
        <w:pStyle w:val="BodyTextIndent"/>
        <w:numPr>
          <w:ilvl w:val="0"/>
          <w:numId w:val="1"/>
        </w:numPr>
      </w:pPr>
      <w:proofErr w:type="gramStart"/>
      <w:r>
        <w:t>employee</w:t>
      </w:r>
      <w:proofErr w:type="gramEnd"/>
      <w:r>
        <w:t xml:space="preserve"> expenses:</w:t>
      </w:r>
      <w:r w:rsidR="00ED6625">
        <w:t xml:space="preserve">  the increase of $0.641 million in the 2012-13 estimated outcome from the original budget and the decrease of $0.633 million in the 2013</w:t>
      </w:r>
      <w:r w:rsidR="00ED6625">
        <w:noBreakHyphen/>
        <w:t>14 Budget from the 2012-13 estimated outcome is due to temporary staffing resources for the five year water pricing review.</w:t>
      </w:r>
    </w:p>
    <w:p w:rsidR="004B612A" w:rsidRDefault="004B612A" w:rsidP="00391019">
      <w:pPr>
        <w:pStyle w:val="BodyTextIndent"/>
        <w:keepNext w:val="0"/>
        <w:keepLines w:val="0"/>
        <w:numPr>
          <w:ilvl w:val="0"/>
          <w:numId w:val="4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</w:pPr>
      <w:r>
        <w:t>supplies and services:</w:t>
      </w:r>
      <w:r w:rsidR="00ED6625">
        <w:t xml:space="preserve">  the increase of $0.467 million in the 2012-13 estimated outcome from the original budget and the decrease of $0.413 million in the 2013-14 Budget from the 2012</w:t>
      </w:r>
      <w:r w:rsidR="00ED6625">
        <w:noBreakHyphen/>
        <w:t xml:space="preserve">13 estimated outcome </w:t>
      </w:r>
      <w:r w:rsidR="001A47FF">
        <w:t xml:space="preserve">is due to consultant costs associated with </w:t>
      </w:r>
      <w:r w:rsidR="00ED6625">
        <w:t>the five year water pricing review.</w:t>
      </w:r>
    </w:p>
    <w:p w:rsidR="004B612A" w:rsidRDefault="004B612A" w:rsidP="004B612A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Balance Sheet</w:t>
      </w:r>
    </w:p>
    <w:p w:rsidR="004B612A" w:rsidRDefault="004B612A" w:rsidP="00301DEB">
      <w:pPr>
        <w:pStyle w:val="BodyTextIndent"/>
        <w:keepNext w:val="0"/>
        <w:keepLines w:val="0"/>
        <w:numPr>
          <w:ilvl w:val="0"/>
          <w:numId w:val="1"/>
        </w:numPr>
      </w:pPr>
      <w:proofErr w:type="gramStart"/>
      <w:r>
        <w:t>receivables</w:t>
      </w:r>
      <w:proofErr w:type="gramEnd"/>
      <w:r>
        <w:t xml:space="preserve"> current:  the increase of $0.987 million in the 2012-13 estimated outcome </w:t>
      </w:r>
      <w:r w:rsidR="0033206B">
        <w:t xml:space="preserve">from the original budget </w:t>
      </w:r>
      <w:r w:rsidR="004D4AC9">
        <w:t xml:space="preserve">reflects </w:t>
      </w:r>
      <w:r w:rsidR="004D5B13">
        <w:t xml:space="preserve">an increase in revenue relating to recovery of costs associated with the </w:t>
      </w:r>
      <w:r w:rsidR="00ED6625">
        <w:t>five</w:t>
      </w:r>
      <w:r w:rsidR="004D5B13">
        <w:t xml:space="preserve"> year water pricing review. </w:t>
      </w:r>
    </w:p>
    <w:p w:rsidR="004B612A" w:rsidRDefault="004B612A" w:rsidP="00301DEB">
      <w:pPr>
        <w:pStyle w:val="BodyTextIndent"/>
        <w:keepNext w:val="0"/>
        <w:keepLines w:val="0"/>
        <w:numPr>
          <w:ilvl w:val="0"/>
          <w:numId w:val="1"/>
        </w:numPr>
      </w:pPr>
      <w:r>
        <w:t>property, plant and eq</w:t>
      </w:r>
      <w:r w:rsidR="00A901E2">
        <w:t>uipment:  the increase of $0.5 </w:t>
      </w:r>
      <w:r>
        <w:t xml:space="preserve">million in the 2012-13 estimated outcome </w:t>
      </w:r>
      <w:r w:rsidR="0033206B">
        <w:t xml:space="preserve">from the original budget </w:t>
      </w:r>
      <w:r>
        <w:t xml:space="preserve">is </w:t>
      </w:r>
      <w:r w:rsidR="0033206B">
        <w:t xml:space="preserve">due </w:t>
      </w:r>
      <w:r>
        <w:t>to the fit-out of the Commission’s office.</w:t>
      </w:r>
    </w:p>
    <w:p w:rsidR="004B612A" w:rsidRDefault="004B612A" w:rsidP="00301DEB">
      <w:pPr>
        <w:pStyle w:val="BodyTextIndent"/>
        <w:keepNext w:val="0"/>
        <w:keepLines w:val="0"/>
        <w:numPr>
          <w:ilvl w:val="0"/>
          <w:numId w:val="1"/>
        </w:numPr>
      </w:pPr>
      <w:proofErr w:type="gramStart"/>
      <w:r>
        <w:t>payables</w:t>
      </w:r>
      <w:proofErr w:type="gramEnd"/>
      <w:r>
        <w:t xml:space="preserve"> current:  the increase of $0.475 million in the 2012-13 estimated outcome from the original budget is mainly due to amounts owing to </w:t>
      </w:r>
      <w:r w:rsidR="00ED6625">
        <w:t>ESDD for regulation of utilities</w:t>
      </w:r>
      <w:r>
        <w:t>.</w:t>
      </w:r>
    </w:p>
    <w:p w:rsidR="004B612A" w:rsidRDefault="00B82AD0" w:rsidP="00301DEB">
      <w:pPr>
        <w:pStyle w:val="BodyTextIndent"/>
        <w:keepNext w:val="0"/>
        <w:keepLines w:val="0"/>
        <w:numPr>
          <w:ilvl w:val="0"/>
          <w:numId w:val="1"/>
        </w:numPr>
      </w:pPr>
      <w:r>
        <w:t>o</w:t>
      </w:r>
      <w:r w:rsidR="004B612A">
        <w:t>ther liabilities current:  the increase of $0.</w:t>
      </w:r>
      <w:r>
        <w:t>643</w:t>
      </w:r>
      <w:r w:rsidR="004B612A">
        <w:t> million in the 2012-13 estimated outcome from the original budget is mainly due</w:t>
      </w:r>
      <w:r>
        <w:t xml:space="preserve"> to </w:t>
      </w:r>
      <w:r w:rsidR="004B612A">
        <w:t>revenue received in advance relating</w:t>
      </w:r>
      <w:r w:rsidR="004B612A" w:rsidRPr="004E632B">
        <w:t xml:space="preserve"> to the provision of greenhouse gas annual reports and analytical advice under a purchase agreement with </w:t>
      </w:r>
      <w:r w:rsidR="00ED6625">
        <w:t>ESDD</w:t>
      </w:r>
      <w:r w:rsidR="004B612A">
        <w:t>.</w:t>
      </w:r>
    </w:p>
    <w:p w:rsidR="001F75BA" w:rsidRDefault="001F75BA" w:rsidP="001F75BA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lastRenderedPageBreak/>
        <w:t>Statement of Changes in Equity</w:t>
      </w:r>
    </w:p>
    <w:p w:rsidR="001F75BA" w:rsidRDefault="001F75BA" w:rsidP="001F75B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Variances in the statement are explained in the notes above.</w:t>
      </w:r>
    </w:p>
    <w:p w:rsidR="004B612A" w:rsidRDefault="004B612A" w:rsidP="004B612A">
      <w:pPr>
        <w:pStyle w:val="Heading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Cash Flow Statement</w:t>
      </w:r>
    </w:p>
    <w:p w:rsidR="001F75BA" w:rsidRDefault="004B612A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Variances in the statement are explained in the notes above.</w:t>
      </w:r>
    </w:p>
    <w:sectPr w:rsidR="001F75BA" w:rsidSect="00FF7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51" w:right="1440" w:bottom="1729" w:left="1440" w:header="720" w:footer="720" w:gutter="0"/>
      <w:pgNumType w:start="50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625" w:rsidRDefault="00ED6625">
      <w:r>
        <w:separator/>
      </w:r>
    </w:p>
  </w:endnote>
  <w:endnote w:type="continuationSeparator" w:id="0">
    <w:p w:rsidR="00ED6625" w:rsidRDefault="00ED6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E2" w:rsidRDefault="00FF72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625" w:rsidRDefault="00ED6625">
    <w:pPr>
      <w:pStyle w:val="FooterBP"/>
    </w:pPr>
    <w:r>
      <w:t>2013-14 Budget Paper No. 4</w:t>
    </w:r>
    <w:r>
      <w:tab/>
    </w:r>
    <w:fldSimple w:instr=" PAGE   \* MERGEFORMAT ">
      <w:r w:rsidR="00BB4199">
        <w:rPr>
          <w:noProof/>
        </w:rPr>
        <w:t>507</w:t>
      </w:r>
    </w:fldSimple>
    <w:r>
      <w:tab/>
      <w:t>Independent Competition and Regulatory Commission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E2" w:rsidRDefault="00FF72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625" w:rsidRDefault="00ED6625">
      <w:r>
        <w:separator/>
      </w:r>
    </w:p>
  </w:footnote>
  <w:footnote w:type="continuationSeparator" w:id="0">
    <w:p w:rsidR="00ED6625" w:rsidRDefault="00ED6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E2" w:rsidRDefault="00FF72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E2" w:rsidRDefault="00FF72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2E2" w:rsidRDefault="00FF72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C8D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5A0D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49C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65E3FC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AC0CC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964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408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E2E7B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C60A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3E3E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singleLevel"/>
    <w:tmpl w:val="0000000A"/>
    <w:lvl w:ilvl="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i w:val="0"/>
        <w:strike w:val="0"/>
        <w:color w:val="auto"/>
        <w:sz w:val="24"/>
        <w:u w:val="none"/>
      </w:rPr>
    </w:lvl>
  </w:abstractNum>
  <w:abstractNum w:abstractNumId="11">
    <w:nsid w:val="0000000E"/>
    <w:multiLevelType w:val="singleLevel"/>
    <w:tmpl w:val="0000000E"/>
    <w:lvl w:ilvl="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i w:val="0"/>
        <w:strike w:val="0"/>
        <w:color w:val="auto"/>
        <w:sz w:val="24"/>
        <w:u w:val="none"/>
      </w:rPr>
    </w:lvl>
  </w:abstractNum>
  <w:abstractNum w:abstractNumId="12">
    <w:nsid w:val="0000000F"/>
    <w:multiLevelType w:val="singleLevel"/>
    <w:tmpl w:val="0000000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none"/>
      </w:rPr>
    </w:lvl>
  </w:abstractNum>
  <w:abstractNum w:abstractNumId="13">
    <w:nsid w:val="00000010"/>
    <w:multiLevelType w:val="singleLevel"/>
    <w:tmpl w:val="00000010"/>
    <w:lvl w:ilvl="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  <w:b w:val="0"/>
        <w:i w:val="0"/>
        <w:strike w:val="0"/>
        <w:color w:val="auto"/>
        <w:sz w:val="24"/>
        <w:u w:val="none"/>
      </w:rPr>
    </w:lvl>
  </w:abstractNum>
  <w:abstractNum w:abstractNumId="14">
    <w:nsid w:val="00000011"/>
    <w:multiLevelType w:val="singleLevel"/>
    <w:tmpl w:val="0000001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u w:val="none"/>
      </w:rPr>
    </w:lvl>
  </w:abstractNum>
  <w:abstractNum w:abstractNumId="15">
    <w:nsid w:val="04BA11C5"/>
    <w:multiLevelType w:val="hybridMultilevel"/>
    <w:tmpl w:val="05F4BB08"/>
    <w:lvl w:ilvl="0" w:tplc="445C04A8">
      <w:start w:val="1"/>
      <w:numFmt w:val="bullet"/>
      <w:pStyle w:val="BodyTextIndent2"/>
      <w:lvlText w:val="–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>
    <w:nsid w:val="08E60934"/>
    <w:multiLevelType w:val="hybridMultilevel"/>
    <w:tmpl w:val="93AA6100"/>
    <w:lvl w:ilvl="0" w:tplc="D4682E1E">
      <w:start w:val="1"/>
      <w:numFmt w:val="bullet"/>
      <w:pStyle w:val="BodyTextIndent4"/>
      <w:lvlText w:val="–"/>
      <w:lvlJc w:val="left"/>
      <w:pPr>
        <w:tabs>
          <w:tab w:val="num" w:pos="2016"/>
        </w:tabs>
        <w:ind w:left="2016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1AAA3016"/>
    <w:multiLevelType w:val="hybridMultilevel"/>
    <w:tmpl w:val="16D0AF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04C2DBA"/>
    <w:multiLevelType w:val="hybridMultilevel"/>
    <w:tmpl w:val="1DBE5F94"/>
    <w:lvl w:ilvl="0" w:tplc="3096549E">
      <w:start w:val="1"/>
      <w:numFmt w:val="bullet"/>
      <w:pStyle w:val="BodyTextIndent3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9">
    <w:nsid w:val="224E3BDC"/>
    <w:multiLevelType w:val="hybridMultilevel"/>
    <w:tmpl w:val="576637C2"/>
    <w:lvl w:ilvl="0" w:tplc="653AE3A8">
      <w:start w:val="1"/>
      <w:numFmt w:val="bullet"/>
      <w:pStyle w:val="BodyTex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51255168"/>
    <w:multiLevelType w:val="hybridMultilevel"/>
    <w:tmpl w:val="943A1E60"/>
    <w:lvl w:ilvl="0" w:tplc="485AF4B6">
      <w:start w:val="1"/>
      <w:numFmt w:val="lowerLetter"/>
      <w:pStyle w:val="TableTextIndent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560CB7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1E768A1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735141C2"/>
    <w:multiLevelType w:val="hybridMultilevel"/>
    <w:tmpl w:val="4BD6E9D6"/>
    <w:lvl w:ilvl="0" w:tplc="85BAA5A2">
      <w:start w:val="1"/>
      <w:numFmt w:val="decimal"/>
      <w:pStyle w:val="AINotes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97333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>
    <w:nsid w:val="7B3730A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7F1B0FA6"/>
    <w:multiLevelType w:val="hybridMultilevel"/>
    <w:tmpl w:val="85E05738"/>
    <w:lvl w:ilvl="0" w:tplc="64488392">
      <w:start w:val="1"/>
      <w:numFmt w:val="lowerLetter"/>
      <w:pStyle w:val="Tabletextindenta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14"/>
  </w:num>
  <w:num w:numId="7">
    <w:abstractNumId w:val="25"/>
  </w:num>
  <w:num w:numId="8">
    <w:abstractNumId w:val="21"/>
  </w:num>
  <w:num w:numId="9">
    <w:abstractNumId w:val="23"/>
  </w:num>
  <w:num w:numId="10">
    <w:abstractNumId w:val="24"/>
  </w:num>
  <w:num w:numId="11">
    <w:abstractNumId w:val="19"/>
  </w:num>
  <w:num w:numId="12">
    <w:abstractNumId w:val="15"/>
  </w:num>
  <w:num w:numId="13">
    <w:abstractNumId w:val="18"/>
  </w:num>
  <w:num w:numId="14">
    <w:abstractNumId w:val="16"/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26"/>
  </w:num>
  <w:num w:numId="28">
    <w:abstractNumId w:val="17"/>
  </w:num>
  <w:num w:numId="29">
    <w:abstractNumId w:val="19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0004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7648"/>
    <w:rsid w:val="0000263E"/>
    <w:rsid w:val="000159FB"/>
    <w:rsid w:val="00020578"/>
    <w:rsid w:val="0005193D"/>
    <w:rsid w:val="000547FB"/>
    <w:rsid w:val="00057DBE"/>
    <w:rsid w:val="00060B78"/>
    <w:rsid w:val="000633A5"/>
    <w:rsid w:val="00080B0B"/>
    <w:rsid w:val="00080C8B"/>
    <w:rsid w:val="000912A1"/>
    <w:rsid w:val="00095644"/>
    <w:rsid w:val="000E4914"/>
    <w:rsid w:val="000F03A2"/>
    <w:rsid w:val="000F4F65"/>
    <w:rsid w:val="001049A8"/>
    <w:rsid w:val="00127719"/>
    <w:rsid w:val="00137648"/>
    <w:rsid w:val="001646E4"/>
    <w:rsid w:val="00164F41"/>
    <w:rsid w:val="00165B26"/>
    <w:rsid w:val="0017062A"/>
    <w:rsid w:val="00185E98"/>
    <w:rsid w:val="001947A3"/>
    <w:rsid w:val="001A47FF"/>
    <w:rsid w:val="001C7950"/>
    <w:rsid w:val="001D6957"/>
    <w:rsid w:val="001E2326"/>
    <w:rsid w:val="001F75BA"/>
    <w:rsid w:val="002046EB"/>
    <w:rsid w:val="00215BE8"/>
    <w:rsid w:val="00221F5D"/>
    <w:rsid w:val="00226B31"/>
    <w:rsid w:val="00244588"/>
    <w:rsid w:val="002510B2"/>
    <w:rsid w:val="00261155"/>
    <w:rsid w:val="0027569E"/>
    <w:rsid w:val="00281C3E"/>
    <w:rsid w:val="00284B76"/>
    <w:rsid w:val="00286DDB"/>
    <w:rsid w:val="002916D2"/>
    <w:rsid w:val="00297258"/>
    <w:rsid w:val="002D070E"/>
    <w:rsid w:val="002D1124"/>
    <w:rsid w:val="002D1374"/>
    <w:rsid w:val="002D5680"/>
    <w:rsid w:val="002E6796"/>
    <w:rsid w:val="002F7EE2"/>
    <w:rsid w:val="00301DEB"/>
    <w:rsid w:val="00307568"/>
    <w:rsid w:val="00310FE0"/>
    <w:rsid w:val="00315E23"/>
    <w:rsid w:val="0032252A"/>
    <w:rsid w:val="0033206B"/>
    <w:rsid w:val="0034156B"/>
    <w:rsid w:val="00357910"/>
    <w:rsid w:val="00357D93"/>
    <w:rsid w:val="003745AE"/>
    <w:rsid w:val="00391019"/>
    <w:rsid w:val="00396FF9"/>
    <w:rsid w:val="003A631B"/>
    <w:rsid w:val="003D4A0F"/>
    <w:rsid w:val="003D711D"/>
    <w:rsid w:val="003F282A"/>
    <w:rsid w:val="003F7557"/>
    <w:rsid w:val="00403FCB"/>
    <w:rsid w:val="00411E6C"/>
    <w:rsid w:val="0041424A"/>
    <w:rsid w:val="004279C4"/>
    <w:rsid w:val="00441E43"/>
    <w:rsid w:val="00444E5E"/>
    <w:rsid w:val="004476FB"/>
    <w:rsid w:val="0045038A"/>
    <w:rsid w:val="00450623"/>
    <w:rsid w:val="004640D7"/>
    <w:rsid w:val="00474A8A"/>
    <w:rsid w:val="004849BF"/>
    <w:rsid w:val="00484B9F"/>
    <w:rsid w:val="00495721"/>
    <w:rsid w:val="004970BE"/>
    <w:rsid w:val="004A6AB4"/>
    <w:rsid w:val="004B612A"/>
    <w:rsid w:val="004B7D27"/>
    <w:rsid w:val="004D4AC9"/>
    <w:rsid w:val="004D5B13"/>
    <w:rsid w:val="004D7EC1"/>
    <w:rsid w:val="004F29A2"/>
    <w:rsid w:val="0052141C"/>
    <w:rsid w:val="00532283"/>
    <w:rsid w:val="00537181"/>
    <w:rsid w:val="005373AD"/>
    <w:rsid w:val="00537456"/>
    <w:rsid w:val="00542D25"/>
    <w:rsid w:val="0055177E"/>
    <w:rsid w:val="00582418"/>
    <w:rsid w:val="00583338"/>
    <w:rsid w:val="00585679"/>
    <w:rsid w:val="00590A90"/>
    <w:rsid w:val="00593B4B"/>
    <w:rsid w:val="00595720"/>
    <w:rsid w:val="005A3DC5"/>
    <w:rsid w:val="005C1CAC"/>
    <w:rsid w:val="005C3EA6"/>
    <w:rsid w:val="005C5952"/>
    <w:rsid w:val="005C6158"/>
    <w:rsid w:val="005C74BC"/>
    <w:rsid w:val="005E3650"/>
    <w:rsid w:val="005E5F79"/>
    <w:rsid w:val="006512EB"/>
    <w:rsid w:val="00662AE7"/>
    <w:rsid w:val="006669FD"/>
    <w:rsid w:val="00694887"/>
    <w:rsid w:val="00695880"/>
    <w:rsid w:val="00697CBD"/>
    <w:rsid w:val="006A2FED"/>
    <w:rsid w:val="006A4162"/>
    <w:rsid w:val="006D75C2"/>
    <w:rsid w:val="006E15A7"/>
    <w:rsid w:val="006F6752"/>
    <w:rsid w:val="006F73C4"/>
    <w:rsid w:val="00701A68"/>
    <w:rsid w:val="00704A13"/>
    <w:rsid w:val="007113B0"/>
    <w:rsid w:val="007222F4"/>
    <w:rsid w:val="007348B1"/>
    <w:rsid w:val="0075208C"/>
    <w:rsid w:val="007877D4"/>
    <w:rsid w:val="007B38B1"/>
    <w:rsid w:val="007C6C9E"/>
    <w:rsid w:val="007D56DF"/>
    <w:rsid w:val="007E658B"/>
    <w:rsid w:val="00802B24"/>
    <w:rsid w:val="00807EDD"/>
    <w:rsid w:val="0081553E"/>
    <w:rsid w:val="00816CCD"/>
    <w:rsid w:val="008223A7"/>
    <w:rsid w:val="00822711"/>
    <w:rsid w:val="008231CA"/>
    <w:rsid w:val="0082539F"/>
    <w:rsid w:val="008444FF"/>
    <w:rsid w:val="00845A34"/>
    <w:rsid w:val="00872C3A"/>
    <w:rsid w:val="00884FD8"/>
    <w:rsid w:val="0088523B"/>
    <w:rsid w:val="00886E69"/>
    <w:rsid w:val="008902FB"/>
    <w:rsid w:val="00894A9F"/>
    <w:rsid w:val="008A5418"/>
    <w:rsid w:val="008B098D"/>
    <w:rsid w:val="008B0B5D"/>
    <w:rsid w:val="008B1B92"/>
    <w:rsid w:val="008B7001"/>
    <w:rsid w:val="008C6BF1"/>
    <w:rsid w:val="008C7A25"/>
    <w:rsid w:val="008E0F08"/>
    <w:rsid w:val="0090210F"/>
    <w:rsid w:val="0090695F"/>
    <w:rsid w:val="00916B4F"/>
    <w:rsid w:val="00926019"/>
    <w:rsid w:val="009405DD"/>
    <w:rsid w:val="009556F4"/>
    <w:rsid w:val="00956E3F"/>
    <w:rsid w:val="0095712B"/>
    <w:rsid w:val="009577AC"/>
    <w:rsid w:val="0098134B"/>
    <w:rsid w:val="00995264"/>
    <w:rsid w:val="009C308F"/>
    <w:rsid w:val="009D05A6"/>
    <w:rsid w:val="009D4562"/>
    <w:rsid w:val="009E50E2"/>
    <w:rsid w:val="009F2F79"/>
    <w:rsid w:val="00A13ECB"/>
    <w:rsid w:val="00A1617A"/>
    <w:rsid w:val="00A40F4C"/>
    <w:rsid w:val="00A41C4E"/>
    <w:rsid w:val="00A466C1"/>
    <w:rsid w:val="00A744D3"/>
    <w:rsid w:val="00A901E2"/>
    <w:rsid w:val="00A97FB6"/>
    <w:rsid w:val="00AA033F"/>
    <w:rsid w:val="00AC2F98"/>
    <w:rsid w:val="00AC4048"/>
    <w:rsid w:val="00AC74B4"/>
    <w:rsid w:val="00AD37EC"/>
    <w:rsid w:val="00AE42D3"/>
    <w:rsid w:val="00AF175A"/>
    <w:rsid w:val="00B21106"/>
    <w:rsid w:val="00B4512C"/>
    <w:rsid w:val="00B45CF0"/>
    <w:rsid w:val="00B4623C"/>
    <w:rsid w:val="00B61D33"/>
    <w:rsid w:val="00B67952"/>
    <w:rsid w:val="00B73B9C"/>
    <w:rsid w:val="00B82AD0"/>
    <w:rsid w:val="00B9356F"/>
    <w:rsid w:val="00B94B18"/>
    <w:rsid w:val="00BA393A"/>
    <w:rsid w:val="00BB4199"/>
    <w:rsid w:val="00BC4489"/>
    <w:rsid w:val="00BC4754"/>
    <w:rsid w:val="00BD1220"/>
    <w:rsid w:val="00BE3A9A"/>
    <w:rsid w:val="00BF7BDB"/>
    <w:rsid w:val="00C00D03"/>
    <w:rsid w:val="00C05A94"/>
    <w:rsid w:val="00C22DA7"/>
    <w:rsid w:val="00C42EE1"/>
    <w:rsid w:val="00C5559A"/>
    <w:rsid w:val="00C61ED3"/>
    <w:rsid w:val="00C72DFF"/>
    <w:rsid w:val="00C77DE4"/>
    <w:rsid w:val="00C81C7E"/>
    <w:rsid w:val="00CA3B98"/>
    <w:rsid w:val="00CB1150"/>
    <w:rsid w:val="00CB2FBE"/>
    <w:rsid w:val="00CD112B"/>
    <w:rsid w:val="00CD1ECE"/>
    <w:rsid w:val="00D0587B"/>
    <w:rsid w:val="00D11394"/>
    <w:rsid w:val="00D13C09"/>
    <w:rsid w:val="00D31885"/>
    <w:rsid w:val="00D3680D"/>
    <w:rsid w:val="00D569FA"/>
    <w:rsid w:val="00D6032D"/>
    <w:rsid w:val="00D6585A"/>
    <w:rsid w:val="00D7556B"/>
    <w:rsid w:val="00D841BA"/>
    <w:rsid w:val="00D8447A"/>
    <w:rsid w:val="00DC4BDF"/>
    <w:rsid w:val="00DD161E"/>
    <w:rsid w:val="00DD1955"/>
    <w:rsid w:val="00DD1963"/>
    <w:rsid w:val="00DD2424"/>
    <w:rsid w:val="00DD2916"/>
    <w:rsid w:val="00DF56CE"/>
    <w:rsid w:val="00E04F49"/>
    <w:rsid w:val="00E25942"/>
    <w:rsid w:val="00E305F1"/>
    <w:rsid w:val="00E82959"/>
    <w:rsid w:val="00E84927"/>
    <w:rsid w:val="00E95514"/>
    <w:rsid w:val="00EA245C"/>
    <w:rsid w:val="00EA33BB"/>
    <w:rsid w:val="00EA3962"/>
    <w:rsid w:val="00ED0971"/>
    <w:rsid w:val="00ED1CC9"/>
    <w:rsid w:val="00ED2A00"/>
    <w:rsid w:val="00ED6625"/>
    <w:rsid w:val="00ED6BAD"/>
    <w:rsid w:val="00EF3B23"/>
    <w:rsid w:val="00EF5A44"/>
    <w:rsid w:val="00EF5B6C"/>
    <w:rsid w:val="00F152C6"/>
    <w:rsid w:val="00F37F78"/>
    <w:rsid w:val="00F42EFD"/>
    <w:rsid w:val="00F62AF0"/>
    <w:rsid w:val="00F723F8"/>
    <w:rsid w:val="00F736DB"/>
    <w:rsid w:val="00F738B0"/>
    <w:rsid w:val="00F80196"/>
    <w:rsid w:val="00F86952"/>
    <w:rsid w:val="00FA103A"/>
    <w:rsid w:val="00FB47B8"/>
    <w:rsid w:val="00FC4C09"/>
    <w:rsid w:val="00FC56CD"/>
    <w:rsid w:val="00FD32C5"/>
    <w:rsid w:val="00FD5380"/>
    <w:rsid w:val="00FE030F"/>
    <w:rsid w:val="00FE3FF5"/>
    <w:rsid w:val="00FF7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0D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BodyText"/>
    <w:qFormat/>
    <w:rsid w:val="004640D7"/>
    <w:pPr>
      <w:keepNext/>
      <w:pBdr>
        <w:bottom w:val="single" w:sz="18" w:space="2" w:color="auto"/>
      </w:pBdr>
      <w:spacing w:after="24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basedOn w:val="Normal"/>
    <w:next w:val="BodyText"/>
    <w:qFormat/>
    <w:rsid w:val="004640D7"/>
    <w:pPr>
      <w:keepNext/>
      <w:spacing w:before="60" w:after="60"/>
      <w:jc w:val="center"/>
      <w:outlineLvl w:val="1"/>
    </w:pPr>
    <w:rPr>
      <w:b/>
      <w:snapToGrid w:val="0"/>
      <w:sz w:val="20"/>
    </w:rPr>
  </w:style>
  <w:style w:type="paragraph" w:styleId="Heading3">
    <w:name w:val="heading 3"/>
    <w:basedOn w:val="Normal"/>
    <w:next w:val="BodyText"/>
    <w:link w:val="Heading3Char"/>
    <w:qFormat/>
    <w:rsid w:val="004640D7"/>
    <w:pPr>
      <w:keepNext/>
      <w:keepLines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BodyText"/>
    <w:qFormat/>
    <w:rsid w:val="004640D7"/>
    <w:pPr>
      <w:keepNext/>
      <w:keepLines/>
      <w:spacing w:before="240" w:after="120"/>
      <w:outlineLvl w:val="3"/>
    </w:pPr>
    <w:rPr>
      <w:i/>
    </w:rPr>
  </w:style>
  <w:style w:type="paragraph" w:styleId="Heading5">
    <w:name w:val="heading 5"/>
    <w:basedOn w:val="Normal"/>
    <w:next w:val="Normal"/>
    <w:autoRedefine/>
    <w:qFormat/>
    <w:rsid w:val="004640D7"/>
    <w:pPr>
      <w:keepNext/>
      <w:numPr>
        <w:ilvl w:val="4"/>
        <w:numId w:val="15"/>
      </w:numPr>
      <w:outlineLvl w:val="4"/>
    </w:pPr>
    <w:rPr>
      <w:b/>
      <w:i/>
      <w:sz w:val="20"/>
    </w:rPr>
  </w:style>
  <w:style w:type="paragraph" w:styleId="Heading6">
    <w:name w:val="heading 6"/>
    <w:basedOn w:val="Normal"/>
    <w:next w:val="Normal"/>
    <w:qFormat/>
    <w:rsid w:val="004640D7"/>
    <w:pPr>
      <w:keepNext/>
      <w:jc w:val="right"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4640D7"/>
    <w:pPr>
      <w:keepNext/>
      <w:ind w:left="159" w:hanging="159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4640D7"/>
    <w:pPr>
      <w:keepNext/>
      <w:numPr>
        <w:ilvl w:val="7"/>
        <w:numId w:val="15"/>
      </w:numPr>
      <w:outlineLvl w:val="7"/>
    </w:pPr>
    <w:rPr>
      <w:rFonts w:ascii="Arial" w:hAnsi="Arial"/>
      <w:b/>
      <w:snapToGrid w:val="0"/>
      <w:color w:val="000000"/>
      <w:sz w:val="20"/>
    </w:rPr>
  </w:style>
  <w:style w:type="paragraph" w:styleId="Heading9">
    <w:name w:val="heading 9"/>
    <w:basedOn w:val="Normal"/>
    <w:next w:val="Normal"/>
    <w:qFormat/>
    <w:rsid w:val="004640D7"/>
    <w:pPr>
      <w:keepNext/>
      <w:numPr>
        <w:ilvl w:val="8"/>
        <w:numId w:val="15"/>
      </w:numPr>
      <w:spacing w:after="120"/>
      <w:outlineLvl w:val="8"/>
    </w:pPr>
    <w:rPr>
      <w:rFonts w:ascii="Arial" w:hAnsi="Arial" w:cs="Arial"/>
      <w:b/>
      <w:snapToGrid w:val="0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Centre">
    <w:name w:val="Table Heading Centre"/>
    <w:basedOn w:val="Normal"/>
    <w:rsid w:val="004640D7"/>
    <w:pPr>
      <w:keepNext/>
      <w:jc w:val="center"/>
    </w:pPr>
    <w:rPr>
      <w:b/>
      <w:sz w:val="20"/>
    </w:rPr>
  </w:style>
  <w:style w:type="character" w:customStyle="1" w:styleId="Heading3Char">
    <w:name w:val="Heading 3 Char"/>
    <w:link w:val="Heading3"/>
    <w:rsid w:val="0075208C"/>
    <w:rPr>
      <w:rFonts w:ascii="Arial" w:hAnsi="Arial" w:cs="Arial"/>
      <w:b/>
      <w:bCs/>
      <w:sz w:val="24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4640D7"/>
    <w:pPr>
      <w:keepNext/>
      <w:keepLines/>
      <w:spacing w:before="120" w:after="120"/>
      <w:jc w:val="both"/>
    </w:pPr>
  </w:style>
  <w:style w:type="paragraph" w:styleId="BodyTextIndent">
    <w:name w:val="Body Text Indent"/>
    <w:basedOn w:val="Normal"/>
    <w:next w:val="BodyText"/>
    <w:link w:val="BodyTextIndentChar"/>
    <w:rsid w:val="004640D7"/>
    <w:pPr>
      <w:keepNext/>
      <w:keepLines/>
      <w:numPr>
        <w:numId w:val="11"/>
      </w:numPr>
      <w:spacing w:after="120"/>
      <w:jc w:val="both"/>
    </w:pPr>
    <w:rPr>
      <w:szCs w:val="24"/>
    </w:rPr>
  </w:style>
  <w:style w:type="paragraph" w:styleId="BodyTextIndent2">
    <w:name w:val="Body Text Indent 2"/>
    <w:basedOn w:val="Normal"/>
    <w:rsid w:val="004640D7"/>
    <w:pPr>
      <w:keepNext/>
      <w:keepLines/>
      <w:numPr>
        <w:numId w:val="12"/>
      </w:numPr>
      <w:spacing w:after="120"/>
      <w:jc w:val="both"/>
    </w:pPr>
  </w:style>
  <w:style w:type="paragraph" w:styleId="BodyTextIndent3">
    <w:name w:val="Body Text Indent 3"/>
    <w:basedOn w:val="Normal"/>
    <w:rsid w:val="004640D7"/>
    <w:pPr>
      <w:keepNext/>
      <w:keepLines/>
      <w:numPr>
        <w:numId w:val="13"/>
      </w:numPr>
      <w:tabs>
        <w:tab w:val="left" w:pos="1134"/>
      </w:tabs>
      <w:spacing w:after="120"/>
      <w:jc w:val="both"/>
    </w:pPr>
    <w:rPr>
      <w:szCs w:val="24"/>
    </w:rPr>
  </w:style>
  <w:style w:type="paragraph" w:customStyle="1" w:styleId="BodyTextIndent4">
    <w:name w:val="Body Text Indent 4"/>
    <w:basedOn w:val="BodyText"/>
    <w:next w:val="BodyText"/>
    <w:rsid w:val="004640D7"/>
    <w:pPr>
      <w:numPr>
        <w:numId w:val="14"/>
      </w:numPr>
      <w:spacing w:before="0"/>
    </w:pPr>
  </w:style>
  <w:style w:type="paragraph" w:customStyle="1" w:styleId="SIHeading1">
    <w:name w:val="SI Heading 1"/>
    <w:basedOn w:val="Normal"/>
    <w:next w:val="BodyText"/>
    <w:rsid w:val="004640D7"/>
    <w:pPr>
      <w:keepNext/>
      <w:keepLines/>
      <w:spacing w:before="240"/>
      <w:jc w:val="center"/>
      <w:outlineLvl w:val="0"/>
    </w:pPr>
    <w:rPr>
      <w:rFonts w:ascii="Arial" w:hAnsi="Arial"/>
      <w:b/>
      <w:kern w:val="28"/>
      <w:sz w:val="20"/>
    </w:rPr>
  </w:style>
  <w:style w:type="paragraph" w:customStyle="1" w:styleId="SIHeading2">
    <w:name w:val="SI Heading 2"/>
    <w:basedOn w:val="Normal"/>
    <w:next w:val="BodyText"/>
    <w:rsid w:val="004640D7"/>
    <w:pPr>
      <w:keepNext/>
      <w:keepLines/>
      <w:spacing w:after="240"/>
      <w:jc w:val="center"/>
      <w:outlineLvl w:val="0"/>
    </w:pPr>
    <w:rPr>
      <w:rFonts w:ascii="Arial" w:hAnsi="Arial"/>
      <w:kern w:val="28"/>
      <w:sz w:val="20"/>
    </w:rPr>
  </w:style>
  <w:style w:type="paragraph" w:customStyle="1" w:styleId="Tabletextindenta">
    <w:name w:val="Table text indent a"/>
    <w:aliases w:val="b,c...,c... BP3"/>
    <w:basedOn w:val="Normal"/>
    <w:autoRedefine/>
    <w:semiHidden/>
    <w:rsid w:val="004640D7"/>
    <w:pPr>
      <w:numPr>
        <w:numId w:val="27"/>
      </w:numPr>
      <w:spacing w:before="60"/>
    </w:pPr>
    <w:rPr>
      <w:kern w:val="16"/>
      <w:sz w:val="20"/>
      <w:szCs w:val="24"/>
    </w:rPr>
  </w:style>
  <w:style w:type="paragraph" w:customStyle="1" w:styleId="TableTextRightBold">
    <w:name w:val="Table Text Right Bold"/>
    <w:basedOn w:val="Normal"/>
    <w:rsid w:val="004640D7"/>
    <w:pPr>
      <w:ind w:left="357" w:hanging="357"/>
      <w:jc w:val="right"/>
    </w:pPr>
    <w:rPr>
      <w:b/>
      <w:sz w:val="20"/>
    </w:rPr>
  </w:style>
  <w:style w:type="paragraph" w:customStyle="1" w:styleId="TableHeadingRight">
    <w:name w:val="Table Heading Right"/>
    <w:basedOn w:val="Normal"/>
    <w:rsid w:val="004640D7"/>
    <w:pPr>
      <w:keepNext/>
      <w:jc w:val="right"/>
    </w:pPr>
    <w:rPr>
      <w:b/>
      <w:sz w:val="20"/>
      <w:szCs w:val="24"/>
    </w:rPr>
  </w:style>
  <w:style w:type="paragraph" w:customStyle="1" w:styleId="NoteText">
    <w:name w:val="Note Text"/>
    <w:basedOn w:val="Normal"/>
    <w:rsid w:val="004640D7"/>
    <w:pPr>
      <w:jc w:val="both"/>
    </w:pPr>
    <w:rPr>
      <w:iCs/>
      <w:sz w:val="16"/>
    </w:rPr>
  </w:style>
  <w:style w:type="paragraph" w:styleId="Header">
    <w:name w:val="header"/>
    <w:basedOn w:val="Normal"/>
    <w:semiHidden/>
    <w:rsid w:val="004640D7"/>
    <w:pPr>
      <w:tabs>
        <w:tab w:val="center" w:pos="4153"/>
        <w:tab w:val="right" w:pos="8306"/>
      </w:tabs>
    </w:pPr>
  </w:style>
  <w:style w:type="paragraph" w:customStyle="1" w:styleId="Noteheading">
    <w:name w:val="Note heading"/>
    <w:basedOn w:val="Normal"/>
    <w:autoRedefine/>
    <w:semiHidden/>
    <w:rsid w:val="004640D7"/>
    <w:pPr>
      <w:spacing w:before="120"/>
      <w:ind w:left="28"/>
    </w:pPr>
    <w:rPr>
      <w:b/>
      <w:bCs/>
      <w:sz w:val="20"/>
    </w:rPr>
  </w:style>
  <w:style w:type="character" w:customStyle="1" w:styleId="BodyTextIndentChar">
    <w:name w:val="Body Text Indent Char"/>
    <w:link w:val="BodyTextIndent"/>
    <w:rsid w:val="0075208C"/>
    <w:rPr>
      <w:rFonts w:ascii="Calibri" w:hAnsi="Calibri"/>
      <w:sz w:val="24"/>
      <w:szCs w:val="24"/>
      <w:lang w:eastAsia="en-US"/>
    </w:rPr>
  </w:style>
  <w:style w:type="paragraph" w:customStyle="1" w:styleId="TableHeadingLeft">
    <w:name w:val="Table Heading Left"/>
    <w:basedOn w:val="Normal"/>
    <w:link w:val="TableHeadingLeftChar"/>
    <w:rsid w:val="004640D7"/>
    <w:pPr>
      <w:keepNext/>
    </w:pPr>
    <w:rPr>
      <w:b/>
      <w:sz w:val="20"/>
    </w:rPr>
  </w:style>
  <w:style w:type="paragraph" w:customStyle="1" w:styleId="TableTextRight">
    <w:name w:val="Table Text Right"/>
    <w:basedOn w:val="Normal"/>
    <w:rsid w:val="004640D7"/>
    <w:pPr>
      <w:ind w:left="357" w:hanging="357"/>
      <w:jc w:val="right"/>
    </w:pPr>
    <w:rPr>
      <w:sz w:val="20"/>
    </w:rPr>
  </w:style>
  <w:style w:type="paragraph" w:customStyle="1" w:styleId="TableTextLeftBold">
    <w:name w:val="Table Text Left Bold"/>
    <w:basedOn w:val="Normal"/>
    <w:link w:val="TableTextLeftBoldChar"/>
    <w:rsid w:val="004640D7"/>
    <w:pPr>
      <w:ind w:left="357" w:hanging="357"/>
    </w:pPr>
    <w:rPr>
      <w:b/>
      <w:sz w:val="20"/>
    </w:rPr>
  </w:style>
  <w:style w:type="paragraph" w:customStyle="1" w:styleId="TableTextLeft">
    <w:name w:val="Table Text Left"/>
    <w:basedOn w:val="Normal"/>
    <w:rsid w:val="004640D7"/>
    <w:pPr>
      <w:ind w:left="357" w:hanging="357"/>
    </w:pPr>
    <w:rPr>
      <w:sz w:val="20"/>
      <w:szCs w:val="18"/>
    </w:rPr>
  </w:style>
  <w:style w:type="paragraph" w:customStyle="1" w:styleId="TableNumbersRight">
    <w:name w:val="Table Numbers Right"/>
    <w:basedOn w:val="TableHeadingRight"/>
    <w:rsid w:val="004640D7"/>
    <w:rPr>
      <w:b w:val="0"/>
    </w:rPr>
  </w:style>
  <w:style w:type="character" w:customStyle="1" w:styleId="TableHeadingLeftChar">
    <w:name w:val="Table Heading Left Char"/>
    <w:link w:val="TableHeadingLeft"/>
    <w:rsid w:val="0075208C"/>
    <w:rPr>
      <w:rFonts w:ascii="Calibri" w:hAnsi="Calibri"/>
      <w:b/>
    </w:rPr>
  </w:style>
  <w:style w:type="paragraph" w:customStyle="1" w:styleId="FooterBP">
    <w:name w:val="Footer BP"/>
    <w:basedOn w:val="Normal"/>
    <w:next w:val="Normal"/>
    <w:rsid w:val="004640D7"/>
    <w:pPr>
      <w:pBdr>
        <w:top w:val="single" w:sz="4" w:space="1" w:color="auto"/>
      </w:pBdr>
      <w:tabs>
        <w:tab w:val="center" w:pos="4536"/>
        <w:tab w:val="right" w:pos="9356"/>
      </w:tabs>
      <w:ind w:left="-284" w:right="-329"/>
    </w:pPr>
    <w:rPr>
      <w:i/>
      <w:sz w:val="20"/>
    </w:rPr>
  </w:style>
  <w:style w:type="paragraph" w:styleId="Footer">
    <w:name w:val="footer"/>
    <w:basedOn w:val="Normal"/>
    <w:semiHidden/>
    <w:rsid w:val="004640D7"/>
    <w:pPr>
      <w:tabs>
        <w:tab w:val="center" w:pos="4153"/>
        <w:tab w:val="right" w:pos="8306"/>
      </w:tabs>
    </w:pPr>
  </w:style>
  <w:style w:type="character" w:customStyle="1" w:styleId="TableTextLeftBoldChar">
    <w:name w:val="Table Text Left Bold Char"/>
    <w:link w:val="TableTextLeftBold"/>
    <w:rsid w:val="0075208C"/>
    <w:rPr>
      <w:rFonts w:ascii="Calibri" w:hAnsi="Calibri"/>
      <w:b/>
      <w:lang w:eastAsia="en-US"/>
    </w:rPr>
  </w:style>
  <w:style w:type="paragraph" w:customStyle="1" w:styleId="Heading3TopofPage">
    <w:name w:val="Heading 3 Top of Page"/>
    <w:basedOn w:val="Heading3"/>
    <w:next w:val="BodyText"/>
    <w:rsid w:val="004640D7"/>
    <w:pPr>
      <w:spacing w:before="0"/>
    </w:pPr>
    <w:rPr>
      <w:lang w:eastAsia="en-AU"/>
    </w:rPr>
  </w:style>
  <w:style w:type="paragraph" w:customStyle="1" w:styleId="Heading3Centred">
    <w:name w:val="Heading 3 Centred"/>
    <w:basedOn w:val="Heading3"/>
    <w:next w:val="BodyText"/>
    <w:rsid w:val="004640D7"/>
    <w:pPr>
      <w:spacing w:before="0"/>
      <w:jc w:val="center"/>
    </w:pPr>
    <w:rPr>
      <w:lang w:eastAsia="en-AU"/>
    </w:rPr>
  </w:style>
  <w:style w:type="numbering" w:styleId="ArticleSection">
    <w:name w:val="Outline List 3"/>
    <w:basedOn w:val="NoList"/>
    <w:semiHidden/>
    <w:rsid w:val="004640D7"/>
    <w:pPr>
      <w:numPr>
        <w:numId w:val="10"/>
      </w:numPr>
    </w:pPr>
  </w:style>
  <w:style w:type="paragraph" w:styleId="BodyText2">
    <w:name w:val="Body Text 2"/>
    <w:basedOn w:val="Normal"/>
    <w:semiHidden/>
    <w:rsid w:val="004640D7"/>
    <w:pPr>
      <w:spacing w:after="120" w:line="480" w:lineRule="auto"/>
    </w:pPr>
  </w:style>
  <w:style w:type="paragraph" w:customStyle="1" w:styleId="SinglePara">
    <w:name w:val="Single Para"/>
    <w:basedOn w:val="Normal"/>
    <w:semiHidden/>
    <w:rsid w:val="004640D7"/>
  </w:style>
  <w:style w:type="paragraph" w:customStyle="1" w:styleId="xl25">
    <w:name w:val="xl25"/>
    <w:basedOn w:val="Normal"/>
    <w:semiHidden/>
    <w:rsid w:val="004640D7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PlainText">
    <w:name w:val="Plain Text"/>
    <w:basedOn w:val="Normal"/>
    <w:link w:val="PlainTextChar"/>
    <w:semiHidden/>
    <w:rsid w:val="004640D7"/>
    <w:rPr>
      <w:sz w:val="20"/>
      <w:lang w:val="en-US"/>
    </w:rPr>
  </w:style>
  <w:style w:type="paragraph" w:styleId="BalloonText">
    <w:name w:val="Balloon Text"/>
    <w:basedOn w:val="Normal"/>
    <w:semiHidden/>
    <w:rsid w:val="004640D7"/>
    <w:rPr>
      <w:rFonts w:ascii="Tahoma" w:hAnsi="Tahoma" w:cs="Tahoma"/>
      <w:sz w:val="16"/>
      <w:szCs w:val="16"/>
    </w:rPr>
  </w:style>
  <w:style w:type="paragraph" w:customStyle="1" w:styleId="Sub-Heading">
    <w:name w:val="Sub-Heading"/>
    <w:basedOn w:val="Normal"/>
    <w:next w:val="BodyText"/>
    <w:rsid w:val="004640D7"/>
    <w:pPr>
      <w:keepNext/>
      <w:spacing w:before="240" w:after="120"/>
      <w:outlineLvl w:val="0"/>
    </w:pPr>
    <w:rPr>
      <w:rFonts w:ascii="Arial" w:hAnsi="Arial"/>
      <w:i/>
    </w:rPr>
  </w:style>
  <w:style w:type="paragraph" w:customStyle="1" w:styleId="Sub-Heading2">
    <w:name w:val="Sub-Heading 2"/>
    <w:basedOn w:val="BodyText"/>
    <w:semiHidden/>
    <w:rsid w:val="004640D7"/>
    <w:rPr>
      <w:i/>
    </w:rPr>
  </w:style>
  <w:style w:type="paragraph" w:customStyle="1" w:styleId="TableName">
    <w:name w:val="Table Name"/>
    <w:basedOn w:val="Normal"/>
    <w:rsid w:val="004640D7"/>
    <w:pPr>
      <w:keepNext/>
      <w:keepLines/>
      <w:spacing w:after="120"/>
      <w:jc w:val="center"/>
    </w:pPr>
    <w:rPr>
      <w:rFonts w:ascii="Arial" w:hAnsi="Arial"/>
      <w:b/>
      <w:sz w:val="20"/>
    </w:rPr>
  </w:style>
  <w:style w:type="paragraph" w:customStyle="1" w:styleId="AIblurb">
    <w:name w:val="AI blurb"/>
    <w:basedOn w:val="Normal"/>
    <w:rsid w:val="004640D7"/>
    <w:pPr>
      <w:spacing w:before="120" w:after="240"/>
      <w:ind w:left="380"/>
      <w:jc w:val="both"/>
    </w:pPr>
    <w:rPr>
      <w:sz w:val="20"/>
    </w:rPr>
  </w:style>
  <w:style w:type="paragraph" w:styleId="BodyText3">
    <w:name w:val="Body Text 3"/>
    <w:basedOn w:val="Normal"/>
    <w:semiHidden/>
    <w:rsid w:val="004640D7"/>
    <w:pPr>
      <w:spacing w:after="120"/>
    </w:pPr>
    <w:rPr>
      <w:sz w:val="16"/>
      <w:szCs w:val="16"/>
    </w:rPr>
  </w:style>
  <w:style w:type="paragraph" w:customStyle="1" w:styleId="AINotes">
    <w:name w:val="AI Notes"/>
    <w:basedOn w:val="Normal"/>
    <w:rsid w:val="004640D7"/>
    <w:pPr>
      <w:numPr>
        <w:numId w:val="9"/>
      </w:numPr>
      <w:jc w:val="both"/>
    </w:pPr>
    <w:rPr>
      <w:sz w:val="16"/>
    </w:rPr>
  </w:style>
  <w:style w:type="paragraph" w:customStyle="1" w:styleId="n">
    <w:name w:val="n"/>
    <w:basedOn w:val="Normal"/>
    <w:semiHidden/>
    <w:rsid w:val="004640D7"/>
    <w:pPr>
      <w:jc w:val="both"/>
    </w:pPr>
    <w:rPr>
      <w:sz w:val="16"/>
      <w:szCs w:val="24"/>
    </w:rPr>
  </w:style>
  <w:style w:type="paragraph" w:customStyle="1" w:styleId="Notes">
    <w:name w:val="Notes"/>
    <w:basedOn w:val="Normal"/>
    <w:semiHidden/>
    <w:rsid w:val="004640D7"/>
    <w:pPr>
      <w:spacing w:before="120"/>
      <w:ind w:left="28"/>
    </w:pPr>
    <w:rPr>
      <w:b/>
      <w:sz w:val="20"/>
      <w:szCs w:val="24"/>
    </w:rPr>
  </w:style>
  <w:style w:type="numbering" w:styleId="1ai">
    <w:name w:val="Outline List 1"/>
    <w:basedOn w:val="NoList"/>
    <w:semiHidden/>
    <w:rsid w:val="004640D7"/>
    <w:pPr>
      <w:numPr>
        <w:numId w:val="8"/>
      </w:numPr>
    </w:pPr>
  </w:style>
  <w:style w:type="numbering" w:styleId="111111">
    <w:name w:val="Outline List 2"/>
    <w:basedOn w:val="NoList"/>
    <w:semiHidden/>
    <w:rsid w:val="004640D7"/>
    <w:pPr>
      <w:numPr>
        <w:numId w:val="7"/>
      </w:numPr>
    </w:pPr>
  </w:style>
  <w:style w:type="paragraph" w:styleId="BlockText">
    <w:name w:val="Block Text"/>
    <w:basedOn w:val="Normal"/>
    <w:semiHidden/>
    <w:rsid w:val="004640D7"/>
    <w:pPr>
      <w:spacing w:after="120"/>
      <w:ind w:left="1440" w:right="1440"/>
    </w:pPr>
  </w:style>
  <w:style w:type="paragraph" w:styleId="BodyTextFirstIndent">
    <w:name w:val="Body Text First Indent"/>
    <w:basedOn w:val="BodyText"/>
    <w:semiHidden/>
    <w:rsid w:val="004640D7"/>
    <w:pPr>
      <w:spacing w:before="0"/>
      <w:ind w:firstLine="210"/>
      <w:jc w:val="left"/>
    </w:pPr>
  </w:style>
  <w:style w:type="paragraph" w:styleId="BodyTextFirstIndent2">
    <w:name w:val="Body Text First Indent 2"/>
    <w:basedOn w:val="BodyTextIndent"/>
    <w:semiHidden/>
    <w:rsid w:val="004640D7"/>
    <w:pPr>
      <w:numPr>
        <w:numId w:val="0"/>
      </w:numPr>
      <w:ind w:left="283" w:firstLine="210"/>
      <w:jc w:val="left"/>
    </w:pPr>
  </w:style>
  <w:style w:type="paragraph" w:styleId="Closing">
    <w:name w:val="Closing"/>
    <w:basedOn w:val="Normal"/>
    <w:semiHidden/>
    <w:rsid w:val="004640D7"/>
    <w:pPr>
      <w:ind w:left="4252"/>
    </w:pPr>
  </w:style>
  <w:style w:type="paragraph" w:styleId="Date">
    <w:name w:val="Date"/>
    <w:basedOn w:val="Normal"/>
    <w:next w:val="Normal"/>
    <w:semiHidden/>
    <w:rsid w:val="004640D7"/>
  </w:style>
  <w:style w:type="paragraph" w:styleId="E-mailSignature">
    <w:name w:val="E-mail Signature"/>
    <w:basedOn w:val="Normal"/>
    <w:semiHidden/>
    <w:rsid w:val="004640D7"/>
  </w:style>
  <w:style w:type="character" w:styleId="Emphasis">
    <w:name w:val="Emphasis"/>
    <w:qFormat/>
    <w:rsid w:val="004640D7"/>
    <w:rPr>
      <w:rFonts w:ascii="Calibri" w:hAnsi="Calibri"/>
      <w:i/>
      <w:iCs/>
    </w:rPr>
  </w:style>
  <w:style w:type="paragraph" w:styleId="EnvelopeAddress">
    <w:name w:val="envelope address"/>
    <w:basedOn w:val="Normal"/>
    <w:semiHidden/>
    <w:rsid w:val="004640D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semiHidden/>
    <w:rsid w:val="004640D7"/>
    <w:rPr>
      <w:rFonts w:ascii="Arial" w:hAnsi="Arial" w:cs="Arial"/>
      <w:sz w:val="20"/>
    </w:rPr>
  </w:style>
  <w:style w:type="character" w:styleId="FollowedHyperlink">
    <w:name w:val="FollowedHyperlink"/>
    <w:semiHidden/>
    <w:rsid w:val="004640D7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640D7"/>
  </w:style>
  <w:style w:type="paragraph" w:styleId="HTMLAddress">
    <w:name w:val="HTML Address"/>
    <w:basedOn w:val="Normal"/>
    <w:semiHidden/>
    <w:rsid w:val="004640D7"/>
    <w:rPr>
      <w:i/>
      <w:iCs/>
    </w:rPr>
  </w:style>
  <w:style w:type="character" w:styleId="HTMLCite">
    <w:name w:val="HTML Cite"/>
    <w:semiHidden/>
    <w:rsid w:val="004640D7"/>
    <w:rPr>
      <w:i/>
      <w:iCs/>
    </w:rPr>
  </w:style>
  <w:style w:type="character" w:styleId="HTMLCode">
    <w:name w:val="HTML Code"/>
    <w:semiHidden/>
    <w:rsid w:val="004640D7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640D7"/>
    <w:rPr>
      <w:i/>
      <w:iCs/>
    </w:rPr>
  </w:style>
  <w:style w:type="character" w:styleId="HTMLKeyboard">
    <w:name w:val="HTML Keyboard"/>
    <w:semiHidden/>
    <w:rsid w:val="004640D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640D7"/>
    <w:rPr>
      <w:rFonts w:ascii="Courier New" w:hAnsi="Courier New" w:cs="Courier New"/>
      <w:sz w:val="20"/>
    </w:rPr>
  </w:style>
  <w:style w:type="character" w:styleId="HTMLSample">
    <w:name w:val="HTML Sample"/>
    <w:semiHidden/>
    <w:rsid w:val="004640D7"/>
    <w:rPr>
      <w:rFonts w:ascii="Courier New" w:hAnsi="Courier New" w:cs="Courier New"/>
    </w:rPr>
  </w:style>
  <w:style w:type="character" w:styleId="HTMLTypewriter">
    <w:name w:val="HTML Typewriter"/>
    <w:semiHidden/>
    <w:rsid w:val="004640D7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640D7"/>
    <w:rPr>
      <w:i/>
      <w:iCs/>
    </w:rPr>
  </w:style>
  <w:style w:type="character" w:styleId="Hyperlink">
    <w:name w:val="Hyperlink"/>
    <w:semiHidden/>
    <w:rsid w:val="004640D7"/>
    <w:rPr>
      <w:color w:val="0000FF"/>
      <w:u w:val="single"/>
    </w:rPr>
  </w:style>
  <w:style w:type="character" w:styleId="LineNumber">
    <w:name w:val="line number"/>
    <w:basedOn w:val="DefaultParagraphFont"/>
    <w:semiHidden/>
    <w:rsid w:val="004640D7"/>
  </w:style>
  <w:style w:type="paragraph" w:styleId="List">
    <w:name w:val="List"/>
    <w:basedOn w:val="Normal"/>
    <w:semiHidden/>
    <w:rsid w:val="004640D7"/>
    <w:pPr>
      <w:ind w:left="283" w:hanging="283"/>
    </w:pPr>
  </w:style>
  <w:style w:type="paragraph" w:styleId="List2">
    <w:name w:val="List 2"/>
    <w:basedOn w:val="Normal"/>
    <w:semiHidden/>
    <w:rsid w:val="004640D7"/>
    <w:pPr>
      <w:ind w:left="566" w:hanging="283"/>
    </w:pPr>
  </w:style>
  <w:style w:type="paragraph" w:styleId="List3">
    <w:name w:val="List 3"/>
    <w:basedOn w:val="Normal"/>
    <w:semiHidden/>
    <w:rsid w:val="004640D7"/>
    <w:pPr>
      <w:ind w:left="849" w:hanging="283"/>
    </w:pPr>
  </w:style>
  <w:style w:type="paragraph" w:styleId="List4">
    <w:name w:val="List 4"/>
    <w:basedOn w:val="Normal"/>
    <w:semiHidden/>
    <w:rsid w:val="004640D7"/>
    <w:pPr>
      <w:ind w:left="1132" w:hanging="283"/>
    </w:pPr>
  </w:style>
  <w:style w:type="paragraph" w:styleId="List5">
    <w:name w:val="List 5"/>
    <w:basedOn w:val="Normal"/>
    <w:semiHidden/>
    <w:rsid w:val="004640D7"/>
    <w:pPr>
      <w:ind w:left="1415" w:hanging="283"/>
    </w:pPr>
  </w:style>
  <w:style w:type="paragraph" w:styleId="ListBullet">
    <w:name w:val="List Bullet"/>
    <w:basedOn w:val="Normal"/>
    <w:semiHidden/>
    <w:rsid w:val="004640D7"/>
    <w:pPr>
      <w:numPr>
        <w:numId w:val="16"/>
      </w:numPr>
    </w:pPr>
  </w:style>
  <w:style w:type="paragraph" w:styleId="ListBullet2">
    <w:name w:val="List Bullet 2"/>
    <w:basedOn w:val="Normal"/>
    <w:semiHidden/>
    <w:rsid w:val="004640D7"/>
    <w:pPr>
      <w:numPr>
        <w:numId w:val="17"/>
      </w:numPr>
    </w:pPr>
  </w:style>
  <w:style w:type="paragraph" w:styleId="ListBullet3">
    <w:name w:val="List Bullet 3"/>
    <w:basedOn w:val="Normal"/>
    <w:semiHidden/>
    <w:rsid w:val="004640D7"/>
    <w:pPr>
      <w:numPr>
        <w:numId w:val="18"/>
      </w:numPr>
    </w:pPr>
  </w:style>
  <w:style w:type="paragraph" w:styleId="ListBullet4">
    <w:name w:val="List Bullet 4"/>
    <w:basedOn w:val="Normal"/>
    <w:semiHidden/>
    <w:rsid w:val="004640D7"/>
    <w:pPr>
      <w:numPr>
        <w:numId w:val="19"/>
      </w:numPr>
    </w:pPr>
  </w:style>
  <w:style w:type="paragraph" w:styleId="ListBullet5">
    <w:name w:val="List Bullet 5"/>
    <w:basedOn w:val="Normal"/>
    <w:semiHidden/>
    <w:rsid w:val="004640D7"/>
    <w:pPr>
      <w:numPr>
        <w:numId w:val="20"/>
      </w:numPr>
    </w:pPr>
  </w:style>
  <w:style w:type="paragraph" w:styleId="ListContinue">
    <w:name w:val="List Continue"/>
    <w:basedOn w:val="Normal"/>
    <w:semiHidden/>
    <w:rsid w:val="004640D7"/>
    <w:pPr>
      <w:spacing w:after="120"/>
      <w:ind w:left="283"/>
    </w:pPr>
  </w:style>
  <w:style w:type="paragraph" w:styleId="ListContinue2">
    <w:name w:val="List Continue 2"/>
    <w:basedOn w:val="Normal"/>
    <w:semiHidden/>
    <w:rsid w:val="004640D7"/>
    <w:pPr>
      <w:spacing w:after="120"/>
      <w:ind w:left="566"/>
    </w:pPr>
  </w:style>
  <w:style w:type="paragraph" w:styleId="ListContinue3">
    <w:name w:val="List Continue 3"/>
    <w:basedOn w:val="Normal"/>
    <w:semiHidden/>
    <w:rsid w:val="004640D7"/>
    <w:pPr>
      <w:spacing w:after="120"/>
      <w:ind w:left="849"/>
    </w:pPr>
  </w:style>
  <w:style w:type="paragraph" w:styleId="ListContinue4">
    <w:name w:val="List Continue 4"/>
    <w:basedOn w:val="Normal"/>
    <w:semiHidden/>
    <w:rsid w:val="004640D7"/>
    <w:pPr>
      <w:spacing w:after="120"/>
      <w:ind w:left="1132"/>
    </w:pPr>
  </w:style>
  <w:style w:type="paragraph" w:styleId="ListContinue5">
    <w:name w:val="List Continue 5"/>
    <w:basedOn w:val="Normal"/>
    <w:semiHidden/>
    <w:rsid w:val="004640D7"/>
    <w:pPr>
      <w:spacing w:after="120"/>
      <w:ind w:left="1415"/>
    </w:pPr>
  </w:style>
  <w:style w:type="paragraph" w:styleId="ListNumber">
    <w:name w:val="List Number"/>
    <w:basedOn w:val="Normal"/>
    <w:semiHidden/>
    <w:rsid w:val="004640D7"/>
    <w:pPr>
      <w:numPr>
        <w:numId w:val="21"/>
      </w:numPr>
    </w:pPr>
  </w:style>
  <w:style w:type="paragraph" w:styleId="ListNumber2">
    <w:name w:val="List Number 2"/>
    <w:basedOn w:val="Normal"/>
    <w:semiHidden/>
    <w:rsid w:val="004640D7"/>
    <w:pPr>
      <w:numPr>
        <w:numId w:val="22"/>
      </w:numPr>
    </w:pPr>
  </w:style>
  <w:style w:type="paragraph" w:styleId="ListNumber3">
    <w:name w:val="List Number 3"/>
    <w:basedOn w:val="Normal"/>
    <w:semiHidden/>
    <w:rsid w:val="004640D7"/>
    <w:pPr>
      <w:numPr>
        <w:numId w:val="23"/>
      </w:numPr>
    </w:pPr>
  </w:style>
  <w:style w:type="paragraph" w:styleId="ListNumber4">
    <w:name w:val="List Number 4"/>
    <w:basedOn w:val="Normal"/>
    <w:semiHidden/>
    <w:rsid w:val="004640D7"/>
    <w:pPr>
      <w:numPr>
        <w:numId w:val="24"/>
      </w:numPr>
    </w:pPr>
  </w:style>
  <w:style w:type="paragraph" w:styleId="ListNumber5">
    <w:name w:val="List Number 5"/>
    <w:basedOn w:val="Normal"/>
    <w:semiHidden/>
    <w:rsid w:val="004640D7"/>
    <w:pPr>
      <w:numPr>
        <w:numId w:val="25"/>
      </w:numPr>
    </w:pPr>
  </w:style>
  <w:style w:type="paragraph" w:styleId="MessageHeader">
    <w:name w:val="Message Header"/>
    <w:basedOn w:val="Normal"/>
    <w:semiHidden/>
    <w:rsid w:val="004640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semiHidden/>
    <w:rsid w:val="004640D7"/>
    <w:rPr>
      <w:szCs w:val="24"/>
    </w:rPr>
  </w:style>
  <w:style w:type="paragraph" w:styleId="NormalIndent">
    <w:name w:val="Normal Indent"/>
    <w:basedOn w:val="Normal"/>
    <w:semiHidden/>
    <w:rsid w:val="004640D7"/>
    <w:pPr>
      <w:ind w:left="720"/>
    </w:pPr>
  </w:style>
  <w:style w:type="character" w:styleId="PageNumber">
    <w:name w:val="page number"/>
    <w:basedOn w:val="DefaultParagraphFont"/>
    <w:semiHidden/>
    <w:rsid w:val="004640D7"/>
  </w:style>
  <w:style w:type="paragraph" w:styleId="Salutation">
    <w:name w:val="Salutation"/>
    <w:basedOn w:val="Normal"/>
    <w:next w:val="Normal"/>
    <w:semiHidden/>
    <w:rsid w:val="004640D7"/>
  </w:style>
  <w:style w:type="paragraph" w:styleId="Signature">
    <w:name w:val="Signature"/>
    <w:basedOn w:val="Normal"/>
    <w:semiHidden/>
    <w:rsid w:val="004640D7"/>
    <w:pPr>
      <w:ind w:left="4252"/>
    </w:pPr>
  </w:style>
  <w:style w:type="character" w:styleId="Strong">
    <w:name w:val="Strong"/>
    <w:qFormat/>
    <w:rsid w:val="004640D7"/>
    <w:rPr>
      <w:b/>
      <w:bCs/>
    </w:rPr>
  </w:style>
  <w:style w:type="paragraph" w:styleId="Subtitle">
    <w:name w:val="Subtitle"/>
    <w:basedOn w:val="Normal"/>
    <w:qFormat/>
    <w:rsid w:val="004640D7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e3Deffects1">
    <w:name w:val="Table 3D effects 1"/>
    <w:basedOn w:val="TableNormal"/>
    <w:semiHidden/>
    <w:rsid w:val="004640D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640D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640D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640D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640D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640D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640D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640D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640D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640D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640D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640D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640D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640D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640D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640D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640D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64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4640D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640D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640D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640D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640D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640D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640D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640D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640D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640D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640D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640D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640D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640D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640D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640D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640D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640D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640D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640D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640D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640D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64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640D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640D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640D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4640D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teHeading0">
    <w:name w:val="Note Heading"/>
    <w:basedOn w:val="Normal"/>
    <w:next w:val="Normal"/>
    <w:rsid w:val="004640D7"/>
    <w:pPr>
      <w:spacing w:before="120"/>
    </w:pPr>
    <w:rPr>
      <w:b/>
      <w:sz w:val="16"/>
    </w:rPr>
  </w:style>
  <w:style w:type="paragraph" w:customStyle="1" w:styleId="TableNumber">
    <w:name w:val="Table Number"/>
    <w:basedOn w:val="TableName"/>
    <w:next w:val="TableName"/>
    <w:rsid w:val="004640D7"/>
    <w:pPr>
      <w:spacing w:before="60" w:after="0"/>
    </w:pPr>
  </w:style>
  <w:style w:type="paragraph" w:customStyle="1" w:styleId="TableTextIndent">
    <w:name w:val="Table Text Indent"/>
    <w:rsid w:val="004640D7"/>
    <w:pPr>
      <w:numPr>
        <w:numId w:val="26"/>
      </w:numPr>
      <w:spacing w:before="60"/>
    </w:pPr>
    <w:rPr>
      <w:rFonts w:ascii="Calibri" w:hAnsi="Calibri"/>
      <w:szCs w:val="24"/>
      <w:lang w:eastAsia="en-US"/>
    </w:rPr>
  </w:style>
  <w:style w:type="character" w:customStyle="1" w:styleId="CharChar4">
    <w:name w:val="Char Char4"/>
    <w:locked/>
    <w:rsid w:val="0075208C"/>
    <w:rPr>
      <w:rFonts w:ascii="Arial" w:hAnsi="Arial" w:cs="Arial"/>
      <w:b/>
      <w:bCs/>
      <w:sz w:val="26"/>
      <w:szCs w:val="26"/>
      <w:lang w:val="en-AU" w:eastAsia="en-US" w:bidi="ar-SA"/>
    </w:rPr>
  </w:style>
  <w:style w:type="paragraph" w:customStyle="1" w:styleId="TableTextRight-BP410pt">
    <w:name w:val="Table Text Right - BP4 10pt"/>
    <w:basedOn w:val="TableTextRight-BP4"/>
    <w:rsid w:val="004640D7"/>
    <w:rPr>
      <w:sz w:val="20"/>
    </w:rPr>
  </w:style>
  <w:style w:type="paragraph" w:customStyle="1" w:styleId="TableTextRightBold-BP410pt">
    <w:name w:val="Table Text Right Bold - BP4 10pt"/>
    <w:basedOn w:val="TableTextRightBold-BP4"/>
    <w:rsid w:val="004640D7"/>
    <w:rPr>
      <w:sz w:val="20"/>
    </w:rPr>
  </w:style>
  <w:style w:type="character" w:customStyle="1" w:styleId="Heading7Char">
    <w:name w:val="Heading 7 Char"/>
    <w:link w:val="Heading7"/>
    <w:locked/>
    <w:rsid w:val="0075208C"/>
    <w:rPr>
      <w:rFonts w:ascii="Calibri" w:hAnsi="Calibri"/>
      <w:b/>
      <w:lang w:eastAsia="en-US"/>
    </w:rPr>
  </w:style>
  <w:style w:type="character" w:customStyle="1" w:styleId="PlainTextChar">
    <w:name w:val="Plain Text Char"/>
    <w:link w:val="PlainText"/>
    <w:semiHidden/>
    <w:rsid w:val="0075208C"/>
    <w:rPr>
      <w:rFonts w:ascii="Calibri" w:hAnsi="Calibri"/>
      <w:lang w:val="en-US" w:eastAsia="en-US"/>
    </w:rPr>
  </w:style>
  <w:style w:type="character" w:customStyle="1" w:styleId="BodyTextChar">
    <w:name w:val="Body Text Char"/>
    <w:link w:val="BodyText"/>
    <w:rsid w:val="0075208C"/>
    <w:rPr>
      <w:rFonts w:ascii="Calibri" w:hAnsi="Calibri"/>
      <w:sz w:val="24"/>
      <w:lang w:eastAsia="en-US"/>
    </w:rPr>
  </w:style>
  <w:style w:type="paragraph" w:customStyle="1" w:styleId="1n">
    <w:name w:val="1. n"/>
    <w:basedOn w:val="n"/>
    <w:rsid w:val="004640D7"/>
    <w:rPr>
      <w:iCs/>
      <w:szCs w:val="20"/>
    </w:rPr>
  </w:style>
  <w:style w:type="paragraph" w:customStyle="1" w:styleId="an">
    <w:name w:val="a. n"/>
    <w:basedOn w:val="n"/>
    <w:rsid w:val="004640D7"/>
    <w:rPr>
      <w:iCs/>
      <w:szCs w:val="20"/>
    </w:rPr>
  </w:style>
  <w:style w:type="paragraph" w:customStyle="1" w:styleId="AIIndent">
    <w:name w:val="AI Indent"/>
    <w:basedOn w:val="Normal"/>
    <w:rsid w:val="004640D7"/>
    <w:pPr>
      <w:tabs>
        <w:tab w:val="num" w:pos="360"/>
      </w:tabs>
      <w:ind w:left="357" w:hanging="357"/>
    </w:pPr>
    <w:rPr>
      <w:sz w:val="20"/>
    </w:rPr>
  </w:style>
  <w:style w:type="paragraph" w:customStyle="1" w:styleId="AITableText">
    <w:name w:val="AI Table Text"/>
    <w:basedOn w:val="Normal"/>
    <w:rsid w:val="004640D7"/>
    <w:pPr>
      <w:jc w:val="right"/>
    </w:pPr>
    <w:rPr>
      <w:sz w:val="20"/>
      <w:szCs w:val="24"/>
    </w:rPr>
  </w:style>
  <w:style w:type="character" w:customStyle="1" w:styleId="CharChar">
    <w:name w:val="Char Char"/>
    <w:rsid w:val="004640D7"/>
    <w:rPr>
      <w:rFonts w:ascii="Calibri" w:hAnsi="Calibri"/>
      <w:sz w:val="24"/>
      <w:lang w:val="en-AU" w:eastAsia="en-US" w:bidi="ar-SA"/>
    </w:rPr>
  </w:style>
  <w:style w:type="character" w:customStyle="1" w:styleId="CharChar1">
    <w:name w:val="Char Char1"/>
    <w:rsid w:val="004640D7"/>
    <w:rPr>
      <w:rFonts w:ascii="Arial" w:hAnsi="Arial" w:cs="Arial"/>
      <w:b/>
      <w:bCs/>
      <w:sz w:val="24"/>
      <w:szCs w:val="26"/>
      <w:lang w:val="en-AU" w:eastAsia="en-US" w:bidi="ar-SA"/>
    </w:rPr>
  </w:style>
  <w:style w:type="table" w:styleId="ColorfulGrid-Accent2">
    <w:name w:val="Colorful Grid Accent 2"/>
    <w:basedOn w:val="TableNormal"/>
    <w:uiPriority w:val="73"/>
    <w:rsid w:val="004640D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640D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640D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640D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640D7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CommentReference">
    <w:name w:val="annotation reference"/>
    <w:rsid w:val="004640D7"/>
    <w:rPr>
      <w:rFonts w:ascii="Calibri" w:hAnsi="Calibri"/>
      <w:sz w:val="16"/>
      <w:szCs w:val="16"/>
    </w:rPr>
  </w:style>
  <w:style w:type="paragraph" w:styleId="CommentText">
    <w:name w:val="annotation text"/>
    <w:basedOn w:val="Normal"/>
    <w:link w:val="CommentTextChar"/>
    <w:rsid w:val="004640D7"/>
    <w:rPr>
      <w:sz w:val="20"/>
    </w:rPr>
  </w:style>
  <w:style w:type="character" w:customStyle="1" w:styleId="CommentTextChar">
    <w:name w:val="Comment Text Char"/>
    <w:link w:val="CommentText"/>
    <w:rsid w:val="004640D7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0D7"/>
    <w:rPr>
      <w:b/>
      <w:bCs/>
    </w:rPr>
  </w:style>
  <w:style w:type="character" w:customStyle="1" w:styleId="CommentSubjectChar">
    <w:name w:val="Comment Subject Char"/>
    <w:link w:val="CommentSubject"/>
    <w:rsid w:val="004640D7"/>
    <w:rPr>
      <w:rFonts w:ascii="Calibri" w:hAnsi="Calibri"/>
      <w:b/>
      <w:bCs/>
      <w:lang w:eastAsia="en-US"/>
    </w:rPr>
  </w:style>
  <w:style w:type="character" w:styleId="EndnoteReference">
    <w:name w:val="endnote reference"/>
    <w:rsid w:val="004640D7"/>
    <w:rPr>
      <w:rFonts w:ascii="Calibri" w:hAnsi="Calibri"/>
      <w:vertAlign w:val="superscript"/>
    </w:rPr>
  </w:style>
  <w:style w:type="paragraph" w:styleId="EndnoteText">
    <w:name w:val="endnote text"/>
    <w:basedOn w:val="Normal"/>
    <w:link w:val="EndnoteTextChar"/>
    <w:rsid w:val="004640D7"/>
    <w:rPr>
      <w:sz w:val="20"/>
    </w:rPr>
  </w:style>
  <w:style w:type="character" w:customStyle="1" w:styleId="EndnoteTextChar">
    <w:name w:val="Endnote Text Char"/>
    <w:link w:val="EndnoteText"/>
    <w:rsid w:val="004640D7"/>
    <w:rPr>
      <w:rFonts w:ascii="Calibri" w:hAnsi="Calibri"/>
      <w:lang w:eastAsia="en-US"/>
    </w:rPr>
  </w:style>
  <w:style w:type="character" w:styleId="FootnoteReference">
    <w:name w:val="footnote reference"/>
    <w:rsid w:val="004640D7"/>
    <w:rPr>
      <w:rFonts w:ascii="Calibri" w:hAnsi="Calibri"/>
      <w:vertAlign w:val="superscript"/>
    </w:rPr>
  </w:style>
  <w:style w:type="paragraph" w:styleId="FootnoteText">
    <w:name w:val="footnote text"/>
    <w:basedOn w:val="Normal"/>
    <w:link w:val="FootnoteTextChar"/>
    <w:rsid w:val="004640D7"/>
    <w:rPr>
      <w:sz w:val="20"/>
    </w:rPr>
  </w:style>
  <w:style w:type="character" w:customStyle="1" w:styleId="FootnoteTextChar">
    <w:name w:val="Footnote Text Char"/>
    <w:link w:val="FootnoteText"/>
    <w:rsid w:val="004640D7"/>
    <w:rPr>
      <w:rFonts w:ascii="Calibri" w:hAnsi="Calibri"/>
      <w:lang w:eastAsia="en-US"/>
    </w:rPr>
  </w:style>
  <w:style w:type="paragraph" w:styleId="Index1">
    <w:name w:val="index 1"/>
    <w:basedOn w:val="Normal"/>
    <w:next w:val="Normal"/>
    <w:autoRedefine/>
    <w:rsid w:val="004640D7"/>
    <w:pPr>
      <w:ind w:left="240" w:hanging="240"/>
    </w:pPr>
  </w:style>
  <w:style w:type="paragraph" w:styleId="Index2">
    <w:name w:val="index 2"/>
    <w:basedOn w:val="Normal"/>
    <w:next w:val="Normal"/>
    <w:autoRedefine/>
    <w:rsid w:val="004640D7"/>
    <w:pPr>
      <w:ind w:left="480" w:hanging="240"/>
    </w:pPr>
  </w:style>
  <w:style w:type="paragraph" w:styleId="Index3">
    <w:name w:val="index 3"/>
    <w:basedOn w:val="Normal"/>
    <w:next w:val="Normal"/>
    <w:autoRedefine/>
    <w:rsid w:val="004640D7"/>
    <w:pPr>
      <w:ind w:left="720" w:hanging="240"/>
    </w:pPr>
  </w:style>
  <w:style w:type="paragraph" w:styleId="Index4">
    <w:name w:val="index 4"/>
    <w:basedOn w:val="Normal"/>
    <w:next w:val="Normal"/>
    <w:autoRedefine/>
    <w:rsid w:val="004640D7"/>
    <w:pPr>
      <w:ind w:left="960" w:hanging="240"/>
    </w:pPr>
  </w:style>
  <w:style w:type="paragraph" w:styleId="Index5">
    <w:name w:val="index 5"/>
    <w:basedOn w:val="Normal"/>
    <w:next w:val="Normal"/>
    <w:autoRedefine/>
    <w:rsid w:val="004640D7"/>
    <w:pPr>
      <w:ind w:left="1200" w:hanging="240"/>
    </w:pPr>
  </w:style>
  <w:style w:type="paragraph" w:styleId="Index6">
    <w:name w:val="index 6"/>
    <w:basedOn w:val="Normal"/>
    <w:next w:val="Normal"/>
    <w:autoRedefine/>
    <w:rsid w:val="004640D7"/>
    <w:pPr>
      <w:ind w:left="1440" w:hanging="240"/>
    </w:pPr>
  </w:style>
  <w:style w:type="paragraph" w:styleId="Index7">
    <w:name w:val="index 7"/>
    <w:basedOn w:val="Normal"/>
    <w:next w:val="Normal"/>
    <w:autoRedefine/>
    <w:rsid w:val="004640D7"/>
    <w:pPr>
      <w:ind w:left="1680" w:hanging="240"/>
    </w:pPr>
  </w:style>
  <w:style w:type="paragraph" w:styleId="Index8">
    <w:name w:val="index 8"/>
    <w:basedOn w:val="Normal"/>
    <w:next w:val="Normal"/>
    <w:autoRedefine/>
    <w:rsid w:val="004640D7"/>
    <w:pPr>
      <w:ind w:left="1920" w:hanging="240"/>
    </w:pPr>
  </w:style>
  <w:style w:type="paragraph" w:styleId="Index9">
    <w:name w:val="index 9"/>
    <w:basedOn w:val="Normal"/>
    <w:next w:val="Normal"/>
    <w:autoRedefine/>
    <w:rsid w:val="004640D7"/>
    <w:pPr>
      <w:ind w:left="2160" w:hanging="240"/>
    </w:pPr>
  </w:style>
  <w:style w:type="paragraph" w:styleId="IndexHeading">
    <w:name w:val="index heading"/>
    <w:basedOn w:val="Normal"/>
    <w:next w:val="Index1"/>
    <w:rsid w:val="004640D7"/>
    <w:rPr>
      <w:b/>
      <w:bCs/>
    </w:rPr>
  </w:style>
  <w:style w:type="paragraph" w:styleId="ListParagraph">
    <w:name w:val="List Paragraph"/>
    <w:basedOn w:val="Normal"/>
    <w:qFormat/>
    <w:rsid w:val="004640D7"/>
    <w:pPr>
      <w:ind w:left="720"/>
    </w:pPr>
    <w:rPr>
      <w:szCs w:val="24"/>
    </w:rPr>
  </w:style>
  <w:style w:type="paragraph" w:customStyle="1" w:styleId="TableHeadingCentre-BP4">
    <w:name w:val="Table Heading Centre - BP4"/>
    <w:basedOn w:val="Normal"/>
    <w:rsid w:val="004640D7"/>
    <w:pPr>
      <w:keepNext/>
      <w:jc w:val="center"/>
    </w:pPr>
    <w:rPr>
      <w:b/>
      <w:sz w:val="18"/>
    </w:rPr>
  </w:style>
  <w:style w:type="paragraph" w:customStyle="1" w:styleId="TableHeadingCentre-BP3">
    <w:name w:val="Table Heading Centre - BP3"/>
    <w:basedOn w:val="TableHeadingCentre-BP4"/>
    <w:rsid w:val="004640D7"/>
    <w:rPr>
      <w:sz w:val="20"/>
    </w:rPr>
  </w:style>
  <w:style w:type="paragraph" w:customStyle="1" w:styleId="TableHeadingCentre-BP410pt">
    <w:name w:val="Table Heading Centre - BP4 10pt"/>
    <w:basedOn w:val="TableHeadingCentre-BP4"/>
    <w:rsid w:val="004640D7"/>
    <w:rPr>
      <w:sz w:val="20"/>
    </w:rPr>
  </w:style>
  <w:style w:type="paragraph" w:customStyle="1" w:styleId="TableHeadingLeft-BP4">
    <w:name w:val="Table Heading Left - BP4"/>
    <w:basedOn w:val="Normal"/>
    <w:rsid w:val="004640D7"/>
    <w:pPr>
      <w:keepNext/>
    </w:pPr>
    <w:rPr>
      <w:b/>
      <w:sz w:val="18"/>
      <w:lang w:eastAsia="en-AU"/>
    </w:rPr>
  </w:style>
  <w:style w:type="paragraph" w:customStyle="1" w:styleId="TableHeadingLeft-BP3">
    <w:name w:val="Table Heading Left - BP3"/>
    <w:basedOn w:val="TableHeadingLeft-BP4"/>
    <w:rsid w:val="004640D7"/>
    <w:rPr>
      <w:sz w:val="20"/>
    </w:rPr>
  </w:style>
  <w:style w:type="paragraph" w:customStyle="1" w:styleId="TableHeadingLeft-BP410pt">
    <w:name w:val="Table Heading Left - BP4 10pt"/>
    <w:basedOn w:val="TableHeadingLeft-BP4"/>
    <w:rsid w:val="004640D7"/>
    <w:rPr>
      <w:sz w:val="20"/>
    </w:rPr>
  </w:style>
  <w:style w:type="paragraph" w:customStyle="1" w:styleId="TableHeadingRight-BP4">
    <w:name w:val="Table Heading Right - BP4"/>
    <w:basedOn w:val="Normal"/>
    <w:rsid w:val="004640D7"/>
    <w:pPr>
      <w:keepNext/>
      <w:jc w:val="right"/>
    </w:pPr>
    <w:rPr>
      <w:b/>
      <w:sz w:val="18"/>
      <w:szCs w:val="24"/>
    </w:rPr>
  </w:style>
  <w:style w:type="paragraph" w:customStyle="1" w:styleId="TableHeadingRight-BP3">
    <w:name w:val="Table Heading Right - BP3"/>
    <w:basedOn w:val="TableHeadingRight-BP4"/>
    <w:rsid w:val="004640D7"/>
    <w:rPr>
      <w:sz w:val="20"/>
    </w:rPr>
  </w:style>
  <w:style w:type="paragraph" w:customStyle="1" w:styleId="TableHeadingRight-BP410pt">
    <w:name w:val="Table Heading Right - BP4 10pt"/>
    <w:basedOn w:val="TableHeadingRight-BP4"/>
    <w:rsid w:val="004640D7"/>
    <w:rPr>
      <w:sz w:val="20"/>
    </w:rPr>
  </w:style>
  <w:style w:type="paragraph" w:customStyle="1" w:styleId="TableNumbersRight-BP4">
    <w:name w:val="Table Numbers Right - BP4"/>
    <w:basedOn w:val="Normal"/>
    <w:rsid w:val="004640D7"/>
    <w:pPr>
      <w:jc w:val="right"/>
    </w:pPr>
    <w:rPr>
      <w:sz w:val="18"/>
    </w:rPr>
  </w:style>
  <w:style w:type="paragraph" w:customStyle="1" w:styleId="TableNumbersRight-BP3">
    <w:name w:val="Table Numbers Right - BP3"/>
    <w:basedOn w:val="TableNumbersRight-BP4"/>
    <w:rsid w:val="004640D7"/>
    <w:rPr>
      <w:sz w:val="20"/>
    </w:rPr>
  </w:style>
  <w:style w:type="paragraph" w:styleId="TableofAuthorities">
    <w:name w:val="table of authorities"/>
    <w:basedOn w:val="Normal"/>
    <w:next w:val="Normal"/>
    <w:rsid w:val="004640D7"/>
    <w:pPr>
      <w:ind w:left="240" w:hanging="240"/>
    </w:pPr>
  </w:style>
  <w:style w:type="paragraph" w:styleId="TableofFigures">
    <w:name w:val="table of figures"/>
    <w:basedOn w:val="Normal"/>
    <w:next w:val="Normal"/>
    <w:rsid w:val="004640D7"/>
  </w:style>
  <w:style w:type="paragraph" w:customStyle="1" w:styleId="TableTextLeft-BP4">
    <w:name w:val="Table Text Left - BP4"/>
    <w:basedOn w:val="Normal"/>
    <w:rsid w:val="004640D7"/>
    <w:pPr>
      <w:ind w:left="142" w:hanging="142"/>
    </w:pPr>
    <w:rPr>
      <w:sz w:val="18"/>
      <w:szCs w:val="18"/>
    </w:rPr>
  </w:style>
  <w:style w:type="paragraph" w:customStyle="1" w:styleId="TableTextLeft-BP3">
    <w:name w:val="Table Text Left - BP3"/>
    <w:basedOn w:val="TableTextLeft-BP4"/>
    <w:rsid w:val="004640D7"/>
    <w:rPr>
      <w:sz w:val="20"/>
    </w:rPr>
  </w:style>
  <w:style w:type="paragraph" w:customStyle="1" w:styleId="TableTextLeft-BP410pt">
    <w:name w:val="Table Text Left - BP4 10pt"/>
    <w:basedOn w:val="TableTextLeft-BP4"/>
    <w:rsid w:val="004640D7"/>
    <w:rPr>
      <w:sz w:val="20"/>
    </w:rPr>
  </w:style>
  <w:style w:type="paragraph" w:customStyle="1" w:styleId="TableTextLeft-BP4FS">
    <w:name w:val="Table Text Left - BP4 FS"/>
    <w:basedOn w:val="TableTextLeft-BP4"/>
    <w:rsid w:val="004640D7"/>
    <w:pPr>
      <w:ind w:left="227"/>
    </w:pPr>
  </w:style>
  <w:style w:type="paragraph" w:customStyle="1" w:styleId="TableTextLeftBold-BP4">
    <w:name w:val="Table Text Left Bold - BP4"/>
    <w:basedOn w:val="Normal"/>
    <w:rsid w:val="004640D7"/>
    <w:pPr>
      <w:ind w:left="142" w:hanging="142"/>
    </w:pPr>
    <w:rPr>
      <w:b/>
      <w:sz w:val="18"/>
    </w:rPr>
  </w:style>
  <w:style w:type="paragraph" w:customStyle="1" w:styleId="TableTextLeftBold-BP3">
    <w:name w:val="Table Text Left Bold - BP3"/>
    <w:basedOn w:val="TableTextLeftBold-BP4"/>
    <w:rsid w:val="004640D7"/>
    <w:rPr>
      <w:sz w:val="20"/>
    </w:rPr>
  </w:style>
  <w:style w:type="paragraph" w:customStyle="1" w:styleId="TableTextLeftBold-BP410pt">
    <w:name w:val="Table Text Left Bold - BP4 10pt"/>
    <w:basedOn w:val="TableTextLeftBold-BP4"/>
    <w:rsid w:val="004640D7"/>
    <w:rPr>
      <w:sz w:val="20"/>
    </w:rPr>
  </w:style>
  <w:style w:type="paragraph" w:customStyle="1" w:styleId="TableTextRight-BP4">
    <w:name w:val="Table Text Right - BP4"/>
    <w:basedOn w:val="Normal"/>
    <w:rsid w:val="004640D7"/>
    <w:pPr>
      <w:jc w:val="right"/>
    </w:pPr>
    <w:rPr>
      <w:sz w:val="18"/>
    </w:rPr>
  </w:style>
  <w:style w:type="paragraph" w:customStyle="1" w:styleId="TableTextRight-BP3">
    <w:name w:val="Table Text Right - BP3"/>
    <w:basedOn w:val="TableTextRight-BP4"/>
    <w:rsid w:val="004640D7"/>
    <w:rPr>
      <w:sz w:val="20"/>
    </w:rPr>
  </w:style>
  <w:style w:type="paragraph" w:customStyle="1" w:styleId="TableTextRightBold-BP4">
    <w:name w:val="Table Text Right Bold - BP4"/>
    <w:basedOn w:val="Normal"/>
    <w:rsid w:val="004640D7"/>
    <w:pPr>
      <w:jc w:val="right"/>
    </w:pPr>
    <w:rPr>
      <w:b/>
      <w:sz w:val="18"/>
    </w:rPr>
  </w:style>
  <w:style w:type="paragraph" w:customStyle="1" w:styleId="TableTextRightBold-BP3">
    <w:name w:val="Table Text Right Bold - BP3"/>
    <w:basedOn w:val="TableTextRightBold-BP4"/>
    <w:rsid w:val="004640D7"/>
  </w:style>
  <w:style w:type="paragraph" w:styleId="TOAHeading">
    <w:name w:val="toa heading"/>
    <w:basedOn w:val="Normal"/>
    <w:next w:val="Normal"/>
    <w:rsid w:val="004640D7"/>
    <w:pPr>
      <w:spacing w:before="120"/>
    </w:pPr>
    <w:rPr>
      <w:b/>
      <w:bCs/>
      <w:szCs w:val="24"/>
    </w:rPr>
  </w:style>
  <w:style w:type="paragraph" w:styleId="TOC1">
    <w:name w:val="toc 1"/>
    <w:basedOn w:val="Normal"/>
    <w:next w:val="Normal"/>
    <w:autoRedefine/>
    <w:rsid w:val="004640D7"/>
  </w:style>
  <w:style w:type="paragraph" w:styleId="TOC2">
    <w:name w:val="toc 2"/>
    <w:basedOn w:val="Normal"/>
    <w:next w:val="Normal"/>
    <w:autoRedefine/>
    <w:rsid w:val="004640D7"/>
    <w:pPr>
      <w:ind w:left="240"/>
    </w:pPr>
  </w:style>
  <w:style w:type="paragraph" w:styleId="TOC3">
    <w:name w:val="toc 3"/>
    <w:basedOn w:val="Normal"/>
    <w:next w:val="Normal"/>
    <w:autoRedefine/>
    <w:rsid w:val="004640D7"/>
    <w:pPr>
      <w:ind w:left="480"/>
    </w:pPr>
  </w:style>
  <w:style w:type="paragraph" w:styleId="TOC4">
    <w:name w:val="toc 4"/>
    <w:basedOn w:val="Normal"/>
    <w:next w:val="Normal"/>
    <w:autoRedefine/>
    <w:rsid w:val="004640D7"/>
    <w:pPr>
      <w:ind w:left="720"/>
    </w:pPr>
  </w:style>
  <w:style w:type="paragraph" w:styleId="TOC5">
    <w:name w:val="toc 5"/>
    <w:basedOn w:val="Normal"/>
    <w:next w:val="Normal"/>
    <w:autoRedefine/>
    <w:rsid w:val="004640D7"/>
    <w:pPr>
      <w:ind w:left="960"/>
    </w:pPr>
  </w:style>
  <w:style w:type="paragraph" w:styleId="TOC6">
    <w:name w:val="toc 6"/>
    <w:basedOn w:val="Normal"/>
    <w:next w:val="Normal"/>
    <w:autoRedefine/>
    <w:rsid w:val="004640D7"/>
    <w:pPr>
      <w:ind w:left="1200"/>
    </w:pPr>
  </w:style>
  <w:style w:type="paragraph" w:styleId="TOC7">
    <w:name w:val="toc 7"/>
    <w:basedOn w:val="Normal"/>
    <w:next w:val="Normal"/>
    <w:autoRedefine/>
    <w:rsid w:val="004640D7"/>
    <w:pPr>
      <w:ind w:left="1440"/>
    </w:pPr>
  </w:style>
  <w:style w:type="paragraph" w:styleId="TOC8">
    <w:name w:val="toc 8"/>
    <w:basedOn w:val="Normal"/>
    <w:next w:val="Normal"/>
    <w:autoRedefine/>
    <w:rsid w:val="004640D7"/>
    <w:pPr>
      <w:ind w:left="1680"/>
    </w:pPr>
  </w:style>
  <w:style w:type="paragraph" w:styleId="TOC9">
    <w:name w:val="toc 9"/>
    <w:basedOn w:val="Normal"/>
    <w:next w:val="Normal"/>
    <w:autoRedefine/>
    <w:rsid w:val="004640D7"/>
    <w:pPr>
      <w:ind w:left="1920"/>
    </w:pPr>
  </w:style>
  <w:style w:type="paragraph" w:styleId="Revision">
    <w:name w:val="Revision"/>
    <w:hidden/>
    <w:uiPriority w:val="99"/>
    <w:semiHidden/>
    <w:rsid w:val="00D3680D"/>
    <w:rPr>
      <w:rFonts w:ascii="Calibri" w:hAnsi="Calibri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AE543-7488-4634-916B-AC263454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1739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COMPETITION AND REGULATORY COMMISSION</vt:lpstr>
    </vt:vector>
  </TitlesOfParts>
  <Company>ACT Government</Company>
  <LinksUpToDate>false</LinksUpToDate>
  <CharactersWithSpaces>12068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2013-14 Budget Paper 4: Independent Competition and Regulatory Commission</dc:title>
  <dc:subject>Independent Competition and Regulatory Commission</dc:subject>
  <dc:creator>Chief Minister and Treasury Directorate</dc:creator>
  <cp:lastModifiedBy>Keaton Paterson</cp:lastModifiedBy>
  <cp:revision>3</cp:revision>
  <cp:lastPrinted>2013-05-23T09:13:00Z</cp:lastPrinted>
  <dcterms:created xsi:type="dcterms:W3CDTF">2013-05-28T10:56:00Z</dcterms:created>
  <dcterms:modified xsi:type="dcterms:W3CDTF">2013-05-30T03:15:00Z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